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BE23" w14:textId="591C8EFC" w:rsidR="003F46B9" w:rsidRDefault="0065662E" w:rsidP="0065662E">
      <w:pPr>
        <w:pStyle w:val="Pagedecouverture"/>
        <w:rPr>
          <w:noProof/>
        </w:rPr>
      </w:pPr>
      <w:bookmarkStart w:id="0" w:name="LW_BM_COVERPAGE"/>
      <w:r>
        <w:rPr>
          <w:noProof/>
        </w:rPr>
        <w:pict w14:anchorId="5DB1C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3B96244B-D5C3-42C1-B86B-5F41E0789E20" style="width:455.25pt;height:371.25pt">
            <v:imagedata r:id="rId11" o:title=""/>
          </v:shape>
        </w:pict>
      </w:r>
    </w:p>
    <w:bookmarkEnd w:id="0"/>
    <w:p w14:paraId="3C441AF4" w14:textId="77777777" w:rsidR="003F46B9" w:rsidRDefault="003F46B9">
      <w:pPr>
        <w:rPr>
          <w:noProof/>
        </w:rPr>
        <w:sectPr w:rsidR="003F46B9" w:rsidSect="0065662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471F30" w14:textId="085CC423" w:rsidR="003F46B9" w:rsidRDefault="0065662E">
      <w:pPr>
        <w:pStyle w:val="P68B1DB1-Normal1"/>
        <w:jc w:val="center"/>
        <w:rPr>
          <w:rFonts w:cs="Times New Roman"/>
          <w:noProof/>
        </w:rPr>
      </w:pPr>
      <w:bookmarkStart w:id="1" w:name="_GoBack"/>
      <w:bookmarkEnd w:id="1"/>
      <w:r>
        <w:rPr>
          <w:noProof/>
        </w:rPr>
        <w:lastRenderedPageBreak/>
        <w:t>PRILOG</w:t>
      </w:r>
    </w:p>
    <w:p w14:paraId="21E1DF08" w14:textId="77777777" w:rsidR="003F46B9" w:rsidRDefault="0065662E">
      <w:pPr>
        <w:pStyle w:val="Heading1"/>
        <w:spacing w:after="360"/>
        <w:ind w:left="851" w:hanging="851"/>
        <w:rPr>
          <w:noProof/>
        </w:rPr>
      </w:pPr>
      <w:r>
        <w:rPr>
          <w:noProof/>
        </w:rPr>
        <w:t>ODJELJAK 1.: REFORME I ULAGANJA U OKVIRU PLANA ZA OPORAVAK I OTPORNOST</w:t>
      </w:r>
    </w:p>
    <w:p w14:paraId="13BF1A77" w14:textId="77777777" w:rsidR="003F46B9" w:rsidRDefault="0065662E">
      <w:pPr>
        <w:pStyle w:val="P68B1DB1-Heading22"/>
        <w:rPr>
          <w:noProof/>
        </w:rPr>
      </w:pPr>
      <w:r>
        <w:rPr>
          <w:noProof/>
        </w:rPr>
        <w:t xml:space="preserve">Opis reformi i ulaganja </w:t>
      </w:r>
    </w:p>
    <w:p w14:paraId="00A20A45" w14:textId="5C3AE3EF"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1: Upravljanje vodama</w:t>
      </w:r>
    </w:p>
    <w:p w14:paraId="672A6659" w14:textId="77777777" w:rsidR="003F46B9" w:rsidRDefault="003F46B9">
      <w:pPr>
        <w:rPr>
          <w:noProof/>
        </w:rPr>
        <w:sectPr w:rsidR="003F46B9" w:rsidSect="00CC77A7">
          <w:headerReference w:type="even" r:id="rId18"/>
          <w:headerReference w:type="default"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pPr>
    </w:p>
    <w:p w14:paraId="6CD2FC0C" w14:textId="77777777" w:rsidR="003F46B9" w:rsidRDefault="0065662E">
      <w:pPr>
        <w:pStyle w:val="P68B1DB1-Normal5"/>
        <w:spacing w:before="120" w:after="120" w:line="240" w:lineRule="auto"/>
        <w:jc w:val="both"/>
        <w:rPr>
          <w:rFonts w:cs="Times New Roman"/>
          <w:noProof/>
        </w:rPr>
      </w:pPr>
      <w:r>
        <w:rPr>
          <w:noProof/>
        </w:rPr>
        <w:t xml:space="preserve">Cilj je komponente osigurati održivu opskrbu vodom za sigurnu budućnost ljudi, okoliša i gospodarstva. Konkretno, cilj je komponente: (1) povećati javni pristup, posebno u ruralnim područjima, javnim </w:t>
      </w:r>
      <w:r>
        <w:rPr>
          <w:noProof/>
        </w:rPr>
        <w:t>uslugama vodoopskrbe i odvodnje u skladu sa zahtjevima zakonodavstva Europske unije i učiniti ih dostupnim svim društvenim skupinama; 2. povećati sigurnost postojećih akumulacija; 3. jačanje administrativnih kapaciteta i kapaciteta za odgovor Nacionalne up</w:t>
      </w:r>
      <w:r>
        <w:rPr>
          <w:noProof/>
        </w:rPr>
        <w:t>rave za vode (ANAR) u izvanrednim situacijama, posebno u vezi s infrastrukturom za upravljanje vodama; (4) poboljšati točnost predviđanja vremenskih upozorenja i sustava za upozoravanje kako bi se smanjio broj smrtnih slučajeva i ozljeda uzrokovanih ekstre</w:t>
      </w:r>
      <w:r>
        <w:rPr>
          <w:noProof/>
        </w:rPr>
        <w:t xml:space="preserve">mnim vremenskim uvjetima. </w:t>
      </w:r>
    </w:p>
    <w:p w14:paraId="60BC02E3" w14:textId="77777777" w:rsidR="003F46B9" w:rsidRDefault="0065662E">
      <w:pPr>
        <w:pStyle w:val="P68B1DB1-Normal5"/>
        <w:spacing w:before="120" w:after="120" w:line="240" w:lineRule="auto"/>
        <w:jc w:val="both"/>
        <w:rPr>
          <w:rFonts w:cs="Times New Roman"/>
          <w:noProof/>
        </w:rPr>
      </w:pPr>
      <w:r>
        <w:rPr>
          <w:noProof/>
        </w:rPr>
        <w:t xml:space="preserve">Komponenta se sastoji od dviju reformi i sedam ulaganja. </w:t>
      </w:r>
    </w:p>
    <w:p w14:paraId="48DCCD47" w14:textId="77777777" w:rsidR="003F46B9" w:rsidRDefault="0065662E">
      <w:pPr>
        <w:pStyle w:val="P68B1DB1-Normal5"/>
        <w:spacing w:before="120" w:after="120" w:line="240" w:lineRule="auto"/>
        <w:jc w:val="both"/>
        <w:rPr>
          <w:rFonts w:cs="Times New Roman"/>
          <w:noProof/>
        </w:rPr>
      </w:pPr>
      <w:r>
        <w:rPr>
          <w:noProof/>
        </w:rPr>
        <w:t>Očekuje se da će se mjerama uključenima u komponentu odgovoriti na određene izazove istaknute u preporuci za pojedinu zemlju da se ulaganja usredotoče na zelenu i digitaln</w:t>
      </w:r>
      <w:r>
        <w:rPr>
          <w:noProof/>
        </w:rPr>
        <w:t>u tranziciju, posebno na, među ostalim, okolišnu infrastrukturu (4. preporuka za pojedinu zemlju, 2019. i 3. preporuka za pojedinu zemlju iz 2020.).</w:t>
      </w:r>
    </w:p>
    <w:p w14:paraId="44250219"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ciljevima u smislu član</w:t>
      </w:r>
      <w:r>
        <w:rPr>
          <w:noProof/>
        </w:rPr>
        <w:t>ka 17. Uredbe (EU) 2020/852, uzimajući u obzir opis mjera i korake ublažavanja utvrđene u planu za oporavak i otpornost u skladu s Tehničkim smjernicama DNSH-a (2021/C58/01).</w:t>
      </w:r>
    </w:p>
    <w:p w14:paraId="31C94AD2"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smallCaps/>
          <w:noProof/>
          <w:sz w:val="24"/>
        </w:rPr>
        <w:t xml:space="preserve">A.1. </w:t>
      </w:r>
      <w:r>
        <w:rPr>
          <w:noProof/>
        </w:rPr>
        <w:tab/>
      </w:r>
      <w:r>
        <w:rPr>
          <w:rFonts w:ascii="Times New Roman" w:hAnsi="Times New Roman"/>
          <w:b/>
          <w:smallCaps/>
          <w:noProof/>
          <w:sz w:val="24"/>
        </w:rPr>
        <w:t>Opis reformi i ulaganja za zajam</w:t>
      </w:r>
    </w:p>
    <w:p w14:paraId="436A7C6B" w14:textId="77777777" w:rsidR="003F46B9" w:rsidRDefault="0065662E">
      <w:pPr>
        <w:pStyle w:val="P68B1DB1-Standard6"/>
        <w:jc w:val="both"/>
        <w:rPr>
          <w:rFonts w:ascii="Times New Roman" w:eastAsiaTheme="majorEastAsia" w:hAnsi="Times New Roman" w:cs="Times New Roman"/>
          <w:noProof/>
        </w:rPr>
      </w:pPr>
      <w:r>
        <w:rPr>
          <w:noProof/>
        </w:rPr>
        <w:t xml:space="preserve">Reforma 1. Jačanje regulatornog okvira za </w:t>
      </w:r>
      <w:r>
        <w:rPr>
          <w:noProof/>
        </w:rPr>
        <w:t>održivo upravljanje vodnim sektorom i sektorom otpadnih voda te ubrzavanje javnog pristupa kvalitetnim uslugama u skladu s europskim direktivama</w:t>
      </w:r>
    </w:p>
    <w:p w14:paraId="1E98996E" w14:textId="77777777" w:rsidR="003F46B9" w:rsidRDefault="0065662E">
      <w:pPr>
        <w:pStyle w:val="P68B1DB1-Normal5"/>
        <w:spacing w:before="120" w:after="120" w:line="240" w:lineRule="auto"/>
        <w:jc w:val="both"/>
        <w:rPr>
          <w:rFonts w:cs="Times New Roman"/>
          <w:noProof/>
        </w:rPr>
      </w:pPr>
      <w:r>
        <w:rPr>
          <w:noProof/>
        </w:rPr>
        <w:t>Cilj je te reforme poboljšati kapacitete regionalnih operatora infrastrukture za vodu i otpadne vode te poboljš</w:t>
      </w:r>
      <w:r>
        <w:rPr>
          <w:noProof/>
        </w:rPr>
        <w:t xml:space="preserve">ati kvalitetu i učinkovitost suradnje između njih i lokalnih vlasti/udruženja za razvoj među zajednicama, vlasnika vodoopskrbne infrastrukture i infrastrukture za otpadne vode. Kako bi se to postiglo, provodi se niz zakonodavnih i regulatornih promjena: </w:t>
      </w:r>
    </w:p>
    <w:p w14:paraId="17BFF7D3" w14:textId="77777777" w:rsidR="003F46B9" w:rsidRDefault="0065662E">
      <w:pPr>
        <w:pStyle w:val="P68B1DB1-Normal5"/>
        <w:spacing w:before="120" w:after="120" w:line="240" w:lineRule="auto"/>
        <w:jc w:val="both"/>
        <w:rPr>
          <w:rFonts w:cs="Times New Roman"/>
          <w:noProof/>
        </w:rPr>
      </w:pPr>
      <w:r>
        <w:rPr>
          <w:noProof/>
        </w:rPr>
        <w:t>1</w:t>
      </w:r>
      <w:r>
        <w:rPr>
          <w:noProof/>
        </w:rPr>
        <w:t xml:space="preserve">) Izmjene Zakona br. 241/2006 o vodoopskrbi i kanalizaciji provode se kako bi se omogućilo sljedeće: </w:t>
      </w:r>
    </w:p>
    <w:p w14:paraId="761954D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Odobrenje tarifne strategije regionalnog operatera vodoopskrbe i kanalizacije na glavnoj skupštini Udruženja za međuregionalni razvoj (IDA), na temelju po</w:t>
      </w:r>
      <w:r>
        <w:rPr>
          <w:noProof/>
        </w:rPr>
        <w:t>sebnog ovlaštenja koje su dobile lokalne upravne jedinice. Tom se promjenom znatno skraćuje vrijeme potrebno za odobrenje tarifne strategije, što će omogućiti proširenje infrastrukture za vodoopskrbu i odvodnju otpadnih voda.</w:t>
      </w:r>
    </w:p>
    <w:p w14:paraId="6EE0179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Obvezati tijela lokalne javne </w:t>
      </w:r>
      <w:r>
        <w:rPr>
          <w:noProof/>
        </w:rPr>
        <w:t xml:space="preserve">uprave da vode evidenciju fizičkih i pravnih osoba koje ne ispuštaju otpadne vode u javnu kanalizacijsku mrežu i svake godine šalju popis tih osoba Nacionalnoj straži za zaštitu okoliša. </w:t>
      </w:r>
    </w:p>
    <w:p w14:paraId="60CB35D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Obvezati korisnike da se povežu na postojeće javne kanalizacijske </w:t>
      </w:r>
      <w:r>
        <w:rPr>
          <w:noProof/>
        </w:rPr>
        <w:t>sustave ako nemaju odgovarajući pojedinačni sustav prikupljanja i pročišćavanja.</w:t>
      </w:r>
    </w:p>
    <w:p w14:paraId="13430AA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Omogućiti organizaciju, prema potrebi, samo pružanja vodnih usluga, pod uvjetom da se prikupljanje otpadnih voda obavlja putem pojedinačnih sustava prikupljanja i pročišćavanj</w:t>
      </w:r>
      <w:r>
        <w:rPr>
          <w:noProof/>
        </w:rPr>
        <w:t>a kojima se osigurava jednaka razina zaštite okoliša kao centraliziranim sustavima prikupljanja i pročišćavanja.</w:t>
      </w:r>
    </w:p>
    <w:p w14:paraId="3A3DE571" w14:textId="77777777" w:rsidR="003F46B9" w:rsidRDefault="0065662E">
      <w:pPr>
        <w:pStyle w:val="P68B1DB1-Normal5"/>
        <w:numPr>
          <w:ilvl w:val="0"/>
          <w:numId w:val="2"/>
        </w:numPr>
        <w:spacing w:before="120" w:after="120" w:line="240" w:lineRule="auto"/>
        <w:ind w:left="360"/>
        <w:jc w:val="both"/>
        <w:rPr>
          <w:rFonts w:cs="Times New Roman"/>
          <w:noProof/>
        </w:rPr>
      </w:pPr>
      <w:r>
        <w:rPr>
          <w:noProof/>
        </w:rPr>
        <w:t>Osigurati iznimnu prirodu odgovarajućih pojedinačnih sustava u smislu da se tim sustavima rješavaju situacije u kojima centralizirani sustavi n</w:t>
      </w:r>
      <w:r>
        <w:rPr>
          <w:noProof/>
        </w:rPr>
        <w:t>isu tehnički i ekonomski izvedivi.</w:t>
      </w:r>
    </w:p>
    <w:p w14:paraId="02054EB0" w14:textId="77777777" w:rsidR="003F46B9" w:rsidRDefault="0065662E">
      <w:pPr>
        <w:pStyle w:val="P68B1DB1-Normal5"/>
        <w:numPr>
          <w:ilvl w:val="0"/>
          <w:numId w:val="2"/>
        </w:numPr>
        <w:spacing w:before="120" w:after="120" w:line="240" w:lineRule="auto"/>
        <w:ind w:left="360"/>
        <w:jc w:val="both"/>
        <w:rPr>
          <w:rFonts w:cs="Times New Roman"/>
          <w:noProof/>
        </w:rPr>
      </w:pPr>
      <w:r>
        <w:rPr>
          <w:noProof/>
        </w:rPr>
        <w:t>Zabraniti izravno ispuštanje nepročišćenih otpadnih voda iz odgovarajućih pojedinačnih sustava u okoliš.</w:t>
      </w:r>
    </w:p>
    <w:p w14:paraId="05FC019D" w14:textId="77777777" w:rsidR="003F46B9" w:rsidRDefault="0065662E">
      <w:pPr>
        <w:pStyle w:val="P68B1DB1-Normal5"/>
        <w:numPr>
          <w:ilvl w:val="0"/>
          <w:numId w:val="2"/>
        </w:numPr>
        <w:spacing w:before="120" w:after="120" w:line="240" w:lineRule="auto"/>
        <w:ind w:left="360"/>
        <w:jc w:val="both"/>
        <w:rPr>
          <w:rFonts w:cs="Times New Roman"/>
          <w:noProof/>
        </w:rPr>
      </w:pPr>
      <w:r>
        <w:rPr>
          <w:noProof/>
        </w:rPr>
        <w:t xml:space="preserve">Razvoj kriterija za odobravanje, izgradnju, registraciju/evidentiranje, rad i održavanje odgovarajućih pojedinačnih </w:t>
      </w:r>
      <w:r>
        <w:rPr>
          <w:noProof/>
        </w:rPr>
        <w:t>sustava.</w:t>
      </w:r>
    </w:p>
    <w:p w14:paraId="7C52BE90" w14:textId="77777777" w:rsidR="003F46B9" w:rsidRDefault="0065662E">
      <w:pPr>
        <w:pStyle w:val="P68B1DB1-Normal5"/>
        <w:spacing w:before="120" w:after="120" w:line="240" w:lineRule="auto"/>
        <w:jc w:val="both"/>
        <w:rPr>
          <w:rFonts w:cs="Times New Roman"/>
          <w:noProof/>
        </w:rPr>
      </w:pPr>
      <w:r>
        <w:rPr>
          <w:noProof/>
        </w:rPr>
        <w:t xml:space="preserve">Provedba navedene reforme mora biti dovršena do 31. prosinca 2021. </w:t>
      </w:r>
    </w:p>
    <w:p w14:paraId="725BF618" w14:textId="77777777" w:rsidR="003F46B9" w:rsidRDefault="0065662E">
      <w:pPr>
        <w:pStyle w:val="P68B1DB1-Normal5"/>
        <w:spacing w:before="120" w:after="120" w:line="240" w:lineRule="auto"/>
        <w:jc w:val="both"/>
        <w:rPr>
          <w:rFonts w:cs="Times New Roman"/>
          <w:noProof/>
        </w:rPr>
      </w:pPr>
      <w:r>
        <w:rPr>
          <w:noProof/>
        </w:rPr>
        <w:t>2. Stupanje na snagu zakona kojim se odobrava nacionalni program Prvo povezivanje s vodom i sanitarnim uvjetima, kojim se obiteljima i pojedincima s niskim primanjima (kojima je p</w:t>
      </w:r>
      <w:r>
        <w:rPr>
          <w:noProof/>
        </w:rPr>
        <w:t xml:space="preserve">rosječni mjesečni neto gotovinski dohodak manji od minimalne bruto plaće zajamčene po članu obitelji) pruža potpora za plaćanje troškova priključenja na vodoopskrbni i kanalizacijski sustav. Provedba reforme mora biti dovršena do 31. ožujka 2022. </w:t>
      </w:r>
    </w:p>
    <w:p w14:paraId="7D516933" w14:textId="77777777" w:rsidR="003F46B9" w:rsidRDefault="0065662E">
      <w:pPr>
        <w:pStyle w:val="P68B1DB1-Normal5"/>
        <w:spacing w:before="120" w:after="120" w:line="240" w:lineRule="auto"/>
        <w:jc w:val="both"/>
        <w:rPr>
          <w:rFonts w:cs="Times New Roman"/>
          <w:noProof/>
        </w:rPr>
      </w:pPr>
      <w:r>
        <w:rPr>
          <w:noProof/>
        </w:rPr>
        <w:t>Potpisiv</w:t>
      </w:r>
      <w:r>
        <w:rPr>
          <w:noProof/>
        </w:rPr>
        <w:t xml:space="preserve">anje sporazuma o provedbi između Uprave za Fond za zaštitu okoliša i lokalnih tijela koja sudjeluju u programu Prvog povezivanja na vodu i sanitarne uvjete. Sporazumi se moraju dovršiti do 31. prosinca 2022. </w:t>
      </w:r>
    </w:p>
    <w:p w14:paraId="52CE4C87" w14:textId="77777777" w:rsidR="003F46B9" w:rsidRDefault="0065662E">
      <w:pPr>
        <w:pStyle w:val="P68B1DB1-Standard6"/>
        <w:spacing w:before="240"/>
        <w:jc w:val="both"/>
        <w:rPr>
          <w:rFonts w:ascii="Times New Roman" w:eastAsiaTheme="majorEastAsia" w:hAnsi="Times New Roman" w:cs="Times New Roman"/>
          <w:noProof/>
        </w:rPr>
      </w:pPr>
      <w:r>
        <w:rPr>
          <w:noProof/>
        </w:rPr>
        <w:t>Reforma. 2 Rekonfiguracija postojećeg gospodars</w:t>
      </w:r>
      <w:r>
        <w:rPr>
          <w:noProof/>
        </w:rPr>
        <w:t>kog mehanizma Nacionalne uprave za vode (ANAR) kako bi se osigurala modernizacija i održavanje nacionalnog sustava upravljanja vodama te pravilna provedba Okvirne direktive o vodama i Direktive o poplavama</w:t>
      </w:r>
    </w:p>
    <w:p w14:paraId="1C3E83F9" w14:textId="77777777" w:rsidR="003F46B9" w:rsidRDefault="0065662E">
      <w:pPr>
        <w:pStyle w:val="P68B1DB1-Normal5"/>
        <w:spacing w:before="120" w:after="120" w:line="240" w:lineRule="auto"/>
        <w:jc w:val="both"/>
        <w:rPr>
          <w:rFonts w:cs="Times New Roman"/>
          <w:noProof/>
        </w:rPr>
      </w:pPr>
      <w:r>
        <w:rPr>
          <w:noProof/>
        </w:rPr>
        <w:t>Cilj je reforme osigurati modernizaciju i održavan</w:t>
      </w:r>
      <w:r>
        <w:rPr>
          <w:noProof/>
        </w:rPr>
        <w:t xml:space="preserve">je nacionalnog sustava upravljanja vodama i pravilnu provedbu Direktive 2000/60/EZ (Okvirna direktiva o vodama) i Direktive 2007/60/EZ (Direktiva o poplavama) te osigurati najučinkovitije upravljanje troškovima na razini ANAR-a. </w:t>
      </w:r>
    </w:p>
    <w:p w14:paraId="6F4B28F7" w14:textId="77777777" w:rsidR="003F46B9" w:rsidRDefault="0065662E">
      <w:pPr>
        <w:pStyle w:val="P68B1DB1-Normal5"/>
        <w:spacing w:before="120" w:after="120" w:line="240" w:lineRule="auto"/>
        <w:jc w:val="both"/>
        <w:rPr>
          <w:rFonts w:cs="Times New Roman"/>
          <w:noProof/>
        </w:rPr>
      </w:pPr>
      <w:r>
        <w:rPr>
          <w:noProof/>
        </w:rPr>
        <w:t>Kako bi se to postiglo, pr</w:t>
      </w:r>
      <w:r>
        <w:rPr>
          <w:noProof/>
        </w:rPr>
        <w:t>ovodit će se novi gospodarski mehanizam koji će ANAR-u omogućiti da na najbolji način zadovolji potrebe potrošača, uključujući poboljšanjem povezanosti zadaća i strukture osoblja, provođenjem potrebnih studija za 11 riječnih slivova u Rumunjskoj, koje obuh</w:t>
      </w:r>
      <w:r>
        <w:rPr>
          <w:noProof/>
        </w:rPr>
        <w:t>vaćaju: i. gospodarsku važnost održivog upravljanja vodama i njezine uporabe; ii. kretanja u razvoju potreba za vodom i količine vode prikupljene na razini riječnog sliva/područja; i iii. srednjoročni i dugoročni makroekonomski pokazatelji i optimalni meha</w:t>
      </w:r>
      <w:r>
        <w:rPr>
          <w:noProof/>
        </w:rPr>
        <w:t xml:space="preserve">nizam pokrivanja troškova za količine vode koje ANAR osigurava korisnicima vodnih resursa u skladu sa zahtjevima za ekološki protok. </w:t>
      </w:r>
    </w:p>
    <w:p w14:paraId="251D37B1" w14:textId="77777777" w:rsidR="003F46B9" w:rsidRDefault="0065662E">
      <w:pPr>
        <w:pStyle w:val="P68B1DB1-Normal5"/>
        <w:spacing w:before="120" w:after="120" w:line="240" w:lineRule="auto"/>
        <w:jc w:val="both"/>
        <w:rPr>
          <w:rFonts w:cs="Times New Roman"/>
          <w:noProof/>
        </w:rPr>
      </w:pPr>
      <w:r>
        <w:rPr>
          <w:noProof/>
        </w:rPr>
        <w:t>Na temelju tih studija donose se zakonodavne izmjene Zakona o vodama br. 107/1996 kako bi se regulirao novi gospodarski me</w:t>
      </w:r>
      <w:r>
        <w:rPr>
          <w:noProof/>
        </w:rPr>
        <w:t xml:space="preserve">hanizam za vodne resurse u Rumunjskoj. </w:t>
      </w:r>
    </w:p>
    <w:p w14:paraId="4A09802E" w14:textId="77777777" w:rsidR="003F46B9" w:rsidRDefault="0065662E">
      <w:pPr>
        <w:pStyle w:val="P68B1DB1-Normal5"/>
        <w:spacing w:before="120" w:after="120" w:line="240" w:lineRule="auto"/>
        <w:jc w:val="both"/>
        <w:rPr>
          <w:rFonts w:cs="Times New Roman"/>
          <w:noProof/>
        </w:rPr>
      </w:pPr>
      <w:r>
        <w:rPr>
          <w:noProof/>
        </w:rPr>
        <w:t xml:space="preserve">Provedba reforme mora biti dovršena do 30. rujna 2024. </w:t>
      </w:r>
    </w:p>
    <w:p w14:paraId="4383C902" w14:textId="77777777" w:rsidR="003F46B9" w:rsidRDefault="0065662E">
      <w:pPr>
        <w:pStyle w:val="P68B1DB1-Normal5"/>
        <w:spacing w:before="120" w:after="120" w:line="240" w:lineRule="auto"/>
        <w:jc w:val="both"/>
        <w:rPr>
          <w:rFonts w:cs="Times New Roman"/>
          <w:noProof/>
        </w:rPr>
      </w:pPr>
      <w:r>
        <w:rPr>
          <w:noProof/>
        </w:rPr>
        <w:t>Reforma 1 popraćena je trima ulaganjima – ulaganja 1, 2 i 3.</w:t>
      </w:r>
    </w:p>
    <w:p w14:paraId="0A37501D" w14:textId="77777777" w:rsidR="003F46B9" w:rsidRDefault="0065662E">
      <w:pPr>
        <w:rPr>
          <w:rFonts w:ascii="Times New Roman" w:hAnsi="Times New Roman" w:cs="Times New Roman"/>
          <w:noProof/>
          <w:sz w:val="24"/>
        </w:rPr>
      </w:pPr>
      <w:r>
        <w:rPr>
          <w:noProof/>
        </w:rPr>
        <w:br w:type="page"/>
      </w:r>
    </w:p>
    <w:p w14:paraId="647A95A8"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Proširenje vodoopskrbnih i kanalizacijskih sustava u aglomeracijama s ekvivalentom st</w:t>
      </w:r>
      <w:r>
        <w:rPr>
          <w:noProof/>
        </w:rPr>
        <w:t>anovnika većim od 2000, što je prioritet u ubrzanom planu za usklađivanje s europskim direktivama</w:t>
      </w:r>
    </w:p>
    <w:p w14:paraId="760DDBF0" w14:textId="77777777" w:rsidR="003F46B9" w:rsidRDefault="0065662E">
      <w:pPr>
        <w:pStyle w:val="P68B1DB1-Normal5"/>
        <w:spacing w:before="120" w:after="120" w:line="240" w:lineRule="auto"/>
        <w:jc w:val="both"/>
        <w:rPr>
          <w:rFonts w:cs="Times New Roman"/>
          <w:noProof/>
        </w:rPr>
      </w:pPr>
      <w:r>
        <w:rPr>
          <w:noProof/>
        </w:rPr>
        <w:t>Cilj je tog ulaganja proširiti pokrivenost sustava za prikupljanje vode i otpadnih voda u općinama s više od 2000 stanovnika, što je prioritet Plana za ubrzav</w:t>
      </w:r>
      <w:r>
        <w:rPr>
          <w:noProof/>
        </w:rPr>
        <w:t xml:space="preserve">anje usklađenosti s europskim direktivama. </w:t>
      </w:r>
    </w:p>
    <w:p w14:paraId="11BE12FA" w14:textId="59F71AD7" w:rsidR="003F46B9" w:rsidRDefault="0065662E">
      <w:pPr>
        <w:pStyle w:val="P68B1DB1-Normal5"/>
        <w:spacing w:before="120" w:after="120" w:line="240" w:lineRule="auto"/>
        <w:jc w:val="both"/>
        <w:rPr>
          <w:rFonts w:cs="Times New Roman"/>
          <w:noProof/>
        </w:rPr>
      </w:pPr>
      <w:r>
        <w:rPr>
          <w:noProof/>
        </w:rPr>
        <w:t>Kao rezultat ulaganja izgradit će se ukupno 1 282 km vodoopskrbnih mreža i najmanje 2 003 km kanalizacijske mreže u aglomeracijama s više od 2000 ekvivalenata stanovnika (l.e), što je prioritet u ubrzanom planu z</w:t>
      </w:r>
      <w:r>
        <w:rPr>
          <w:noProof/>
        </w:rPr>
        <w:t xml:space="preserve">a usklađivanje s europskim direktivama i u skladu s izmjenama Zakona br. 241/2006 donesenima u okviru reforme 1. </w:t>
      </w:r>
    </w:p>
    <w:p w14:paraId="5AFC7AC4"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091D2BC2"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Prikupljanje otpadnih voda u aglomeracijama s manje od 2000 stanovnika ko</w:t>
      </w:r>
      <w:r>
        <w:rPr>
          <w:noProof/>
        </w:rPr>
        <w:t>je sprečavaju postizanje dobrog stanja vodnih tijela i/ili utječu na prirodna zaštićena područja</w:t>
      </w:r>
    </w:p>
    <w:p w14:paraId="1644A19D" w14:textId="4FC380C9" w:rsidR="003F46B9" w:rsidRDefault="0065662E">
      <w:pPr>
        <w:pStyle w:val="P68B1DB1-Normal5"/>
        <w:spacing w:before="120" w:after="120" w:line="240" w:lineRule="auto"/>
        <w:jc w:val="both"/>
        <w:rPr>
          <w:rFonts w:cs="Times New Roman"/>
          <w:noProof/>
        </w:rPr>
      </w:pPr>
      <w:r>
        <w:rPr>
          <w:noProof/>
        </w:rPr>
        <w:t>Cilj je ulaganja izgradnja pojedinačnih sustava ili drugih odgovarajućih (zajedničkih) sustava za prikupljanje otpadnih voda u aglomeracijama manjima od 2000 s</w:t>
      </w:r>
      <w:r>
        <w:rPr>
          <w:noProof/>
        </w:rPr>
        <w:t>tanovnika.</w:t>
      </w:r>
    </w:p>
    <w:p w14:paraId="6D00D8E9" w14:textId="62A5EBA8" w:rsidR="003F46B9" w:rsidRDefault="0065662E">
      <w:pPr>
        <w:pStyle w:val="P68B1DB1-Normal5"/>
        <w:spacing w:before="120" w:after="120" w:line="240" w:lineRule="auto"/>
        <w:jc w:val="both"/>
        <w:rPr>
          <w:rFonts w:cs="Times New Roman"/>
          <w:noProof/>
        </w:rPr>
      </w:pPr>
      <w:r>
        <w:rPr>
          <w:noProof/>
        </w:rPr>
        <w:t>Kao rezultat ulaganja izgradit će se i pustiti u rad najmanje 12900 pojedinačnih ili drugih odgovarajućih sustava i ukupno najmanje 320 km kanalizacijske mreže. Ulaganje započinje tek nakon odobrenja zakonodavnih izmjena odgovarajućih pojedinačn</w:t>
      </w:r>
      <w:r>
        <w:rPr>
          <w:noProof/>
        </w:rPr>
        <w:t xml:space="preserve">ih sustava (Reforma 1) i stupanja na snagu zakonodavnog akta kojim se odobrava Nacionalni program za prvo priključenje na vodoopskrbne i kanalizacijske mreže (Reforma 1) i mora biti u skladu s izmjenama Zakona br. 241/2006 donesenima u okviru reforme 1. </w:t>
      </w:r>
    </w:p>
    <w:p w14:paraId="08E0D1DD" w14:textId="77777777" w:rsidR="003F46B9" w:rsidRDefault="0065662E">
      <w:pPr>
        <w:pStyle w:val="P68B1DB1-Normal5"/>
        <w:spacing w:before="120" w:after="120" w:line="240" w:lineRule="auto"/>
        <w:jc w:val="both"/>
        <w:rPr>
          <w:rFonts w:cs="Times New Roman"/>
          <w:noProof/>
        </w:rPr>
      </w:pPr>
      <w:r>
        <w:rPr>
          <w:noProof/>
        </w:rPr>
        <w:t>P</w:t>
      </w:r>
      <w:r>
        <w:rPr>
          <w:noProof/>
        </w:rPr>
        <w:t xml:space="preserve">rovedba ulaganja mora biti dovršena do 30. lipnja 2026. </w:t>
      </w:r>
    </w:p>
    <w:p w14:paraId="62B73CC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3. Potpora povezivanju stanovništva s niskim prihodima na postojeće vodovodne i kanalizacijske mreže</w:t>
      </w:r>
    </w:p>
    <w:p w14:paraId="47A6D80E" w14:textId="77777777" w:rsidR="003F46B9" w:rsidRDefault="0065662E">
      <w:pPr>
        <w:pStyle w:val="P68B1DB1-Normal5"/>
        <w:spacing w:before="120" w:after="120" w:line="240" w:lineRule="auto"/>
        <w:jc w:val="both"/>
        <w:rPr>
          <w:rFonts w:cs="Times New Roman"/>
          <w:noProof/>
        </w:rPr>
      </w:pPr>
      <w:r>
        <w:rPr>
          <w:noProof/>
        </w:rPr>
        <w:t>Cilj je ulaganja pružiti potporu obiteljima i samcima s niskim primanjima (kojima je pros</w:t>
      </w:r>
      <w:r>
        <w:rPr>
          <w:noProof/>
        </w:rPr>
        <w:t>ječni mjesečni neto gotovinski dohodak manji od minimalne bruto nacionalne plaće zajamčene po članu obitelji) kako bi se pokrili troškovi priključenja na javni sustav vodoopskrbe i odvodnje.</w:t>
      </w:r>
    </w:p>
    <w:p w14:paraId="6A954D96" w14:textId="7C7D53F1" w:rsidR="003F46B9" w:rsidRDefault="0065662E">
      <w:pPr>
        <w:pStyle w:val="P68B1DB1-Normal5"/>
        <w:spacing w:before="120" w:after="120" w:line="240" w:lineRule="auto"/>
        <w:jc w:val="both"/>
        <w:rPr>
          <w:rFonts w:cs="Times New Roman"/>
          <w:noProof/>
        </w:rPr>
      </w:pPr>
      <w:r>
        <w:rPr>
          <w:noProof/>
        </w:rPr>
        <w:t>Kao rezultat ulaganja, najmanje 70851 dodatnih kućanstava priklju</w:t>
      </w:r>
      <w:r>
        <w:rPr>
          <w:noProof/>
        </w:rPr>
        <w:t>čuje se na vodoopskrbu i kanalizaciju putem Nacionalnog programa Prvog povezivanja s vodom i odvodnje, donesenog u okviru reforme 1. Ulaganje provode lokalna tijela preko javnih operatora vodoopskrbe i kanalizacije koji upravljaju planiranim građevinskim s</w:t>
      </w:r>
      <w:r>
        <w:rPr>
          <w:noProof/>
        </w:rPr>
        <w:t xml:space="preserve">ustavima. Ulaganjem se financiraju troškovi nastali i opravdani u skladu sa zakonskim odredbama od strane javnih naručitelja bez premašivanja razine od 2 371 EUR po povezanom kućanstvu. </w:t>
      </w:r>
    </w:p>
    <w:p w14:paraId="7C5BBC2A"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lipnja 2026. </w:t>
      </w:r>
    </w:p>
    <w:p w14:paraId="27C90F3C"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4.</w:t>
      </w:r>
      <w:r>
        <w:rPr>
          <w:noProof/>
        </w:rPr>
        <w:t xml:space="preserve"> Prilagodba klimatskim promjenama automatizacijom i digitalizacijom opreme za odlaganje i skladištenje vode postojeće akumulacije kako bi se osigurao ekološki protok i povećala sigurnost opskrbe stanovništva vodom te smanjio rizik od poplava</w:t>
      </w:r>
    </w:p>
    <w:p w14:paraId="6FDF210B" w14:textId="77777777" w:rsidR="003F46B9" w:rsidRDefault="0065662E">
      <w:pPr>
        <w:pStyle w:val="P68B1DB1-Normal5"/>
        <w:spacing w:before="120" w:after="120" w:line="240" w:lineRule="auto"/>
        <w:jc w:val="both"/>
        <w:rPr>
          <w:rFonts w:cs="Times New Roman"/>
          <w:noProof/>
        </w:rPr>
      </w:pPr>
      <w:r>
        <w:rPr>
          <w:noProof/>
        </w:rPr>
        <w:t>Ulaganje se sa</w:t>
      </w:r>
      <w:r>
        <w:rPr>
          <w:noProof/>
        </w:rPr>
        <w:t xml:space="preserve">stoji od dva podulaganja: (1) rehabilitacija postojećih obrambenih linija u skladu s Direktivom o poplavama i Nacionalnom strategijom za upravljanje rizicima od poplava; i 2. rehabilitacija postojećih akumulacija za koje postoji rizik od kolapsa. </w:t>
      </w:r>
    </w:p>
    <w:p w14:paraId="59F353FA" w14:textId="6ADE8182" w:rsidR="003F46B9" w:rsidRDefault="0065662E">
      <w:pPr>
        <w:pStyle w:val="P68B1DB1-Normal5"/>
        <w:spacing w:before="120" w:after="120" w:line="240" w:lineRule="auto"/>
        <w:jc w:val="both"/>
        <w:rPr>
          <w:rFonts w:cs="Times New Roman"/>
          <w:noProof/>
        </w:rPr>
      </w:pPr>
      <w:r>
        <w:rPr>
          <w:noProof/>
        </w:rPr>
        <w:t>Cilj je prvog podulaganja obnoviti postojeće linije za obranu od poplava. Kao rezultat tog podulaganja, ukupno najmanje 408 km linija za obranu od poplava mora se obnoviti u skladu s Direktivom o poplavama i Nacionalnom strategijom za upravljanje poplavnim</w:t>
      </w:r>
      <w:r>
        <w:rPr>
          <w:noProof/>
        </w:rPr>
        <w:t xml:space="preserve"> rizicima. U okviru radova sanacije prednost se daje područjima na temelju planova prevencije i zaštite te ublažavanja poplava, a sastoje se od nadjeva iz lokalnog materijala izvađenog iz područja nasipa, nakon čega slijede travnati pokrivači. </w:t>
      </w:r>
    </w:p>
    <w:p w14:paraId="408B7965" w14:textId="77777777" w:rsidR="003F46B9" w:rsidRDefault="0065662E">
      <w:pPr>
        <w:pStyle w:val="P68B1DB1-Normal5"/>
        <w:spacing w:before="120" w:after="120" w:line="240" w:lineRule="auto"/>
        <w:jc w:val="both"/>
        <w:rPr>
          <w:rFonts w:cs="Times New Roman"/>
          <w:noProof/>
        </w:rPr>
      </w:pPr>
      <w:r>
        <w:rPr>
          <w:noProof/>
        </w:rPr>
        <w:t>Provedba po</w:t>
      </w:r>
      <w:r>
        <w:rPr>
          <w:noProof/>
        </w:rPr>
        <w:t>dulaganja mora biti dovršena do 31. ožujka 2026.</w:t>
      </w:r>
    </w:p>
    <w:p w14:paraId="034BF429" w14:textId="06571FF5" w:rsidR="003F46B9" w:rsidRDefault="0065662E">
      <w:pPr>
        <w:pStyle w:val="P68B1DB1-Normal5"/>
        <w:spacing w:before="120" w:after="120" w:line="240" w:lineRule="auto"/>
        <w:jc w:val="both"/>
        <w:rPr>
          <w:rFonts w:cs="Times New Roman"/>
          <w:noProof/>
        </w:rPr>
      </w:pPr>
      <w:r>
        <w:rPr>
          <w:noProof/>
        </w:rPr>
        <w:t>Cilj drugog podulaganja jest popravak i obnova oštećenih brana i polera za sprečavanje poplava na postojećim linijama za obranu od poplava kako bi se obnovili i održali njihovi kapaciteti za sprečavanje popl</w:t>
      </w:r>
      <w:r>
        <w:rPr>
          <w:noProof/>
        </w:rPr>
        <w:t>ava. Podulaganje se provodi donošenjem, do 30. lipnja 2023., projekata za sanaciju 13 postojećih brana za koje ne postoje izvedive alternative za smanjenje rizika od poplava. Na temelju tih projekata obnavlja se 13 postojećih brana za koje je u revidiranim</w:t>
      </w:r>
      <w:r>
        <w:rPr>
          <w:noProof/>
        </w:rPr>
        <w:t xml:space="preserve"> studijama izvedivosti zaključeno da ne postoje izvedive alternative za smanjenje rizika od poplava. Sanacija se provodi u skladu sa zahtjevima utvrđenima u studijama izvedivosti i nacrtima projekata te se u potpunosti poštuju rezultati i uvjeti utvrđeni s</w:t>
      </w:r>
      <w:r>
        <w:rPr>
          <w:noProof/>
        </w:rPr>
        <w:t>veobuhvatnom i kumulativnom procjenom utjecaja na okoliš koja je dovršena u skladu s Direktivom 2011/92/EU (Direktiva o procjeni utjecaja na okoliš), kao i relevantne procjene u kontekstu Direktive 2000/60/EZ (Okvirna direktiva o vodama) i ocjene prihvatlj</w:t>
      </w:r>
      <w:r>
        <w:rPr>
          <w:noProof/>
        </w:rPr>
        <w:t>ivosti u skladu s Direktivom 92/43/EEZ (Direktiva o staništima), uključujući provedbu potrebnih mjera ublažavanja. Dobro ekološko stanje/potencijal relevantnih vodnih tijela u skladu sa zahtjevima Okvirne direktive o vodama postiže se i dokazuje najnovijim</w:t>
      </w:r>
      <w:r>
        <w:rPr>
          <w:noProof/>
        </w:rPr>
        <w:t xml:space="preserve"> relevantnim popratnim podacima te se izbjegava svako pogoršanje. Kad je riječ o polderima za sprečavanje poplava, tim će se ulaganjem obnoviti ili uvesti 13 polera za sprečavanje poplava na postojećim linijama za obranu od poplava.</w:t>
      </w:r>
    </w:p>
    <w:p w14:paraId="023673D2" w14:textId="77777777" w:rsidR="003F46B9" w:rsidRDefault="0065662E">
      <w:pPr>
        <w:pStyle w:val="P68B1DB1-Normal5"/>
        <w:spacing w:before="120" w:after="120" w:line="240" w:lineRule="auto"/>
        <w:jc w:val="both"/>
        <w:rPr>
          <w:rFonts w:cs="Times New Roman"/>
          <w:noProof/>
        </w:rPr>
      </w:pPr>
      <w:r>
        <w:rPr>
          <w:noProof/>
        </w:rPr>
        <w:t>Provedba podulaganja mo</w:t>
      </w:r>
      <w:r>
        <w:rPr>
          <w:noProof/>
        </w:rPr>
        <w:t xml:space="preserve">ra biti dovršena do 31. ožujka 2026. </w:t>
      </w:r>
    </w:p>
    <w:p w14:paraId="4140B653"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Odgovarajuća sredstva uprava riječnih slivova za praćenje poplava, sprečavanje poplava i odgovor na hitne situacije</w:t>
      </w:r>
    </w:p>
    <w:p w14:paraId="64E550B7" w14:textId="77777777" w:rsidR="003F46B9" w:rsidRDefault="0065662E">
      <w:pPr>
        <w:pStyle w:val="P68B1DB1-Normal5"/>
        <w:spacing w:before="120" w:after="120" w:line="240" w:lineRule="auto"/>
        <w:jc w:val="both"/>
        <w:rPr>
          <w:rFonts w:cs="Times New Roman"/>
          <w:noProof/>
        </w:rPr>
      </w:pPr>
      <w:r>
        <w:rPr>
          <w:noProof/>
        </w:rPr>
        <w:t>Cilj je ulaganja opremiti upravu ANAR-a/basina potrebnim strojevima i opremom za intervenc</w:t>
      </w:r>
      <w:r>
        <w:rPr>
          <w:noProof/>
        </w:rPr>
        <w:t xml:space="preserve">iju kako bi se ublažili učinci ekstremnih vremenskih uvjeta. </w:t>
      </w:r>
    </w:p>
    <w:p w14:paraId="6429C283" w14:textId="77777777" w:rsidR="003F46B9" w:rsidRDefault="0065662E">
      <w:pPr>
        <w:pStyle w:val="P68B1DB1-Normal5"/>
        <w:spacing w:before="120" w:after="120" w:line="240" w:lineRule="auto"/>
        <w:jc w:val="both"/>
        <w:rPr>
          <w:rFonts w:cs="Times New Roman"/>
          <w:noProof/>
        </w:rPr>
      </w:pPr>
      <w:r>
        <w:rPr>
          <w:noProof/>
        </w:rPr>
        <w:t>Kao rezultat ulaganja 11 uprava za riječne slivove mora biti opremljeno strojevima za pristup i intervenciju na otvorenom terenu, amfibijski pristup i prijevoz pokretnih pješčanih vrećica/bicika</w:t>
      </w:r>
      <w:r>
        <w:rPr>
          <w:noProof/>
        </w:rPr>
        <w:t xml:space="preserve">la u teško dostupnim područjima; bespilotne letjelice opremljene senzorima LIDAR/Flir/fotogrammetrije; geoelektroničke resistivne/geo radarske tehnologije tijela nasipa te hardversku i softversku infrastrukturu za analizu i pohranu podataka koje prikuplja </w:t>
      </w:r>
      <w:r>
        <w:rPr>
          <w:noProof/>
        </w:rPr>
        <w:t xml:space="preserve">navedena oprema kako bi se poduprlo i poboljšalo sprečavanje poplava i odgovor na hitne situacije. </w:t>
      </w:r>
    </w:p>
    <w:p w14:paraId="523B156D" w14:textId="45D9C31D" w:rsidR="003F46B9" w:rsidRDefault="0065662E">
      <w:pPr>
        <w:pStyle w:val="P68B1DB1-Normal5"/>
        <w:spacing w:before="120" w:after="120" w:line="240" w:lineRule="auto"/>
        <w:jc w:val="both"/>
        <w:rPr>
          <w:rFonts w:cs="Times New Roman"/>
          <w:noProof/>
        </w:rPr>
      </w:pPr>
      <w:r>
        <w:rPr>
          <w:noProof/>
        </w:rPr>
        <w:t>Očekuje se da se tom mjerom ne nanosi znatna šteta okolišnim ciljevima u smislu članka 17. Uredbe (EU) 2020/852, uzimajući u obzir opis mjere i korake ublaž</w:t>
      </w:r>
      <w:r>
        <w:rPr>
          <w:noProof/>
        </w:rPr>
        <w:t>avanja utvrđene u planu za oporavak i otpornost u skladu s Tehničkim smjernicama DNSH-a (2021/C58/01). Konkretno, vozila koja se kupuju, ako postoje, moraju imati specifične emisije CO2, kako su definirane u članku 3. stavku 1. točki (h) Uredbe (EU) 2019/6</w:t>
      </w:r>
      <w:r>
        <w:rPr>
          <w:noProof/>
        </w:rPr>
        <w:t xml:space="preserve">31, koje su niže od 50 g CO2/km. </w:t>
      </w:r>
    </w:p>
    <w:p w14:paraId="383F4C79" w14:textId="15C90FCB" w:rsidR="003F46B9" w:rsidRDefault="0065662E">
      <w:pPr>
        <w:pStyle w:val="P68B1DB1-Normal5"/>
        <w:spacing w:before="120" w:after="120" w:line="240" w:lineRule="auto"/>
        <w:jc w:val="both"/>
        <w:rPr>
          <w:rFonts w:cs="Times New Roman"/>
          <w:noProof/>
        </w:rPr>
      </w:pPr>
      <w:r>
        <w:rPr>
          <w:noProof/>
        </w:rPr>
        <w:t xml:space="preserve">Provedba ulaganja mora biti dovršena do 31. prosinca 2024. </w:t>
      </w:r>
    </w:p>
    <w:p w14:paraId="5DAB6C7B" w14:textId="77777777" w:rsidR="003F46B9" w:rsidRDefault="0065662E">
      <w:pPr>
        <w:rPr>
          <w:rFonts w:ascii="Times New Roman" w:hAnsi="Times New Roman" w:cs="Times New Roman"/>
          <w:noProof/>
          <w:sz w:val="24"/>
        </w:rPr>
      </w:pPr>
      <w:r>
        <w:rPr>
          <w:noProof/>
        </w:rPr>
        <w:br w:type="page"/>
      </w:r>
    </w:p>
    <w:p w14:paraId="64E597EC"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6. Provedba katastra vode</w:t>
      </w:r>
    </w:p>
    <w:p w14:paraId="69C904D2" w14:textId="77777777" w:rsidR="003F46B9" w:rsidRDefault="0065662E">
      <w:pPr>
        <w:pStyle w:val="P68B1DB1-Normal5"/>
        <w:spacing w:before="120" w:after="120" w:line="240" w:lineRule="auto"/>
        <w:jc w:val="both"/>
        <w:rPr>
          <w:rFonts w:cs="Times New Roman"/>
          <w:noProof/>
        </w:rPr>
      </w:pPr>
      <w:r>
        <w:rPr>
          <w:noProof/>
        </w:rPr>
        <w:t>Cilj je ulaganja osigurati brzo razgraničenje manjih vodotoka primjenom tehnika za tumačenje i obradu poluautomatskih satelit</w:t>
      </w:r>
      <w:r>
        <w:rPr>
          <w:noProof/>
        </w:rPr>
        <w:t>skih informacija dostupnih na globalnoj i europskoj razini za otprilike 70 % duljine katastarskih vodotoka, određivanje poluautomatskih metoda hidromorfoloških aktivnih područja (erozija/sedimentacija) za potporu provedbi Okvirne direktive o vodama i kriti</w:t>
      </w:r>
      <w:r>
        <w:rPr>
          <w:noProof/>
        </w:rPr>
        <w:t xml:space="preserve">čnih točaka longitudinalne infrastrukture vodotoka (dam, oprema s kopna) kako bi se dala prednost provedbi Direktive o poplavama. </w:t>
      </w:r>
    </w:p>
    <w:p w14:paraId="0FBB6235" w14:textId="77777777" w:rsidR="003F46B9" w:rsidRDefault="0065662E">
      <w:pPr>
        <w:pStyle w:val="P68B1DB1-Normal5"/>
        <w:spacing w:before="120" w:after="120" w:line="240" w:lineRule="auto"/>
        <w:jc w:val="both"/>
        <w:rPr>
          <w:rFonts w:cs="Times New Roman"/>
          <w:noProof/>
        </w:rPr>
      </w:pPr>
      <w:r>
        <w:rPr>
          <w:noProof/>
        </w:rPr>
        <w:t>Katastar vode razvija se i operacionalizira i. nabavom digitalnog modela terena (DTM)/digitalnog modela površine (DSM) na nac</w:t>
      </w:r>
      <w:r>
        <w:rPr>
          <w:noProof/>
        </w:rPr>
        <w:t xml:space="preserve">ionalnoj razini, na temelju satelitskih informacija koje se stavljaju na raspolaganje svim državnim tijelima; ii. razvoj softvera za određivanje modifikacije korita rijeka (proces erozije sedimentacije), praćenje vađenja šljunka i potencijala sklizišta na </w:t>
      </w:r>
      <w:r>
        <w:rPr>
          <w:noProof/>
        </w:rPr>
        <w:t>područjima kompleta brana i jezera; poluautomatska digitalizacija i razgraničenje manjih riječnih dna na temelju ortofotofotografije DTM/DSM i satelitskih snimaka.</w:t>
      </w:r>
    </w:p>
    <w:p w14:paraId="52FB55FE"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31. prosinca 2025. </w:t>
      </w:r>
    </w:p>
    <w:p w14:paraId="38E7F4C9"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7. Proširenje nacionalne p</w:t>
      </w:r>
      <w:r>
        <w:rPr>
          <w:noProof/>
        </w:rPr>
        <w:t>romatračke mreže nacionalnog integriranog meteorološkog sustava (SIMIN)</w:t>
      </w:r>
    </w:p>
    <w:p w14:paraId="661780B8" w14:textId="77777777" w:rsidR="003F46B9" w:rsidRDefault="0065662E">
      <w:pPr>
        <w:pStyle w:val="P68B1DB1-Normal5"/>
        <w:spacing w:before="120" w:after="120" w:line="240" w:lineRule="auto"/>
        <w:jc w:val="both"/>
        <w:rPr>
          <w:rFonts w:cs="Times New Roman"/>
          <w:noProof/>
        </w:rPr>
      </w:pPr>
      <w:r>
        <w:rPr>
          <w:noProof/>
        </w:rPr>
        <w:t>Cilj je tog ulaganja povećati kapacitet za predviđanje teških vremenskih pojava (slanje snijega) i time smanjiti ili spriječiti njihove negativne učinke. To se postiže proširenjem nacionalne mreže promatranja u okviru nacionalnog integriranog meteorološkog</w:t>
      </w:r>
      <w:r>
        <w:rPr>
          <w:noProof/>
        </w:rPr>
        <w:t xml:space="preserve"> sustava (SIMIN) s automatskim i autonomnim površinskim meteorološkim postajama i agrometeorološkim postajama. </w:t>
      </w:r>
    </w:p>
    <w:p w14:paraId="7A45FA57" w14:textId="77777777" w:rsidR="003F46B9" w:rsidRDefault="0065662E">
      <w:pPr>
        <w:pStyle w:val="P68B1DB1-Normal5"/>
        <w:spacing w:before="120" w:after="120" w:line="240" w:lineRule="auto"/>
        <w:jc w:val="both"/>
        <w:rPr>
          <w:rFonts w:cs="Times New Roman"/>
          <w:noProof/>
        </w:rPr>
      </w:pPr>
      <w:r>
        <w:rPr>
          <w:noProof/>
        </w:rPr>
        <w:t>Kao rezultat tog ulaganja nabavlja se 300 automatskih i autonomnih površinskih meteoroloških postaja i 100 agrometeoroloških postaja koje će bit</w:t>
      </w:r>
      <w:r>
        <w:rPr>
          <w:noProof/>
        </w:rPr>
        <w:t>i operativne do 31. prosinca 2025. Osim toga, informacijska i komunikacijska tehnologija za integraciju dodatnih meteoroloških postaja u nacionalni integrirani meteorološki sustav (SIMIN) mora biti operativna do 30. lipnja 2026.</w:t>
      </w:r>
    </w:p>
    <w:p w14:paraId="3D18D682" w14:textId="77777777" w:rsidR="003F46B9" w:rsidRDefault="0065662E">
      <w:pPr>
        <w:pStyle w:val="P68B1DB1-Normal5"/>
        <w:spacing w:before="120" w:after="120" w:line="240" w:lineRule="auto"/>
        <w:jc w:val="both"/>
        <w:rPr>
          <w:rFonts w:cs="Times New Roman"/>
          <w:noProof/>
        </w:rPr>
      </w:pPr>
      <w:r>
        <w:rPr>
          <w:noProof/>
        </w:rPr>
        <w:t>Provedba ulaganja mora biti</w:t>
      </w:r>
      <w:r>
        <w:rPr>
          <w:noProof/>
        </w:rPr>
        <w:t xml:space="preserve"> dovršena do 30. lipnja 2026. </w:t>
      </w:r>
    </w:p>
    <w:p w14:paraId="29D6B04F" w14:textId="77777777" w:rsidR="003F46B9" w:rsidRDefault="0065662E">
      <w:pPr>
        <w:pStyle w:val="P68B1DB1-Normal5"/>
        <w:spacing w:before="120" w:after="120" w:line="240" w:lineRule="auto"/>
        <w:jc w:val="both"/>
        <w:rPr>
          <w:rFonts w:cs="Times New Roman"/>
          <w:noProof/>
        </w:rPr>
      </w:pPr>
      <w:r>
        <w:rPr>
          <w:noProof/>
        </w:rPr>
        <w:t xml:space="preserve"> </w:t>
      </w:r>
    </w:p>
    <w:p w14:paraId="02EB378F"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24"/>
          <w:headerReference w:type="default" r:id="rId25"/>
          <w:footerReference w:type="even" r:id="rId26"/>
          <w:footerReference w:type="default" r:id="rId27"/>
          <w:headerReference w:type="first" r:id="rId28"/>
          <w:footerReference w:type="first" r:id="rId29"/>
          <w:type w:val="continuous"/>
          <w:pgSz w:w="11907" w:h="16839"/>
          <w:pgMar w:top="1134" w:right="1417" w:bottom="1134" w:left="1417" w:header="709" w:footer="709" w:gutter="0"/>
          <w:cols w:space="720"/>
          <w:docGrid w:linePitch="360"/>
        </w:sectPr>
      </w:pPr>
    </w:p>
    <w:p w14:paraId="3A3388DC"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A.2. </w:t>
      </w:r>
      <w:r>
        <w:rPr>
          <w:noProof/>
        </w:rPr>
        <w:tab/>
      </w:r>
      <w:r>
        <w:rPr>
          <w:rFonts w:ascii="Times New Roman" w:hAnsi="Times New Roman"/>
          <w:b/>
          <w:noProof/>
          <w:sz w:val="24"/>
        </w:rPr>
        <w:t>Ključne etape, ciljne vrijednosti, pokazatelji i vremenski raspored za praćenje i provedbu zajma</w:t>
      </w:r>
    </w:p>
    <w:tbl>
      <w:tblPr>
        <w:tblW w:w="15452" w:type="dxa"/>
        <w:jc w:val="center"/>
        <w:tblLayout w:type="fixed"/>
        <w:tblLook w:val="04A0" w:firstRow="1" w:lastRow="0" w:firstColumn="1" w:lastColumn="0" w:noHBand="0" w:noVBand="1"/>
      </w:tblPr>
      <w:tblGrid>
        <w:gridCol w:w="851"/>
        <w:gridCol w:w="1985"/>
        <w:gridCol w:w="1276"/>
        <w:gridCol w:w="1553"/>
        <w:gridCol w:w="1843"/>
        <w:gridCol w:w="1134"/>
        <w:gridCol w:w="1134"/>
        <w:gridCol w:w="851"/>
        <w:gridCol w:w="1139"/>
        <w:gridCol w:w="851"/>
        <w:gridCol w:w="2835"/>
      </w:tblGrid>
      <w:tr w:rsidR="003F46B9" w14:paraId="0605486A" w14:textId="77777777">
        <w:trPr>
          <w:trHeight w:val="927"/>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B5A68C"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695AC7"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31AB82C" w14:textId="77777777" w:rsidR="003F46B9" w:rsidRDefault="0065662E">
            <w:pPr>
              <w:pStyle w:val="P68B1DB1-Normal1"/>
              <w:spacing w:after="0" w:line="240" w:lineRule="auto"/>
              <w:jc w:val="center"/>
              <w:rPr>
                <w:rFonts w:eastAsia="Times New Roman" w:cs="Times New Roman"/>
                <w:noProof/>
              </w:rPr>
            </w:pPr>
            <w:r>
              <w:rPr>
                <w:noProof/>
              </w:rPr>
              <w:t xml:space="preserve">Ključna </w:t>
            </w:r>
            <w:r>
              <w:rPr>
                <w:noProof/>
              </w:rPr>
              <w:t>etapa/ciljna vrijednost</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909AED"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4A854D" w14:textId="77777777" w:rsidR="003F46B9" w:rsidRDefault="0065662E">
            <w:pPr>
              <w:pStyle w:val="P68B1DB1-Normal1"/>
              <w:spacing w:after="0" w:line="240" w:lineRule="auto"/>
              <w:jc w:val="center"/>
              <w:rPr>
                <w:rFonts w:eastAsia="Times New Roman" w:cs="Times New Roman"/>
                <w:noProof/>
              </w:rPr>
            </w:pPr>
            <w:r>
              <w:rPr>
                <w:noProof/>
              </w:rPr>
              <w:t>Kvalitativna</w:t>
            </w:r>
          </w:p>
          <w:p w14:paraId="309D3E62"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66F4D67" w14:textId="77777777" w:rsidR="003F46B9" w:rsidRDefault="0065662E">
            <w:pPr>
              <w:pStyle w:val="P68B1DB1-Normal1"/>
              <w:spacing w:after="0" w:line="240" w:lineRule="auto"/>
              <w:jc w:val="center"/>
              <w:rPr>
                <w:rFonts w:eastAsia="Times New Roman" w:cs="Times New Roman"/>
                <w:noProof/>
              </w:rPr>
            </w:pPr>
            <w:r>
              <w:rPr>
                <w:noProof/>
              </w:rPr>
              <w:t>Kvantitativne</w:t>
            </w:r>
          </w:p>
          <w:p w14:paraId="405427CF" w14:textId="18C43E1C"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990"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EDADFDA"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2BD886A6" w14:textId="77777777" w:rsidR="003F46B9" w:rsidRDefault="0065662E">
            <w:pPr>
              <w:pStyle w:val="P68B1DB1-Normal1"/>
              <w:spacing w:after="0" w:line="240" w:lineRule="auto"/>
              <w:jc w:val="center"/>
              <w:rPr>
                <w:rFonts w:eastAsia="Times New Roman" w:cs="Times New Roman"/>
                <w:noProof/>
              </w:rPr>
            </w:pPr>
            <w:r>
              <w:rPr>
                <w:noProof/>
              </w:rPr>
              <w:t>za završetak</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6B83F06"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48CA1EE" w14:textId="77777777">
        <w:trPr>
          <w:trHeight w:val="1013"/>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6A05A809" w14:textId="77777777" w:rsidR="003F46B9" w:rsidRDefault="003F46B9">
            <w:pPr>
              <w:spacing w:after="0" w:line="240" w:lineRule="auto"/>
              <w:jc w:val="center"/>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hideMark/>
          </w:tcPr>
          <w:p w14:paraId="5A39BBE3" w14:textId="77777777" w:rsidR="003F46B9" w:rsidRDefault="003F46B9">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41C8F396" w14:textId="77777777" w:rsidR="003F46B9" w:rsidRDefault="003F46B9">
            <w:pPr>
              <w:spacing w:after="0" w:line="240" w:lineRule="auto"/>
              <w:jc w:val="center"/>
              <w:rPr>
                <w:rFonts w:ascii="Times New Roman" w:eastAsia="Times New Roman" w:hAnsi="Times New Roman" w:cs="Times New Roman"/>
                <w:b/>
                <w:noProof/>
                <w:sz w:val="24"/>
              </w:rPr>
            </w:pPr>
          </w:p>
        </w:tc>
        <w:tc>
          <w:tcPr>
            <w:tcW w:w="1553" w:type="dxa"/>
            <w:vMerge/>
            <w:tcBorders>
              <w:top w:val="single" w:sz="4" w:space="0" w:color="auto"/>
              <w:left w:val="single" w:sz="4" w:space="0" w:color="auto"/>
              <w:bottom w:val="single" w:sz="4" w:space="0" w:color="auto"/>
              <w:right w:val="single" w:sz="4" w:space="0" w:color="auto"/>
            </w:tcBorders>
            <w:hideMark/>
          </w:tcPr>
          <w:p w14:paraId="72A3D3EC" w14:textId="77777777" w:rsidR="003F46B9" w:rsidRDefault="003F46B9">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0D0B940D" w14:textId="77777777" w:rsidR="003F46B9" w:rsidRDefault="003F46B9">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FFE63E3" w14:textId="77777777" w:rsidR="003F46B9" w:rsidRDefault="0065662E">
            <w:pPr>
              <w:pStyle w:val="P68B1DB1-Normal1"/>
              <w:spacing w:after="0" w:line="240" w:lineRule="auto"/>
              <w:jc w:val="center"/>
              <w:rPr>
                <w:rFonts w:eastAsia="Times New Roman" w:cs="Times New Roman"/>
                <w:noProof/>
              </w:rPr>
            </w:pPr>
            <w:r>
              <w:rPr>
                <w:noProof/>
              </w:rPr>
              <w:t>Odjel</w:t>
            </w:r>
          </w:p>
          <w:p w14:paraId="3FF70910" w14:textId="77777777" w:rsidR="003F46B9" w:rsidRDefault="0065662E">
            <w:pPr>
              <w:pStyle w:val="P68B1DB1-Normal1"/>
              <w:spacing w:after="0" w:line="240" w:lineRule="auto"/>
              <w:jc w:val="center"/>
              <w:rPr>
                <w:rFonts w:eastAsia="Times New Roman" w:cs="Times New Roman"/>
                <w:noProof/>
              </w:rPr>
            </w:pPr>
            <w:r>
              <w:rPr>
                <w:noProof/>
              </w:rPr>
              <w:t>od</w:t>
            </w:r>
          </w:p>
          <w:p w14:paraId="6BF87FA2"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1D7DF87" w14:textId="3B8621ED" w:rsidR="003F46B9" w:rsidRDefault="0065662E">
            <w:pPr>
              <w:pStyle w:val="P68B1DB1-Normal1"/>
              <w:spacing w:after="0" w:line="240" w:lineRule="auto"/>
              <w:jc w:val="center"/>
              <w:rPr>
                <w:rFonts w:eastAsia="Times New Roman" w:cs="Times New Roman"/>
                <w:noProof/>
              </w:rPr>
            </w:pPr>
            <w:r>
              <w:rPr>
                <w:noProof/>
              </w:rPr>
              <w:t>Osnovna vrijednost</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996A6EA" w14:textId="77777777" w:rsidR="003F46B9" w:rsidRDefault="0065662E">
            <w:pPr>
              <w:pStyle w:val="P68B1DB1-Normal1"/>
              <w:spacing w:after="0" w:line="240" w:lineRule="auto"/>
              <w:jc w:val="center"/>
              <w:rPr>
                <w:rFonts w:eastAsia="Times New Roman" w:cs="Times New Roman"/>
                <w:noProof/>
              </w:rPr>
            </w:pPr>
            <w:r>
              <w:rPr>
                <w:noProof/>
              </w:rPr>
              <w:t>Cilj</w:t>
            </w:r>
          </w:p>
        </w:tc>
        <w:tc>
          <w:tcPr>
            <w:tcW w:w="113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4400C56"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C72651D"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2835" w:type="dxa"/>
            <w:vMerge/>
            <w:tcBorders>
              <w:top w:val="single" w:sz="4" w:space="0" w:color="auto"/>
              <w:bottom w:val="single" w:sz="4" w:space="0" w:color="auto"/>
              <w:right w:val="single" w:sz="4" w:space="0" w:color="auto"/>
            </w:tcBorders>
            <w:hideMark/>
          </w:tcPr>
          <w:p w14:paraId="0E27B00A"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0914803C"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49841BE" w14:textId="77777777" w:rsidR="003F46B9" w:rsidRDefault="0065662E">
            <w:pPr>
              <w:pStyle w:val="P68B1DB1-Normal5"/>
              <w:spacing w:after="0" w:line="240" w:lineRule="auto"/>
              <w:jc w:val="center"/>
              <w:rPr>
                <w:rFonts w:eastAsia="Times New Roman" w:cs="Times New Roman"/>
                <w:noProof/>
              </w:rPr>
            </w:pPr>
            <w:r>
              <w:rPr>
                <w:noProof/>
              </w:rPr>
              <w:t>1</w:t>
            </w:r>
          </w:p>
        </w:tc>
        <w:tc>
          <w:tcPr>
            <w:tcW w:w="1985" w:type="dxa"/>
            <w:tcBorders>
              <w:top w:val="single" w:sz="4" w:space="0" w:color="auto"/>
              <w:left w:val="nil"/>
              <w:bottom w:val="single" w:sz="4" w:space="0" w:color="auto"/>
              <w:right w:val="single" w:sz="4" w:space="0" w:color="auto"/>
            </w:tcBorders>
            <w:shd w:val="clear" w:color="auto" w:fill="C6EFCE"/>
            <w:noWrap/>
            <w:hideMark/>
          </w:tcPr>
          <w:p w14:paraId="203D5FB8" w14:textId="77777777" w:rsidR="003F46B9" w:rsidRDefault="0065662E">
            <w:pPr>
              <w:pStyle w:val="P68B1DB1-Normal5"/>
              <w:spacing w:after="0" w:line="240" w:lineRule="auto"/>
              <w:rPr>
                <w:rFonts w:eastAsia="Times New Roman" w:cs="Times New Roman"/>
                <w:noProof/>
              </w:rPr>
            </w:pPr>
            <w:r>
              <w:rPr>
                <w:noProof/>
              </w:rPr>
              <w:t>Reforma 1. Jačanje regulatornog okvira za održivo upravljanje vodnim sektorom i sektorom otpadnih voda te ubrzavanje javnog pristupa kvalitetnim uslugama u skladu s europskim direktivama</w:t>
            </w:r>
          </w:p>
        </w:tc>
        <w:tc>
          <w:tcPr>
            <w:tcW w:w="1276" w:type="dxa"/>
            <w:tcBorders>
              <w:top w:val="single" w:sz="4" w:space="0" w:color="auto"/>
              <w:left w:val="nil"/>
              <w:bottom w:val="single" w:sz="4" w:space="0" w:color="auto"/>
              <w:right w:val="single" w:sz="4" w:space="0" w:color="auto"/>
            </w:tcBorders>
            <w:shd w:val="clear" w:color="auto" w:fill="C6EFCE"/>
            <w:noWrap/>
            <w:hideMark/>
          </w:tcPr>
          <w:p w14:paraId="24421DF3"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3" w:type="dxa"/>
            <w:tcBorders>
              <w:top w:val="single" w:sz="4" w:space="0" w:color="auto"/>
              <w:left w:val="nil"/>
              <w:bottom w:val="single" w:sz="4" w:space="0" w:color="auto"/>
              <w:right w:val="single" w:sz="4" w:space="0" w:color="auto"/>
            </w:tcBorders>
            <w:shd w:val="clear" w:color="auto" w:fill="C6EFCE"/>
            <w:noWrap/>
            <w:hideMark/>
          </w:tcPr>
          <w:p w14:paraId="55820A5E" w14:textId="77777777" w:rsidR="003F46B9" w:rsidRDefault="0065662E">
            <w:pPr>
              <w:pStyle w:val="P68B1DB1-Normal5"/>
              <w:spacing w:after="0" w:line="240" w:lineRule="auto"/>
              <w:rPr>
                <w:rFonts w:eastAsia="Times New Roman" w:cs="Times New Roman"/>
                <w:noProof/>
              </w:rPr>
            </w:pPr>
            <w:r>
              <w:rPr>
                <w:noProof/>
              </w:rPr>
              <w:t xml:space="preserve">Stupanje na snagu izmjena Zakona br. 241/2006 o vodoopskrbi i kanalizaciji </w:t>
            </w:r>
          </w:p>
        </w:tc>
        <w:tc>
          <w:tcPr>
            <w:tcW w:w="1843" w:type="dxa"/>
            <w:tcBorders>
              <w:top w:val="single" w:sz="4" w:space="0" w:color="auto"/>
              <w:left w:val="nil"/>
              <w:bottom w:val="single" w:sz="4" w:space="0" w:color="auto"/>
              <w:right w:val="single" w:sz="4" w:space="0" w:color="auto"/>
            </w:tcBorders>
            <w:shd w:val="clear" w:color="auto" w:fill="C6EFCE"/>
            <w:noWrap/>
            <w:hideMark/>
          </w:tcPr>
          <w:p w14:paraId="1C7E17AD" w14:textId="77777777" w:rsidR="003F46B9" w:rsidRDefault="0065662E">
            <w:pPr>
              <w:pStyle w:val="P68B1DB1-Normal5"/>
              <w:spacing w:after="0" w:line="240" w:lineRule="auto"/>
              <w:jc w:val="both"/>
              <w:rPr>
                <w:rFonts w:eastAsia="Times New Roman" w:cs="Times New Roman"/>
                <w:noProof/>
              </w:rPr>
            </w:pPr>
            <w:r>
              <w:rPr>
                <w:noProof/>
              </w:rPr>
              <w:t xml:space="preserve">Zakonska odredba o stupanju na snagu zakona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0061E4C"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EAFD9C"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single" w:sz="4" w:space="0" w:color="auto"/>
              <w:left w:val="nil"/>
              <w:bottom w:val="single" w:sz="4" w:space="0" w:color="auto"/>
              <w:right w:val="single" w:sz="4" w:space="0" w:color="auto"/>
            </w:tcBorders>
            <w:shd w:val="clear" w:color="auto" w:fill="C6EFCE"/>
            <w:noWrap/>
            <w:hideMark/>
          </w:tcPr>
          <w:p w14:paraId="4B94D5A5" w14:textId="77777777" w:rsidR="003F46B9" w:rsidRDefault="003F46B9">
            <w:pPr>
              <w:spacing w:after="0" w:line="240" w:lineRule="auto"/>
              <w:jc w:val="both"/>
              <w:rPr>
                <w:rFonts w:ascii="Times New Roman" w:eastAsia="Times New Roman" w:hAnsi="Times New Roman" w:cs="Times New Roman"/>
                <w:noProof/>
                <w:sz w:val="24"/>
              </w:rPr>
            </w:pPr>
          </w:p>
        </w:tc>
        <w:tc>
          <w:tcPr>
            <w:tcW w:w="1139" w:type="dxa"/>
            <w:tcBorders>
              <w:top w:val="single" w:sz="4" w:space="0" w:color="auto"/>
              <w:left w:val="nil"/>
              <w:bottom w:val="single" w:sz="4" w:space="0" w:color="auto"/>
              <w:right w:val="single" w:sz="4" w:space="0" w:color="auto"/>
            </w:tcBorders>
            <w:shd w:val="clear" w:color="auto" w:fill="C6EFCE"/>
            <w:noWrap/>
            <w:hideMark/>
          </w:tcPr>
          <w:p w14:paraId="0943417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65B281B9" w14:textId="77777777" w:rsidR="003F46B9" w:rsidRDefault="0065662E">
            <w:pPr>
              <w:pStyle w:val="P68B1DB1-Normal5"/>
              <w:spacing w:after="0" w:line="240" w:lineRule="auto"/>
              <w:jc w:val="both"/>
              <w:rPr>
                <w:rFonts w:eastAsia="Times New Roman" w:cs="Times New Roman"/>
                <w:noProof/>
              </w:rPr>
            </w:pPr>
            <w:r>
              <w:rPr>
                <w:noProof/>
              </w:rPr>
              <w:t>2021</w:t>
            </w:r>
          </w:p>
        </w:tc>
        <w:tc>
          <w:tcPr>
            <w:tcW w:w="2835" w:type="dxa"/>
            <w:tcBorders>
              <w:top w:val="single" w:sz="4" w:space="0" w:color="auto"/>
              <w:left w:val="nil"/>
              <w:bottom w:val="single" w:sz="4" w:space="0" w:color="auto"/>
              <w:right w:val="single" w:sz="4" w:space="0" w:color="auto"/>
            </w:tcBorders>
            <w:shd w:val="clear" w:color="auto" w:fill="C6EFCE"/>
            <w:noWrap/>
          </w:tcPr>
          <w:p w14:paraId="15F043B6" w14:textId="77777777" w:rsidR="003F46B9" w:rsidRDefault="0065662E">
            <w:pPr>
              <w:pStyle w:val="P68B1DB1-Normal5"/>
              <w:spacing w:after="0" w:line="240" w:lineRule="auto"/>
              <w:jc w:val="both"/>
              <w:rPr>
                <w:rFonts w:eastAsia="Times New Roman" w:cs="Times New Roman"/>
                <w:noProof/>
              </w:rPr>
            </w:pPr>
            <w:r>
              <w:rPr>
                <w:noProof/>
              </w:rPr>
              <w:t>Stupanje na snagu izmjena Zakona br. 241/2006 o vodoopskrbi i kanalizaciji kojima se:</w:t>
            </w:r>
          </w:p>
          <w:p w14:paraId="23F16F12" w14:textId="77777777" w:rsidR="003F46B9" w:rsidRDefault="0065662E">
            <w:pPr>
              <w:pStyle w:val="P68B1DB1-ListParagraph13"/>
              <w:numPr>
                <w:ilvl w:val="0"/>
                <w:numId w:val="3"/>
              </w:numPr>
              <w:spacing w:after="0" w:line="240" w:lineRule="auto"/>
              <w:ind w:left="175" w:hanging="223"/>
              <w:jc w:val="both"/>
              <w:rPr>
                <w:rFonts w:eastAsia="Times New Roman" w:cs="Times New Roman"/>
                <w:noProof/>
              </w:rPr>
            </w:pPr>
            <w:r>
              <w:rPr>
                <w:noProof/>
              </w:rPr>
              <w:t>Omogućiti odobrenje t</w:t>
            </w:r>
            <w:r>
              <w:rPr>
                <w:noProof/>
              </w:rPr>
              <w:t>arifne strategije regionalnog operatera vodoopskrbe i kanalizacije na glavnoj skupštini Udruženja za međuregionalni razvoj (IDA), na temelju posebnog ovlaštenja koje su dobile lokalne upravne jedinice. Tom se promjenom znatno skraćuje vrijeme potrebno za o</w:t>
            </w:r>
            <w:r>
              <w:rPr>
                <w:noProof/>
              </w:rPr>
              <w:t>dobrenje tarifne strategije, što će omogućiti proširenje infrastrukture za vodoopskrbu i odvodnju otpadnih voda.</w:t>
            </w:r>
          </w:p>
          <w:p w14:paraId="693C78AE" w14:textId="77777777" w:rsidR="003F46B9" w:rsidRDefault="0065662E">
            <w:pPr>
              <w:pStyle w:val="P68B1DB1-ListParagraph13"/>
              <w:numPr>
                <w:ilvl w:val="0"/>
                <w:numId w:val="3"/>
              </w:numPr>
              <w:spacing w:after="0" w:line="240" w:lineRule="auto"/>
              <w:ind w:left="175" w:hanging="223"/>
              <w:jc w:val="both"/>
              <w:rPr>
                <w:rFonts w:eastAsia="Times New Roman" w:cs="Times New Roman"/>
                <w:noProof/>
              </w:rPr>
            </w:pPr>
            <w:r>
              <w:rPr>
                <w:noProof/>
              </w:rPr>
              <w:t xml:space="preserve">Obvezati tijela lokalne javne uprave da vode evidenciju fizičkih i pravnih osoba koje ne ispuštaju otpadne vode u javnu kanalizacijsku mrežu i </w:t>
            </w:r>
            <w:r>
              <w:rPr>
                <w:noProof/>
              </w:rPr>
              <w:t xml:space="preserve">svake godine šalju popis tih osoba Nacionalnoj straži za zaštitu okoliša. </w:t>
            </w:r>
          </w:p>
          <w:p w14:paraId="1DD36739" w14:textId="77777777" w:rsidR="003F46B9" w:rsidRDefault="0065662E">
            <w:pPr>
              <w:pStyle w:val="P68B1DB1-ListParagraph13"/>
              <w:numPr>
                <w:ilvl w:val="0"/>
                <w:numId w:val="3"/>
              </w:numPr>
              <w:spacing w:after="0" w:line="240" w:lineRule="auto"/>
              <w:ind w:left="175" w:hanging="223"/>
              <w:jc w:val="both"/>
              <w:rPr>
                <w:rFonts w:eastAsia="Times New Roman" w:cs="Times New Roman"/>
                <w:noProof/>
              </w:rPr>
            </w:pPr>
            <w:r>
              <w:rPr>
                <w:noProof/>
              </w:rPr>
              <w:t>Obvezati korisnike da se povežu na postojeće javne kanalizacijske sustave ako nemaju odgovarajući pojedinačni sustav prikupljanja i pročišćavanja.</w:t>
            </w:r>
          </w:p>
          <w:p w14:paraId="0B83DA9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Omogućiti organizaciju, prema potr</w:t>
            </w:r>
            <w:r>
              <w:rPr>
                <w:noProof/>
              </w:rPr>
              <w:t>ebi, samo pružanja vodnih usluga, pod uvjetom da se prikupljanje otpadnih voda obavlja putem pojedinačnih sustava prikupljanja i pročišćavanja kojima se osigurava jednaka razina zaštite okoliša kao centraliziranim sustavima prikupljanja i pročišćavanja.</w:t>
            </w:r>
          </w:p>
          <w:p w14:paraId="67D37599" w14:textId="77777777" w:rsidR="003F46B9" w:rsidRDefault="0065662E">
            <w:pPr>
              <w:pStyle w:val="P68B1DB1-ListParagraph13"/>
              <w:numPr>
                <w:ilvl w:val="0"/>
                <w:numId w:val="3"/>
              </w:numPr>
              <w:spacing w:after="0" w:line="240" w:lineRule="auto"/>
              <w:ind w:left="175" w:hanging="223"/>
              <w:jc w:val="both"/>
              <w:rPr>
                <w:rFonts w:cs="Times New Roman"/>
                <w:noProof/>
              </w:rPr>
            </w:pPr>
            <w:r>
              <w:rPr>
                <w:noProof/>
              </w:rPr>
              <w:t xml:space="preserve"> O</w:t>
            </w:r>
            <w:r>
              <w:rPr>
                <w:noProof/>
              </w:rPr>
              <w:t>sigurati iznimnu prirodu odgovarajućih pojedinačnih sustava, koji se odnose samo na situacije u kojima centralizirani sustavi nisu tehnički i ekonomski izvedivi.</w:t>
            </w:r>
          </w:p>
          <w:p w14:paraId="3DD0FF35" w14:textId="77777777" w:rsidR="003F46B9" w:rsidRDefault="0065662E">
            <w:pPr>
              <w:pStyle w:val="P68B1DB1-ListParagraph13"/>
              <w:numPr>
                <w:ilvl w:val="0"/>
                <w:numId w:val="3"/>
              </w:numPr>
              <w:spacing w:after="0" w:line="240" w:lineRule="auto"/>
              <w:ind w:left="175" w:hanging="223"/>
              <w:jc w:val="both"/>
              <w:rPr>
                <w:rFonts w:cs="Times New Roman"/>
                <w:noProof/>
              </w:rPr>
            </w:pPr>
            <w:r>
              <w:rPr>
                <w:noProof/>
              </w:rPr>
              <w:t>Zabraniti izravno ispuštanje nepročišćenih otpadnih voda iz odgovarajućih pojedinačnih sustava</w:t>
            </w:r>
            <w:r>
              <w:rPr>
                <w:noProof/>
              </w:rPr>
              <w:t xml:space="preserve"> u okoliš.</w:t>
            </w:r>
          </w:p>
          <w:p w14:paraId="47DA719A" w14:textId="77777777" w:rsidR="003F46B9" w:rsidRDefault="0065662E">
            <w:pPr>
              <w:pStyle w:val="P68B1DB1-ListParagraph13"/>
              <w:numPr>
                <w:ilvl w:val="0"/>
                <w:numId w:val="3"/>
              </w:numPr>
              <w:spacing w:after="0" w:line="240" w:lineRule="auto"/>
              <w:ind w:left="175" w:hanging="223"/>
              <w:jc w:val="both"/>
              <w:rPr>
                <w:rFonts w:eastAsia="Times New Roman" w:cs="Times New Roman"/>
                <w:noProof/>
              </w:rPr>
            </w:pPr>
            <w:r>
              <w:rPr>
                <w:noProof/>
              </w:rPr>
              <w:t>Razvoj kriterija za odobravanje, izgradnju, registraciju/evidentiranje, rad i održavanje odgovarajućih pojedinačnih sustava.</w:t>
            </w:r>
          </w:p>
        </w:tc>
      </w:tr>
      <w:tr w:rsidR="003F46B9" w14:paraId="61A9FD2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8F999B5" w14:textId="77777777" w:rsidR="003F46B9" w:rsidRDefault="0065662E">
            <w:pPr>
              <w:pStyle w:val="P68B1DB1-Normal5"/>
              <w:spacing w:after="0" w:line="240" w:lineRule="auto"/>
              <w:jc w:val="center"/>
              <w:rPr>
                <w:rFonts w:eastAsia="Times New Roman" w:cs="Times New Roman"/>
                <w:noProof/>
              </w:rPr>
            </w:pPr>
            <w:r>
              <w:rPr>
                <w:noProof/>
              </w:rPr>
              <w:t>2</w:t>
            </w:r>
          </w:p>
        </w:tc>
        <w:tc>
          <w:tcPr>
            <w:tcW w:w="1985" w:type="dxa"/>
            <w:tcBorders>
              <w:top w:val="nil"/>
              <w:left w:val="nil"/>
              <w:bottom w:val="single" w:sz="4" w:space="0" w:color="auto"/>
              <w:right w:val="single" w:sz="4" w:space="0" w:color="auto"/>
            </w:tcBorders>
            <w:shd w:val="clear" w:color="auto" w:fill="C6EFCE"/>
            <w:noWrap/>
            <w:hideMark/>
          </w:tcPr>
          <w:p w14:paraId="6BE7AA9D" w14:textId="77777777" w:rsidR="003F46B9" w:rsidRDefault="0065662E">
            <w:pPr>
              <w:pStyle w:val="P68B1DB1-Normal5"/>
              <w:spacing w:after="0" w:line="240" w:lineRule="auto"/>
              <w:jc w:val="both"/>
              <w:rPr>
                <w:rFonts w:eastAsia="Times New Roman" w:cs="Times New Roman"/>
                <w:noProof/>
              </w:rPr>
            </w:pPr>
            <w:r>
              <w:rPr>
                <w:noProof/>
              </w:rPr>
              <w:t xml:space="preserve">Reforma 1. Jačanje regulatornog okvira za održivo upravljanje sektorom voda i otpadnih voda te ubrzavanje pristupa </w:t>
            </w:r>
            <w:r>
              <w:rPr>
                <w:noProof/>
              </w:rPr>
              <w:t>građana kvalitetnim uslugama u skladu s europskim direktivama</w:t>
            </w:r>
          </w:p>
        </w:tc>
        <w:tc>
          <w:tcPr>
            <w:tcW w:w="1276" w:type="dxa"/>
            <w:tcBorders>
              <w:top w:val="nil"/>
              <w:left w:val="nil"/>
              <w:bottom w:val="single" w:sz="4" w:space="0" w:color="auto"/>
              <w:right w:val="single" w:sz="4" w:space="0" w:color="auto"/>
            </w:tcBorders>
            <w:shd w:val="clear" w:color="auto" w:fill="C6EFCE"/>
            <w:noWrap/>
            <w:hideMark/>
          </w:tcPr>
          <w:p w14:paraId="0F48E228"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3" w:type="dxa"/>
            <w:tcBorders>
              <w:top w:val="nil"/>
              <w:left w:val="nil"/>
              <w:bottom w:val="single" w:sz="4" w:space="0" w:color="auto"/>
              <w:right w:val="single" w:sz="4" w:space="0" w:color="auto"/>
            </w:tcBorders>
            <w:shd w:val="clear" w:color="auto" w:fill="C6EFCE"/>
            <w:noWrap/>
            <w:hideMark/>
          </w:tcPr>
          <w:p w14:paraId="567A4DB2"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kojim se odobrava nacionalni program Prvo povezivanje s vodom i sanitarnim uvjetima </w:t>
            </w:r>
          </w:p>
        </w:tc>
        <w:tc>
          <w:tcPr>
            <w:tcW w:w="1843" w:type="dxa"/>
            <w:tcBorders>
              <w:top w:val="nil"/>
              <w:left w:val="nil"/>
              <w:bottom w:val="single" w:sz="4" w:space="0" w:color="auto"/>
              <w:right w:val="single" w:sz="4" w:space="0" w:color="auto"/>
            </w:tcBorders>
            <w:shd w:val="clear" w:color="auto" w:fill="C6EFCE"/>
            <w:noWrap/>
            <w:hideMark/>
          </w:tcPr>
          <w:p w14:paraId="1E63D9B3"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prvom programu povezivanja</w:t>
            </w:r>
            <w:r>
              <w:rPr>
                <w:noProof/>
              </w:rPr>
              <w:t xml:space="preserve"> na vodu i odvodnje</w:t>
            </w:r>
          </w:p>
        </w:tc>
        <w:tc>
          <w:tcPr>
            <w:tcW w:w="1134" w:type="dxa"/>
            <w:tcBorders>
              <w:top w:val="nil"/>
              <w:left w:val="nil"/>
              <w:bottom w:val="single" w:sz="4" w:space="0" w:color="auto"/>
              <w:right w:val="single" w:sz="4" w:space="0" w:color="auto"/>
            </w:tcBorders>
            <w:shd w:val="clear" w:color="auto" w:fill="C6EFCE"/>
            <w:noWrap/>
            <w:hideMark/>
          </w:tcPr>
          <w:p w14:paraId="3DEEC66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3656B9AB"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45FB0818" w14:textId="77777777" w:rsidR="003F46B9" w:rsidRDefault="003F46B9">
            <w:pPr>
              <w:spacing w:after="0" w:line="240" w:lineRule="auto"/>
              <w:jc w:val="both"/>
              <w:rPr>
                <w:rFonts w:ascii="Times New Roman" w:eastAsia="Times New Roman" w:hAnsi="Times New Roman" w:cs="Times New Roman"/>
                <w:noProof/>
                <w:sz w:val="24"/>
              </w:rPr>
            </w:pPr>
          </w:p>
        </w:tc>
        <w:tc>
          <w:tcPr>
            <w:tcW w:w="1139" w:type="dxa"/>
            <w:tcBorders>
              <w:top w:val="nil"/>
              <w:left w:val="nil"/>
              <w:bottom w:val="single" w:sz="4" w:space="0" w:color="auto"/>
              <w:right w:val="single" w:sz="4" w:space="0" w:color="auto"/>
            </w:tcBorders>
            <w:shd w:val="clear" w:color="auto" w:fill="C6EFCE"/>
            <w:noWrap/>
            <w:hideMark/>
          </w:tcPr>
          <w:p w14:paraId="34B5F07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1FBE425F" w14:textId="77777777" w:rsidR="003F46B9" w:rsidRDefault="0065662E">
            <w:pPr>
              <w:pStyle w:val="P68B1DB1-Normal5"/>
              <w:spacing w:after="0" w:line="240" w:lineRule="auto"/>
              <w:jc w:val="both"/>
              <w:rPr>
                <w:rFonts w:eastAsia="Times New Roman" w:cs="Times New Roman"/>
                <w:noProof/>
              </w:rPr>
            </w:pPr>
            <w:r>
              <w:rPr>
                <w:noProof/>
              </w:rPr>
              <w:t>2022</w:t>
            </w:r>
          </w:p>
        </w:tc>
        <w:tc>
          <w:tcPr>
            <w:tcW w:w="2835" w:type="dxa"/>
            <w:tcBorders>
              <w:top w:val="nil"/>
              <w:left w:val="nil"/>
              <w:bottom w:val="single" w:sz="4" w:space="0" w:color="auto"/>
              <w:right w:val="single" w:sz="4" w:space="0" w:color="auto"/>
            </w:tcBorders>
            <w:shd w:val="clear" w:color="auto" w:fill="C6EFCE"/>
            <w:noWrap/>
            <w:hideMark/>
          </w:tcPr>
          <w:p w14:paraId="5996B989" w14:textId="77777777" w:rsidR="003F46B9" w:rsidRDefault="0065662E">
            <w:pPr>
              <w:pStyle w:val="P68B1DB1-Normal5"/>
              <w:spacing w:after="0" w:line="240" w:lineRule="auto"/>
              <w:jc w:val="both"/>
              <w:rPr>
                <w:rFonts w:eastAsia="Times New Roman" w:cs="Times New Roman"/>
                <w:noProof/>
              </w:rPr>
            </w:pPr>
            <w:r>
              <w:rPr>
                <w:noProof/>
              </w:rPr>
              <w:t>Stupanje na snagu zakona kojim se odobrava nacionalni program Prvo povezivanje s vodom i sanitarnim uvjetima, kojim se obiteljima i pojedincima s niskim primanjima (kojima je prosječni mjesečni neto gotovinski dohoda</w:t>
            </w:r>
            <w:r>
              <w:rPr>
                <w:noProof/>
              </w:rPr>
              <w:t>k niži od minimalne bruto nacionalne plaće zajamčene po članu obitelji) pruža potpora za plaćanje troškova priključenja na vodoopskrbni sustav i kanalizaciju.</w:t>
            </w:r>
          </w:p>
          <w:p w14:paraId="4A597FA2" w14:textId="77777777" w:rsidR="003F46B9" w:rsidRDefault="0065662E">
            <w:pPr>
              <w:pStyle w:val="P68B1DB1-Normal5"/>
              <w:spacing w:after="0" w:line="240" w:lineRule="auto"/>
              <w:jc w:val="both"/>
              <w:rPr>
                <w:rFonts w:eastAsia="Times New Roman" w:cs="Times New Roman"/>
                <w:noProof/>
              </w:rPr>
            </w:pPr>
            <w:r>
              <w:rPr>
                <w:noProof/>
              </w:rPr>
              <w:t>Lokalna tijela utvrđuju kućanstva s niskim dohotkom. U okviru Prvog programa povezivanja putem Up</w:t>
            </w:r>
            <w:r>
              <w:rPr>
                <w:noProof/>
              </w:rPr>
              <w:t>rave za Fond za zaštitu okoliša financiraju se radovi na povezivanju utvrđenih obitelji s kojima su lokalna tijela sklopila ugovor.</w:t>
            </w:r>
          </w:p>
        </w:tc>
      </w:tr>
      <w:tr w:rsidR="003F46B9" w14:paraId="6748325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5FCD5EC4" w14:textId="77777777" w:rsidR="003F46B9" w:rsidRDefault="0065662E">
            <w:pPr>
              <w:pStyle w:val="P68B1DB1-Normal5"/>
              <w:spacing w:after="0" w:line="240" w:lineRule="auto"/>
              <w:jc w:val="center"/>
              <w:rPr>
                <w:rFonts w:eastAsia="Times New Roman" w:cs="Times New Roman"/>
                <w:noProof/>
              </w:rPr>
            </w:pPr>
            <w:r>
              <w:rPr>
                <w:noProof/>
              </w:rPr>
              <w:t>3</w:t>
            </w:r>
          </w:p>
        </w:tc>
        <w:tc>
          <w:tcPr>
            <w:tcW w:w="1985" w:type="dxa"/>
            <w:tcBorders>
              <w:top w:val="nil"/>
              <w:left w:val="nil"/>
              <w:bottom w:val="single" w:sz="4" w:space="0" w:color="auto"/>
              <w:right w:val="single" w:sz="4" w:space="0" w:color="auto"/>
            </w:tcBorders>
            <w:shd w:val="clear" w:color="auto" w:fill="C6EFCE"/>
            <w:noWrap/>
            <w:hideMark/>
          </w:tcPr>
          <w:p w14:paraId="0BCFB6E0" w14:textId="77777777" w:rsidR="003F46B9" w:rsidRDefault="0065662E">
            <w:pPr>
              <w:pStyle w:val="P68B1DB1-Normal5"/>
              <w:spacing w:after="0" w:line="240" w:lineRule="auto"/>
              <w:jc w:val="both"/>
              <w:rPr>
                <w:rFonts w:eastAsia="Times New Roman" w:cs="Times New Roman"/>
                <w:noProof/>
              </w:rPr>
            </w:pPr>
            <w:r>
              <w:rPr>
                <w:noProof/>
              </w:rPr>
              <w:t xml:space="preserve">Reforma 1. Jačanje regulatornog okvira za održivo upravljanje sektorom voda i otpadnih voda te ubrzavanje pristupa građana kvalitetnim uslugama u skladu s europskim direktivama </w:t>
            </w:r>
          </w:p>
        </w:tc>
        <w:tc>
          <w:tcPr>
            <w:tcW w:w="1276" w:type="dxa"/>
            <w:tcBorders>
              <w:top w:val="nil"/>
              <w:left w:val="nil"/>
              <w:bottom w:val="single" w:sz="4" w:space="0" w:color="auto"/>
              <w:right w:val="single" w:sz="4" w:space="0" w:color="auto"/>
            </w:tcBorders>
            <w:shd w:val="clear" w:color="auto" w:fill="C6EFCE"/>
            <w:noWrap/>
            <w:hideMark/>
          </w:tcPr>
          <w:p w14:paraId="19C37E2A"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3" w:type="dxa"/>
            <w:tcBorders>
              <w:top w:val="nil"/>
              <w:left w:val="nil"/>
              <w:bottom w:val="single" w:sz="4" w:space="0" w:color="auto"/>
              <w:right w:val="single" w:sz="4" w:space="0" w:color="auto"/>
            </w:tcBorders>
            <w:shd w:val="clear" w:color="auto" w:fill="C6EFCE"/>
            <w:noWrap/>
            <w:hideMark/>
          </w:tcPr>
          <w:p w14:paraId="73CF8601" w14:textId="77777777" w:rsidR="003F46B9" w:rsidRDefault="0065662E">
            <w:pPr>
              <w:pStyle w:val="P68B1DB1-Normal5"/>
              <w:spacing w:after="0" w:line="240" w:lineRule="auto"/>
              <w:jc w:val="both"/>
              <w:rPr>
                <w:rFonts w:eastAsia="Times New Roman" w:cs="Times New Roman"/>
                <w:noProof/>
              </w:rPr>
            </w:pPr>
            <w:r>
              <w:rPr>
                <w:noProof/>
              </w:rPr>
              <w:t xml:space="preserve">Provedbeni sporazumi potpisani s lokalnim vlastima koje sudjeluju </w:t>
            </w:r>
            <w:r>
              <w:rPr>
                <w:noProof/>
              </w:rPr>
              <w:t>u prvom programu povezivanja s vodom i sanitarnim uvjetima</w:t>
            </w:r>
          </w:p>
        </w:tc>
        <w:tc>
          <w:tcPr>
            <w:tcW w:w="1843" w:type="dxa"/>
            <w:tcBorders>
              <w:top w:val="nil"/>
              <w:left w:val="nil"/>
              <w:bottom w:val="single" w:sz="4" w:space="0" w:color="auto"/>
              <w:right w:val="single" w:sz="4" w:space="0" w:color="auto"/>
            </w:tcBorders>
            <w:shd w:val="clear" w:color="auto" w:fill="C6EFCE"/>
            <w:noWrap/>
            <w:hideMark/>
          </w:tcPr>
          <w:p w14:paraId="3380507F" w14:textId="77777777" w:rsidR="003F46B9" w:rsidRDefault="0065662E">
            <w:pPr>
              <w:pStyle w:val="P68B1DB1-Normal5"/>
              <w:spacing w:after="0" w:line="240" w:lineRule="auto"/>
              <w:jc w:val="both"/>
              <w:rPr>
                <w:rFonts w:eastAsia="Times New Roman" w:cs="Times New Roman"/>
                <w:noProof/>
              </w:rPr>
            </w:pPr>
            <w:r>
              <w:rPr>
                <w:noProof/>
              </w:rPr>
              <w:t>Provedbeni sporazumi potpisani s lokalnim vlastima koje sudjeluju u prvom programu povezivanja s vodom i sanitarnim uvjetima</w:t>
            </w:r>
          </w:p>
        </w:tc>
        <w:tc>
          <w:tcPr>
            <w:tcW w:w="1134" w:type="dxa"/>
            <w:tcBorders>
              <w:top w:val="nil"/>
              <w:left w:val="nil"/>
              <w:bottom w:val="single" w:sz="4" w:space="0" w:color="auto"/>
              <w:right w:val="single" w:sz="4" w:space="0" w:color="auto"/>
            </w:tcBorders>
            <w:shd w:val="clear" w:color="auto" w:fill="C6EFCE"/>
            <w:noWrap/>
            <w:hideMark/>
          </w:tcPr>
          <w:p w14:paraId="049F31CB"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3128261"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62486C05" w14:textId="77777777" w:rsidR="003F46B9" w:rsidRDefault="003F46B9">
            <w:pPr>
              <w:spacing w:after="0" w:line="240" w:lineRule="auto"/>
              <w:jc w:val="both"/>
              <w:rPr>
                <w:rFonts w:ascii="Times New Roman" w:eastAsia="Times New Roman" w:hAnsi="Times New Roman" w:cs="Times New Roman"/>
                <w:noProof/>
                <w:sz w:val="24"/>
              </w:rPr>
            </w:pPr>
          </w:p>
        </w:tc>
        <w:tc>
          <w:tcPr>
            <w:tcW w:w="1139" w:type="dxa"/>
            <w:tcBorders>
              <w:top w:val="nil"/>
              <w:left w:val="nil"/>
              <w:bottom w:val="single" w:sz="4" w:space="0" w:color="auto"/>
              <w:right w:val="single" w:sz="4" w:space="0" w:color="auto"/>
            </w:tcBorders>
            <w:shd w:val="clear" w:color="auto" w:fill="C6EFCE"/>
            <w:noWrap/>
            <w:hideMark/>
          </w:tcPr>
          <w:p w14:paraId="57113BC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hideMark/>
          </w:tcPr>
          <w:p w14:paraId="78066D58" w14:textId="77777777" w:rsidR="003F46B9" w:rsidRDefault="0065662E">
            <w:pPr>
              <w:pStyle w:val="P68B1DB1-Normal5"/>
              <w:spacing w:after="0" w:line="240" w:lineRule="auto"/>
              <w:jc w:val="both"/>
              <w:rPr>
                <w:rFonts w:eastAsia="Times New Roman" w:cs="Times New Roman"/>
                <w:noProof/>
              </w:rPr>
            </w:pPr>
            <w:r>
              <w:rPr>
                <w:noProof/>
              </w:rPr>
              <w:t>2022</w:t>
            </w:r>
          </w:p>
        </w:tc>
        <w:tc>
          <w:tcPr>
            <w:tcW w:w="2835" w:type="dxa"/>
            <w:tcBorders>
              <w:top w:val="nil"/>
              <w:left w:val="nil"/>
              <w:bottom w:val="single" w:sz="4" w:space="0" w:color="auto"/>
              <w:right w:val="single" w:sz="4" w:space="0" w:color="auto"/>
            </w:tcBorders>
            <w:shd w:val="clear" w:color="auto" w:fill="C6EFCE"/>
            <w:noWrap/>
            <w:hideMark/>
          </w:tcPr>
          <w:p w14:paraId="761CA020" w14:textId="77777777" w:rsidR="003F46B9" w:rsidRDefault="0065662E">
            <w:pPr>
              <w:pStyle w:val="P68B1DB1-Normal5"/>
              <w:spacing w:after="0" w:line="240" w:lineRule="auto"/>
              <w:jc w:val="both"/>
              <w:rPr>
                <w:rFonts w:eastAsia="Times New Roman" w:cs="Times New Roman"/>
                <w:noProof/>
              </w:rPr>
            </w:pPr>
            <w:r>
              <w:rPr>
                <w:noProof/>
              </w:rPr>
              <w:t>Uprava Fonda za zaštitu okoliša potpisuje pr</w:t>
            </w:r>
            <w:r>
              <w:rPr>
                <w:noProof/>
              </w:rPr>
              <w:t>ovedbene sporazume s lokalnim tijelima koja sudjeluju u Prvom programu povezivanja voda i sanitarnih uvjeta.</w:t>
            </w:r>
          </w:p>
        </w:tc>
      </w:tr>
      <w:tr w:rsidR="003F46B9" w14:paraId="02140B8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598DEE6" w14:textId="77777777" w:rsidR="003F46B9" w:rsidRDefault="0065662E">
            <w:pPr>
              <w:pStyle w:val="P68B1DB1-Normal5"/>
              <w:spacing w:after="0" w:line="240" w:lineRule="auto"/>
              <w:jc w:val="center"/>
              <w:rPr>
                <w:rFonts w:eastAsia="Times New Roman" w:cs="Times New Roman"/>
                <w:noProof/>
              </w:rPr>
            </w:pPr>
            <w:r>
              <w:rPr>
                <w:noProof/>
              </w:rPr>
              <w:t>4</w:t>
            </w:r>
          </w:p>
        </w:tc>
        <w:tc>
          <w:tcPr>
            <w:tcW w:w="1985" w:type="dxa"/>
            <w:tcBorders>
              <w:top w:val="nil"/>
              <w:left w:val="nil"/>
              <w:bottom w:val="single" w:sz="4" w:space="0" w:color="auto"/>
              <w:right w:val="single" w:sz="4" w:space="0" w:color="auto"/>
            </w:tcBorders>
            <w:shd w:val="clear" w:color="auto" w:fill="C6EFCE"/>
            <w:noWrap/>
          </w:tcPr>
          <w:p w14:paraId="6C3D628C" w14:textId="77777777" w:rsidR="003F46B9" w:rsidRDefault="0065662E">
            <w:pPr>
              <w:pStyle w:val="P68B1DB1-Normal5"/>
              <w:spacing w:after="0" w:line="240" w:lineRule="auto"/>
              <w:jc w:val="both"/>
              <w:rPr>
                <w:rFonts w:eastAsia="Times New Roman" w:cs="Times New Roman"/>
                <w:noProof/>
              </w:rPr>
            </w:pPr>
            <w:r>
              <w:rPr>
                <w:noProof/>
              </w:rPr>
              <w:t xml:space="preserve">Reforma 2. Preoblikovanje trenutačnog gospodarskog mehanizma ANAR-a kako bi </w:t>
            </w:r>
            <w:r>
              <w:rPr>
                <w:noProof/>
              </w:rPr>
              <w:t xml:space="preserve">se osigurala modernizacija i održavanje nacionalnog sustava upravljanja vodama te pravilna provedba Okvirne direktive o vodama i Direktive o poplavama </w:t>
            </w:r>
          </w:p>
        </w:tc>
        <w:tc>
          <w:tcPr>
            <w:tcW w:w="1276" w:type="dxa"/>
            <w:tcBorders>
              <w:top w:val="nil"/>
              <w:left w:val="nil"/>
              <w:bottom w:val="single" w:sz="4" w:space="0" w:color="auto"/>
              <w:right w:val="single" w:sz="4" w:space="0" w:color="auto"/>
            </w:tcBorders>
            <w:shd w:val="clear" w:color="auto" w:fill="C6EFCE"/>
            <w:noWrap/>
          </w:tcPr>
          <w:p w14:paraId="72DE33FB"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3" w:type="dxa"/>
            <w:tcBorders>
              <w:top w:val="nil"/>
              <w:left w:val="nil"/>
              <w:bottom w:val="single" w:sz="4" w:space="0" w:color="auto"/>
              <w:right w:val="single" w:sz="4" w:space="0" w:color="auto"/>
            </w:tcBorders>
            <w:shd w:val="clear" w:color="auto" w:fill="C6EFCE"/>
            <w:noWrap/>
          </w:tcPr>
          <w:p w14:paraId="436CB529" w14:textId="77777777" w:rsidR="003F46B9" w:rsidRDefault="0065662E">
            <w:pPr>
              <w:pStyle w:val="P68B1DB1-Normal5"/>
              <w:spacing w:after="0" w:line="240" w:lineRule="auto"/>
              <w:jc w:val="both"/>
              <w:rPr>
                <w:rFonts w:eastAsia="Times New Roman" w:cs="Times New Roman"/>
                <w:noProof/>
              </w:rPr>
            </w:pPr>
            <w:r>
              <w:rPr>
                <w:noProof/>
              </w:rPr>
              <w:t>Stupanje na snagu zakona kojim se uvode izmjene Zakona o vodama br. 107/1996</w:t>
            </w:r>
          </w:p>
        </w:tc>
        <w:tc>
          <w:tcPr>
            <w:tcW w:w="1843" w:type="dxa"/>
            <w:tcBorders>
              <w:top w:val="nil"/>
              <w:left w:val="nil"/>
              <w:bottom w:val="single" w:sz="4" w:space="0" w:color="auto"/>
              <w:right w:val="single" w:sz="4" w:space="0" w:color="auto"/>
            </w:tcBorders>
            <w:shd w:val="clear" w:color="auto" w:fill="C6EFCE"/>
            <w:noWrap/>
          </w:tcPr>
          <w:p w14:paraId="2E3203E1"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zakonodavnog akta za izmjene Zakona o vodama br. 107/1996</w:t>
            </w:r>
          </w:p>
        </w:tc>
        <w:tc>
          <w:tcPr>
            <w:tcW w:w="1134" w:type="dxa"/>
            <w:tcBorders>
              <w:top w:val="nil"/>
              <w:left w:val="nil"/>
              <w:bottom w:val="single" w:sz="4" w:space="0" w:color="auto"/>
              <w:right w:val="single" w:sz="4" w:space="0" w:color="auto"/>
            </w:tcBorders>
            <w:shd w:val="clear" w:color="auto" w:fill="C6EFCE"/>
            <w:noWrap/>
          </w:tcPr>
          <w:p w14:paraId="6E7BEAA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63E4A9C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4F6584B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9" w:type="dxa"/>
            <w:tcBorders>
              <w:top w:val="nil"/>
              <w:left w:val="nil"/>
              <w:bottom w:val="single" w:sz="4" w:space="0" w:color="auto"/>
              <w:right w:val="single" w:sz="4" w:space="0" w:color="auto"/>
            </w:tcBorders>
            <w:shd w:val="clear" w:color="auto" w:fill="C6EFCE"/>
            <w:noWrap/>
          </w:tcPr>
          <w:p w14:paraId="0356CC7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3C04FD3E" w14:textId="77777777" w:rsidR="003F46B9" w:rsidRDefault="0065662E">
            <w:pPr>
              <w:pStyle w:val="P68B1DB1-Normal5"/>
              <w:spacing w:after="0" w:line="240" w:lineRule="auto"/>
              <w:jc w:val="both"/>
              <w:rPr>
                <w:rFonts w:eastAsia="Times New Roman" w:cs="Times New Roman"/>
                <w:noProof/>
              </w:rPr>
            </w:pPr>
            <w:r>
              <w:rPr>
                <w:noProof/>
              </w:rPr>
              <w:t>2024</w:t>
            </w:r>
          </w:p>
        </w:tc>
        <w:tc>
          <w:tcPr>
            <w:tcW w:w="2835" w:type="dxa"/>
            <w:tcBorders>
              <w:top w:val="nil"/>
              <w:left w:val="nil"/>
              <w:bottom w:val="single" w:sz="4" w:space="0" w:color="auto"/>
              <w:right w:val="single" w:sz="4" w:space="0" w:color="auto"/>
            </w:tcBorders>
            <w:shd w:val="clear" w:color="auto" w:fill="C6EFCE"/>
            <w:noWrap/>
          </w:tcPr>
          <w:p w14:paraId="5EB507E4" w14:textId="0C8E1E07" w:rsidR="003F46B9" w:rsidRDefault="0065662E">
            <w:pPr>
              <w:pStyle w:val="P68B1DB1-Normal5"/>
              <w:spacing w:after="0" w:line="240" w:lineRule="auto"/>
              <w:jc w:val="both"/>
              <w:rPr>
                <w:rFonts w:cs="Times New Roman"/>
                <w:noProof/>
              </w:rPr>
            </w:pPr>
            <w:r>
              <w:rPr>
                <w:noProof/>
              </w:rPr>
              <w:t xml:space="preserve">Na temelju provedenih studija donose se i stupaju na snagu zakonodavne izmjene Zakona o vodama br. 107/1996 kako bi se regulirao novi gospodarski mehanizam za vodne resurse u Rumunjskoj. </w:t>
            </w:r>
          </w:p>
          <w:p w14:paraId="322EFD3A" w14:textId="77777777" w:rsidR="003F46B9" w:rsidRDefault="0065662E">
            <w:pPr>
              <w:pStyle w:val="P68B1DB1-Normal5"/>
              <w:spacing w:after="0" w:line="240" w:lineRule="auto"/>
              <w:jc w:val="both"/>
              <w:rPr>
                <w:rFonts w:eastAsia="Times New Roman" w:cs="Times New Roman"/>
                <w:noProof/>
              </w:rPr>
            </w:pPr>
            <w:r>
              <w:rPr>
                <w:noProof/>
              </w:rPr>
              <w:t>Novim mehanizmom poboljšat će se korelacija između reguliranog susta</w:t>
            </w:r>
            <w:r>
              <w:rPr>
                <w:noProof/>
              </w:rPr>
              <w:t>va prihoda od vode ANAR-a (Rumunjska uprava za vode) i troškova za svaku kategoriju korisnika vode kojima ANAR osigurava potrebne količine vode, u skladu sa zahtjevima za ekološki protok.</w:t>
            </w:r>
          </w:p>
        </w:tc>
      </w:tr>
      <w:tr w:rsidR="003F46B9" w14:paraId="7B4C05E1"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8941E47" w14:textId="77777777" w:rsidR="003F46B9" w:rsidRDefault="0065662E">
            <w:pPr>
              <w:pStyle w:val="P68B1DB1-Normal5"/>
              <w:spacing w:after="0" w:line="240" w:lineRule="auto"/>
              <w:jc w:val="center"/>
              <w:rPr>
                <w:rFonts w:eastAsia="Times New Roman" w:cs="Times New Roman"/>
                <w:noProof/>
              </w:rPr>
            </w:pPr>
            <w:r>
              <w:rPr>
                <w:noProof/>
              </w:rPr>
              <w:t>5</w:t>
            </w:r>
          </w:p>
        </w:tc>
        <w:tc>
          <w:tcPr>
            <w:tcW w:w="1985" w:type="dxa"/>
            <w:tcBorders>
              <w:top w:val="nil"/>
              <w:left w:val="nil"/>
              <w:bottom w:val="single" w:sz="4" w:space="0" w:color="auto"/>
              <w:right w:val="single" w:sz="4" w:space="0" w:color="auto"/>
            </w:tcBorders>
            <w:shd w:val="clear" w:color="auto" w:fill="C6EFCE"/>
            <w:noWrap/>
            <w:hideMark/>
          </w:tcPr>
          <w:p w14:paraId="43619EEE" w14:textId="77777777" w:rsidR="003F46B9" w:rsidRDefault="0065662E">
            <w:pPr>
              <w:pStyle w:val="P68B1DB1-Normal5"/>
              <w:spacing w:after="0" w:line="240" w:lineRule="auto"/>
              <w:jc w:val="both"/>
              <w:rPr>
                <w:rFonts w:eastAsia="Times New Roman" w:cs="Times New Roman"/>
                <w:noProof/>
              </w:rPr>
            </w:pPr>
            <w:r>
              <w:rPr>
                <w:noProof/>
              </w:rPr>
              <w:t>Ulaganje 1. Proširenje vodoopskrbnih i kanalizacijskih sustava u aglomeracijama s ekvivalentom stanovnika većim od 2000, što je prioritet u ubrzanom planu za usklađivanje s europskim direktivama</w:t>
            </w:r>
          </w:p>
        </w:tc>
        <w:tc>
          <w:tcPr>
            <w:tcW w:w="1276" w:type="dxa"/>
            <w:tcBorders>
              <w:top w:val="nil"/>
              <w:left w:val="nil"/>
              <w:bottom w:val="single" w:sz="4" w:space="0" w:color="auto"/>
              <w:right w:val="single" w:sz="4" w:space="0" w:color="auto"/>
            </w:tcBorders>
            <w:shd w:val="clear" w:color="auto" w:fill="C6EFCE"/>
            <w:noWrap/>
            <w:hideMark/>
          </w:tcPr>
          <w:p w14:paraId="461A4C5F"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nil"/>
              <w:bottom w:val="single" w:sz="4" w:space="0" w:color="auto"/>
              <w:right w:val="single" w:sz="4" w:space="0" w:color="auto"/>
            </w:tcBorders>
            <w:shd w:val="clear" w:color="auto" w:fill="C6EFCE"/>
            <w:noWrap/>
            <w:hideMark/>
          </w:tcPr>
          <w:p w14:paraId="7BF99207" w14:textId="77777777" w:rsidR="003F46B9" w:rsidRDefault="0065662E">
            <w:pPr>
              <w:pStyle w:val="P68B1DB1-Normal5"/>
              <w:spacing w:after="0" w:line="240" w:lineRule="auto"/>
              <w:jc w:val="both"/>
              <w:rPr>
                <w:rFonts w:eastAsia="Times New Roman" w:cs="Times New Roman"/>
                <w:noProof/>
              </w:rPr>
            </w:pPr>
            <w:r>
              <w:rPr>
                <w:noProof/>
              </w:rPr>
              <w:t>Izgrađene i operativne vodoopskrbne mreže</w:t>
            </w:r>
          </w:p>
          <w:p w14:paraId="4101652C" w14:textId="77777777" w:rsidR="003F46B9" w:rsidRDefault="003F46B9">
            <w:pPr>
              <w:spacing w:after="0" w:line="240" w:lineRule="auto"/>
              <w:jc w:val="both"/>
              <w:rPr>
                <w:rFonts w:ascii="Times New Roman" w:eastAsia="Times New Roman" w:hAnsi="Times New Roman" w:cs="Times New Roman"/>
                <w:noProof/>
                <w:sz w:val="24"/>
              </w:rPr>
            </w:pPr>
          </w:p>
          <w:p w14:paraId="4B99056E"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nil"/>
              <w:bottom w:val="single" w:sz="4" w:space="0" w:color="auto"/>
              <w:right w:val="single" w:sz="4" w:space="0" w:color="auto"/>
            </w:tcBorders>
            <w:shd w:val="clear" w:color="auto" w:fill="C6EFCE"/>
            <w:noWrap/>
            <w:hideMark/>
          </w:tcPr>
          <w:p w14:paraId="09AF38F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6136D928" w14:textId="77777777" w:rsidR="003F46B9" w:rsidRDefault="0065662E">
            <w:pPr>
              <w:pStyle w:val="P68B1DB1-Normal5"/>
              <w:spacing w:after="0" w:line="240" w:lineRule="auto"/>
              <w:jc w:val="both"/>
              <w:rPr>
                <w:rFonts w:eastAsia="Times New Roman" w:cs="Times New Roman"/>
                <w:noProof/>
              </w:rPr>
            </w:pPr>
            <w:r>
              <w:rPr>
                <w:noProof/>
              </w:rPr>
              <w:t xml:space="preserve">Kilometri (km) </w:t>
            </w:r>
          </w:p>
        </w:tc>
        <w:tc>
          <w:tcPr>
            <w:tcW w:w="1134" w:type="dxa"/>
            <w:tcBorders>
              <w:top w:val="nil"/>
              <w:left w:val="nil"/>
              <w:bottom w:val="single" w:sz="4" w:space="0" w:color="auto"/>
              <w:right w:val="single" w:sz="4" w:space="0" w:color="auto"/>
            </w:tcBorders>
            <w:shd w:val="clear" w:color="auto" w:fill="C6EFCE"/>
            <w:noWrap/>
            <w:hideMark/>
          </w:tcPr>
          <w:p w14:paraId="1CAC2DF5" w14:textId="77777777" w:rsidR="003F46B9" w:rsidRDefault="0065662E">
            <w:pPr>
              <w:pStyle w:val="P68B1DB1-Normal5"/>
              <w:spacing w:after="0" w:line="240" w:lineRule="auto"/>
              <w:jc w:val="both"/>
              <w:rPr>
                <w:rFonts w:eastAsia="Times New Roman" w:cs="Times New Roman"/>
                <w:noProof/>
              </w:rPr>
            </w:pPr>
            <w:r>
              <w:rPr>
                <w:noProof/>
              </w:rPr>
              <w:t> 0</w:t>
            </w:r>
          </w:p>
        </w:tc>
        <w:tc>
          <w:tcPr>
            <w:tcW w:w="851" w:type="dxa"/>
            <w:tcBorders>
              <w:top w:val="nil"/>
              <w:left w:val="nil"/>
              <w:bottom w:val="single" w:sz="4" w:space="0" w:color="auto"/>
              <w:right w:val="single" w:sz="4" w:space="0" w:color="auto"/>
            </w:tcBorders>
            <w:shd w:val="clear" w:color="auto" w:fill="C6EFCE"/>
            <w:noWrap/>
            <w:hideMark/>
          </w:tcPr>
          <w:p w14:paraId="0DD95DAE" w14:textId="1EF5879A" w:rsidR="003F46B9" w:rsidRDefault="0065662E">
            <w:pPr>
              <w:pStyle w:val="P68B1DB1-Normal5"/>
              <w:spacing w:after="0" w:line="240" w:lineRule="auto"/>
              <w:jc w:val="both"/>
              <w:rPr>
                <w:rFonts w:eastAsia="Times New Roman" w:cs="Times New Roman"/>
                <w:noProof/>
              </w:rPr>
            </w:pPr>
            <w:r>
              <w:rPr>
                <w:noProof/>
              </w:rPr>
              <w:t xml:space="preserve"> 319</w:t>
            </w:r>
          </w:p>
        </w:tc>
        <w:tc>
          <w:tcPr>
            <w:tcW w:w="1139" w:type="dxa"/>
            <w:tcBorders>
              <w:top w:val="nil"/>
              <w:left w:val="nil"/>
              <w:bottom w:val="single" w:sz="4" w:space="0" w:color="auto"/>
              <w:right w:val="single" w:sz="4" w:space="0" w:color="auto"/>
            </w:tcBorders>
            <w:shd w:val="clear" w:color="auto" w:fill="C6EFCE"/>
            <w:noWrap/>
            <w:hideMark/>
          </w:tcPr>
          <w:p w14:paraId="78458AAC" w14:textId="77777777" w:rsidR="003F46B9" w:rsidRDefault="0065662E">
            <w:pPr>
              <w:pStyle w:val="P68B1DB1-Normal5"/>
              <w:spacing w:after="0" w:line="240" w:lineRule="auto"/>
              <w:jc w:val="both"/>
              <w:rPr>
                <w:rFonts w:eastAsia="Times New Roman" w:cs="Times New Roman"/>
                <w:noProof/>
              </w:rPr>
            </w:pPr>
            <w:r>
              <w:rPr>
                <w:noProof/>
              </w:rPr>
              <w:t> TROMJESEČJE</w:t>
            </w:r>
          </w:p>
        </w:tc>
        <w:tc>
          <w:tcPr>
            <w:tcW w:w="851" w:type="dxa"/>
            <w:tcBorders>
              <w:top w:val="nil"/>
              <w:left w:val="nil"/>
              <w:bottom w:val="single" w:sz="4" w:space="0" w:color="auto"/>
              <w:right w:val="single" w:sz="4" w:space="0" w:color="auto"/>
            </w:tcBorders>
            <w:shd w:val="clear" w:color="auto" w:fill="C6EFCE"/>
            <w:noWrap/>
            <w:hideMark/>
          </w:tcPr>
          <w:p w14:paraId="7021C265" w14:textId="77777777" w:rsidR="003F46B9" w:rsidRDefault="0065662E">
            <w:pPr>
              <w:pStyle w:val="P68B1DB1-Normal5"/>
              <w:spacing w:after="0" w:line="240" w:lineRule="auto"/>
              <w:jc w:val="both"/>
              <w:rPr>
                <w:rFonts w:eastAsia="Times New Roman" w:cs="Times New Roman"/>
                <w:noProof/>
              </w:rPr>
            </w:pPr>
            <w:r>
              <w:rPr>
                <w:noProof/>
              </w:rPr>
              <w:t> 2024</w:t>
            </w:r>
          </w:p>
        </w:tc>
        <w:tc>
          <w:tcPr>
            <w:tcW w:w="2835" w:type="dxa"/>
            <w:tcBorders>
              <w:top w:val="nil"/>
              <w:left w:val="nil"/>
              <w:bottom w:val="single" w:sz="4" w:space="0" w:color="auto"/>
              <w:right w:val="single" w:sz="4" w:space="0" w:color="auto"/>
            </w:tcBorders>
            <w:shd w:val="clear" w:color="auto" w:fill="C6EFCE"/>
            <w:noWrap/>
            <w:hideMark/>
          </w:tcPr>
          <w:p w14:paraId="60A20EFD" w14:textId="215975BC" w:rsidR="003F46B9" w:rsidRDefault="0065662E">
            <w:pPr>
              <w:pStyle w:val="P68B1DB1-Normal5"/>
              <w:spacing w:after="0" w:line="240" w:lineRule="auto"/>
              <w:jc w:val="both"/>
              <w:rPr>
                <w:rFonts w:eastAsia="Times New Roman" w:cs="Times New Roman"/>
                <w:noProof/>
              </w:rPr>
            </w:pPr>
            <w:r>
              <w:rPr>
                <w:noProof/>
              </w:rPr>
              <w:t>Najmanje 319 km vodoopskrbnih mreža mora se izgraditi i pustiti u rad u općinama smještenima u aglomeracijama koje su prioritetne u ubrzanom planu za usklađivanje s europskim direktivama i u skladu s izmjenama Zak</w:t>
            </w:r>
            <w:r>
              <w:rPr>
                <w:noProof/>
              </w:rPr>
              <w:t xml:space="preserve">ona br. 241/2006 utvrđenima u Ključniku 1. </w:t>
            </w:r>
          </w:p>
        </w:tc>
      </w:tr>
      <w:tr w:rsidR="003F46B9" w14:paraId="2001799F"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9B4EA11" w14:textId="77777777" w:rsidR="003F46B9" w:rsidRDefault="0065662E">
            <w:pPr>
              <w:pStyle w:val="P68B1DB1-Normal5"/>
              <w:spacing w:after="0" w:line="240" w:lineRule="auto"/>
              <w:jc w:val="center"/>
              <w:rPr>
                <w:rFonts w:eastAsia="Times New Roman" w:cs="Times New Roman"/>
                <w:noProof/>
              </w:rPr>
            </w:pPr>
            <w:r>
              <w:rPr>
                <w:noProof/>
              </w:rPr>
              <w:t>6</w:t>
            </w:r>
          </w:p>
        </w:tc>
        <w:tc>
          <w:tcPr>
            <w:tcW w:w="1985" w:type="dxa"/>
            <w:tcBorders>
              <w:top w:val="nil"/>
              <w:left w:val="single" w:sz="4" w:space="0" w:color="auto"/>
              <w:bottom w:val="single" w:sz="4" w:space="0" w:color="auto"/>
              <w:right w:val="single" w:sz="4" w:space="0" w:color="auto"/>
            </w:tcBorders>
            <w:shd w:val="clear" w:color="auto" w:fill="C6EFCE"/>
            <w:noWrap/>
          </w:tcPr>
          <w:p w14:paraId="5883427C" w14:textId="77777777" w:rsidR="003F46B9" w:rsidRDefault="0065662E">
            <w:pPr>
              <w:pStyle w:val="P68B1DB1-Normal5"/>
              <w:spacing w:after="0" w:line="240" w:lineRule="auto"/>
              <w:jc w:val="both"/>
              <w:rPr>
                <w:rFonts w:eastAsia="Times New Roman" w:cs="Times New Roman"/>
                <w:noProof/>
              </w:rPr>
            </w:pPr>
            <w:r>
              <w:rPr>
                <w:noProof/>
              </w:rPr>
              <w:t xml:space="preserve">Ulaganje 1. Proširenje vodoopskrbnih i kanalizacijskih sustava u aglomeracijama s ekvivalentom stanovnika većim od 2000, što je prioritet u ubrzanom planu za usklađivanje s europskim direktivama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59A125A"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single" w:sz="4" w:space="0" w:color="auto"/>
              <w:left w:val="single" w:sz="4" w:space="0" w:color="auto"/>
              <w:bottom w:val="single" w:sz="4" w:space="0" w:color="auto"/>
              <w:right w:val="single" w:sz="4" w:space="0" w:color="auto"/>
            </w:tcBorders>
            <w:shd w:val="clear" w:color="auto" w:fill="C6EFCE"/>
            <w:noWrap/>
          </w:tcPr>
          <w:p w14:paraId="4325B259" w14:textId="77777777" w:rsidR="003F46B9" w:rsidRDefault="0065662E">
            <w:pPr>
              <w:pStyle w:val="P68B1DB1-Normal5"/>
              <w:spacing w:after="0" w:line="240" w:lineRule="auto"/>
              <w:jc w:val="both"/>
              <w:rPr>
                <w:rFonts w:eastAsia="Times New Roman" w:cs="Times New Roman"/>
                <w:noProof/>
              </w:rPr>
            </w:pPr>
            <w:r>
              <w:rPr>
                <w:noProof/>
              </w:rPr>
              <w:t xml:space="preserve">Izgrađene i operativne vodoopskrbne mreže </w:t>
            </w:r>
          </w:p>
          <w:p w14:paraId="1299C43A" w14:textId="77777777" w:rsidR="003F46B9" w:rsidRDefault="003F46B9">
            <w:pPr>
              <w:spacing w:after="0" w:line="240" w:lineRule="auto"/>
              <w:jc w:val="both"/>
              <w:rPr>
                <w:rFonts w:ascii="Times New Roman" w:eastAsia="Times New Roman" w:hAnsi="Times New Roman" w:cs="Times New Roman"/>
                <w:noProof/>
                <w:sz w:val="24"/>
              </w:rPr>
            </w:pPr>
          </w:p>
          <w:p w14:paraId="4DDBEF00"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5AA318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2C08453B" w14:textId="77777777" w:rsidR="003F46B9" w:rsidRDefault="0065662E">
            <w:pPr>
              <w:pStyle w:val="P68B1DB1-Normal5"/>
              <w:spacing w:after="0" w:line="240" w:lineRule="auto"/>
              <w:jc w:val="both"/>
              <w:rPr>
                <w:rFonts w:eastAsia="Times New Roman" w:cs="Times New Roman"/>
                <w:noProof/>
              </w:rPr>
            </w:pPr>
            <w:r>
              <w:rPr>
                <w:noProof/>
              </w:rPr>
              <w:t> Kilometri (km)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CBB677E" w14:textId="15852EFA" w:rsidR="003F46B9" w:rsidRDefault="0065662E">
            <w:pPr>
              <w:pStyle w:val="P68B1DB1-Normal5"/>
              <w:spacing w:after="0" w:line="240" w:lineRule="auto"/>
              <w:jc w:val="both"/>
              <w:rPr>
                <w:rFonts w:eastAsia="Times New Roman" w:cs="Times New Roman"/>
                <w:noProof/>
              </w:rPr>
            </w:pPr>
            <w:r>
              <w:rPr>
                <w:noProof/>
              </w:rPr>
              <w:t xml:space="preserve"> 319</w:t>
            </w:r>
          </w:p>
        </w:tc>
        <w:tc>
          <w:tcPr>
            <w:tcW w:w="851" w:type="dxa"/>
            <w:tcBorders>
              <w:top w:val="nil"/>
              <w:left w:val="single" w:sz="4" w:space="0" w:color="auto"/>
              <w:bottom w:val="single" w:sz="4" w:space="0" w:color="auto"/>
              <w:right w:val="single" w:sz="4" w:space="0" w:color="auto"/>
            </w:tcBorders>
            <w:shd w:val="clear" w:color="auto" w:fill="C6EFCE"/>
            <w:noWrap/>
          </w:tcPr>
          <w:p w14:paraId="53867189" w14:textId="3167D80E" w:rsidR="003F46B9" w:rsidRDefault="0065662E">
            <w:pPr>
              <w:pStyle w:val="P68B1DB1-Normal5"/>
              <w:spacing w:after="0" w:line="240" w:lineRule="auto"/>
              <w:jc w:val="both"/>
              <w:rPr>
                <w:rFonts w:eastAsia="Times New Roman" w:cs="Times New Roman"/>
                <w:noProof/>
              </w:rPr>
            </w:pPr>
            <w:r>
              <w:rPr>
                <w:noProof/>
              </w:rPr>
              <w:t> 1 282</w:t>
            </w:r>
          </w:p>
        </w:tc>
        <w:tc>
          <w:tcPr>
            <w:tcW w:w="1139" w:type="dxa"/>
            <w:tcBorders>
              <w:top w:val="nil"/>
              <w:left w:val="single" w:sz="4" w:space="0" w:color="auto"/>
              <w:bottom w:val="single" w:sz="4" w:space="0" w:color="auto"/>
              <w:right w:val="single" w:sz="4" w:space="0" w:color="auto"/>
            </w:tcBorders>
            <w:shd w:val="clear" w:color="auto" w:fill="C6EFCE"/>
            <w:noWrap/>
          </w:tcPr>
          <w:p w14:paraId="7E778CF1" w14:textId="77777777" w:rsidR="003F46B9" w:rsidRDefault="0065662E">
            <w:pPr>
              <w:pStyle w:val="P68B1DB1-Normal5"/>
              <w:spacing w:after="0" w:line="240" w:lineRule="auto"/>
              <w:jc w:val="both"/>
              <w:rPr>
                <w:rFonts w:eastAsia="Times New Roman" w:cs="Times New Roman"/>
                <w:noProof/>
              </w:rPr>
            </w:pPr>
            <w:r>
              <w:rPr>
                <w:noProof/>
              </w:rPr>
              <w:t>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762929D9" w14:textId="77777777" w:rsidR="003F46B9" w:rsidRDefault="0065662E">
            <w:pPr>
              <w:pStyle w:val="P68B1DB1-Normal5"/>
              <w:spacing w:after="0" w:line="240" w:lineRule="auto"/>
              <w:jc w:val="both"/>
              <w:rPr>
                <w:rFonts w:eastAsia="Times New Roman" w:cs="Times New Roman"/>
                <w:noProof/>
              </w:rPr>
            </w:pPr>
            <w:r>
              <w:rPr>
                <w:noProof/>
              </w:rPr>
              <w:t>2026 </w:t>
            </w:r>
          </w:p>
        </w:tc>
        <w:tc>
          <w:tcPr>
            <w:tcW w:w="2835" w:type="dxa"/>
            <w:tcBorders>
              <w:top w:val="single" w:sz="4" w:space="0" w:color="auto"/>
              <w:left w:val="single" w:sz="4" w:space="0" w:color="auto"/>
              <w:bottom w:val="single" w:sz="4" w:space="0" w:color="auto"/>
              <w:right w:val="single" w:sz="4" w:space="0" w:color="auto"/>
            </w:tcBorders>
            <w:shd w:val="clear" w:color="auto" w:fill="C6EFCE"/>
            <w:noWrap/>
          </w:tcPr>
          <w:p w14:paraId="6A0C9BDB" w14:textId="77D86381" w:rsidR="003F46B9" w:rsidRDefault="0065662E">
            <w:pPr>
              <w:pStyle w:val="P68B1DB1-Normal5"/>
              <w:spacing w:after="0" w:line="240" w:lineRule="auto"/>
              <w:jc w:val="both"/>
              <w:rPr>
                <w:rFonts w:cs="Times New Roman"/>
                <w:noProof/>
              </w:rPr>
            </w:pPr>
            <w:r>
              <w:rPr>
                <w:noProof/>
              </w:rPr>
              <w:t>U općinama smještenima u aglomeracijama koje su prioritetne u ubrzanom planu za usklađivanje s europskim direktivama i u skladu s izmjenama Zakona br. 241/2006 na</w:t>
            </w:r>
            <w:r>
              <w:rPr>
                <w:noProof/>
              </w:rPr>
              <w:t xml:space="preserve">vedenima u Ključnim temeljima 1. gradit će se i pustiti u rad ukupno 1 282 km vodoopskrbnih mreža. </w:t>
            </w:r>
          </w:p>
        </w:tc>
      </w:tr>
      <w:tr w:rsidR="003F46B9" w14:paraId="1031E57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5697EEC" w14:textId="77777777" w:rsidR="003F46B9" w:rsidRDefault="0065662E">
            <w:pPr>
              <w:pStyle w:val="P68B1DB1-Normal5"/>
              <w:spacing w:after="0" w:line="240" w:lineRule="auto"/>
              <w:jc w:val="center"/>
              <w:rPr>
                <w:rFonts w:eastAsia="Times New Roman" w:cs="Times New Roman"/>
                <w:noProof/>
              </w:rPr>
            </w:pPr>
            <w:r>
              <w:rPr>
                <w:noProof/>
              </w:rPr>
              <w:t>7</w:t>
            </w:r>
          </w:p>
        </w:tc>
        <w:tc>
          <w:tcPr>
            <w:tcW w:w="1985" w:type="dxa"/>
            <w:tcBorders>
              <w:top w:val="nil"/>
              <w:left w:val="single" w:sz="4" w:space="0" w:color="auto"/>
              <w:bottom w:val="single" w:sz="4" w:space="0" w:color="auto"/>
              <w:right w:val="single" w:sz="4" w:space="0" w:color="auto"/>
            </w:tcBorders>
            <w:shd w:val="clear" w:color="auto" w:fill="C6EFCE"/>
            <w:noWrap/>
          </w:tcPr>
          <w:p w14:paraId="2B9D2ABD" w14:textId="77777777" w:rsidR="003F46B9" w:rsidRDefault="0065662E">
            <w:pPr>
              <w:pStyle w:val="P68B1DB1-Normal5"/>
              <w:spacing w:after="0" w:line="240" w:lineRule="auto"/>
              <w:jc w:val="both"/>
              <w:rPr>
                <w:rFonts w:eastAsia="Times New Roman" w:cs="Times New Roman"/>
                <w:noProof/>
              </w:rPr>
            </w:pPr>
            <w:r>
              <w:rPr>
                <w:noProof/>
              </w:rPr>
              <w:t xml:space="preserve">Ulaganje 1. Proširenje vodoopskrbnih i kanalizacijskih sustava u aglomeracijama s ekvivalentom stanovnika većim od 2000, što je </w:t>
            </w:r>
            <w:r>
              <w:rPr>
                <w:noProof/>
              </w:rPr>
              <w:t xml:space="preserve">prioritet u ubrzanom planu za usklađivanje s europskim direktivama </w:t>
            </w:r>
          </w:p>
        </w:tc>
        <w:tc>
          <w:tcPr>
            <w:tcW w:w="1276" w:type="dxa"/>
            <w:tcBorders>
              <w:top w:val="nil"/>
              <w:left w:val="single" w:sz="4" w:space="0" w:color="auto"/>
              <w:bottom w:val="single" w:sz="4" w:space="0" w:color="auto"/>
              <w:right w:val="single" w:sz="4" w:space="0" w:color="auto"/>
            </w:tcBorders>
            <w:shd w:val="clear" w:color="auto" w:fill="C6EFCE"/>
            <w:noWrap/>
          </w:tcPr>
          <w:p w14:paraId="7A38EEB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4ABDFC92" w14:textId="77777777" w:rsidR="003F46B9" w:rsidRDefault="0065662E">
            <w:pPr>
              <w:pStyle w:val="P68B1DB1-Normal5"/>
              <w:spacing w:after="0" w:line="240" w:lineRule="auto"/>
              <w:jc w:val="both"/>
              <w:rPr>
                <w:rFonts w:eastAsia="Times New Roman" w:cs="Times New Roman"/>
                <w:noProof/>
              </w:rPr>
            </w:pPr>
            <w:r>
              <w:rPr>
                <w:noProof/>
              </w:rPr>
              <w:t xml:space="preserve">Izgrađene i operativne kanalizacijske mreže </w:t>
            </w:r>
          </w:p>
        </w:tc>
        <w:tc>
          <w:tcPr>
            <w:tcW w:w="1843" w:type="dxa"/>
            <w:tcBorders>
              <w:top w:val="nil"/>
              <w:left w:val="single" w:sz="4" w:space="0" w:color="auto"/>
              <w:bottom w:val="single" w:sz="4" w:space="0" w:color="auto"/>
              <w:right w:val="single" w:sz="4" w:space="0" w:color="auto"/>
            </w:tcBorders>
            <w:shd w:val="clear" w:color="auto" w:fill="C6EFCE"/>
            <w:noWrap/>
          </w:tcPr>
          <w:p w14:paraId="01512BE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F77BC09" w14:textId="77777777" w:rsidR="003F46B9" w:rsidRDefault="0065662E">
            <w:pPr>
              <w:pStyle w:val="P68B1DB1-Normal5"/>
              <w:spacing w:after="0" w:line="240" w:lineRule="auto"/>
              <w:jc w:val="both"/>
              <w:rPr>
                <w:rFonts w:eastAsia="Times New Roman"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4B584315"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4FB4232" w14:textId="436E4493" w:rsidR="003F46B9" w:rsidRDefault="0065662E">
            <w:pPr>
              <w:pStyle w:val="P68B1DB1-Normal5"/>
              <w:spacing w:after="0" w:line="240" w:lineRule="auto"/>
              <w:jc w:val="both"/>
              <w:rPr>
                <w:rFonts w:eastAsia="Times New Roman" w:cs="Times New Roman"/>
                <w:noProof/>
              </w:rPr>
            </w:pPr>
            <w:r>
              <w:rPr>
                <w:noProof/>
              </w:rPr>
              <w:t>239</w:t>
            </w:r>
          </w:p>
        </w:tc>
        <w:tc>
          <w:tcPr>
            <w:tcW w:w="1139" w:type="dxa"/>
            <w:tcBorders>
              <w:top w:val="nil"/>
              <w:left w:val="single" w:sz="4" w:space="0" w:color="auto"/>
              <w:bottom w:val="single" w:sz="4" w:space="0" w:color="auto"/>
              <w:right w:val="single" w:sz="4" w:space="0" w:color="auto"/>
            </w:tcBorders>
            <w:shd w:val="clear" w:color="auto" w:fill="C6EFCE"/>
            <w:noWrap/>
          </w:tcPr>
          <w:p w14:paraId="7A8F9DA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46C646BA" w14:textId="77777777" w:rsidR="003F46B9" w:rsidRDefault="0065662E">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04DC8DC2" w14:textId="784986DA" w:rsidR="003F46B9" w:rsidRDefault="0065662E">
            <w:pPr>
              <w:pStyle w:val="P68B1DB1-Normal5"/>
              <w:spacing w:after="0" w:line="240" w:lineRule="auto"/>
              <w:jc w:val="both"/>
              <w:rPr>
                <w:rFonts w:eastAsia="Times New Roman" w:cs="Times New Roman"/>
                <w:noProof/>
              </w:rPr>
            </w:pPr>
            <w:r>
              <w:rPr>
                <w:noProof/>
              </w:rPr>
              <w:t>Najmanje 239 km kanalizacijske mreže mora biti izgrađeno i operativno u aglomeracijama s više od</w:t>
            </w:r>
            <w:r>
              <w:rPr>
                <w:noProof/>
              </w:rPr>
              <w:t xml:space="preserve"> 2000 ekvivalenata stanovnika (l.e), što je prioritet u ubrzanom planu za usklađivanje s europskim direktivama i u skladu s izmjenama Zakona br. 241/2006 navedenima u Ključniku 1. </w:t>
            </w:r>
          </w:p>
        </w:tc>
      </w:tr>
      <w:tr w:rsidR="003F46B9" w14:paraId="160F5C6C"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4B0A208" w14:textId="77777777" w:rsidR="003F46B9" w:rsidRDefault="0065662E">
            <w:pPr>
              <w:pStyle w:val="P68B1DB1-Normal5"/>
              <w:spacing w:after="0" w:line="240" w:lineRule="auto"/>
              <w:jc w:val="center"/>
              <w:rPr>
                <w:rFonts w:eastAsia="Times New Roman" w:cs="Times New Roman"/>
                <w:noProof/>
              </w:rPr>
            </w:pPr>
            <w:r>
              <w:rPr>
                <w:noProof/>
              </w:rPr>
              <w:t>8</w:t>
            </w:r>
          </w:p>
        </w:tc>
        <w:tc>
          <w:tcPr>
            <w:tcW w:w="1985" w:type="dxa"/>
            <w:tcBorders>
              <w:top w:val="nil"/>
              <w:left w:val="single" w:sz="4" w:space="0" w:color="auto"/>
              <w:bottom w:val="single" w:sz="4" w:space="0" w:color="auto"/>
              <w:right w:val="single" w:sz="4" w:space="0" w:color="auto"/>
            </w:tcBorders>
            <w:shd w:val="clear" w:color="auto" w:fill="C6EFCE"/>
            <w:noWrap/>
          </w:tcPr>
          <w:p w14:paraId="05C5C8FB" w14:textId="77777777" w:rsidR="003F46B9" w:rsidRDefault="0065662E">
            <w:pPr>
              <w:pStyle w:val="P68B1DB1-Normal5"/>
              <w:spacing w:after="0" w:line="240" w:lineRule="auto"/>
              <w:jc w:val="both"/>
              <w:rPr>
                <w:rFonts w:eastAsia="Times New Roman" w:cs="Times New Roman"/>
                <w:noProof/>
              </w:rPr>
            </w:pPr>
            <w:r>
              <w:rPr>
                <w:noProof/>
              </w:rPr>
              <w:t xml:space="preserve">Ulaganje 1. Proširenje vodoopskrbnih i kanalizacijskih sustava u aglomeracijama s ekvivalentom stanovnika većim od 2000, što je prioritet u ubrzanom planu za usklađivanje s europskim direktivama </w:t>
            </w:r>
          </w:p>
        </w:tc>
        <w:tc>
          <w:tcPr>
            <w:tcW w:w="1276" w:type="dxa"/>
            <w:tcBorders>
              <w:top w:val="nil"/>
              <w:left w:val="single" w:sz="4" w:space="0" w:color="auto"/>
              <w:bottom w:val="single" w:sz="4" w:space="0" w:color="auto"/>
              <w:right w:val="single" w:sz="4" w:space="0" w:color="auto"/>
            </w:tcBorders>
            <w:shd w:val="clear" w:color="auto" w:fill="C6EFCE"/>
            <w:noWrap/>
          </w:tcPr>
          <w:p w14:paraId="67009B04"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1244B010" w14:textId="77777777" w:rsidR="003F46B9" w:rsidRDefault="0065662E">
            <w:pPr>
              <w:pStyle w:val="P68B1DB1-Normal5"/>
              <w:spacing w:after="0" w:line="240" w:lineRule="auto"/>
              <w:jc w:val="both"/>
              <w:rPr>
                <w:rFonts w:cs="Times New Roman"/>
                <w:noProof/>
              </w:rPr>
            </w:pPr>
            <w:r>
              <w:rPr>
                <w:noProof/>
              </w:rPr>
              <w:t>Izgrađene i operativne kanalizacijske mreže izgrađene</w:t>
            </w:r>
            <w:r>
              <w:rPr>
                <w:noProof/>
              </w:rPr>
              <w:t xml:space="preserve"> i operativne u aglomeracijama koje su prioritetne u ubrzanom planu za usklađivanje s europskim direktivama.</w:t>
            </w:r>
          </w:p>
        </w:tc>
        <w:tc>
          <w:tcPr>
            <w:tcW w:w="1843" w:type="dxa"/>
            <w:tcBorders>
              <w:top w:val="nil"/>
              <w:left w:val="single" w:sz="4" w:space="0" w:color="auto"/>
              <w:bottom w:val="single" w:sz="4" w:space="0" w:color="auto"/>
              <w:right w:val="single" w:sz="4" w:space="0" w:color="auto"/>
            </w:tcBorders>
            <w:shd w:val="clear" w:color="auto" w:fill="C6EFCE"/>
            <w:noWrap/>
          </w:tcPr>
          <w:p w14:paraId="0DA7063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B345F2A" w14:textId="77777777" w:rsidR="003F46B9" w:rsidRDefault="0065662E">
            <w:pPr>
              <w:pStyle w:val="P68B1DB1-Normal5"/>
              <w:spacing w:after="0" w:line="240" w:lineRule="auto"/>
              <w:jc w:val="both"/>
              <w:rPr>
                <w:rFonts w:eastAsia="Times New Roman"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6F73A68B" w14:textId="37C75607" w:rsidR="003F46B9" w:rsidRDefault="0065662E">
            <w:pPr>
              <w:pStyle w:val="P68B1DB1-Normal5"/>
              <w:spacing w:after="0" w:line="240" w:lineRule="auto"/>
              <w:jc w:val="both"/>
              <w:rPr>
                <w:rFonts w:eastAsia="Times New Roman" w:cs="Times New Roman"/>
                <w:noProof/>
              </w:rPr>
            </w:pPr>
            <w:r>
              <w:rPr>
                <w:noProof/>
              </w:rPr>
              <w:t>239</w:t>
            </w:r>
          </w:p>
        </w:tc>
        <w:tc>
          <w:tcPr>
            <w:tcW w:w="851" w:type="dxa"/>
            <w:tcBorders>
              <w:top w:val="nil"/>
              <w:left w:val="single" w:sz="4" w:space="0" w:color="auto"/>
              <w:bottom w:val="single" w:sz="4" w:space="0" w:color="auto"/>
              <w:right w:val="single" w:sz="4" w:space="0" w:color="auto"/>
            </w:tcBorders>
            <w:shd w:val="clear" w:color="auto" w:fill="C6EFCE"/>
            <w:noWrap/>
          </w:tcPr>
          <w:p w14:paraId="73B0472C" w14:textId="392D15F6" w:rsidR="003F46B9" w:rsidRDefault="0065662E">
            <w:pPr>
              <w:pStyle w:val="P68B1DB1-Normal5"/>
              <w:spacing w:after="0" w:line="240" w:lineRule="auto"/>
              <w:jc w:val="both"/>
              <w:rPr>
                <w:rFonts w:eastAsia="Times New Roman" w:cs="Times New Roman"/>
                <w:noProof/>
              </w:rPr>
            </w:pPr>
            <w:r>
              <w:rPr>
                <w:noProof/>
              </w:rPr>
              <w:t>2 003</w:t>
            </w:r>
          </w:p>
        </w:tc>
        <w:tc>
          <w:tcPr>
            <w:tcW w:w="1139" w:type="dxa"/>
            <w:tcBorders>
              <w:top w:val="nil"/>
              <w:left w:val="single" w:sz="4" w:space="0" w:color="auto"/>
              <w:bottom w:val="single" w:sz="4" w:space="0" w:color="auto"/>
              <w:right w:val="single" w:sz="4" w:space="0" w:color="auto"/>
            </w:tcBorders>
            <w:shd w:val="clear" w:color="auto" w:fill="C6EFCE"/>
            <w:noWrap/>
          </w:tcPr>
          <w:p w14:paraId="4A8B0D6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4B169B85"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53A48881" w14:textId="11B04421" w:rsidR="003F46B9" w:rsidRDefault="0065662E">
            <w:pPr>
              <w:pStyle w:val="P68B1DB1-Normal5"/>
              <w:spacing w:after="0" w:line="240" w:lineRule="auto"/>
              <w:jc w:val="both"/>
              <w:rPr>
                <w:rFonts w:eastAsia="Times New Roman" w:cs="Times New Roman"/>
                <w:noProof/>
              </w:rPr>
            </w:pPr>
            <w:r>
              <w:rPr>
                <w:noProof/>
              </w:rPr>
              <w:t xml:space="preserve">Najmanje 2 003 km kanalizacijske mreže mora se izgraditi i učiniti operativnim u aglomeracijama s više </w:t>
            </w:r>
            <w:r>
              <w:rPr>
                <w:noProof/>
              </w:rPr>
              <w:t>od 2000 ekvivalenata stanovnika (l.e), što je prioritet u ubrzanom planu za usklađivanje s europskim direktivama i u skladu s izmjenama Zakona br. 241/2006 navedenima u 1. ključnoj etapi 1.</w:t>
            </w:r>
          </w:p>
        </w:tc>
      </w:tr>
      <w:tr w:rsidR="003F46B9" w14:paraId="0FF039D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B2B7304" w14:textId="77777777" w:rsidR="003F46B9" w:rsidRDefault="0065662E">
            <w:pPr>
              <w:pStyle w:val="P68B1DB1-Normal5"/>
              <w:spacing w:after="0" w:line="240" w:lineRule="auto"/>
              <w:jc w:val="center"/>
              <w:rPr>
                <w:rFonts w:eastAsia="Times New Roman" w:cs="Times New Roman"/>
                <w:noProof/>
              </w:rPr>
            </w:pPr>
            <w:r>
              <w:rPr>
                <w:noProof/>
              </w:rPr>
              <w:t>9</w:t>
            </w:r>
          </w:p>
        </w:tc>
        <w:tc>
          <w:tcPr>
            <w:tcW w:w="1985" w:type="dxa"/>
            <w:tcBorders>
              <w:top w:val="nil"/>
              <w:left w:val="single" w:sz="4" w:space="0" w:color="auto"/>
              <w:bottom w:val="single" w:sz="4" w:space="0" w:color="auto"/>
              <w:right w:val="single" w:sz="4" w:space="0" w:color="auto"/>
            </w:tcBorders>
            <w:shd w:val="clear" w:color="auto" w:fill="C6EFCE"/>
            <w:noWrap/>
          </w:tcPr>
          <w:p w14:paraId="1ADF251E" w14:textId="77777777" w:rsidR="003F46B9" w:rsidRDefault="0065662E">
            <w:pPr>
              <w:pStyle w:val="P68B1DB1-Normal5"/>
              <w:spacing w:after="0" w:line="240" w:lineRule="auto"/>
              <w:jc w:val="both"/>
              <w:rPr>
                <w:rFonts w:eastAsia="Times New Roman" w:cs="Times New Roman"/>
                <w:noProof/>
              </w:rPr>
            </w:pPr>
            <w:r>
              <w:rPr>
                <w:noProof/>
              </w:rPr>
              <w:t>Ulaganje 2. Prikupljanje otpadnih voda u aglomeracijama s manje od 2000 stanovnika koje sprečavaju postizanje dobrog stanja vodnih tijela i/ili utječu na zaštićena prirodna područja</w:t>
            </w:r>
          </w:p>
        </w:tc>
        <w:tc>
          <w:tcPr>
            <w:tcW w:w="1276" w:type="dxa"/>
            <w:tcBorders>
              <w:top w:val="nil"/>
              <w:left w:val="single" w:sz="4" w:space="0" w:color="auto"/>
              <w:bottom w:val="single" w:sz="4" w:space="0" w:color="auto"/>
              <w:right w:val="single" w:sz="4" w:space="0" w:color="auto"/>
            </w:tcBorders>
            <w:shd w:val="clear" w:color="auto" w:fill="C6EFCE"/>
            <w:noWrap/>
          </w:tcPr>
          <w:p w14:paraId="478566D1"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275CD477" w14:textId="77777777" w:rsidR="003F46B9" w:rsidRDefault="0065662E">
            <w:pPr>
              <w:pStyle w:val="P68B1DB1-Normal5"/>
              <w:spacing w:after="0" w:line="240" w:lineRule="auto"/>
              <w:jc w:val="both"/>
              <w:rPr>
                <w:rFonts w:eastAsia="Times New Roman" w:cs="Times New Roman"/>
                <w:noProof/>
              </w:rPr>
            </w:pPr>
            <w:r>
              <w:rPr>
                <w:noProof/>
              </w:rPr>
              <w:t>Pojedinačni ili drugi odgovarajući sustavi izgrađeni i operativni u</w:t>
            </w:r>
            <w:r>
              <w:rPr>
                <w:noProof/>
              </w:rPr>
              <w:t xml:space="preserve"> aglomeracijama s ekvivalentom stanovnika manjim od 2000</w:t>
            </w:r>
          </w:p>
        </w:tc>
        <w:tc>
          <w:tcPr>
            <w:tcW w:w="1843" w:type="dxa"/>
            <w:tcBorders>
              <w:top w:val="nil"/>
              <w:left w:val="single" w:sz="4" w:space="0" w:color="auto"/>
              <w:bottom w:val="single" w:sz="4" w:space="0" w:color="auto"/>
              <w:right w:val="single" w:sz="4" w:space="0" w:color="auto"/>
            </w:tcBorders>
            <w:shd w:val="clear" w:color="auto" w:fill="C6EFCE"/>
            <w:noWrap/>
          </w:tcPr>
          <w:p w14:paraId="46624170"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15F94F2D"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2322F001"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11447E3E" w14:textId="77777777" w:rsidR="003F46B9" w:rsidRDefault="0065662E">
            <w:pPr>
              <w:pStyle w:val="P68B1DB1-Normal5"/>
              <w:spacing w:after="0" w:line="240" w:lineRule="auto"/>
              <w:jc w:val="both"/>
              <w:rPr>
                <w:rFonts w:eastAsia="Times New Roman" w:cs="Times New Roman"/>
                <w:noProof/>
              </w:rPr>
            </w:pPr>
            <w:r>
              <w:rPr>
                <w:noProof/>
              </w:rPr>
              <w:t>1 000</w:t>
            </w:r>
          </w:p>
        </w:tc>
        <w:tc>
          <w:tcPr>
            <w:tcW w:w="1139" w:type="dxa"/>
            <w:tcBorders>
              <w:top w:val="nil"/>
              <w:left w:val="single" w:sz="4" w:space="0" w:color="auto"/>
              <w:bottom w:val="single" w:sz="4" w:space="0" w:color="auto"/>
              <w:right w:val="single" w:sz="4" w:space="0" w:color="auto"/>
            </w:tcBorders>
            <w:shd w:val="clear" w:color="auto" w:fill="C6EFCE"/>
            <w:noWrap/>
          </w:tcPr>
          <w:p w14:paraId="6DF9947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73F56A6F" w14:textId="77777777" w:rsidR="003F46B9" w:rsidRDefault="0065662E">
            <w:pPr>
              <w:pStyle w:val="P68B1DB1-Normal5"/>
              <w:spacing w:after="0" w:line="240" w:lineRule="auto"/>
              <w:jc w:val="both"/>
              <w:rPr>
                <w:rFonts w:eastAsia="Times New Roman" w:cs="Times New Roman"/>
                <w:noProof/>
              </w:rPr>
            </w:pPr>
            <w:r>
              <w:rPr>
                <w:noProof/>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5F3DF2B1" w14:textId="77777777" w:rsidR="003F46B9" w:rsidRDefault="0065662E">
            <w:pPr>
              <w:pStyle w:val="P68B1DB1-Normal5"/>
              <w:spacing w:after="0" w:line="240" w:lineRule="auto"/>
              <w:jc w:val="both"/>
              <w:rPr>
                <w:rFonts w:eastAsia="Times New Roman" w:cs="Times New Roman"/>
                <w:noProof/>
              </w:rPr>
            </w:pPr>
            <w:r>
              <w:rPr>
                <w:noProof/>
              </w:rPr>
              <w:t xml:space="preserve">Mora se izgraditi i učiniti operativnim najmanje 1000 pojedinačnih ili drugih odgovarajućih sustava kako bi se smanjilo opterećenje u </w:t>
            </w:r>
            <w:r>
              <w:rPr>
                <w:noProof/>
              </w:rPr>
              <w:t xml:space="preserve">aglomeracijama s ekvivalentom stanovnika manjim od 2000 koji sprečavaju postizanje dobrog stanja vodnih tijela i/ili utječu na prirodna zaštićena područja. </w:t>
            </w:r>
          </w:p>
        </w:tc>
      </w:tr>
      <w:tr w:rsidR="003F46B9" w14:paraId="0F5C0B3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D369756" w14:textId="77777777" w:rsidR="003F46B9" w:rsidRDefault="0065662E">
            <w:pPr>
              <w:pStyle w:val="P68B1DB1-Normal5"/>
              <w:spacing w:after="0" w:line="240" w:lineRule="auto"/>
              <w:jc w:val="center"/>
              <w:rPr>
                <w:rFonts w:eastAsia="Times New Roman" w:cs="Times New Roman"/>
                <w:noProof/>
              </w:rPr>
            </w:pPr>
            <w:r>
              <w:rPr>
                <w:noProof/>
              </w:rPr>
              <w:t>10</w:t>
            </w:r>
          </w:p>
        </w:tc>
        <w:tc>
          <w:tcPr>
            <w:tcW w:w="1985" w:type="dxa"/>
            <w:tcBorders>
              <w:top w:val="nil"/>
              <w:left w:val="single" w:sz="4" w:space="0" w:color="auto"/>
              <w:bottom w:val="single" w:sz="4" w:space="0" w:color="auto"/>
              <w:right w:val="single" w:sz="4" w:space="0" w:color="auto"/>
            </w:tcBorders>
            <w:shd w:val="clear" w:color="auto" w:fill="C6EFCE"/>
            <w:noWrap/>
          </w:tcPr>
          <w:p w14:paraId="49A05FBC" w14:textId="77777777" w:rsidR="003F46B9" w:rsidRDefault="0065662E">
            <w:pPr>
              <w:pStyle w:val="P68B1DB1-Normal5"/>
              <w:spacing w:after="0" w:line="240" w:lineRule="auto"/>
              <w:jc w:val="both"/>
              <w:rPr>
                <w:rFonts w:eastAsia="Times New Roman" w:cs="Times New Roman"/>
                <w:noProof/>
              </w:rPr>
            </w:pPr>
            <w:r>
              <w:rPr>
                <w:noProof/>
              </w:rPr>
              <w:t xml:space="preserve">Ulaganje 2. Prikupljanje otpadnih voda u aglomeracijama s manje od 2000 stanovnika koje </w:t>
            </w:r>
            <w:r>
              <w:rPr>
                <w:noProof/>
              </w:rPr>
              <w:t>sprečavaju postizanje dobrog stanja vodnih tijela i/ili utječu na zaštićena prirodna područja</w:t>
            </w:r>
          </w:p>
        </w:tc>
        <w:tc>
          <w:tcPr>
            <w:tcW w:w="1276" w:type="dxa"/>
            <w:tcBorders>
              <w:top w:val="nil"/>
              <w:left w:val="single" w:sz="4" w:space="0" w:color="auto"/>
              <w:bottom w:val="single" w:sz="4" w:space="0" w:color="auto"/>
              <w:right w:val="single" w:sz="4" w:space="0" w:color="auto"/>
            </w:tcBorders>
            <w:shd w:val="clear" w:color="auto" w:fill="C6EFCE"/>
            <w:noWrap/>
          </w:tcPr>
          <w:p w14:paraId="1A873CFE"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61AA5898" w14:textId="77777777" w:rsidR="003F46B9" w:rsidRDefault="0065662E">
            <w:pPr>
              <w:pStyle w:val="P68B1DB1-Normal5"/>
              <w:spacing w:after="0" w:line="240" w:lineRule="auto"/>
              <w:jc w:val="both"/>
              <w:rPr>
                <w:rFonts w:eastAsia="Times New Roman" w:cs="Times New Roman"/>
                <w:noProof/>
              </w:rPr>
            </w:pPr>
            <w:r>
              <w:rPr>
                <w:noProof/>
              </w:rPr>
              <w:t>Pojedinačni ili drugi odgovarajući sustavi izgrađeni i operativni u aglomeracijama s ekvivalentom stanovnika manjim od 2000.</w:t>
            </w:r>
          </w:p>
        </w:tc>
        <w:tc>
          <w:tcPr>
            <w:tcW w:w="1843" w:type="dxa"/>
            <w:tcBorders>
              <w:top w:val="nil"/>
              <w:left w:val="single" w:sz="4" w:space="0" w:color="auto"/>
              <w:bottom w:val="single" w:sz="4" w:space="0" w:color="auto"/>
              <w:right w:val="single" w:sz="4" w:space="0" w:color="auto"/>
            </w:tcBorders>
            <w:shd w:val="clear" w:color="auto" w:fill="C6EFCE"/>
            <w:noWrap/>
          </w:tcPr>
          <w:p w14:paraId="4B8484D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407ED7C"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610F9B2F" w14:textId="77777777" w:rsidR="003F46B9" w:rsidRDefault="0065662E">
            <w:pPr>
              <w:pStyle w:val="P68B1DB1-Normal5"/>
              <w:spacing w:after="0" w:line="240" w:lineRule="auto"/>
              <w:jc w:val="both"/>
              <w:rPr>
                <w:rFonts w:eastAsia="Times New Roman" w:cs="Times New Roman"/>
                <w:noProof/>
              </w:rPr>
            </w:pPr>
            <w:r>
              <w:rPr>
                <w:noProof/>
              </w:rPr>
              <w:t>1 000</w:t>
            </w:r>
          </w:p>
        </w:tc>
        <w:tc>
          <w:tcPr>
            <w:tcW w:w="851" w:type="dxa"/>
            <w:tcBorders>
              <w:top w:val="nil"/>
              <w:left w:val="single" w:sz="4" w:space="0" w:color="auto"/>
              <w:bottom w:val="single" w:sz="4" w:space="0" w:color="auto"/>
              <w:right w:val="single" w:sz="4" w:space="0" w:color="auto"/>
            </w:tcBorders>
            <w:shd w:val="clear" w:color="auto" w:fill="C6EFCE"/>
            <w:noWrap/>
          </w:tcPr>
          <w:p w14:paraId="1C3CEF02" w14:textId="77777777" w:rsidR="003F46B9" w:rsidRDefault="0065662E">
            <w:pPr>
              <w:pStyle w:val="P68B1DB1-Normal5"/>
              <w:spacing w:after="0" w:line="240" w:lineRule="auto"/>
              <w:jc w:val="both"/>
              <w:rPr>
                <w:rFonts w:eastAsia="Times New Roman" w:cs="Times New Roman"/>
                <w:noProof/>
              </w:rPr>
            </w:pPr>
            <w:r>
              <w:rPr>
                <w:noProof/>
              </w:rPr>
              <w:t>12 900</w:t>
            </w:r>
          </w:p>
        </w:tc>
        <w:tc>
          <w:tcPr>
            <w:tcW w:w="1139" w:type="dxa"/>
            <w:tcBorders>
              <w:top w:val="nil"/>
              <w:left w:val="single" w:sz="4" w:space="0" w:color="auto"/>
              <w:bottom w:val="single" w:sz="4" w:space="0" w:color="auto"/>
              <w:right w:val="single" w:sz="4" w:space="0" w:color="auto"/>
            </w:tcBorders>
            <w:shd w:val="clear" w:color="auto" w:fill="C6EFCE"/>
            <w:noWrap/>
          </w:tcPr>
          <w:p w14:paraId="735CD07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627BB9B2"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0B7FB077" w14:textId="77777777" w:rsidR="003F46B9" w:rsidRDefault="0065662E">
            <w:pPr>
              <w:pStyle w:val="P68B1DB1-Normal5"/>
              <w:spacing w:after="0" w:line="240" w:lineRule="auto"/>
              <w:jc w:val="both"/>
              <w:rPr>
                <w:rFonts w:eastAsia="Times New Roman" w:cs="Times New Roman"/>
                <w:noProof/>
              </w:rPr>
            </w:pPr>
            <w:r>
              <w:rPr>
                <w:noProof/>
              </w:rPr>
              <w:t>Mora se izgraditi i učiniti operativnim najmanje 12900 ukupno pojedinačnih ili drugih odgovarajućih sustava kako bi se smanjilo opterećenje u aglomeracijama s manje od 2000 ekvivalenata stanovnika koji sprečavaju postizanje dobrog stanja v</w:t>
            </w:r>
            <w:r>
              <w:rPr>
                <w:noProof/>
              </w:rPr>
              <w:t xml:space="preserve">odnih tijela i/ili utječu na prirodna zaštićena područja. </w:t>
            </w:r>
          </w:p>
        </w:tc>
      </w:tr>
      <w:tr w:rsidR="003F46B9" w14:paraId="3D37598E"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737E36C" w14:textId="77777777" w:rsidR="003F46B9" w:rsidRDefault="0065662E">
            <w:pPr>
              <w:pStyle w:val="P68B1DB1-Normal5"/>
              <w:spacing w:after="0" w:line="240" w:lineRule="auto"/>
              <w:jc w:val="center"/>
              <w:rPr>
                <w:rFonts w:eastAsia="Times New Roman" w:cs="Times New Roman"/>
                <w:noProof/>
              </w:rPr>
            </w:pPr>
            <w:r>
              <w:rPr>
                <w:noProof/>
              </w:rPr>
              <w:t>11</w:t>
            </w:r>
          </w:p>
        </w:tc>
        <w:tc>
          <w:tcPr>
            <w:tcW w:w="1985" w:type="dxa"/>
            <w:tcBorders>
              <w:top w:val="nil"/>
              <w:left w:val="single" w:sz="4" w:space="0" w:color="auto"/>
              <w:bottom w:val="single" w:sz="4" w:space="0" w:color="auto"/>
              <w:right w:val="single" w:sz="4" w:space="0" w:color="auto"/>
            </w:tcBorders>
            <w:shd w:val="clear" w:color="auto" w:fill="C6EFCE"/>
            <w:noWrap/>
          </w:tcPr>
          <w:p w14:paraId="20BADED5" w14:textId="77777777" w:rsidR="003F46B9" w:rsidRDefault="0065662E">
            <w:pPr>
              <w:pStyle w:val="P68B1DB1-Normal5"/>
              <w:spacing w:after="0" w:line="240" w:lineRule="auto"/>
              <w:jc w:val="both"/>
              <w:rPr>
                <w:rFonts w:eastAsia="Times New Roman" w:cs="Times New Roman"/>
                <w:noProof/>
              </w:rPr>
            </w:pPr>
            <w:r>
              <w:rPr>
                <w:noProof/>
              </w:rPr>
              <w:t>Ulaganje 2. Prikupljanje otpadnih voda u aglomeracijama s manje od 2000 stanovnika koje sprečavaju postizanje dobrog stanja vodnih tijela i/ili utječu na prirodna zaštićena područja</w:t>
            </w:r>
          </w:p>
        </w:tc>
        <w:tc>
          <w:tcPr>
            <w:tcW w:w="1276" w:type="dxa"/>
            <w:tcBorders>
              <w:top w:val="nil"/>
              <w:left w:val="single" w:sz="4" w:space="0" w:color="auto"/>
              <w:bottom w:val="single" w:sz="4" w:space="0" w:color="auto"/>
              <w:right w:val="single" w:sz="4" w:space="0" w:color="auto"/>
            </w:tcBorders>
            <w:shd w:val="clear" w:color="auto" w:fill="C6EFCE"/>
            <w:noWrap/>
          </w:tcPr>
          <w:p w14:paraId="6F28537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51A5F55C" w14:textId="77777777" w:rsidR="003F46B9" w:rsidRDefault="0065662E">
            <w:pPr>
              <w:pStyle w:val="P68B1DB1-Normal5"/>
              <w:spacing w:after="0" w:line="240" w:lineRule="auto"/>
              <w:jc w:val="both"/>
              <w:rPr>
                <w:rFonts w:eastAsia="Times New Roman" w:cs="Times New Roman"/>
                <w:noProof/>
              </w:rPr>
            </w:pPr>
            <w:r>
              <w:rPr>
                <w:noProof/>
              </w:rPr>
              <w:t>Izgrađena i operativna kanalizacijska mreža u aglomeracijama manjima od 2000 stanovnika.</w:t>
            </w:r>
          </w:p>
        </w:tc>
        <w:tc>
          <w:tcPr>
            <w:tcW w:w="1843" w:type="dxa"/>
            <w:tcBorders>
              <w:top w:val="nil"/>
              <w:left w:val="single" w:sz="4" w:space="0" w:color="auto"/>
              <w:bottom w:val="single" w:sz="4" w:space="0" w:color="auto"/>
              <w:right w:val="single" w:sz="4" w:space="0" w:color="auto"/>
            </w:tcBorders>
            <w:shd w:val="clear" w:color="auto" w:fill="C6EFCE"/>
            <w:noWrap/>
          </w:tcPr>
          <w:p w14:paraId="4F8F56C0"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A241F51" w14:textId="77777777" w:rsidR="003F46B9" w:rsidRDefault="0065662E">
            <w:pPr>
              <w:pStyle w:val="P68B1DB1-Normal5"/>
              <w:spacing w:after="0" w:line="240" w:lineRule="auto"/>
              <w:jc w:val="both"/>
              <w:rPr>
                <w:rFonts w:eastAsia="Times New Roman"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7B7EFE02"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0CCF700D" w14:textId="3AABE5FE" w:rsidR="003F46B9" w:rsidRDefault="0065662E">
            <w:pPr>
              <w:pStyle w:val="P68B1DB1-Normal5"/>
              <w:spacing w:after="0" w:line="240" w:lineRule="auto"/>
              <w:jc w:val="both"/>
              <w:rPr>
                <w:rFonts w:eastAsia="Times New Roman" w:cs="Times New Roman"/>
                <w:noProof/>
              </w:rPr>
            </w:pPr>
            <w:r>
              <w:rPr>
                <w:noProof/>
              </w:rPr>
              <w:t>80</w:t>
            </w:r>
          </w:p>
        </w:tc>
        <w:tc>
          <w:tcPr>
            <w:tcW w:w="1139" w:type="dxa"/>
            <w:tcBorders>
              <w:top w:val="nil"/>
              <w:left w:val="single" w:sz="4" w:space="0" w:color="auto"/>
              <w:bottom w:val="single" w:sz="4" w:space="0" w:color="auto"/>
              <w:right w:val="single" w:sz="4" w:space="0" w:color="auto"/>
            </w:tcBorders>
            <w:shd w:val="clear" w:color="auto" w:fill="C6EFCE"/>
            <w:noWrap/>
          </w:tcPr>
          <w:p w14:paraId="7A86818B"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560B5D26" w14:textId="77777777" w:rsidR="003F46B9" w:rsidRDefault="0065662E">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286FE1EE" w14:textId="6FA31531" w:rsidR="003F46B9" w:rsidRDefault="0065662E">
            <w:pPr>
              <w:pStyle w:val="P68B1DB1-Normal5"/>
              <w:spacing w:after="0" w:line="240" w:lineRule="auto"/>
              <w:jc w:val="both"/>
              <w:rPr>
                <w:rFonts w:eastAsia="Times New Roman" w:cs="Times New Roman"/>
                <w:noProof/>
              </w:rPr>
            </w:pPr>
            <w:r>
              <w:rPr>
                <w:noProof/>
              </w:rPr>
              <w:t xml:space="preserve">Najmanje 80 km kanalizacijske mreže u aglomeracijama manjima od 2000 ekvivalenata </w:t>
            </w:r>
            <w:r>
              <w:rPr>
                <w:noProof/>
              </w:rPr>
              <w:t xml:space="preserve">stanovnika mora biti izgrađeno i u funkciji te biti u skladu s izmjenama Zakona br. 241/2006 utvrđenima u ključnoj etapi 1. </w:t>
            </w:r>
          </w:p>
        </w:tc>
      </w:tr>
      <w:tr w:rsidR="003F46B9" w14:paraId="214E3FC7"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B73E586" w14:textId="77777777" w:rsidR="003F46B9" w:rsidRDefault="0065662E">
            <w:pPr>
              <w:pStyle w:val="P68B1DB1-Normal5"/>
              <w:spacing w:after="0" w:line="240" w:lineRule="auto"/>
              <w:jc w:val="center"/>
              <w:rPr>
                <w:rFonts w:eastAsia="Times New Roman" w:cs="Times New Roman"/>
                <w:noProof/>
              </w:rPr>
            </w:pPr>
            <w:r>
              <w:rPr>
                <w:noProof/>
              </w:rPr>
              <w:t>12</w:t>
            </w:r>
          </w:p>
        </w:tc>
        <w:tc>
          <w:tcPr>
            <w:tcW w:w="1985" w:type="dxa"/>
            <w:tcBorders>
              <w:top w:val="nil"/>
              <w:left w:val="single" w:sz="4" w:space="0" w:color="auto"/>
              <w:bottom w:val="single" w:sz="4" w:space="0" w:color="auto"/>
              <w:right w:val="single" w:sz="4" w:space="0" w:color="auto"/>
            </w:tcBorders>
            <w:shd w:val="clear" w:color="auto" w:fill="C6EFCE"/>
            <w:noWrap/>
          </w:tcPr>
          <w:p w14:paraId="6CD5629D" w14:textId="77777777" w:rsidR="003F46B9" w:rsidRDefault="0065662E">
            <w:pPr>
              <w:pStyle w:val="P68B1DB1-Normal5"/>
              <w:spacing w:after="0" w:line="240" w:lineRule="auto"/>
              <w:jc w:val="both"/>
              <w:rPr>
                <w:rFonts w:eastAsia="Times New Roman" w:cs="Times New Roman"/>
                <w:noProof/>
              </w:rPr>
            </w:pPr>
            <w:r>
              <w:rPr>
                <w:noProof/>
              </w:rPr>
              <w:t xml:space="preserve">Ulaganje 2. Prikupljanje otpadnih voda u aglomeracijama s manje od 2000 stanovnika koje sprečavaju postizanje dobrog stanja vodnih tijela i/ili utječu na zaštićena prirodna područja </w:t>
            </w:r>
          </w:p>
        </w:tc>
        <w:tc>
          <w:tcPr>
            <w:tcW w:w="1276" w:type="dxa"/>
            <w:tcBorders>
              <w:top w:val="nil"/>
              <w:left w:val="single" w:sz="4" w:space="0" w:color="auto"/>
              <w:bottom w:val="single" w:sz="4" w:space="0" w:color="auto"/>
              <w:right w:val="single" w:sz="4" w:space="0" w:color="auto"/>
            </w:tcBorders>
            <w:shd w:val="clear" w:color="auto" w:fill="C6EFCE"/>
            <w:noWrap/>
          </w:tcPr>
          <w:p w14:paraId="1687BC1C"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64F12686" w14:textId="77777777" w:rsidR="003F46B9" w:rsidRDefault="0065662E">
            <w:pPr>
              <w:pStyle w:val="P68B1DB1-Normal5"/>
              <w:spacing w:after="0" w:line="240" w:lineRule="auto"/>
              <w:jc w:val="both"/>
              <w:rPr>
                <w:rFonts w:eastAsia="Times New Roman" w:cs="Times New Roman"/>
                <w:noProof/>
              </w:rPr>
            </w:pPr>
            <w:r>
              <w:rPr>
                <w:noProof/>
              </w:rPr>
              <w:t>Izgrađene i operativne kanalizacijske mreže u aglomeracijama s ekv</w:t>
            </w:r>
            <w:r>
              <w:rPr>
                <w:noProof/>
              </w:rPr>
              <w:t>ivalentom stanovnika manjim od 2000</w:t>
            </w:r>
          </w:p>
        </w:tc>
        <w:tc>
          <w:tcPr>
            <w:tcW w:w="1843" w:type="dxa"/>
            <w:tcBorders>
              <w:top w:val="nil"/>
              <w:left w:val="single" w:sz="4" w:space="0" w:color="auto"/>
              <w:bottom w:val="single" w:sz="4" w:space="0" w:color="auto"/>
              <w:right w:val="single" w:sz="4" w:space="0" w:color="auto"/>
            </w:tcBorders>
            <w:shd w:val="clear" w:color="auto" w:fill="C6EFCE"/>
            <w:noWrap/>
          </w:tcPr>
          <w:p w14:paraId="649CC1F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443B20EF" w14:textId="77777777" w:rsidR="003F46B9" w:rsidRDefault="0065662E">
            <w:pPr>
              <w:pStyle w:val="P68B1DB1-Normal5"/>
              <w:spacing w:after="0" w:line="240" w:lineRule="auto"/>
              <w:jc w:val="both"/>
              <w:rPr>
                <w:rFonts w:eastAsia="Times New Roman"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02B72823" w14:textId="5E70FA6D" w:rsidR="003F46B9" w:rsidRDefault="0065662E">
            <w:pPr>
              <w:pStyle w:val="P68B1DB1-Normal5"/>
              <w:spacing w:after="0" w:line="240" w:lineRule="auto"/>
              <w:jc w:val="both"/>
              <w:rPr>
                <w:rFonts w:eastAsia="Times New Roman" w:cs="Times New Roman"/>
                <w:noProof/>
              </w:rPr>
            </w:pPr>
            <w:r>
              <w:rPr>
                <w:noProof/>
              </w:rPr>
              <w:t>80</w:t>
            </w:r>
          </w:p>
        </w:tc>
        <w:tc>
          <w:tcPr>
            <w:tcW w:w="851" w:type="dxa"/>
            <w:tcBorders>
              <w:top w:val="nil"/>
              <w:left w:val="single" w:sz="4" w:space="0" w:color="auto"/>
              <w:bottom w:val="single" w:sz="4" w:space="0" w:color="auto"/>
              <w:right w:val="single" w:sz="4" w:space="0" w:color="auto"/>
            </w:tcBorders>
            <w:shd w:val="clear" w:color="auto" w:fill="C6EFCE"/>
            <w:noWrap/>
          </w:tcPr>
          <w:p w14:paraId="18F7D30E" w14:textId="2F440ABB" w:rsidR="003F46B9" w:rsidRDefault="0065662E">
            <w:pPr>
              <w:pStyle w:val="P68B1DB1-Normal5"/>
              <w:spacing w:after="0" w:line="240" w:lineRule="auto"/>
              <w:jc w:val="both"/>
              <w:rPr>
                <w:rFonts w:eastAsia="Times New Roman" w:cs="Times New Roman"/>
                <w:noProof/>
              </w:rPr>
            </w:pPr>
            <w:r>
              <w:rPr>
                <w:noProof/>
              </w:rPr>
              <w:t>320</w:t>
            </w:r>
          </w:p>
        </w:tc>
        <w:tc>
          <w:tcPr>
            <w:tcW w:w="1139" w:type="dxa"/>
            <w:tcBorders>
              <w:top w:val="nil"/>
              <w:left w:val="single" w:sz="4" w:space="0" w:color="auto"/>
              <w:bottom w:val="single" w:sz="4" w:space="0" w:color="auto"/>
              <w:right w:val="single" w:sz="4" w:space="0" w:color="auto"/>
            </w:tcBorders>
            <w:shd w:val="clear" w:color="auto" w:fill="C6EFCE"/>
            <w:noWrap/>
          </w:tcPr>
          <w:p w14:paraId="3AE9D3A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5A7F8D70"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7D383D9" w14:textId="11C5F8A1" w:rsidR="003F46B9" w:rsidRDefault="0065662E">
            <w:pPr>
              <w:pStyle w:val="P68B1DB1-Normal5"/>
              <w:spacing w:after="0" w:line="240" w:lineRule="auto"/>
              <w:jc w:val="both"/>
              <w:rPr>
                <w:rFonts w:eastAsia="Times New Roman" w:cs="Times New Roman"/>
                <w:noProof/>
              </w:rPr>
            </w:pPr>
            <w:r>
              <w:rPr>
                <w:noProof/>
              </w:rPr>
              <w:t xml:space="preserve">Najmanje 320 km kanalizacijske mreže u aglomeracijama manjima od 2000 ekvivalenata stanovnika mora biti izgrađeno i u funkciji te biti u skladu s izmjenama Zakona br. 241/2006 </w:t>
            </w:r>
            <w:r>
              <w:rPr>
                <w:noProof/>
              </w:rPr>
              <w:t>utvrđenima u ključnoj etapi 1.</w:t>
            </w:r>
          </w:p>
        </w:tc>
      </w:tr>
      <w:tr w:rsidR="003F46B9" w14:paraId="47AC23D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9F18D26" w14:textId="77777777" w:rsidR="003F46B9" w:rsidRDefault="0065662E">
            <w:pPr>
              <w:pStyle w:val="P68B1DB1-Normal5"/>
              <w:spacing w:after="0" w:line="240" w:lineRule="auto"/>
              <w:jc w:val="center"/>
              <w:rPr>
                <w:rFonts w:eastAsia="Times New Roman" w:cs="Times New Roman"/>
                <w:noProof/>
              </w:rPr>
            </w:pPr>
            <w:r>
              <w:rPr>
                <w:noProof/>
              </w:rPr>
              <w:t>13</w:t>
            </w:r>
          </w:p>
        </w:tc>
        <w:tc>
          <w:tcPr>
            <w:tcW w:w="1985" w:type="dxa"/>
            <w:tcBorders>
              <w:top w:val="nil"/>
              <w:left w:val="single" w:sz="4" w:space="0" w:color="auto"/>
              <w:bottom w:val="single" w:sz="4" w:space="0" w:color="auto"/>
              <w:right w:val="single" w:sz="4" w:space="0" w:color="auto"/>
            </w:tcBorders>
            <w:shd w:val="clear" w:color="auto" w:fill="C6EFCE"/>
            <w:noWrap/>
          </w:tcPr>
          <w:p w14:paraId="61806710" w14:textId="77777777" w:rsidR="003F46B9" w:rsidRDefault="0065662E">
            <w:pPr>
              <w:pStyle w:val="P68B1DB1-Normal5"/>
              <w:spacing w:after="0" w:line="240" w:lineRule="auto"/>
              <w:jc w:val="both"/>
              <w:rPr>
                <w:rFonts w:eastAsia="Times New Roman" w:cs="Times New Roman"/>
                <w:noProof/>
              </w:rPr>
            </w:pPr>
            <w:r>
              <w:rPr>
                <w:noProof/>
              </w:rPr>
              <w:t>Ulaganje 3. Potpora povezivanju stanovništva s niskim prihodima na postojeće vodovodne i kanalizacijske mreže</w:t>
            </w:r>
          </w:p>
        </w:tc>
        <w:tc>
          <w:tcPr>
            <w:tcW w:w="1276" w:type="dxa"/>
            <w:tcBorders>
              <w:top w:val="nil"/>
              <w:left w:val="single" w:sz="4" w:space="0" w:color="auto"/>
              <w:bottom w:val="single" w:sz="4" w:space="0" w:color="auto"/>
              <w:right w:val="single" w:sz="4" w:space="0" w:color="auto"/>
            </w:tcBorders>
            <w:shd w:val="clear" w:color="auto" w:fill="C6EFCE"/>
            <w:noWrap/>
          </w:tcPr>
          <w:p w14:paraId="2BC70DA8"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30565F0A" w14:textId="77777777" w:rsidR="003F46B9" w:rsidRDefault="0065662E">
            <w:pPr>
              <w:pStyle w:val="P68B1DB1-Normal5"/>
              <w:spacing w:after="0" w:line="240" w:lineRule="auto"/>
              <w:jc w:val="both"/>
              <w:rPr>
                <w:rFonts w:eastAsia="Times New Roman" w:cs="Times New Roman"/>
                <w:noProof/>
              </w:rPr>
            </w:pPr>
            <w:r>
              <w:rPr>
                <w:noProof/>
              </w:rPr>
              <w:t xml:space="preserve">Kućanstva priključena na vodoopskrbne i kanalizacijske mreže u okviru nacionalnog programa Prva </w:t>
            </w:r>
            <w:r>
              <w:rPr>
                <w:noProof/>
              </w:rPr>
              <w:t>povezanost s vodom i odvodnjom</w:t>
            </w:r>
          </w:p>
        </w:tc>
        <w:tc>
          <w:tcPr>
            <w:tcW w:w="1843" w:type="dxa"/>
            <w:tcBorders>
              <w:top w:val="nil"/>
              <w:left w:val="single" w:sz="4" w:space="0" w:color="auto"/>
              <w:bottom w:val="single" w:sz="4" w:space="0" w:color="auto"/>
              <w:right w:val="single" w:sz="4" w:space="0" w:color="auto"/>
            </w:tcBorders>
            <w:shd w:val="clear" w:color="auto" w:fill="C6EFCE"/>
            <w:noWrap/>
          </w:tcPr>
          <w:p w14:paraId="10EF996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9CFD28D"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33113584"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23A9446A" w14:textId="27A30B28" w:rsidR="003F46B9" w:rsidRDefault="0065662E">
            <w:pPr>
              <w:pStyle w:val="P68B1DB1-Normal5"/>
              <w:spacing w:after="0" w:line="240" w:lineRule="auto"/>
              <w:jc w:val="both"/>
              <w:rPr>
                <w:rFonts w:eastAsia="Times New Roman" w:cs="Times New Roman"/>
                <w:noProof/>
              </w:rPr>
            </w:pPr>
            <w:r>
              <w:rPr>
                <w:noProof/>
              </w:rPr>
              <w:t>70 851</w:t>
            </w:r>
          </w:p>
        </w:tc>
        <w:tc>
          <w:tcPr>
            <w:tcW w:w="1139" w:type="dxa"/>
            <w:tcBorders>
              <w:top w:val="nil"/>
              <w:left w:val="single" w:sz="4" w:space="0" w:color="auto"/>
              <w:bottom w:val="single" w:sz="4" w:space="0" w:color="auto"/>
              <w:right w:val="single" w:sz="4" w:space="0" w:color="auto"/>
            </w:tcBorders>
            <w:shd w:val="clear" w:color="auto" w:fill="C6EFCE"/>
            <w:noWrap/>
          </w:tcPr>
          <w:p w14:paraId="3A4E1A08"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1D5B6C8C"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ED32C58" w14:textId="3E294012" w:rsidR="003F46B9" w:rsidRDefault="0065662E">
            <w:pPr>
              <w:pStyle w:val="P68B1DB1-Normal5"/>
              <w:spacing w:after="0" w:line="240" w:lineRule="auto"/>
              <w:jc w:val="both"/>
              <w:rPr>
                <w:rFonts w:eastAsia="Times New Roman" w:cs="Times New Roman"/>
                <w:noProof/>
              </w:rPr>
            </w:pPr>
            <w:r>
              <w:rPr>
                <w:noProof/>
              </w:rPr>
              <w:t>Najmanje 70851 dodatnih kućanstava priključuje se na vodoopskrbu i kanalizaciju putem nacionalnog programa Prvo povezivanje s vodom i odvodnjom.</w:t>
            </w:r>
          </w:p>
        </w:tc>
      </w:tr>
      <w:tr w:rsidR="003F46B9" w14:paraId="7C50182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4E1E336A" w14:textId="77777777" w:rsidR="003F46B9" w:rsidRDefault="0065662E">
            <w:pPr>
              <w:pStyle w:val="P68B1DB1-Normal5"/>
              <w:spacing w:after="0" w:line="240" w:lineRule="auto"/>
              <w:jc w:val="center"/>
              <w:rPr>
                <w:rFonts w:eastAsia="Times New Roman" w:cs="Times New Roman"/>
                <w:noProof/>
              </w:rPr>
            </w:pPr>
            <w:r>
              <w:rPr>
                <w:noProof/>
              </w:rPr>
              <w:t>14</w:t>
            </w:r>
          </w:p>
        </w:tc>
        <w:tc>
          <w:tcPr>
            <w:tcW w:w="1985" w:type="dxa"/>
            <w:tcBorders>
              <w:top w:val="nil"/>
              <w:left w:val="single" w:sz="4" w:space="0" w:color="auto"/>
              <w:bottom w:val="single" w:sz="4" w:space="0" w:color="auto"/>
              <w:right w:val="single" w:sz="4" w:space="0" w:color="auto"/>
            </w:tcBorders>
            <w:shd w:val="clear" w:color="auto" w:fill="C6EFCE"/>
            <w:noWrap/>
          </w:tcPr>
          <w:p w14:paraId="511B9641" w14:textId="77777777" w:rsidR="003F46B9" w:rsidRDefault="0065662E">
            <w:pPr>
              <w:pStyle w:val="P68B1DB1-Normal5"/>
              <w:spacing w:after="0" w:line="240" w:lineRule="auto"/>
              <w:jc w:val="both"/>
              <w:rPr>
                <w:rFonts w:cs="Times New Roman"/>
                <w:noProof/>
              </w:rPr>
            </w:pPr>
            <w:r>
              <w:rPr>
                <w:noProof/>
              </w:rPr>
              <w:t xml:space="preserve">Ulaganje 4.1. Obnova postojećih linija obrane u skladu s Direktivom o poplavama i Nacionalnom strategijom za upravljanje rizicima od poplava </w:t>
            </w:r>
          </w:p>
        </w:tc>
        <w:tc>
          <w:tcPr>
            <w:tcW w:w="1276" w:type="dxa"/>
            <w:tcBorders>
              <w:top w:val="nil"/>
              <w:left w:val="single" w:sz="4" w:space="0" w:color="auto"/>
              <w:bottom w:val="single" w:sz="4" w:space="0" w:color="auto"/>
              <w:right w:val="single" w:sz="4" w:space="0" w:color="auto"/>
            </w:tcBorders>
            <w:shd w:val="clear" w:color="auto" w:fill="C6EFCE"/>
            <w:noWrap/>
          </w:tcPr>
          <w:p w14:paraId="089BCD0E" w14:textId="77777777" w:rsidR="003F46B9" w:rsidRDefault="0065662E">
            <w:pPr>
              <w:pStyle w:val="P68B1DB1-Normal5"/>
              <w:spacing w:after="0" w:line="240" w:lineRule="auto"/>
              <w:jc w:val="center"/>
              <w:rPr>
                <w:rFonts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6A0BCE98" w14:textId="77777777" w:rsidR="003F46B9" w:rsidRDefault="0065662E">
            <w:pPr>
              <w:pStyle w:val="P68B1DB1-Normal5"/>
              <w:spacing w:after="0" w:line="240" w:lineRule="auto"/>
              <w:jc w:val="both"/>
              <w:rPr>
                <w:rFonts w:cs="Times New Roman"/>
                <w:noProof/>
              </w:rPr>
            </w:pPr>
            <w:r>
              <w:rPr>
                <w:noProof/>
              </w:rPr>
              <w:t>Obnovljene obrambene linije od poplava u skladu s Direktivom o poplavama i Nacionalnom strategijom za uprav</w:t>
            </w:r>
            <w:r>
              <w:rPr>
                <w:noProof/>
              </w:rPr>
              <w:t xml:space="preserve">ljanje poplavnim rizicima </w:t>
            </w:r>
          </w:p>
        </w:tc>
        <w:tc>
          <w:tcPr>
            <w:tcW w:w="1843" w:type="dxa"/>
            <w:tcBorders>
              <w:top w:val="nil"/>
              <w:left w:val="single" w:sz="4" w:space="0" w:color="auto"/>
              <w:bottom w:val="single" w:sz="4" w:space="0" w:color="auto"/>
              <w:right w:val="single" w:sz="4" w:space="0" w:color="auto"/>
            </w:tcBorders>
            <w:shd w:val="clear" w:color="auto" w:fill="C6EFCE"/>
            <w:noWrap/>
          </w:tcPr>
          <w:p w14:paraId="5E3886A4"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4FA00E7" w14:textId="77777777" w:rsidR="003F46B9" w:rsidRDefault="0065662E">
            <w:pPr>
              <w:pStyle w:val="P68B1DB1-Normal5"/>
              <w:spacing w:after="0" w:line="240" w:lineRule="auto"/>
              <w:jc w:val="both"/>
              <w:rPr>
                <w:rFonts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5531F93F"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7863B65F" w14:textId="6941CAFE" w:rsidR="003F46B9" w:rsidRDefault="0065662E">
            <w:pPr>
              <w:pStyle w:val="P68B1DB1-Normal5"/>
              <w:spacing w:after="0" w:line="240" w:lineRule="auto"/>
              <w:jc w:val="both"/>
              <w:rPr>
                <w:rFonts w:cs="Times New Roman"/>
                <w:noProof/>
              </w:rPr>
            </w:pPr>
            <w:r>
              <w:rPr>
                <w:noProof/>
              </w:rPr>
              <w:t>79</w:t>
            </w:r>
          </w:p>
        </w:tc>
        <w:tc>
          <w:tcPr>
            <w:tcW w:w="1139" w:type="dxa"/>
            <w:tcBorders>
              <w:top w:val="nil"/>
              <w:left w:val="single" w:sz="4" w:space="0" w:color="auto"/>
              <w:bottom w:val="single" w:sz="4" w:space="0" w:color="auto"/>
              <w:right w:val="single" w:sz="4" w:space="0" w:color="auto"/>
            </w:tcBorders>
            <w:shd w:val="clear" w:color="auto" w:fill="C6EFCE"/>
            <w:noWrap/>
          </w:tcPr>
          <w:p w14:paraId="0A7EA1C0" w14:textId="77777777" w:rsidR="003F46B9" w:rsidRDefault="0065662E">
            <w:pPr>
              <w:pStyle w:val="P68B1DB1-Normal5"/>
              <w:spacing w:after="0" w:line="240" w:lineRule="auto"/>
              <w:jc w:val="both"/>
              <w:rPr>
                <w:rFonts w:cs="Times New Roman"/>
                <w:noProof/>
              </w:rPr>
            </w:pPr>
            <w:r>
              <w:rPr>
                <w:noProof/>
              </w:rPr>
              <w:t>ČETVRTO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7EEB8710" w14:textId="77777777" w:rsidR="003F46B9" w:rsidRDefault="0065662E">
            <w:pPr>
              <w:pStyle w:val="P68B1DB1-Normal5"/>
              <w:spacing w:after="0" w:line="240" w:lineRule="auto"/>
              <w:jc w:val="both"/>
              <w:rPr>
                <w:rFonts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59EF34E6" w14:textId="12677ED3" w:rsidR="003F46B9" w:rsidRDefault="0065662E">
            <w:pPr>
              <w:pStyle w:val="P68B1DB1-Normal5"/>
              <w:spacing w:after="0" w:line="240" w:lineRule="auto"/>
              <w:jc w:val="both"/>
              <w:rPr>
                <w:rFonts w:cs="Times New Roman"/>
                <w:noProof/>
              </w:rPr>
            </w:pPr>
            <w:r>
              <w:rPr>
                <w:noProof/>
              </w:rPr>
              <w:t xml:space="preserve">Najmanje 79 km linija za obranu od poplava mora se obnoviti u skladu s Direktivom o poplavama i Nacionalnom strategijom za upravljanje poplavnim rizicima. Radovi sanacije imaju </w:t>
            </w:r>
            <w:r>
              <w:rPr>
                <w:noProof/>
              </w:rPr>
              <w:t>prioritet na temelju planova za sprečavanje poplava i zaštitu od poplava, a sastoje se od nadjeva iz lokalnog materijala izvađenog iz područja nasipa, nakon čega slijede trave.</w:t>
            </w:r>
          </w:p>
        </w:tc>
      </w:tr>
      <w:tr w:rsidR="003F46B9" w14:paraId="1D2AD2EB"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33CFEC6B" w14:textId="77777777" w:rsidR="003F46B9" w:rsidRDefault="0065662E">
            <w:pPr>
              <w:pStyle w:val="P68B1DB1-Normal5"/>
              <w:spacing w:after="0" w:line="240" w:lineRule="auto"/>
              <w:jc w:val="center"/>
              <w:rPr>
                <w:rFonts w:eastAsia="Times New Roman" w:cs="Times New Roman"/>
                <w:noProof/>
              </w:rPr>
            </w:pPr>
            <w:r>
              <w:rPr>
                <w:noProof/>
              </w:rPr>
              <w:t>15</w:t>
            </w:r>
          </w:p>
        </w:tc>
        <w:tc>
          <w:tcPr>
            <w:tcW w:w="1985" w:type="dxa"/>
            <w:tcBorders>
              <w:top w:val="nil"/>
              <w:left w:val="single" w:sz="4" w:space="0" w:color="auto"/>
              <w:bottom w:val="single" w:sz="4" w:space="0" w:color="auto"/>
              <w:right w:val="single" w:sz="4" w:space="0" w:color="auto"/>
            </w:tcBorders>
            <w:shd w:val="clear" w:color="auto" w:fill="C6EFCE"/>
            <w:noWrap/>
          </w:tcPr>
          <w:p w14:paraId="120EC796" w14:textId="77777777" w:rsidR="003F46B9" w:rsidRDefault="0065662E">
            <w:pPr>
              <w:pStyle w:val="P68B1DB1-Normal5"/>
              <w:spacing w:after="0" w:line="240" w:lineRule="auto"/>
              <w:jc w:val="both"/>
              <w:rPr>
                <w:rFonts w:eastAsia="Times New Roman" w:cs="Times New Roman"/>
                <w:noProof/>
              </w:rPr>
            </w:pPr>
            <w:r>
              <w:rPr>
                <w:noProof/>
              </w:rPr>
              <w:t xml:space="preserve">Ozbiljna ulaganja. 4.1. Obnova postojećih linija obrane u skladu s Direktivom o poplavama i Nacionalnom strategijom za upravljanje rizicima od poplava </w:t>
            </w:r>
          </w:p>
        </w:tc>
        <w:tc>
          <w:tcPr>
            <w:tcW w:w="1276" w:type="dxa"/>
            <w:tcBorders>
              <w:top w:val="nil"/>
              <w:left w:val="single" w:sz="4" w:space="0" w:color="auto"/>
              <w:bottom w:val="single" w:sz="4" w:space="0" w:color="auto"/>
              <w:right w:val="single" w:sz="4" w:space="0" w:color="auto"/>
            </w:tcBorders>
            <w:shd w:val="clear" w:color="auto" w:fill="C6EFCE"/>
            <w:noWrap/>
          </w:tcPr>
          <w:p w14:paraId="5143153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38C6E1D9" w14:textId="77777777" w:rsidR="003F46B9" w:rsidRDefault="0065662E">
            <w:pPr>
              <w:pStyle w:val="P68B1DB1-Normal5"/>
              <w:spacing w:after="0" w:line="240" w:lineRule="auto"/>
              <w:jc w:val="both"/>
              <w:rPr>
                <w:rFonts w:eastAsia="Times New Roman" w:cs="Times New Roman"/>
                <w:noProof/>
              </w:rPr>
            </w:pPr>
            <w:r>
              <w:rPr>
                <w:noProof/>
              </w:rPr>
              <w:t>Obnovljene obrambene linije od poplava u skladu s Direktivom o poplavama i Nacionalnom strategijo</w:t>
            </w:r>
            <w:r>
              <w:rPr>
                <w:noProof/>
              </w:rPr>
              <w:t xml:space="preserve">m za upravljanje poplavnim rizicima </w:t>
            </w:r>
          </w:p>
        </w:tc>
        <w:tc>
          <w:tcPr>
            <w:tcW w:w="1843" w:type="dxa"/>
            <w:tcBorders>
              <w:top w:val="nil"/>
              <w:left w:val="single" w:sz="4" w:space="0" w:color="auto"/>
              <w:bottom w:val="single" w:sz="4" w:space="0" w:color="auto"/>
              <w:right w:val="single" w:sz="4" w:space="0" w:color="auto"/>
            </w:tcBorders>
            <w:shd w:val="clear" w:color="auto" w:fill="C6EFCE"/>
            <w:noWrap/>
          </w:tcPr>
          <w:p w14:paraId="4ECEB11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7392B20" w14:textId="77777777" w:rsidR="003F46B9" w:rsidRDefault="0065662E">
            <w:pPr>
              <w:pStyle w:val="P68B1DB1-Normal5"/>
              <w:spacing w:after="0" w:line="240" w:lineRule="auto"/>
              <w:jc w:val="both"/>
              <w:rPr>
                <w:rFonts w:eastAsia="Times New Roman" w:cs="Times New Roman"/>
                <w:noProof/>
              </w:rPr>
            </w:pPr>
            <w:r>
              <w:rPr>
                <w:noProof/>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14:paraId="60525613" w14:textId="7CAA9170" w:rsidR="003F46B9" w:rsidRDefault="0065662E">
            <w:pPr>
              <w:pStyle w:val="P68B1DB1-Normal5"/>
              <w:spacing w:after="0" w:line="240" w:lineRule="auto"/>
              <w:jc w:val="both"/>
              <w:rPr>
                <w:rFonts w:eastAsia="Times New Roman" w:cs="Times New Roman"/>
                <w:noProof/>
              </w:rPr>
            </w:pPr>
            <w:r>
              <w:rPr>
                <w:noProof/>
              </w:rPr>
              <w:t>79</w:t>
            </w:r>
          </w:p>
        </w:tc>
        <w:tc>
          <w:tcPr>
            <w:tcW w:w="851" w:type="dxa"/>
            <w:tcBorders>
              <w:top w:val="nil"/>
              <w:left w:val="single" w:sz="4" w:space="0" w:color="auto"/>
              <w:bottom w:val="single" w:sz="4" w:space="0" w:color="auto"/>
              <w:right w:val="single" w:sz="4" w:space="0" w:color="auto"/>
            </w:tcBorders>
            <w:shd w:val="clear" w:color="auto" w:fill="C6EFCE"/>
            <w:noWrap/>
          </w:tcPr>
          <w:p w14:paraId="71AFE04B" w14:textId="369A7C09" w:rsidR="003F46B9" w:rsidRDefault="0065662E">
            <w:pPr>
              <w:pStyle w:val="P68B1DB1-Normal5"/>
              <w:spacing w:after="0" w:line="240" w:lineRule="auto"/>
              <w:jc w:val="both"/>
              <w:rPr>
                <w:rFonts w:eastAsia="Times New Roman" w:cs="Times New Roman"/>
                <w:noProof/>
              </w:rPr>
            </w:pPr>
            <w:r>
              <w:rPr>
                <w:noProof/>
              </w:rPr>
              <w:t>408</w:t>
            </w:r>
          </w:p>
        </w:tc>
        <w:tc>
          <w:tcPr>
            <w:tcW w:w="1139" w:type="dxa"/>
            <w:tcBorders>
              <w:top w:val="nil"/>
              <w:left w:val="single" w:sz="4" w:space="0" w:color="auto"/>
              <w:bottom w:val="single" w:sz="4" w:space="0" w:color="auto"/>
              <w:right w:val="single" w:sz="4" w:space="0" w:color="auto"/>
            </w:tcBorders>
            <w:shd w:val="clear" w:color="auto" w:fill="C6EFCE"/>
            <w:noWrap/>
          </w:tcPr>
          <w:p w14:paraId="2F103B7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2576EDE7"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E922D34" w14:textId="5F9532F8" w:rsidR="003F46B9" w:rsidRDefault="0065662E">
            <w:pPr>
              <w:pStyle w:val="P68B1DB1-Normal5"/>
              <w:spacing w:after="0" w:line="240" w:lineRule="auto"/>
              <w:jc w:val="both"/>
              <w:rPr>
                <w:rFonts w:cs="Times New Roman"/>
                <w:noProof/>
              </w:rPr>
            </w:pPr>
            <w:r>
              <w:rPr>
                <w:noProof/>
              </w:rPr>
              <w:t xml:space="preserve">Najmanje 408 km ukupno obnovljenih linija za obranu od poplava u skladu s Direktivom o poplavama i Nacionalnom strategijom za upravljanje poplavnim rizicima. </w:t>
            </w:r>
          </w:p>
          <w:p w14:paraId="54AFDAA2" w14:textId="77777777" w:rsidR="003F46B9" w:rsidRDefault="0065662E">
            <w:pPr>
              <w:pStyle w:val="P68B1DB1-Normal5"/>
              <w:spacing w:after="0" w:line="240" w:lineRule="auto"/>
              <w:jc w:val="both"/>
              <w:rPr>
                <w:rFonts w:eastAsia="Times New Roman" w:cs="Times New Roman"/>
                <w:noProof/>
              </w:rPr>
            </w:pPr>
            <w:r>
              <w:rPr>
                <w:noProof/>
              </w:rPr>
              <w:t xml:space="preserve">Radovi sanacije </w:t>
            </w:r>
            <w:r>
              <w:rPr>
                <w:noProof/>
              </w:rPr>
              <w:t>imaju prioritet na temelju planova za sprečavanje poplava i zaštitu od poplava, a sastoje se od nadjeva iz lokalnog materijala izvađenog iz područja nasipa, nakon čega slijede trave.</w:t>
            </w:r>
          </w:p>
        </w:tc>
      </w:tr>
      <w:tr w:rsidR="003F46B9" w14:paraId="7E451362"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0EB5E791" w14:textId="77777777" w:rsidR="003F46B9" w:rsidRDefault="0065662E">
            <w:pPr>
              <w:pStyle w:val="P68B1DB1-Normal5"/>
              <w:spacing w:after="0" w:line="240" w:lineRule="auto"/>
              <w:jc w:val="center"/>
              <w:rPr>
                <w:rFonts w:eastAsia="Times New Roman" w:cs="Times New Roman"/>
                <w:noProof/>
              </w:rPr>
            </w:pPr>
            <w:r>
              <w:rPr>
                <w:noProof/>
              </w:rPr>
              <w:t>16</w:t>
            </w:r>
          </w:p>
        </w:tc>
        <w:tc>
          <w:tcPr>
            <w:tcW w:w="1985" w:type="dxa"/>
            <w:tcBorders>
              <w:top w:val="nil"/>
              <w:left w:val="single" w:sz="4" w:space="0" w:color="auto"/>
              <w:bottom w:val="single" w:sz="4" w:space="0" w:color="auto"/>
              <w:right w:val="single" w:sz="4" w:space="0" w:color="auto"/>
            </w:tcBorders>
            <w:shd w:val="clear" w:color="auto" w:fill="C6EFCE"/>
            <w:noWrap/>
          </w:tcPr>
          <w:p w14:paraId="5F018284" w14:textId="77777777" w:rsidR="003F46B9" w:rsidRDefault="0065662E">
            <w:pPr>
              <w:pStyle w:val="P68B1DB1-Normal5"/>
              <w:spacing w:after="0" w:line="240" w:lineRule="auto"/>
              <w:jc w:val="both"/>
              <w:rPr>
                <w:rFonts w:eastAsia="Times New Roman" w:cs="Times New Roman"/>
                <w:noProof/>
              </w:rPr>
            </w:pPr>
            <w:r>
              <w:rPr>
                <w:noProof/>
              </w:rPr>
              <w:t xml:space="preserve">Ulaganje 4.2. Sanacija postojećih akumulacija koje zahtijevaju hitne intervencije za siguran rad </w:t>
            </w:r>
          </w:p>
        </w:tc>
        <w:tc>
          <w:tcPr>
            <w:tcW w:w="1276" w:type="dxa"/>
            <w:tcBorders>
              <w:top w:val="nil"/>
              <w:left w:val="single" w:sz="4" w:space="0" w:color="auto"/>
              <w:bottom w:val="single" w:sz="4" w:space="0" w:color="auto"/>
              <w:right w:val="single" w:sz="4" w:space="0" w:color="auto"/>
            </w:tcBorders>
            <w:shd w:val="clear" w:color="auto" w:fill="C6EFCE"/>
            <w:noWrap/>
          </w:tcPr>
          <w:p w14:paraId="0631EBCB"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3" w:type="dxa"/>
            <w:tcBorders>
              <w:top w:val="nil"/>
              <w:left w:val="single" w:sz="4" w:space="0" w:color="auto"/>
              <w:bottom w:val="single" w:sz="4" w:space="0" w:color="auto"/>
              <w:right w:val="single" w:sz="4" w:space="0" w:color="auto"/>
            </w:tcBorders>
            <w:shd w:val="clear" w:color="auto" w:fill="C6EFCE"/>
            <w:noWrap/>
          </w:tcPr>
          <w:p w14:paraId="6C04BF14" w14:textId="77777777" w:rsidR="003F46B9" w:rsidRDefault="0065662E">
            <w:pPr>
              <w:pStyle w:val="P68B1DB1-Normal5"/>
              <w:spacing w:after="0" w:line="240" w:lineRule="auto"/>
              <w:jc w:val="both"/>
              <w:rPr>
                <w:rFonts w:eastAsia="Times New Roman" w:cs="Times New Roman"/>
                <w:noProof/>
              </w:rPr>
            </w:pPr>
            <w:r>
              <w:rPr>
                <w:noProof/>
              </w:rPr>
              <w:t xml:space="preserve">Donošenje nacrta projekata Odlukom Vlade/ministarskim nalogom, prema potrebi </w:t>
            </w:r>
          </w:p>
        </w:tc>
        <w:tc>
          <w:tcPr>
            <w:tcW w:w="1843" w:type="dxa"/>
            <w:tcBorders>
              <w:top w:val="nil"/>
              <w:left w:val="single" w:sz="4" w:space="0" w:color="auto"/>
              <w:bottom w:val="single" w:sz="4" w:space="0" w:color="auto"/>
              <w:right w:val="single" w:sz="4" w:space="0" w:color="auto"/>
            </w:tcBorders>
            <w:shd w:val="clear" w:color="auto" w:fill="C6EFCE"/>
            <w:noWrap/>
          </w:tcPr>
          <w:p w14:paraId="1B9172D0" w14:textId="77777777" w:rsidR="003F46B9" w:rsidRDefault="0065662E">
            <w:pPr>
              <w:pStyle w:val="P68B1DB1-Normal5"/>
              <w:spacing w:after="0" w:line="240" w:lineRule="auto"/>
              <w:jc w:val="both"/>
              <w:rPr>
                <w:rFonts w:eastAsia="Times New Roman" w:cs="Times New Roman"/>
                <w:noProof/>
              </w:rPr>
            </w:pPr>
            <w:r>
              <w:rPr>
                <w:noProof/>
              </w:rPr>
              <w:t>Donošenje Odluke Vlade/ministarskog naloga, prema potrebi</w:t>
            </w:r>
          </w:p>
        </w:tc>
        <w:tc>
          <w:tcPr>
            <w:tcW w:w="1134" w:type="dxa"/>
            <w:tcBorders>
              <w:top w:val="nil"/>
              <w:left w:val="single" w:sz="4" w:space="0" w:color="auto"/>
              <w:bottom w:val="single" w:sz="4" w:space="0" w:color="auto"/>
              <w:right w:val="single" w:sz="4" w:space="0" w:color="auto"/>
            </w:tcBorders>
            <w:shd w:val="clear" w:color="auto" w:fill="C6EFCE"/>
            <w:noWrap/>
          </w:tcPr>
          <w:p w14:paraId="3461D77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CF2D8B6"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0FB78278" w14:textId="77777777" w:rsidR="003F46B9" w:rsidRDefault="003F46B9">
            <w:pPr>
              <w:spacing w:after="0" w:line="240" w:lineRule="auto"/>
              <w:jc w:val="both"/>
              <w:rPr>
                <w:rFonts w:ascii="Times New Roman" w:eastAsia="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4FC2FD8A" w14:textId="77777777" w:rsidR="003F46B9" w:rsidRDefault="0065662E">
            <w:pPr>
              <w:pStyle w:val="P68B1DB1-Normal5"/>
              <w:spacing w:after="0" w:line="240" w:lineRule="auto"/>
              <w:jc w:val="both"/>
              <w:rPr>
                <w:rFonts w:eastAsia="Times New Roman" w:cs="Times New Roman"/>
                <w:noProof/>
              </w:rPr>
            </w:pPr>
            <w:r>
              <w:rPr>
                <w:noProof/>
              </w:rPr>
              <w:t xml:space="preserve">TROMJESEČJE </w:t>
            </w:r>
          </w:p>
        </w:tc>
        <w:tc>
          <w:tcPr>
            <w:tcW w:w="851" w:type="dxa"/>
            <w:tcBorders>
              <w:top w:val="nil"/>
              <w:left w:val="single" w:sz="4" w:space="0" w:color="auto"/>
              <w:bottom w:val="single" w:sz="4" w:space="0" w:color="auto"/>
              <w:right w:val="single" w:sz="4" w:space="0" w:color="auto"/>
            </w:tcBorders>
            <w:shd w:val="clear" w:color="auto" w:fill="C6EFCE"/>
            <w:noWrap/>
          </w:tcPr>
          <w:p w14:paraId="1C623E38" w14:textId="77777777" w:rsidR="003F46B9" w:rsidRDefault="0065662E">
            <w:pPr>
              <w:pStyle w:val="P68B1DB1-Normal5"/>
              <w:spacing w:after="0" w:line="240" w:lineRule="auto"/>
              <w:jc w:val="both"/>
              <w:rPr>
                <w:rFonts w:eastAsia="Times New Roman" w:cs="Times New Roman"/>
                <w:noProof/>
              </w:rPr>
            </w:pPr>
            <w:r>
              <w:rPr>
                <w:noProof/>
              </w:rPr>
              <w:t>2023</w:t>
            </w:r>
          </w:p>
        </w:tc>
        <w:tc>
          <w:tcPr>
            <w:tcW w:w="2835" w:type="dxa"/>
            <w:tcBorders>
              <w:top w:val="nil"/>
              <w:left w:val="single" w:sz="4" w:space="0" w:color="auto"/>
              <w:bottom w:val="single" w:sz="4" w:space="0" w:color="auto"/>
              <w:right w:val="single" w:sz="4" w:space="0" w:color="auto"/>
            </w:tcBorders>
            <w:shd w:val="clear" w:color="auto" w:fill="C6EFCE"/>
            <w:noWrap/>
          </w:tcPr>
          <w:p w14:paraId="6209DC9E" w14:textId="6AEFC392" w:rsidR="003F46B9" w:rsidRDefault="0065662E">
            <w:pPr>
              <w:pStyle w:val="P68B1DB1-Normal5"/>
              <w:spacing w:after="0" w:line="240" w:lineRule="auto"/>
              <w:jc w:val="both"/>
              <w:rPr>
                <w:rFonts w:cs="Times New Roman"/>
                <w:noProof/>
              </w:rPr>
            </w:pPr>
            <w:r>
              <w:rPr>
                <w:noProof/>
              </w:rPr>
              <w:t>Planovi projekta za sanaciju 13 postojećih brana, za koje ne postoje izvedive alternative za smanjenje rizika od poplava, donose se Odlukom Vlade/ministarskom odlukom, prema potrebi (ovisno o veličini ulaganja). Studije izvedivosti posebn</w:t>
            </w:r>
            <w:r>
              <w:rPr>
                <w:noProof/>
              </w:rPr>
              <w:t>o uključuju procjenu i usporedbu koristi i učinaka alternativa obnovi brana kako bi se spriječili rizici od poplava, uključujući moguće uklanjanje brana i njihovu zamjenu prirodnim rješenjima. Tom se analizom koristi i učinka procjenjuju koristi koje se oč</w:t>
            </w:r>
            <w:r>
              <w:rPr>
                <w:noProof/>
              </w:rPr>
              <w:t>ekuju od različitih opcija u dugoročnom razdoblju, kako bi se spriječili rizici od poplava i posebno uzimajući u obzir predviđanja budućih rizika od poplava, i ekološke ishode.</w:t>
            </w:r>
          </w:p>
          <w:p w14:paraId="10CC6DA5" w14:textId="77777777" w:rsidR="003F46B9" w:rsidRDefault="0065662E">
            <w:pPr>
              <w:pStyle w:val="P68B1DB1-Normal5"/>
              <w:spacing w:after="0" w:line="240" w:lineRule="auto"/>
              <w:jc w:val="both"/>
              <w:rPr>
                <w:rFonts w:cs="Times New Roman"/>
                <w:noProof/>
              </w:rPr>
            </w:pPr>
            <w:r>
              <w:rPr>
                <w:noProof/>
              </w:rPr>
              <w:t>Cilj je projekta osigurati siguran rad brana, smanjiti rizik od poplava te zašt</w:t>
            </w:r>
            <w:r>
              <w:rPr>
                <w:noProof/>
              </w:rPr>
              <w:t xml:space="preserve">ititi vodna tijela i biološku raznolikost mjerama kojima se osigurava migracija riba, ekološki protok i sprečava eutrofikacija vodnih tijela. </w:t>
            </w:r>
          </w:p>
          <w:p w14:paraId="3BFEAF86" w14:textId="77777777" w:rsidR="003F46B9" w:rsidRDefault="0065662E">
            <w:pPr>
              <w:pStyle w:val="P68B1DB1-Normal5"/>
              <w:spacing w:after="0" w:line="240" w:lineRule="auto"/>
              <w:jc w:val="both"/>
              <w:rPr>
                <w:rFonts w:cs="Times New Roman"/>
                <w:noProof/>
              </w:rPr>
            </w:pPr>
            <w:r>
              <w:rPr>
                <w:noProof/>
              </w:rPr>
              <w:t xml:space="preserve">Mora biti u skladu s nacionalnom strategijom upravljanja poplavnim rizicima i primjenjivim planovima upravljanja </w:t>
            </w:r>
            <w:r>
              <w:rPr>
                <w:noProof/>
              </w:rPr>
              <w:t xml:space="preserve">poplavnim rizicima, u skladu s Direktivom 2007/60/EZ (Direktiva o poplavama). </w:t>
            </w:r>
          </w:p>
          <w:p w14:paraId="51E2A099" w14:textId="77777777" w:rsidR="003F46B9" w:rsidRDefault="0065662E">
            <w:pPr>
              <w:pStyle w:val="P68B1DB1-Normal5"/>
              <w:spacing w:after="0" w:line="240" w:lineRule="auto"/>
              <w:jc w:val="both"/>
              <w:rPr>
                <w:rFonts w:cs="Times New Roman"/>
                <w:noProof/>
              </w:rPr>
            </w:pPr>
            <w:r>
              <w:rPr>
                <w:noProof/>
              </w:rPr>
              <w:t>Sve mjere utvrđene u okviru procjene utjecaja na okoliš, procjene u skladu s Direktivom 2000/60/EZ (Okvirna direktiva o vodama) i ocjene prihvatljivosti u skladu s Direktivom 92</w:t>
            </w:r>
            <w:r>
              <w:rPr>
                <w:noProof/>
              </w:rPr>
              <w:t>/43/EEZ (Direktiva o staništima) prema potrebi kako bi se osigurala usklađenost s Tehničkim smjernicama o nenanošenju bitne štete (2021/C58/01) uključuju se u projekt projekta i strogo se poštuju u fazama izgradnje, modernizacije, rada i stavljanja infrast</w:t>
            </w:r>
            <w:r>
              <w:rPr>
                <w:noProof/>
              </w:rPr>
              <w:t xml:space="preserve">rukture izvan pogona, među ostalim provedbom potrebnih mjera ublažavanja. </w:t>
            </w:r>
          </w:p>
          <w:p w14:paraId="471A62EB" w14:textId="77777777" w:rsidR="003F46B9" w:rsidRDefault="0065662E">
            <w:pPr>
              <w:pStyle w:val="P68B1DB1-Normal5"/>
              <w:spacing w:after="0" w:line="240" w:lineRule="auto"/>
              <w:jc w:val="both"/>
              <w:rPr>
                <w:rFonts w:cs="Times New Roman"/>
                <w:noProof/>
              </w:rPr>
            </w:pPr>
            <w:r>
              <w:rPr>
                <w:noProof/>
              </w:rPr>
              <w:t xml:space="preserve">Mora se izbjegavati pogoršanje ekološkog stanja zahvaćenih vodnih tijela, a mjerom se ne smije spriječiti poboljšanje ekološkog stanja ili potencijala zahvaćenih vodnih tijela. </w:t>
            </w:r>
          </w:p>
          <w:p w14:paraId="4553EB0A" w14:textId="77777777" w:rsidR="003F46B9" w:rsidRDefault="0065662E">
            <w:pPr>
              <w:pStyle w:val="P68B1DB1-Normal5"/>
              <w:spacing w:after="0" w:line="240" w:lineRule="auto"/>
              <w:jc w:val="both"/>
              <w:rPr>
                <w:rFonts w:cs="Times New Roman"/>
                <w:noProof/>
              </w:rPr>
            </w:pPr>
            <w:r>
              <w:rPr>
                <w:noProof/>
              </w:rPr>
              <w:t>Ako</w:t>
            </w:r>
            <w:r>
              <w:rPr>
                <w:noProof/>
              </w:rPr>
              <w:t xml:space="preserve"> se voda zahvaća, relevantno tijelo izdaje relevantnu dozvolu u kojoj se navode uvjeti kako bi se izbjeglo pogoršanje i osiguralo da zahvaćena vodna tijela ostanu u dobrom ekološkom stanju, u skladu sa zahtjevima Okvirne direktive o vodama, što dokazuju na</w:t>
            </w:r>
            <w:r>
              <w:rPr>
                <w:noProof/>
              </w:rPr>
              <w:t>jnoviji relevantni popratni podaci.</w:t>
            </w:r>
          </w:p>
          <w:p w14:paraId="2348FC5D" w14:textId="77777777" w:rsidR="003F46B9" w:rsidRDefault="0065662E">
            <w:pPr>
              <w:pStyle w:val="P68B1DB1-Normal5"/>
              <w:spacing w:after="0" w:line="240" w:lineRule="auto"/>
              <w:jc w:val="both"/>
              <w:rPr>
                <w:rFonts w:cs="Times New Roman"/>
                <w:noProof/>
              </w:rPr>
            </w:pPr>
            <w:r>
              <w:rPr>
                <w:noProof/>
              </w:rPr>
              <w:t xml:space="preserve">Zahvaćanje vode izbjegava se ako su predmetna vodna tijela (površinske ili podzemne vode) u manjem stanju od dobrog ili potencijalno dobrog stanja (u kontekstu pojačavanja klimatskih promjena) ili se predviđa da će biti </w:t>
            </w:r>
            <w:r>
              <w:rPr>
                <w:noProof/>
              </w:rPr>
              <w:t xml:space="preserve">u manjem stanju od dobrog ili potencijalno dobrog stanja. </w:t>
            </w:r>
          </w:p>
        </w:tc>
      </w:tr>
      <w:tr w:rsidR="003F46B9" w14:paraId="64CB8275"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11B77A1" w14:textId="77777777" w:rsidR="003F46B9" w:rsidRDefault="0065662E">
            <w:pPr>
              <w:pStyle w:val="P68B1DB1-Normal5"/>
              <w:spacing w:after="0" w:line="240" w:lineRule="auto"/>
              <w:jc w:val="center"/>
              <w:rPr>
                <w:rFonts w:eastAsia="Times New Roman" w:cs="Times New Roman"/>
                <w:noProof/>
              </w:rPr>
            </w:pPr>
            <w:r>
              <w:rPr>
                <w:noProof/>
              </w:rPr>
              <w:t>17</w:t>
            </w:r>
          </w:p>
        </w:tc>
        <w:tc>
          <w:tcPr>
            <w:tcW w:w="1985" w:type="dxa"/>
            <w:tcBorders>
              <w:top w:val="nil"/>
              <w:left w:val="single" w:sz="4" w:space="0" w:color="auto"/>
              <w:bottom w:val="single" w:sz="4" w:space="0" w:color="auto"/>
              <w:right w:val="single" w:sz="4" w:space="0" w:color="auto"/>
            </w:tcBorders>
            <w:shd w:val="clear" w:color="auto" w:fill="C6EFCE"/>
            <w:noWrap/>
          </w:tcPr>
          <w:p w14:paraId="31E142A3" w14:textId="77777777" w:rsidR="003F46B9" w:rsidRDefault="0065662E">
            <w:pPr>
              <w:pStyle w:val="P68B1DB1-Normal5"/>
              <w:spacing w:after="0" w:line="240" w:lineRule="auto"/>
              <w:jc w:val="both"/>
              <w:rPr>
                <w:rFonts w:eastAsia="Times New Roman" w:cs="Times New Roman"/>
                <w:noProof/>
              </w:rPr>
            </w:pPr>
            <w:r>
              <w:rPr>
                <w:noProof/>
              </w:rPr>
              <w:t xml:space="preserve">Ulaganje 4.2. Sanacija postojećih akumulacija koje zahtijevaju hitne intervencije za siguran rad </w:t>
            </w:r>
          </w:p>
        </w:tc>
        <w:tc>
          <w:tcPr>
            <w:tcW w:w="1276" w:type="dxa"/>
            <w:tcBorders>
              <w:top w:val="nil"/>
              <w:left w:val="single" w:sz="4" w:space="0" w:color="auto"/>
              <w:bottom w:val="single" w:sz="4" w:space="0" w:color="auto"/>
              <w:right w:val="single" w:sz="4" w:space="0" w:color="auto"/>
            </w:tcBorders>
            <w:shd w:val="clear" w:color="auto" w:fill="C6EFCE"/>
            <w:noWrap/>
          </w:tcPr>
          <w:p w14:paraId="18A27E43"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156D0CF4" w14:textId="77777777" w:rsidR="003F46B9" w:rsidRDefault="0065662E">
            <w:pPr>
              <w:pStyle w:val="P68B1DB1-Normal5"/>
              <w:spacing w:after="0" w:line="240" w:lineRule="auto"/>
              <w:jc w:val="both"/>
              <w:rPr>
                <w:rFonts w:cs="Times New Roman"/>
                <w:noProof/>
              </w:rPr>
            </w:pPr>
            <w:r>
              <w:rPr>
                <w:noProof/>
              </w:rPr>
              <w:t xml:space="preserve">Postojeće rehabilitirane brane </w:t>
            </w:r>
          </w:p>
          <w:p w14:paraId="1FC39945" w14:textId="77777777" w:rsidR="003F46B9" w:rsidRDefault="003F46B9">
            <w:pPr>
              <w:spacing w:after="0" w:line="240" w:lineRule="auto"/>
              <w:jc w:val="both"/>
              <w:rPr>
                <w:rFonts w:ascii="Times New Roman" w:hAnsi="Times New Roman" w:cs="Times New Roman"/>
                <w:noProof/>
                <w:sz w:val="24"/>
              </w:rPr>
            </w:pPr>
          </w:p>
          <w:p w14:paraId="0562CB0E"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0D8BF34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E16E06"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0213FF8E"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5007C906" w14:textId="0B2E9661" w:rsidR="003F46B9" w:rsidRDefault="0065662E">
            <w:pPr>
              <w:pStyle w:val="P68B1DB1-Normal5"/>
              <w:spacing w:after="0" w:line="240" w:lineRule="auto"/>
              <w:jc w:val="both"/>
              <w:rPr>
                <w:rFonts w:eastAsia="Times New Roman" w:cs="Times New Roman"/>
                <w:noProof/>
              </w:rPr>
            </w:pPr>
            <w:r>
              <w:rPr>
                <w:noProof/>
              </w:rPr>
              <w:t>13</w:t>
            </w:r>
          </w:p>
        </w:tc>
        <w:tc>
          <w:tcPr>
            <w:tcW w:w="1139" w:type="dxa"/>
            <w:tcBorders>
              <w:top w:val="nil"/>
              <w:left w:val="single" w:sz="4" w:space="0" w:color="auto"/>
              <w:bottom w:val="single" w:sz="4" w:space="0" w:color="auto"/>
              <w:right w:val="single" w:sz="4" w:space="0" w:color="auto"/>
            </w:tcBorders>
            <w:shd w:val="clear" w:color="auto" w:fill="C6EFCE"/>
            <w:noWrap/>
          </w:tcPr>
          <w:p w14:paraId="013C948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75D37C4C" w14:textId="77777777" w:rsidR="003F46B9" w:rsidRDefault="0065662E">
            <w:pPr>
              <w:pStyle w:val="P68B1DB1-Normal5"/>
              <w:spacing w:after="0" w:line="240" w:lineRule="auto"/>
              <w:jc w:val="both"/>
              <w:rPr>
                <w:rFonts w:eastAsia="Times New Roman"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4893472F" w14:textId="154BAEBA" w:rsidR="003F46B9" w:rsidRDefault="0065662E">
            <w:pPr>
              <w:pStyle w:val="P68B1DB1-Normal5"/>
              <w:spacing w:after="0" w:line="240" w:lineRule="auto"/>
              <w:jc w:val="both"/>
              <w:rPr>
                <w:rFonts w:cs="Times New Roman"/>
                <w:noProof/>
              </w:rPr>
            </w:pPr>
            <w:r>
              <w:rPr>
                <w:noProof/>
              </w:rPr>
              <w:t>13 postojećih brana, za koje je u revidiranim studijama izvedivosti zaključeno da ne postoje izvedive alternative za smanjenje rizika od poplava, rehabilitiraju se u skladu sa zahtjevima utvrđenima u ključnoj etapi 16 i u potpunosti poštujući rezultate i u</w:t>
            </w:r>
            <w:r>
              <w:rPr>
                <w:noProof/>
              </w:rPr>
              <w:t xml:space="preserve">vjete utvrđene sveobuhvatnom i kumulativnom procjenom utjecaja na okoliš koja je dovršena u skladu s Direktivom 2011/92/EU (Direktiva o procjeni utjecaja na okoliš), kao i relevantne procjene u kontekstu Direktive 2000/60/EZ (Okvirna direktiva o vodama) i </w:t>
            </w:r>
            <w:r>
              <w:rPr>
                <w:noProof/>
              </w:rPr>
              <w:t>ocjene prihvatljivosti u skladu s Direktivom 92/43/EEZ (Direktiva o staništima), uključujući provedbu potrebnih mjera ublažavanja. Za ženke za koje je uklanjanje i zamjena prirodnim rješenjima utvrđeno kao najbolja opcija, na temelju rezultata studija izve</w:t>
            </w:r>
            <w:r>
              <w:rPr>
                <w:noProof/>
              </w:rPr>
              <w:t>divosti dovršavaju se dodatne studije kako bi se procijenile mogućnosti rastavljanja.</w:t>
            </w:r>
          </w:p>
          <w:p w14:paraId="06821331" w14:textId="77777777" w:rsidR="003F46B9" w:rsidRDefault="0065662E">
            <w:pPr>
              <w:pStyle w:val="P68B1DB1-Normal5"/>
              <w:spacing w:after="0" w:line="240" w:lineRule="auto"/>
              <w:jc w:val="both"/>
              <w:rPr>
                <w:rFonts w:eastAsia="Times New Roman" w:cs="Times New Roman"/>
                <w:noProof/>
              </w:rPr>
            </w:pPr>
            <w:r>
              <w:rPr>
                <w:noProof/>
              </w:rPr>
              <w:t>Dobro ekološko stanje/potencijal relevantnih vodnih tijela u skladu sa zahtjevima Okvirne direktive o vodama postiže se i dokazuje najnovijim relevantnim popratnim podaci</w:t>
            </w:r>
            <w:r>
              <w:rPr>
                <w:noProof/>
              </w:rPr>
              <w:t xml:space="preserve">ma te se izbjegava svako pogoršanje. </w:t>
            </w:r>
          </w:p>
        </w:tc>
      </w:tr>
      <w:tr w:rsidR="003F46B9" w14:paraId="17679938"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26D80A2" w14:textId="77777777" w:rsidR="003F46B9" w:rsidRDefault="0065662E">
            <w:pPr>
              <w:pStyle w:val="P68B1DB1-Normal5"/>
              <w:spacing w:after="0" w:line="240" w:lineRule="auto"/>
              <w:jc w:val="center"/>
              <w:rPr>
                <w:rFonts w:eastAsia="Times New Roman" w:cs="Times New Roman"/>
                <w:noProof/>
              </w:rPr>
            </w:pPr>
            <w:r>
              <w:rPr>
                <w:noProof/>
              </w:rPr>
              <w:t>18</w:t>
            </w:r>
          </w:p>
        </w:tc>
        <w:tc>
          <w:tcPr>
            <w:tcW w:w="1985" w:type="dxa"/>
            <w:tcBorders>
              <w:top w:val="nil"/>
              <w:left w:val="single" w:sz="4" w:space="0" w:color="auto"/>
              <w:bottom w:val="single" w:sz="4" w:space="0" w:color="auto"/>
              <w:right w:val="single" w:sz="4" w:space="0" w:color="auto"/>
            </w:tcBorders>
            <w:shd w:val="clear" w:color="auto" w:fill="C6EFCE"/>
            <w:noWrap/>
          </w:tcPr>
          <w:p w14:paraId="0101E2A9" w14:textId="6E0C6D61" w:rsidR="003F46B9" w:rsidRDefault="0065662E">
            <w:pPr>
              <w:pStyle w:val="P68B1DB1-Normal5"/>
              <w:spacing w:after="0" w:line="240" w:lineRule="auto"/>
              <w:jc w:val="both"/>
              <w:rPr>
                <w:rFonts w:eastAsia="Times New Roman" w:cs="Times New Roman"/>
                <w:noProof/>
              </w:rPr>
            </w:pPr>
            <w:r>
              <w:rPr>
                <w:noProof/>
              </w:rPr>
              <w:t xml:space="preserve">Ulaganje 5. Odgovarajuća sredstva uprava riječnih slivova za praćenje poplava, sprečavanje poplava i odgovor na hitne situacije </w:t>
            </w:r>
          </w:p>
        </w:tc>
        <w:tc>
          <w:tcPr>
            <w:tcW w:w="1276" w:type="dxa"/>
            <w:tcBorders>
              <w:top w:val="nil"/>
              <w:left w:val="single" w:sz="4" w:space="0" w:color="auto"/>
              <w:bottom w:val="single" w:sz="4" w:space="0" w:color="auto"/>
              <w:right w:val="single" w:sz="4" w:space="0" w:color="auto"/>
            </w:tcBorders>
            <w:shd w:val="clear" w:color="auto" w:fill="C6EFCE"/>
            <w:noWrap/>
          </w:tcPr>
          <w:p w14:paraId="4E99B13E"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4692AF6C" w14:textId="77777777" w:rsidR="003F46B9" w:rsidRDefault="0065662E">
            <w:pPr>
              <w:pStyle w:val="P68B1DB1-Normal5"/>
              <w:spacing w:after="0" w:line="240" w:lineRule="auto"/>
              <w:jc w:val="both"/>
              <w:rPr>
                <w:rFonts w:eastAsia="Times New Roman" w:cs="Times New Roman"/>
                <w:noProof/>
              </w:rPr>
            </w:pPr>
            <w:r>
              <w:rPr>
                <w:noProof/>
              </w:rPr>
              <w:t>Uprave riječnih slivova opremljene strojevima za grubi pristup i intervenciju, amfibijski pristup i prijevoz pokretnih torbi/bicikala u teško dostupnim područjima, bespilotne letjelice opremljene senzorima LIDAR/Flir/fotogrammetrije, geoelektrorozivne/geor</w:t>
            </w:r>
            <w:r>
              <w:rPr>
                <w:noProof/>
              </w:rPr>
              <w:t>adarne tehnologije tijela nasipa te hardversku i softversku infrastrukturu</w:t>
            </w:r>
          </w:p>
        </w:tc>
        <w:tc>
          <w:tcPr>
            <w:tcW w:w="1843" w:type="dxa"/>
            <w:tcBorders>
              <w:top w:val="nil"/>
              <w:left w:val="single" w:sz="4" w:space="0" w:color="auto"/>
              <w:bottom w:val="single" w:sz="4" w:space="0" w:color="auto"/>
              <w:right w:val="single" w:sz="4" w:space="0" w:color="auto"/>
            </w:tcBorders>
            <w:shd w:val="clear" w:color="auto" w:fill="C6EFCE"/>
            <w:noWrap/>
          </w:tcPr>
          <w:p w14:paraId="5EDB29A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C24BC91"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370D6AA5"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735DA4F4" w14:textId="77777777" w:rsidR="003F46B9" w:rsidRDefault="0065662E">
            <w:pPr>
              <w:pStyle w:val="P68B1DB1-Normal5"/>
              <w:spacing w:after="0" w:line="240" w:lineRule="auto"/>
              <w:jc w:val="both"/>
              <w:rPr>
                <w:rFonts w:eastAsia="Times New Roman" w:cs="Times New Roman"/>
                <w:noProof/>
              </w:rPr>
            </w:pPr>
            <w:r>
              <w:rPr>
                <w:noProof/>
              </w:rPr>
              <w:t>11</w:t>
            </w:r>
          </w:p>
        </w:tc>
        <w:tc>
          <w:tcPr>
            <w:tcW w:w="1139" w:type="dxa"/>
            <w:tcBorders>
              <w:top w:val="nil"/>
              <w:left w:val="single" w:sz="4" w:space="0" w:color="auto"/>
              <w:bottom w:val="single" w:sz="4" w:space="0" w:color="auto"/>
              <w:right w:val="single" w:sz="4" w:space="0" w:color="auto"/>
            </w:tcBorders>
            <w:shd w:val="clear" w:color="auto" w:fill="C6EFCE"/>
            <w:noWrap/>
          </w:tcPr>
          <w:p w14:paraId="34E9DC57" w14:textId="137AE4D9"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4A5E6086" w14:textId="6CAA130D" w:rsidR="003F46B9" w:rsidRDefault="0065662E">
            <w:pPr>
              <w:pStyle w:val="P68B1DB1-Normal5"/>
              <w:spacing w:after="0" w:line="240" w:lineRule="auto"/>
              <w:jc w:val="both"/>
              <w:rPr>
                <w:rFonts w:eastAsia="Times New Roman" w:cs="Times New Roman"/>
                <w:noProof/>
              </w:rPr>
            </w:pPr>
            <w:r>
              <w:rPr>
                <w:noProof/>
              </w:rPr>
              <w:t>2024</w:t>
            </w:r>
          </w:p>
        </w:tc>
        <w:tc>
          <w:tcPr>
            <w:tcW w:w="2835" w:type="dxa"/>
            <w:tcBorders>
              <w:top w:val="nil"/>
              <w:left w:val="single" w:sz="4" w:space="0" w:color="auto"/>
              <w:bottom w:val="single" w:sz="4" w:space="0" w:color="auto"/>
              <w:right w:val="single" w:sz="4" w:space="0" w:color="auto"/>
            </w:tcBorders>
            <w:shd w:val="clear" w:color="auto" w:fill="C6EFCE"/>
            <w:noWrap/>
          </w:tcPr>
          <w:p w14:paraId="72B0A3DF" w14:textId="77777777" w:rsidR="003F46B9" w:rsidRDefault="0065662E">
            <w:pPr>
              <w:pStyle w:val="P68B1DB1-Normal5"/>
              <w:spacing w:after="0" w:line="240" w:lineRule="auto"/>
              <w:jc w:val="both"/>
              <w:rPr>
                <w:rFonts w:cs="Times New Roman"/>
                <w:noProof/>
              </w:rPr>
            </w:pPr>
            <w:r>
              <w:rPr>
                <w:noProof/>
              </w:rPr>
              <w:t>11 Uprave za riječne slivove moraju biti opremljene sljedećim:</w:t>
            </w:r>
          </w:p>
          <w:p w14:paraId="18CD5755" w14:textId="53A9B8BB" w:rsidR="003F46B9" w:rsidRDefault="0065662E">
            <w:pPr>
              <w:pStyle w:val="P68B1DB1-Normal5"/>
              <w:spacing w:after="0" w:line="240" w:lineRule="auto"/>
              <w:jc w:val="both"/>
              <w:rPr>
                <w:rFonts w:cs="Times New Roman"/>
                <w:noProof/>
              </w:rPr>
            </w:pPr>
            <w:r>
              <w:rPr>
                <w:noProof/>
              </w:rPr>
              <w:t>—strojevi za pristup i intervenciju grubog terena, amfibijski pristup i prijevoz pokretnih pješčanih vrećica/bicikala u teško dostupnim područjima. Kako bi se osigurala usklađenost s tehničkim smjernicama o primjeni načela nenanošenja bitne štete (2021/C 5</w:t>
            </w:r>
            <w:r>
              <w:rPr>
                <w:noProof/>
              </w:rPr>
              <w:t>8/01), vozila koja se kupuju, ako postoje, moraju imati specifične emisije CO2, kako su definirane u članku 3. stavku 1. točki (h) Uredbe (EU) 2019/631, koje su niže od 50 g CO2/km;</w:t>
            </w:r>
          </w:p>
          <w:p w14:paraId="041C07B0" w14:textId="77777777" w:rsidR="003F46B9" w:rsidRDefault="0065662E">
            <w:pPr>
              <w:pStyle w:val="P68B1DB1-Normal5"/>
              <w:spacing w:after="0" w:line="240" w:lineRule="auto"/>
              <w:jc w:val="both"/>
              <w:rPr>
                <w:rFonts w:cs="Times New Roman"/>
                <w:noProof/>
              </w:rPr>
            </w:pPr>
            <w:r>
              <w:rPr>
                <w:noProof/>
              </w:rPr>
              <w:t xml:space="preserve">—bespilotne letjelice opremljene senzorima LIDAR/Flir/fotogrammetrije, </w:t>
            </w:r>
          </w:p>
          <w:p w14:paraId="53D087EA" w14:textId="77777777" w:rsidR="003F46B9" w:rsidRDefault="0065662E">
            <w:pPr>
              <w:pStyle w:val="P68B1DB1-Normal5"/>
              <w:spacing w:after="0" w:line="240" w:lineRule="auto"/>
              <w:jc w:val="both"/>
              <w:rPr>
                <w:rFonts w:cs="Times New Roman"/>
                <w:noProof/>
              </w:rPr>
            </w:pPr>
            <w:r>
              <w:rPr>
                <w:noProof/>
              </w:rPr>
              <w:t>—g</w:t>
            </w:r>
            <w:r>
              <w:rPr>
                <w:noProof/>
              </w:rPr>
              <w:t>eoelektro-elektro-resistivne/geo radarske tehnologije tijela nasipa;</w:t>
            </w:r>
          </w:p>
          <w:p w14:paraId="27C0AEB3" w14:textId="77777777" w:rsidR="003F46B9" w:rsidRDefault="0065662E">
            <w:pPr>
              <w:pStyle w:val="P68B1DB1-Normal5"/>
              <w:spacing w:after="0" w:line="240" w:lineRule="auto"/>
              <w:jc w:val="both"/>
              <w:rPr>
                <w:rFonts w:eastAsia="Times New Roman" w:cs="Times New Roman"/>
                <w:noProof/>
              </w:rPr>
            </w:pPr>
            <w:r>
              <w:rPr>
                <w:noProof/>
              </w:rPr>
              <w:t xml:space="preserve">—hardverska i softverska infrastruktura za analizu i pohranu podataka koje prikuplja navedena oprema kako bi se poduprlo i poboljšalo sprečavanje poplava i odgovor na hitne situacije. </w:t>
            </w:r>
          </w:p>
        </w:tc>
      </w:tr>
      <w:tr w:rsidR="003F46B9" w14:paraId="7C445B9D"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847A633" w14:textId="77777777" w:rsidR="003F46B9" w:rsidRDefault="0065662E">
            <w:pPr>
              <w:pStyle w:val="P68B1DB1-Normal5"/>
              <w:spacing w:after="0" w:line="240" w:lineRule="auto"/>
              <w:jc w:val="center"/>
              <w:rPr>
                <w:rFonts w:eastAsia="Times New Roman" w:cs="Times New Roman"/>
                <w:noProof/>
              </w:rPr>
            </w:pPr>
            <w:r>
              <w:rPr>
                <w:noProof/>
              </w:rPr>
              <w:t>19</w:t>
            </w:r>
          </w:p>
        </w:tc>
        <w:tc>
          <w:tcPr>
            <w:tcW w:w="1985" w:type="dxa"/>
            <w:tcBorders>
              <w:top w:val="nil"/>
              <w:left w:val="single" w:sz="4" w:space="0" w:color="auto"/>
              <w:bottom w:val="single" w:sz="4" w:space="0" w:color="auto"/>
              <w:right w:val="single" w:sz="4" w:space="0" w:color="auto"/>
            </w:tcBorders>
            <w:shd w:val="clear" w:color="auto" w:fill="C6EFCE"/>
            <w:noWrap/>
          </w:tcPr>
          <w:p w14:paraId="75489D49" w14:textId="77777777" w:rsidR="003F46B9" w:rsidRDefault="0065662E">
            <w:pPr>
              <w:pStyle w:val="P68B1DB1-Normal5"/>
              <w:spacing w:after="0" w:line="240" w:lineRule="auto"/>
              <w:jc w:val="both"/>
              <w:rPr>
                <w:rFonts w:cs="Times New Roman"/>
                <w:noProof/>
              </w:rPr>
            </w:pPr>
            <w:r>
              <w:rPr>
                <w:noProof/>
              </w:rPr>
              <w:t xml:space="preserve">Ulaganje 6. Provedba katastra vode </w:t>
            </w:r>
          </w:p>
        </w:tc>
        <w:tc>
          <w:tcPr>
            <w:tcW w:w="1276" w:type="dxa"/>
            <w:tcBorders>
              <w:top w:val="nil"/>
              <w:left w:val="single" w:sz="4" w:space="0" w:color="auto"/>
              <w:bottom w:val="single" w:sz="4" w:space="0" w:color="auto"/>
              <w:right w:val="single" w:sz="4" w:space="0" w:color="auto"/>
            </w:tcBorders>
            <w:shd w:val="clear" w:color="auto" w:fill="C6EFCE"/>
            <w:noWrap/>
          </w:tcPr>
          <w:p w14:paraId="54DD7644" w14:textId="77777777" w:rsidR="003F46B9" w:rsidRDefault="0065662E">
            <w:pPr>
              <w:pStyle w:val="P68B1DB1-Normal5"/>
              <w:spacing w:after="0" w:line="240" w:lineRule="auto"/>
              <w:jc w:val="center"/>
              <w:rPr>
                <w:rFonts w:cs="Times New Roman"/>
                <w:noProof/>
              </w:rPr>
            </w:pPr>
            <w:r>
              <w:rPr>
                <w:noProof/>
              </w:rPr>
              <w:t>Prekretnica</w:t>
            </w:r>
          </w:p>
        </w:tc>
        <w:tc>
          <w:tcPr>
            <w:tcW w:w="1553" w:type="dxa"/>
            <w:tcBorders>
              <w:top w:val="nil"/>
              <w:left w:val="single" w:sz="4" w:space="0" w:color="auto"/>
              <w:bottom w:val="single" w:sz="4" w:space="0" w:color="auto"/>
              <w:right w:val="single" w:sz="4" w:space="0" w:color="auto"/>
            </w:tcBorders>
            <w:shd w:val="clear" w:color="auto" w:fill="C6EFCE"/>
            <w:noWrap/>
          </w:tcPr>
          <w:p w14:paraId="2B933836" w14:textId="77777777" w:rsidR="003F46B9" w:rsidRDefault="0065662E">
            <w:pPr>
              <w:pStyle w:val="P68B1DB1-Normal5"/>
              <w:spacing w:after="0" w:line="240" w:lineRule="auto"/>
              <w:jc w:val="both"/>
              <w:rPr>
                <w:rFonts w:cs="Times New Roman"/>
                <w:noProof/>
              </w:rPr>
            </w:pPr>
            <w:r>
              <w:rPr>
                <w:noProof/>
              </w:rPr>
              <w:t>Izrađen i operacionaliziran katastar vode</w:t>
            </w:r>
          </w:p>
        </w:tc>
        <w:tc>
          <w:tcPr>
            <w:tcW w:w="1843" w:type="dxa"/>
            <w:tcBorders>
              <w:top w:val="nil"/>
              <w:left w:val="single" w:sz="4" w:space="0" w:color="auto"/>
              <w:bottom w:val="single" w:sz="4" w:space="0" w:color="auto"/>
              <w:right w:val="single" w:sz="4" w:space="0" w:color="auto"/>
            </w:tcBorders>
            <w:shd w:val="clear" w:color="auto" w:fill="C6EFCE"/>
            <w:noWrap/>
          </w:tcPr>
          <w:p w14:paraId="146E6C8B" w14:textId="77777777" w:rsidR="003F46B9" w:rsidRDefault="0065662E">
            <w:pPr>
              <w:pStyle w:val="P68B1DB1-Normal5"/>
              <w:spacing w:after="0" w:line="240" w:lineRule="auto"/>
              <w:jc w:val="both"/>
              <w:rPr>
                <w:rFonts w:cs="Times New Roman"/>
                <w:noProof/>
              </w:rPr>
            </w:pPr>
            <w:r>
              <w:rPr>
                <w:noProof/>
              </w:rPr>
              <w:t>Katastar vode u funkciji</w:t>
            </w:r>
          </w:p>
        </w:tc>
        <w:tc>
          <w:tcPr>
            <w:tcW w:w="1134" w:type="dxa"/>
            <w:tcBorders>
              <w:top w:val="nil"/>
              <w:left w:val="single" w:sz="4" w:space="0" w:color="auto"/>
              <w:bottom w:val="single" w:sz="4" w:space="0" w:color="auto"/>
              <w:right w:val="single" w:sz="4" w:space="0" w:color="auto"/>
            </w:tcBorders>
            <w:shd w:val="clear" w:color="auto" w:fill="C6EFCE"/>
            <w:noWrap/>
          </w:tcPr>
          <w:p w14:paraId="34CE0A41"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62EBF3C5" w14:textId="77777777" w:rsidR="003F46B9" w:rsidRDefault="003F46B9">
            <w:pPr>
              <w:spacing w:after="0" w:line="240" w:lineRule="auto"/>
              <w:jc w:val="both"/>
              <w:rPr>
                <w:rFonts w:ascii="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6D98A12B" w14:textId="77777777" w:rsidR="003F46B9" w:rsidRDefault="003F46B9">
            <w:pPr>
              <w:spacing w:after="0" w:line="240" w:lineRule="auto"/>
              <w:jc w:val="both"/>
              <w:rPr>
                <w:rFonts w:ascii="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097CEC05" w14:textId="77777777" w:rsidR="003F46B9" w:rsidRDefault="0065662E">
            <w:pPr>
              <w:pStyle w:val="P68B1DB1-Normal5"/>
              <w:spacing w:after="0" w:line="240" w:lineRule="auto"/>
              <w:jc w:val="both"/>
              <w:rPr>
                <w:rFonts w:cs="Times New Roman"/>
                <w:noProof/>
              </w:rPr>
            </w:pPr>
            <w:r>
              <w:rPr>
                <w:noProof/>
              </w:rPr>
              <w:t>ČETVRTO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3C32F1D6" w14:textId="77777777" w:rsidR="003F46B9" w:rsidRDefault="0065662E">
            <w:pPr>
              <w:pStyle w:val="P68B1DB1-Normal5"/>
              <w:spacing w:after="0" w:line="240" w:lineRule="auto"/>
              <w:jc w:val="both"/>
              <w:rPr>
                <w:rFonts w:cs="Times New Roman"/>
                <w:noProof/>
              </w:rPr>
            </w:pPr>
            <w:r>
              <w:rPr>
                <w:noProof/>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0F1633A5" w14:textId="77777777" w:rsidR="003F46B9" w:rsidRDefault="0065662E">
            <w:pPr>
              <w:pStyle w:val="P68B1DB1-Normal5"/>
              <w:spacing w:after="0" w:line="240" w:lineRule="auto"/>
              <w:jc w:val="both"/>
              <w:rPr>
                <w:rFonts w:cs="Times New Roman"/>
                <w:noProof/>
              </w:rPr>
            </w:pPr>
            <w:r>
              <w:rPr>
                <w:noProof/>
              </w:rPr>
              <w:t>Vodeni katastar razvija se i operacionalizira:</w:t>
            </w:r>
          </w:p>
          <w:p w14:paraId="66F31AAB" w14:textId="77777777" w:rsidR="003F46B9" w:rsidRDefault="0065662E">
            <w:pPr>
              <w:pStyle w:val="P68B1DB1-Normal5"/>
              <w:spacing w:after="0" w:line="240" w:lineRule="auto"/>
              <w:jc w:val="both"/>
              <w:rPr>
                <w:rFonts w:cs="Times New Roman"/>
                <w:noProof/>
              </w:rPr>
            </w:pPr>
            <w:r>
              <w:rPr>
                <w:noProof/>
              </w:rPr>
              <w:t xml:space="preserve">—nabava modela digitalnog terena (DTM)/digitalnog modela površine (DSM) na nacionalnoj razini, na temelju satelitskih informacija koje se stavljaju na raspolaganje svim državnim tijelima; </w:t>
            </w:r>
          </w:p>
          <w:p w14:paraId="5DA8861C" w14:textId="77777777" w:rsidR="003F46B9" w:rsidRDefault="0065662E">
            <w:pPr>
              <w:pStyle w:val="P68B1DB1-Normal5"/>
              <w:spacing w:after="0" w:line="240" w:lineRule="auto"/>
              <w:jc w:val="both"/>
              <w:rPr>
                <w:rFonts w:cs="Times New Roman"/>
                <w:noProof/>
              </w:rPr>
            </w:pPr>
            <w:r>
              <w:rPr>
                <w:noProof/>
              </w:rPr>
              <w:t>razvoj softvera za određivanje modifikacije dna rijeke (proces eroz</w:t>
            </w:r>
            <w:r>
              <w:rPr>
                <w:noProof/>
              </w:rPr>
              <w:t>ije sedimentacije), praćenje ekstrakcije šljunka i potencijal za klizanje tla u područjima kompleta brana i jezgri,</w:t>
            </w:r>
          </w:p>
          <w:p w14:paraId="15C68E5D" w14:textId="77777777" w:rsidR="003F46B9" w:rsidRDefault="0065662E">
            <w:pPr>
              <w:pStyle w:val="P68B1DB1-Normal5"/>
              <w:spacing w:after="0" w:line="240" w:lineRule="auto"/>
              <w:jc w:val="both"/>
              <w:rPr>
                <w:rFonts w:cs="Times New Roman"/>
                <w:noProof/>
              </w:rPr>
            </w:pPr>
            <w:r>
              <w:rPr>
                <w:noProof/>
              </w:rPr>
              <w:t>poluautomatska digitalizacija i razgraničenje manjih riječnih dna na temelju ortofotofotofotografije i satelitskih snimaka DTM/DSM.</w:t>
            </w:r>
          </w:p>
        </w:tc>
      </w:tr>
      <w:tr w:rsidR="003F46B9" w14:paraId="6203F55F"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2A4FFC0" w14:textId="77777777" w:rsidR="003F46B9" w:rsidRDefault="0065662E">
            <w:pPr>
              <w:pStyle w:val="P68B1DB1-Normal5"/>
              <w:spacing w:after="0" w:line="240" w:lineRule="auto"/>
              <w:jc w:val="center"/>
              <w:rPr>
                <w:rFonts w:eastAsia="Times New Roman" w:cs="Times New Roman"/>
                <w:noProof/>
              </w:rPr>
            </w:pPr>
            <w:r>
              <w:rPr>
                <w:noProof/>
              </w:rPr>
              <w:t>20</w:t>
            </w:r>
          </w:p>
        </w:tc>
        <w:tc>
          <w:tcPr>
            <w:tcW w:w="1985" w:type="dxa"/>
            <w:tcBorders>
              <w:top w:val="nil"/>
              <w:left w:val="single" w:sz="4" w:space="0" w:color="auto"/>
              <w:bottom w:val="single" w:sz="4" w:space="0" w:color="auto"/>
              <w:right w:val="single" w:sz="4" w:space="0" w:color="auto"/>
            </w:tcBorders>
            <w:shd w:val="clear" w:color="auto" w:fill="C6EFCE"/>
            <w:noWrap/>
          </w:tcPr>
          <w:p w14:paraId="6AC7E37B" w14:textId="77777777" w:rsidR="003F46B9" w:rsidRDefault="0065662E">
            <w:pPr>
              <w:pStyle w:val="P68B1DB1-Normal5"/>
              <w:spacing w:after="0" w:line="240" w:lineRule="auto"/>
              <w:jc w:val="both"/>
              <w:rPr>
                <w:rFonts w:cs="Times New Roman"/>
                <w:noProof/>
              </w:rPr>
            </w:pPr>
            <w:r>
              <w:rPr>
                <w:noProof/>
              </w:rPr>
              <w:t xml:space="preserve">Ulaganje 7. Proširenje nacionalne promatračke mreže nacionalnog integriranog meteorološkog sustava (SIMIN) </w:t>
            </w:r>
          </w:p>
        </w:tc>
        <w:tc>
          <w:tcPr>
            <w:tcW w:w="1276" w:type="dxa"/>
            <w:tcBorders>
              <w:top w:val="nil"/>
              <w:left w:val="single" w:sz="4" w:space="0" w:color="auto"/>
              <w:bottom w:val="single" w:sz="4" w:space="0" w:color="auto"/>
              <w:right w:val="single" w:sz="4" w:space="0" w:color="auto"/>
            </w:tcBorders>
            <w:shd w:val="clear" w:color="auto" w:fill="C6EFCE"/>
            <w:noWrap/>
          </w:tcPr>
          <w:p w14:paraId="274B3D98" w14:textId="77777777" w:rsidR="003F46B9" w:rsidRDefault="0065662E">
            <w:pPr>
              <w:pStyle w:val="P68B1DB1-Normal5"/>
              <w:spacing w:after="0" w:line="240" w:lineRule="auto"/>
              <w:jc w:val="center"/>
              <w:rPr>
                <w:rFonts w:cs="Times New Roman"/>
                <w:noProof/>
              </w:rPr>
            </w:pPr>
            <w:r>
              <w:rPr>
                <w:noProof/>
              </w:rPr>
              <w:t>Ciljna</w:t>
            </w:r>
          </w:p>
        </w:tc>
        <w:tc>
          <w:tcPr>
            <w:tcW w:w="1553" w:type="dxa"/>
            <w:tcBorders>
              <w:top w:val="nil"/>
              <w:left w:val="single" w:sz="4" w:space="0" w:color="auto"/>
              <w:bottom w:val="single" w:sz="4" w:space="0" w:color="auto"/>
              <w:right w:val="single" w:sz="4" w:space="0" w:color="auto"/>
            </w:tcBorders>
            <w:shd w:val="clear" w:color="auto" w:fill="C6EFCE"/>
            <w:noWrap/>
          </w:tcPr>
          <w:p w14:paraId="084E2569" w14:textId="77777777" w:rsidR="003F46B9" w:rsidRDefault="0065662E">
            <w:pPr>
              <w:pStyle w:val="P68B1DB1-Normal5"/>
              <w:spacing w:after="0" w:line="240" w:lineRule="auto"/>
              <w:jc w:val="both"/>
              <w:rPr>
                <w:rFonts w:cs="Times New Roman"/>
                <w:noProof/>
              </w:rPr>
            </w:pPr>
            <w:r>
              <w:rPr>
                <w:noProof/>
              </w:rPr>
              <w:t xml:space="preserve">Kupljene i operativne meteorološke postaje </w:t>
            </w:r>
          </w:p>
        </w:tc>
        <w:tc>
          <w:tcPr>
            <w:tcW w:w="1843" w:type="dxa"/>
            <w:tcBorders>
              <w:top w:val="nil"/>
              <w:left w:val="single" w:sz="4" w:space="0" w:color="auto"/>
              <w:bottom w:val="single" w:sz="4" w:space="0" w:color="auto"/>
              <w:right w:val="single" w:sz="4" w:space="0" w:color="auto"/>
            </w:tcBorders>
            <w:shd w:val="clear" w:color="auto" w:fill="C6EFCE"/>
            <w:noWrap/>
          </w:tcPr>
          <w:p w14:paraId="4474F8A0"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2E2BBB66" w14:textId="77777777" w:rsidR="003F46B9" w:rsidRDefault="0065662E">
            <w:pPr>
              <w:pStyle w:val="P68B1DB1-Normal5"/>
              <w:spacing w:after="0" w:line="240" w:lineRule="auto"/>
              <w:jc w:val="both"/>
              <w:rPr>
                <w:rFonts w:cs="Times New Roman"/>
                <w:noProof/>
              </w:rPr>
            </w:pPr>
            <w:r>
              <w:rPr>
                <w:noProof/>
              </w:rPr>
              <w:t>Broj</w:t>
            </w:r>
          </w:p>
        </w:tc>
        <w:tc>
          <w:tcPr>
            <w:tcW w:w="1134" w:type="dxa"/>
            <w:tcBorders>
              <w:top w:val="nil"/>
              <w:left w:val="single" w:sz="4" w:space="0" w:color="auto"/>
              <w:bottom w:val="single" w:sz="4" w:space="0" w:color="auto"/>
              <w:right w:val="single" w:sz="4" w:space="0" w:color="auto"/>
            </w:tcBorders>
            <w:shd w:val="clear" w:color="auto" w:fill="C6EFCE"/>
            <w:noWrap/>
          </w:tcPr>
          <w:p w14:paraId="05F7728E"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A8B2917" w14:textId="77777777" w:rsidR="003F46B9" w:rsidRDefault="0065662E">
            <w:pPr>
              <w:pStyle w:val="P68B1DB1-Normal5"/>
              <w:spacing w:after="0" w:line="240" w:lineRule="auto"/>
              <w:jc w:val="both"/>
              <w:rPr>
                <w:rFonts w:cs="Times New Roman"/>
                <w:noProof/>
              </w:rPr>
            </w:pPr>
            <w:r>
              <w:rPr>
                <w:noProof/>
              </w:rPr>
              <w:t>400</w:t>
            </w:r>
          </w:p>
        </w:tc>
        <w:tc>
          <w:tcPr>
            <w:tcW w:w="1139" w:type="dxa"/>
            <w:tcBorders>
              <w:top w:val="nil"/>
              <w:left w:val="single" w:sz="4" w:space="0" w:color="auto"/>
              <w:bottom w:val="single" w:sz="4" w:space="0" w:color="auto"/>
              <w:right w:val="single" w:sz="4" w:space="0" w:color="auto"/>
            </w:tcBorders>
            <w:shd w:val="clear" w:color="auto" w:fill="C6EFCE"/>
            <w:noWrap/>
          </w:tcPr>
          <w:p w14:paraId="5E18D1BD" w14:textId="77777777" w:rsidR="003F46B9" w:rsidRDefault="0065662E">
            <w:pPr>
              <w:pStyle w:val="P68B1DB1-Normal5"/>
              <w:spacing w:after="0" w:line="240" w:lineRule="auto"/>
              <w:jc w:val="both"/>
              <w:rPr>
                <w:rFonts w:cs="Times New Roman"/>
                <w:noProof/>
              </w:rPr>
            </w:pPr>
            <w:r>
              <w:rPr>
                <w:noProof/>
              </w:rPr>
              <w:t>ČETVRTO 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49F96DD5" w14:textId="77777777" w:rsidR="003F46B9" w:rsidRDefault="0065662E">
            <w:pPr>
              <w:pStyle w:val="P68B1DB1-Normal5"/>
              <w:spacing w:after="0" w:line="240" w:lineRule="auto"/>
              <w:jc w:val="both"/>
              <w:rPr>
                <w:rFonts w:cs="Times New Roman"/>
                <w:noProof/>
              </w:rPr>
            </w:pPr>
            <w:r>
              <w:rPr>
                <w:noProof/>
              </w:rPr>
              <w:t>2025</w:t>
            </w:r>
          </w:p>
        </w:tc>
        <w:tc>
          <w:tcPr>
            <w:tcW w:w="2835" w:type="dxa"/>
            <w:tcBorders>
              <w:top w:val="nil"/>
              <w:left w:val="single" w:sz="4" w:space="0" w:color="auto"/>
              <w:bottom w:val="single" w:sz="4" w:space="0" w:color="auto"/>
              <w:right w:val="single" w:sz="4" w:space="0" w:color="auto"/>
            </w:tcBorders>
            <w:shd w:val="clear" w:color="auto" w:fill="C6EFCE"/>
            <w:noWrap/>
          </w:tcPr>
          <w:p w14:paraId="5CE6B707" w14:textId="77777777" w:rsidR="003F46B9" w:rsidRDefault="0065662E">
            <w:pPr>
              <w:pStyle w:val="P68B1DB1-Normal5"/>
              <w:spacing w:after="0" w:line="240" w:lineRule="auto"/>
              <w:jc w:val="both"/>
              <w:rPr>
                <w:rFonts w:cs="Times New Roman"/>
                <w:noProof/>
              </w:rPr>
            </w:pPr>
            <w:r>
              <w:rPr>
                <w:noProof/>
              </w:rPr>
              <w:t xml:space="preserve">Mreža autonomnih površinskih automatskih meteoroloških postaja proširuje se nabavom i operacionalizacijom 300 automatskih i autonomnih površinskih meteoroloških postaja i 100 agrometeoroloških postaja. </w:t>
            </w:r>
          </w:p>
        </w:tc>
      </w:tr>
      <w:tr w:rsidR="003F46B9" w14:paraId="22614DE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7B568215" w14:textId="77777777" w:rsidR="003F46B9" w:rsidRDefault="0065662E">
            <w:pPr>
              <w:pStyle w:val="P68B1DB1-Normal5"/>
              <w:spacing w:after="0" w:line="240" w:lineRule="auto"/>
              <w:jc w:val="center"/>
              <w:rPr>
                <w:rFonts w:eastAsia="Times New Roman" w:cs="Times New Roman"/>
                <w:noProof/>
              </w:rPr>
            </w:pPr>
            <w:r>
              <w:rPr>
                <w:noProof/>
              </w:rPr>
              <w:t>21</w:t>
            </w:r>
          </w:p>
        </w:tc>
        <w:tc>
          <w:tcPr>
            <w:tcW w:w="1985" w:type="dxa"/>
            <w:tcBorders>
              <w:top w:val="nil"/>
              <w:left w:val="single" w:sz="4" w:space="0" w:color="auto"/>
              <w:bottom w:val="single" w:sz="4" w:space="0" w:color="auto"/>
              <w:right w:val="single" w:sz="4" w:space="0" w:color="auto"/>
            </w:tcBorders>
            <w:shd w:val="clear" w:color="auto" w:fill="C6EFCE"/>
            <w:noWrap/>
          </w:tcPr>
          <w:p w14:paraId="0F9E2D3C" w14:textId="77777777" w:rsidR="003F46B9" w:rsidRDefault="0065662E">
            <w:pPr>
              <w:pStyle w:val="P68B1DB1-Normal5"/>
              <w:spacing w:after="0" w:line="240" w:lineRule="auto"/>
              <w:jc w:val="both"/>
              <w:rPr>
                <w:rFonts w:cs="Times New Roman"/>
                <w:noProof/>
              </w:rPr>
            </w:pPr>
            <w:r>
              <w:rPr>
                <w:noProof/>
              </w:rPr>
              <w:t xml:space="preserve">Ulaganje 7. Proširenje nacionalne promatračke mreže nacionalnog integriranog meteorološkog sustava (SIMIN) </w:t>
            </w:r>
          </w:p>
        </w:tc>
        <w:tc>
          <w:tcPr>
            <w:tcW w:w="1276" w:type="dxa"/>
            <w:tcBorders>
              <w:top w:val="nil"/>
              <w:left w:val="single" w:sz="4" w:space="0" w:color="auto"/>
              <w:bottom w:val="single" w:sz="4" w:space="0" w:color="auto"/>
              <w:right w:val="single" w:sz="4" w:space="0" w:color="auto"/>
            </w:tcBorders>
            <w:shd w:val="clear" w:color="auto" w:fill="C6EFCE"/>
            <w:noWrap/>
          </w:tcPr>
          <w:p w14:paraId="7A6FA74E" w14:textId="77777777" w:rsidR="003F46B9" w:rsidRDefault="0065662E">
            <w:pPr>
              <w:pStyle w:val="P68B1DB1-Normal5"/>
              <w:spacing w:after="0" w:line="240" w:lineRule="auto"/>
              <w:jc w:val="center"/>
              <w:rPr>
                <w:rFonts w:cs="Times New Roman"/>
                <w:noProof/>
              </w:rPr>
            </w:pPr>
            <w:r>
              <w:rPr>
                <w:noProof/>
              </w:rPr>
              <w:t>Prekretnica</w:t>
            </w:r>
          </w:p>
        </w:tc>
        <w:tc>
          <w:tcPr>
            <w:tcW w:w="1553" w:type="dxa"/>
            <w:tcBorders>
              <w:top w:val="nil"/>
              <w:left w:val="single" w:sz="4" w:space="0" w:color="auto"/>
              <w:bottom w:val="single" w:sz="4" w:space="0" w:color="auto"/>
              <w:right w:val="single" w:sz="4" w:space="0" w:color="auto"/>
            </w:tcBorders>
            <w:shd w:val="clear" w:color="auto" w:fill="C6EFCE"/>
            <w:noWrap/>
          </w:tcPr>
          <w:p w14:paraId="79F34D87" w14:textId="77777777" w:rsidR="003F46B9" w:rsidRDefault="0065662E">
            <w:pPr>
              <w:pStyle w:val="P68B1DB1-Normal5"/>
              <w:spacing w:after="0" w:line="240" w:lineRule="auto"/>
              <w:jc w:val="both"/>
              <w:rPr>
                <w:rFonts w:cs="Times New Roman"/>
                <w:noProof/>
              </w:rPr>
            </w:pPr>
            <w:r>
              <w:rPr>
                <w:noProof/>
              </w:rPr>
              <w:t>Operativni informacijski i komunikacijski sustav za integraciju dodatnih meteoroloških i agrometeoroloških postaja u nacionalni integrir</w:t>
            </w:r>
            <w:r>
              <w:rPr>
                <w:noProof/>
              </w:rPr>
              <w:t>ani meteorološki sustav (SIMIN)</w:t>
            </w:r>
          </w:p>
        </w:tc>
        <w:tc>
          <w:tcPr>
            <w:tcW w:w="1843" w:type="dxa"/>
            <w:tcBorders>
              <w:top w:val="nil"/>
              <w:left w:val="single" w:sz="4" w:space="0" w:color="auto"/>
              <w:bottom w:val="single" w:sz="4" w:space="0" w:color="auto"/>
              <w:right w:val="single" w:sz="4" w:space="0" w:color="auto"/>
            </w:tcBorders>
            <w:shd w:val="clear" w:color="auto" w:fill="C6EFCE"/>
            <w:noWrap/>
          </w:tcPr>
          <w:p w14:paraId="11DD550C" w14:textId="77777777" w:rsidR="003F46B9" w:rsidRDefault="0065662E">
            <w:pPr>
              <w:pStyle w:val="P68B1DB1-Normal5"/>
              <w:spacing w:after="0" w:line="240" w:lineRule="auto"/>
              <w:jc w:val="both"/>
              <w:rPr>
                <w:rFonts w:cs="Times New Roman"/>
                <w:noProof/>
              </w:rPr>
            </w:pPr>
            <w:r>
              <w:rPr>
                <w:noProof/>
              </w:rPr>
              <w:t>Nacionalni meteorološki sustav (SIMIN) integriran s dodatnim operativnim postajama</w:t>
            </w:r>
          </w:p>
        </w:tc>
        <w:tc>
          <w:tcPr>
            <w:tcW w:w="1134" w:type="dxa"/>
            <w:tcBorders>
              <w:top w:val="nil"/>
              <w:left w:val="single" w:sz="4" w:space="0" w:color="auto"/>
              <w:bottom w:val="single" w:sz="4" w:space="0" w:color="auto"/>
              <w:right w:val="single" w:sz="4" w:space="0" w:color="auto"/>
            </w:tcBorders>
            <w:shd w:val="clear" w:color="auto" w:fill="C6EFCE"/>
            <w:noWrap/>
          </w:tcPr>
          <w:p w14:paraId="2946DB82"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5997CC1D" w14:textId="77777777" w:rsidR="003F46B9" w:rsidRDefault="003F46B9">
            <w:pPr>
              <w:spacing w:after="0" w:line="240" w:lineRule="auto"/>
              <w:jc w:val="both"/>
              <w:rPr>
                <w:rFonts w:ascii="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110FFD37" w14:textId="77777777" w:rsidR="003F46B9" w:rsidRDefault="003F46B9">
            <w:pPr>
              <w:spacing w:after="0" w:line="240" w:lineRule="auto"/>
              <w:jc w:val="both"/>
              <w:rPr>
                <w:rFonts w:ascii="Times New Roman" w:hAnsi="Times New Roman" w:cs="Times New Roman"/>
                <w:noProof/>
                <w:sz w:val="24"/>
              </w:rPr>
            </w:pPr>
          </w:p>
        </w:tc>
        <w:tc>
          <w:tcPr>
            <w:tcW w:w="1139" w:type="dxa"/>
            <w:tcBorders>
              <w:top w:val="nil"/>
              <w:left w:val="single" w:sz="4" w:space="0" w:color="auto"/>
              <w:bottom w:val="single" w:sz="4" w:space="0" w:color="auto"/>
              <w:right w:val="single" w:sz="4" w:space="0" w:color="auto"/>
            </w:tcBorders>
            <w:shd w:val="clear" w:color="auto" w:fill="C6EFCE"/>
            <w:noWrap/>
          </w:tcPr>
          <w:p w14:paraId="7694BBC2"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single" w:sz="4" w:space="0" w:color="auto"/>
              <w:bottom w:val="single" w:sz="4" w:space="0" w:color="auto"/>
              <w:right w:val="single" w:sz="4" w:space="0" w:color="auto"/>
            </w:tcBorders>
            <w:shd w:val="clear" w:color="auto" w:fill="C6EFCE"/>
            <w:noWrap/>
          </w:tcPr>
          <w:p w14:paraId="55CFB499" w14:textId="77777777" w:rsidR="003F46B9" w:rsidRDefault="0065662E">
            <w:pPr>
              <w:pStyle w:val="P68B1DB1-Normal5"/>
              <w:spacing w:after="0" w:line="240" w:lineRule="auto"/>
              <w:jc w:val="both"/>
              <w:rPr>
                <w:rFonts w:cs="Times New Roman"/>
                <w:noProof/>
              </w:rPr>
            </w:pPr>
            <w:r>
              <w:rPr>
                <w:noProof/>
              </w:rPr>
              <w:t>2026</w:t>
            </w:r>
          </w:p>
        </w:tc>
        <w:tc>
          <w:tcPr>
            <w:tcW w:w="2835" w:type="dxa"/>
            <w:tcBorders>
              <w:top w:val="nil"/>
              <w:left w:val="single" w:sz="4" w:space="0" w:color="auto"/>
              <w:bottom w:val="single" w:sz="4" w:space="0" w:color="auto"/>
              <w:right w:val="single" w:sz="4" w:space="0" w:color="auto"/>
            </w:tcBorders>
            <w:shd w:val="clear" w:color="auto" w:fill="C6EFCE"/>
            <w:noWrap/>
          </w:tcPr>
          <w:p w14:paraId="2803FCD0" w14:textId="77777777" w:rsidR="003F46B9" w:rsidRDefault="0065662E">
            <w:pPr>
              <w:pStyle w:val="P68B1DB1-Normal5"/>
              <w:spacing w:after="0" w:line="240" w:lineRule="auto"/>
              <w:jc w:val="both"/>
              <w:rPr>
                <w:rFonts w:cs="Times New Roman"/>
                <w:noProof/>
              </w:rPr>
            </w:pPr>
            <w:r>
              <w:rPr>
                <w:noProof/>
              </w:rPr>
              <w:t xml:space="preserve">Informacijska i komunikacijska tehnologija za integraciju dodatnih meteoroloških postaja u nacionalni integrirani meteorološki sustav (SIMIN) mora biti operativna. </w:t>
            </w:r>
          </w:p>
        </w:tc>
      </w:tr>
    </w:tbl>
    <w:p w14:paraId="6B699379" w14:textId="77777777" w:rsidR="003F46B9" w:rsidRDefault="003F46B9">
      <w:pPr>
        <w:spacing w:before="120" w:after="120" w:line="240" w:lineRule="auto"/>
        <w:ind w:left="709"/>
        <w:jc w:val="both"/>
        <w:rPr>
          <w:rFonts w:ascii="Times New Roman" w:hAnsi="Times New Roman" w:cs="Times New Roman"/>
          <w:noProof/>
          <w:sz w:val="24"/>
        </w:rPr>
        <w:sectPr w:rsidR="003F46B9">
          <w:headerReference w:type="even" r:id="rId30"/>
          <w:headerReference w:type="default" r:id="rId31"/>
          <w:footerReference w:type="even" r:id="rId32"/>
          <w:footerReference w:type="default" r:id="rId33"/>
          <w:headerReference w:type="first" r:id="rId34"/>
          <w:footerReference w:type="first" r:id="rId35"/>
          <w:pgSz w:w="16839" w:h="11907" w:orient="landscape"/>
          <w:pgMar w:top="1417" w:right="1134" w:bottom="1417" w:left="1134" w:header="709" w:footer="709" w:gutter="0"/>
          <w:cols w:space="720"/>
          <w:docGrid w:linePitch="360"/>
        </w:sectPr>
      </w:pPr>
    </w:p>
    <w:p w14:paraId="2F85EB5F"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 DIO 2: Zaštita šuma i </w:t>
      </w:r>
      <w:r>
        <w:rPr>
          <w:noProof/>
        </w:rPr>
        <w:t>biološke raznolikosti</w:t>
      </w:r>
    </w:p>
    <w:p w14:paraId="3FA3749A" w14:textId="77777777" w:rsidR="003F46B9" w:rsidRDefault="0065662E">
      <w:pPr>
        <w:pStyle w:val="P68B1DB1-Normal5"/>
        <w:spacing w:before="120" w:after="120" w:line="240" w:lineRule="auto"/>
        <w:jc w:val="both"/>
        <w:rPr>
          <w:rFonts w:cs="Times New Roman"/>
          <w:noProof/>
        </w:rPr>
      </w:pPr>
      <w:r>
        <w:rPr>
          <w:noProof/>
        </w:rPr>
        <w:t>Cilj je komponente uskladiti nacionalne prakse gospodarenja šumama s onima koje se odnose na očuvanje bioraznolikosti i zaštitu okoliša te osiguravanje prijelaza na klimatski neutralnu Europu stvaranjem novih područja pokrivenih šumam</w:t>
      </w:r>
      <w:r>
        <w:rPr>
          <w:noProof/>
        </w:rPr>
        <w:t xml:space="preserve">a i obnovom narušenih staništa. </w:t>
      </w:r>
    </w:p>
    <w:p w14:paraId="7CBD10A8" w14:textId="77777777" w:rsidR="003F46B9" w:rsidRDefault="0065662E">
      <w:pPr>
        <w:pStyle w:val="P68B1DB1-Normal5"/>
        <w:spacing w:before="120" w:after="120" w:line="240" w:lineRule="auto"/>
        <w:jc w:val="both"/>
        <w:rPr>
          <w:rFonts w:cs="Times New Roman"/>
          <w:noProof/>
        </w:rPr>
      </w:pPr>
      <w:r>
        <w:rPr>
          <w:noProof/>
        </w:rPr>
        <w:t xml:space="preserve">Komponenta se sastoji od dviju reformi i pet ulaganja. </w:t>
      </w:r>
    </w:p>
    <w:p w14:paraId="7C34FFA1" w14:textId="77777777" w:rsidR="003F46B9" w:rsidRDefault="0065662E">
      <w:pPr>
        <w:pStyle w:val="P68B1DB1-Normal5"/>
        <w:spacing w:before="120" w:after="120" w:line="240" w:lineRule="auto"/>
        <w:jc w:val="both"/>
        <w:rPr>
          <w:rFonts w:cs="Times New Roman"/>
          <w:noProof/>
        </w:rPr>
      </w:pPr>
      <w:r>
        <w:rPr>
          <w:noProof/>
        </w:rPr>
        <w:t>Očekuje se da će se mjerama uključenima u komponentu odgovoriti na određene izazove istaknute u preporuci za pojedinu zemlju da se ulaganja usredotoče na zelenu i digi</w:t>
      </w:r>
      <w:r>
        <w:rPr>
          <w:noProof/>
        </w:rPr>
        <w:t>talnu tranziciju, posebno na, među ostalim, okolišnu infrastrukturu (4. preporuka za pojedinu zemlju, 2019. i 3. preporuka za pojedinu zemlju iz 2020.).</w:t>
      </w:r>
    </w:p>
    <w:p w14:paraId="183FB468" w14:textId="77777777" w:rsidR="003F46B9" w:rsidRDefault="0065662E">
      <w:pPr>
        <w:pStyle w:val="P68B1DB1-Normal5"/>
        <w:spacing w:before="120" w:after="120" w:line="240" w:lineRule="auto"/>
        <w:jc w:val="both"/>
        <w:rPr>
          <w:rFonts w:cs="Times New Roman"/>
          <w:noProof/>
        </w:rPr>
      </w:pPr>
      <w:r>
        <w:rPr>
          <w:noProof/>
        </w:rPr>
        <w:t xml:space="preserve">Očekuje se da se nijednom mjerom u ovoj komponenti ne nanosi znatna šteta okolišnim ciljevima u smislu </w:t>
      </w:r>
      <w:r>
        <w:rPr>
          <w:noProof/>
        </w:rPr>
        <w:t xml:space="preserve">članka 17. Uredbe (EU) 2020/852, uzimajući u obzir opis mjera i korake ublažavanja utvrđene u planu za oporavak i otpornost u skladu s Tehničkim smjernicama DNSH-a (2021/C58/01). </w:t>
      </w:r>
    </w:p>
    <w:p w14:paraId="5EF8C96E" w14:textId="77777777" w:rsidR="003F46B9" w:rsidRDefault="0065662E">
      <w:pPr>
        <w:pStyle w:val="P68B1DB1-Normal1"/>
        <w:keepNext/>
        <w:spacing w:before="120" w:after="120" w:line="240" w:lineRule="auto"/>
        <w:jc w:val="both"/>
        <w:outlineLvl w:val="1"/>
        <w:rPr>
          <w:rFonts w:eastAsiaTheme="majorEastAsia" w:cs="Times New Roman"/>
          <w:noProof/>
        </w:rPr>
      </w:pPr>
      <w:r>
        <w:rPr>
          <w:noProof/>
        </w:rPr>
        <w:t>B.1. Opis reformi i ulaganja za programe bespovratne financijske potpore</w:t>
      </w:r>
    </w:p>
    <w:p w14:paraId="09545E07" w14:textId="77777777" w:rsidR="003F46B9" w:rsidRDefault="0065662E">
      <w:pPr>
        <w:pStyle w:val="P68B1DB1-Standard6"/>
        <w:jc w:val="both"/>
        <w:rPr>
          <w:rFonts w:ascii="Times New Roman" w:eastAsiaTheme="majorEastAsia" w:hAnsi="Times New Roman" w:cs="Times New Roman"/>
          <w:noProof/>
        </w:rPr>
      </w:pPr>
      <w:r>
        <w:rPr>
          <w:noProof/>
        </w:rPr>
        <w:t xml:space="preserve">Reforma 1. Reforma sustava gospodarenja šumama i upravljanja šumama razvojem nove nacionalne strategije za šume i naknadnog zakonodavstva </w:t>
      </w:r>
    </w:p>
    <w:p w14:paraId="04A7D696" w14:textId="77777777" w:rsidR="003F46B9" w:rsidRDefault="0065662E">
      <w:pPr>
        <w:pStyle w:val="P68B1DB1-Normal5"/>
        <w:spacing w:before="120" w:after="120" w:line="240" w:lineRule="auto"/>
        <w:jc w:val="both"/>
        <w:rPr>
          <w:rFonts w:cs="Times New Roman"/>
          <w:noProof/>
        </w:rPr>
      </w:pPr>
      <w:r>
        <w:rPr>
          <w:noProof/>
        </w:rPr>
        <w:t xml:space="preserve">Cilj je reforme osigurati jasan i čvrst strateški i regulatorni okvir za provedbu održivih šumarskih politika kojima </w:t>
      </w:r>
      <w:r>
        <w:rPr>
          <w:noProof/>
        </w:rPr>
        <w:t xml:space="preserve">se podupire ublažavanje klimatskih promjena i prilagodba tim promjenama. </w:t>
      </w:r>
    </w:p>
    <w:p w14:paraId="35DFFA21" w14:textId="77777777" w:rsidR="003F46B9" w:rsidRDefault="0065662E">
      <w:pPr>
        <w:pStyle w:val="P68B1DB1-Normal5"/>
        <w:spacing w:before="120" w:after="120" w:line="240" w:lineRule="auto"/>
        <w:jc w:val="both"/>
        <w:rPr>
          <w:rFonts w:cs="Times New Roman"/>
          <w:noProof/>
        </w:rPr>
      </w:pPr>
      <w:r>
        <w:rPr>
          <w:noProof/>
        </w:rPr>
        <w:t xml:space="preserve">Reforma se sastoji od sljedećih mjera: </w:t>
      </w:r>
    </w:p>
    <w:p w14:paraId="6C8BA252" w14:textId="77777777" w:rsidR="003F46B9" w:rsidRDefault="0065662E">
      <w:pPr>
        <w:pStyle w:val="P68B1DB1-Normal5"/>
        <w:spacing w:before="120" w:after="120" w:line="240" w:lineRule="auto"/>
        <w:ind w:left="142"/>
        <w:jc w:val="both"/>
        <w:rPr>
          <w:rFonts w:cs="Times New Roman"/>
          <w:noProof/>
        </w:rPr>
      </w:pPr>
      <w:r>
        <w:rPr>
          <w:noProof/>
        </w:rPr>
        <w:t>(1) Dovršetak neovisnih studija o nedostacima u institucijskom i regulatornom upravljanju te provedba odredbi postojećeg zakonodavstva o šumar</w:t>
      </w:r>
      <w:r>
        <w:rPr>
          <w:noProof/>
        </w:rPr>
        <w:t>stvu (do 30. lipnja 2022.);</w:t>
      </w:r>
    </w:p>
    <w:p w14:paraId="43DF17EE" w14:textId="77777777" w:rsidR="003F46B9" w:rsidRDefault="0065662E">
      <w:pPr>
        <w:pStyle w:val="P68B1DB1-Normal5"/>
        <w:spacing w:before="120" w:after="120" w:line="240" w:lineRule="auto"/>
        <w:ind w:left="142"/>
        <w:jc w:val="both"/>
        <w:rPr>
          <w:rFonts w:cs="Times New Roman"/>
          <w:noProof/>
        </w:rPr>
      </w:pPr>
      <w:r>
        <w:rPr>
          <w:noProof/>
        </w:rPr>
        <w:t>(2) Donošenje Nacionalne strategije za šume za razdoblje 2020. – 2030. na temelju preporuka iz procjene provedene u skladu s točkom 1. (do 30. rujna 2022.);</w:t>
      </w:r>
    </w:p>
    <w:p w14:paraId="60A5CDEA" w14:textId="77777777" w:rsidR="003F46B9" w:rsidRDefault="0065662E">
      <w:pPr>
        <w:pStyle w:val="P68B1DB1-Normal5"/>
        <w:spacing w:before="120" w:after="120" w:line="240" w:lineRule="auto"/>
        <w:ind w:left="142"/>
        <w:jc w:val="both"/>
        <w:rPr>
          <w:rFonts w:cs="Times New Roman"/>
          <w:noProof/>
        </w:rPr>
      </w:pPr>
      <w:r>
        <w:rPr>
          <w:noProof/>
        </w:rPr>
        <w:t xml:space="preserve">(3) Donošenje i stupanje na snagu izmijenjenih ministarskih pravilnika </w:t>
      </w:r>
      <w:r>
        <w:rPr>
          <w:noProof/>
        </w:rPr>
        <w:t>o utvrđivanju obvezujućih pravila za pošumljavanje i ponovno pošumljavanje predviđenih u Nacionalnoj strategiji za šume za razdoblje 2020. – 2030. donesenoj u skladu s (2) (do 30. rujna 2022.);</w:t>
      </w:r>
    </w:p>
    <w:p w14:paraId="53D97CA6" w14:textId="77777777" w:rsidR="003F46B9" w:rsidRDefault="0065662E">
      <w:pPr>
        <w:pStyle w:val="P68B1DB1-Normal5"/>
        <w:spacing w:before="120" w:after="120" w:line="240" w:lineRule="auto"/>
        <w:ind w:left="142"/>
        <w:jc w:val="both"/>
        <w:rPr>
          <w:rFonts w:cs="Times New Roman"/>
          <w:noProof/>
        </w:rPr>
      </w:pPr>
      <w:r>
        <w:rPr>
          <w:noProof/>
        </w:rPr>
        <w:t>(4) Donošenje i stupanje na snagu zakonodavnih akata o izmjeni</w:t>
      </w:r>
      <w:r>
        <w:rPr>
          <w:noProof/>
        </w:rPr>
        <w:t xml:space="preserve"> i dopuni postojećeg zakonodavstva o šumama s ciljem pojednostavnjenja pravnog okvira, borbe protiv nezakonite sječe i poboljšanja gospodarenja šumama (do 30. lipnja 2023.).</w:t>
      </w:r>
    </w:p>
    <w:p w14:paraId="598FC2B2" w14:textId="77777777" w:rsidR="003F46B9" w:rsidRDefault="0065662E">
      <w:pPr>
        <w:pStyle w:val="P68B1DB1-Normal5"/>
        <w:spacing w:before="120" w:after="120" w:line="240" w:lineRule="auto"/>
        <w:jc w:val="both"/>
        <w:rPr>
          <w:rFonts w:cs="Times New Roman"/>
          <w:noProof/>
        </w:rPr>
      </w:pPr>
      <w:r>
        <w:rPr>
          <w:noProof/>
        </w:rPr>
        <w:t xml:space="preserve">Reforma se podupire dvama ulaganjima – ulaganjima 1 i 2. </w:t>
      </w:r>
    </w:p>
    <w:p w14:paraId="7B2D110F" w14:textId="77777777" w:rsidR="003F46B9" w:rsidRDefault="0065662E">
      <w:pPr>
        <w:pStyle w:val="P68B1DB1-Normal5"/>
        <w:spacing w:before="120" w:after="120" w:line="240" w:lineRule="auto"/>
        <w:jc w:val="both"/>
        <w:rPr>
          <w:rFonts w:cs="Times New Roman"/>
          <w:noProof/>
          <w:u w:val="single"/>
        </w:rPr>
      </w:pPr>
      <w:r>
        <w:rPr>
          <w:noProof/>
        </w:rPr>
        <w:t>Provedba reforme mora bi</w:t>
      </w:r>
      <w:r>
        <w:rPr>
          <w:noProof/>
        </w:rPr>
        <w:t>ti dovršena do 30. rujna 2023.</w:t>
      </w:r>
    </w:p>
    <w:p w14:paraId="0AF469F5" w14:textId="77777777" w:rsidR="003F46B9" w:rsidRDefault="0065662E">
      <w:pPr>
        <w:pStyle w:val="P68B1DB1-Standard6"/>
        <w:jc w:val="both"/>
        <w:rPr>
          <w:rFonts w:ascii="Times New Roman" w:eastAsiaTheme="majorEastAsia" w:hAnsi="Times New Roman" w:cs="Times New Roman"/>
          <w:noProof/>
        </w:rPr>
      </w:pPr>
      <w:r>
        <w:rPr>
          <w:noProof/>
        </w:rPr>
        <w:t xml:space="preserve">Ulaganje 1. Nacionalna kampanja za pošumljavanje i ponovno pošumljavanje, uključujući urbane šume </w:t>
      </w:r>
    </w:p>
    <w:p w14:paraId="5D919912" w14:textId="77777777" w:rsidR="003F46B9" w:rsidRDefault="0065662E">
      <w:pPr>
        <w:pStyle w:val="P68B1DB1-Normal5"/>
        <w:spacing w:before="120" w:after="120" w:line="240" w:lineRule="auto"/>
        <w:jc w:val="both"/>
        <w:rPr>
          <w:rFonts w:cs="Times New Roman"/>
          <w:noProof/>
        </w:rPr>
      </w:pPr>
      <w:r>
        <w:rPr>
          <w:noProof/>
        </w:rPr>
        <w:t>Cilj je ulaganja stvoriti nove šume i područja sa šumskom vegetacijom u područjima osjetljivima na klimatske promjene utvrđiva</w:t>
      </w:r>
      <w:r>
        <w:rPr>
          <w:noProof/>
        </w:rPr>
        <w:t>njem i procjenom zemljišta, financiranjem pošumljavanja, zaštite plantaže, povećanjem šumskog vegetacijskog područja duž komunikacijskih pravaca i unutar gradskih aglomeracija (gradske šume, uključujući minišume) oko općina i između polja s poljoprivrednim</w:t>
      </w:r>
      <w:r>
        <w:rPr>
          <w:noProof/>
        </w:rPr>
        <w:t xml:space="preserve"> usjevima, kao i drugih kategorija zaštitnih šumskih zavjesa.</w:t>
      </w:r>
    </w:p>
    <w:p w14:paraId="35AA22CD" w14:textId="414F99DD" w:rsidR="003F46B9" w:rsidRDefault="0065662E">
      <w:pPr>
        <w:pStyle w:val="P68B1DB1-Normal5"/>
        <w:spacing w:before="120" w:after="120" w:line="240" w:lineRule="auto"/>
        <w:jc w:val="both"/>
        <w:rPr>
          <w:rFonts w:cs="Times New Roman"/>
          <w:noProof/>
        </w:rPr>
      </w:pPr>
      <w:r>
        <w:rPr>
          <w:noProof/>
        </w:rPr>
        <w:t>Kao rezultat tog ulaganja, pošumljava se ili ponovno pošumljava ukupno 26 760 ha novih površina i stvara se ukupno 3 150 000 m 2 novih</w:t>
      </w:r>
      <w:r>
        <w:rPr>
          <w:noProof/>
          <w:vertAlign w:val="superscript"/>
        </w:rPr>
        <w:t>urbanih</w:t>
      </w:r>
      <w:r>
        <w:rPr>
          <w:noProof/>
        </w:rPr>
        <w:t xml:space="preserve"> šuma, u skladu s pravnim zahtjevima utvrđenima u Nac</w:t>
      </w:r>
      <w:r>
        <w:rPr>
          <w:noProof/>
        </w:rPr>
        <w:t xml:space="preserve">ionalnoj strategiji za šume donesenoj u okviru reforme 1. </w:t>
      </w:r>
    </w:p>
    <w:p w14:paraId="5B05F574"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lipnja 2026. </w:t>
      </w:r>
    </w:p>
    <w:p w14:paraId="0EA63AF6" w14:textId="77777777" w:rsidR="003F46B9" w:rsidRDefault="0065662E">
      <w:pPr>
        <w:pStyle w:val="P68B1DB1-Standard6"/>
        <w:jc w:val="both"/>
        <w:rPr>
          <w:rFonts w:ascii="Times New Roman" w:eastAsiaTheme="majorEastAsia" w:hAnsi="Times New Roman" w:cs="Times New Roman"/>
          <w:noProof/>
        </w:rPr>
      </w:pPr>
      <w:r>
        <w:rPr>
          <w:noProof/>
        </w:rPr>
        <w:t xml:space="preserve">Ulaganje 2. Razvoj modernih proizvodnih kapaciteta šumskog reprodukcijskog materijala </w:t>
      </w:r>
    </w:p>
    <w:p w14:paraId="1A309E5A" w14:textId="77777777" w:rsidR="003F46B9" w:rsidRDefault="0065662E">
      <w:pPr>
        <w:pStyle w:val="P68B1DB1-Normal5"/>
        <w:spacing w:before="120" w:after="120" w:line="240" w:lineRule="auto"/>
        <w:jc w:val="both"/>
        <w:rPr>
          <w:rFonts w:cs="Times New Roman"/>
          <w:noProof/>
        </w:rPr>
      </w:pPr>
      <w:r>
        <w:rPr>
          <w:noProof/>
        </w:rPr>
        <w:t xml:space="preserve">Cilj je ulaganja razviti dostatne kapacitete za proizvodnju razmnožavanja (vrste drveća i ekotipovi) koji su prikladni za buduće klimatske uvjete u Rumunjskoj. </w:t>
      </w:r>
    </w:p>
    <w:p w14:paraId="563791E6" w14:textId="77777777" w:rsidR="003F46B9" w:rsidRDefault="0065662E">
      <w:pPr>
        <w:pStyle w:val="P68B1DB1-Normal5"/>
        <w:spacing w:before="120" w:after="120" w:line="240" w:lineRule="auto"/>
        <w:jc w:val="both"/>
        <w:rPr>
          <w:rFonts w:cs="Times New Roman"/>
          <w:noProof/>
        </w:rPr>
      </w:pPr>
      <w:r>
        <w:rPr>
          <w:noProof/>
        </w:rPr>
        <w:t>Kao rezultat tog ulaganja, najmanje 90 novih i obnovljenih rasadnika stabala postaje operativno</w:t>
      </w:r>
      <w:r>
        <w:rPr>
          <w:noProof/>
        </w:rPr>
        <w:t xml:space="preserve">, u skladu s pravnim zahtjevima utvrđenima u Nacionalnoj strategiji za šume donesenoj u okviru reforme 1. </w:t>
      </w:r>
    </w:p>
    <w:p w14:paraId="2CE50F07"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rujna 2024. </w:t>
      </w:r>
    </w:p>
    <w:p w14:paraId="6A7E5DA7"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pPr>
    </w:p>
    <w:p w14:paraId="0CDBAEE8"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B.2. </w:t>
      </w:r>
      <w:r>
        <w:rPr>
          <w:noProof/>
        </w:rPr>
        <w:tab/>
      </w:r>
      <w:r>
        <w:rPr>
          <w:rFonts w:ascii="Times New Roman" w:hAnsi="Times New Roman"/>
          <w:b/>
          <w:noProof/>
          <w:sz w:val="24"/>
        </w:rPr>
        <w:t xml:space="preserve">Ključne etape, ciljne vrijednosti </w:t>
      </w:r>
      <w:r>
        <w:rPr>
          <w:rFonts w:ascii="Times New Roman" w:hAnsi="Times New Roman"/>
          <w:b/>
          <w:noProof/>
          <w:sz w:val="24"/>
        </w:rPr>
        <w:t>i vremenski raspored za praćenje i provedbu programa bespovratne financijske potpore</w:t>
      </w:r>
    </w:p>
    <w:tbl>
      <w:tblPr>
        <w:tblW w:w="15615" w:type="dxa"/>
        <w:jc w:val="center"/>
        <w:tblLayout w:type="fixed"/>
        <w:tblLook w:val="04A0" w:firstRow="1" w:lastRow="0" w:firstColumn="1" w:lastColumn="0" w:noHBand="0" w:noVBand="1"/>
      </w:tblPr>
      <w:tblGrid>
        <w:gridCol w:w="786"/>
        <w:gridCol w:w="1491"/>
        <w:gridCol w:w="1222"/>
        <w:gridCol w:w="1760"/>
        <w:gridCol w:w="1760"/>
        <w:gridCol w:w="1088"/>
        <w:gridCol w:w="1357"/>
        <w:gridCol w:w="819"/>
        <w:gridCol w:w="1088"/>
        <w:gridCol w:w="818"/>
        <w:gridCol w:w="3426"/>
      </w:tblGrid>
      <w:tr w:rsidR="003F46B9" w14:paraId="18227894" w14:textId="77777777">
        <w:trPr>
          <w:trHeight w:val="632"/>
          <w:tblHeader/>
          <w:jc w:val="center"/>
        </w:trPr>
        <w:tc>
          <w:tcPr>
            <w:tcW w:w="8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D1A896"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03D6613"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81A9BC"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599265"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522BB2" w14:textId="77777777" w:rsidR="003F46B9" w:rsidRDefault="0065662E">
            <w:pPr>
              <w:pStyle w:val="P68B1DB1-Normal1"/>
              <w:spacing w:after="0" w:line="240" w:lineRule="auto"/>
              <w:jc w:val="center"/>
              <w:rPr>
                <w:rFonts w:eastAsia="Times New Roman" w:cs="Times New Roman"/>
                <w:noProof/>
              </w:rPr>
            </w:pPr>
            <w:r>
              <w:rPr>
                <w:noProof/>
              </w:rPr>
              <w:t>Kvalitativna</w:t>
            </w:r>
          </w:p>
          <w:p w14:paraId="2D632102"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EF61F4B" w14:textId="77777777" w:rsidR="003F46B9" w:rsidRDefault="0065662E">
            <w:pPr>
              <w:pStyle w:val="P68B1DB1-Normal1"/>
              <w:spacing w:after="0" w:line="240" w:lineRule="auto"/>
              <w:jc w:val="center"/>
              <w:rPr>
                <w:rFonts w:eastAsia="Times New Roman" w:cs="Times New Roman"/>
                <w:noProof/>
              </w:rPr>
            </w:pPr>
            <w:r>
              <w:rPr>
                <w:noProof/>
              </w:rPr>
              <w:t>Kvantitativne</w:t>
            </w:r>
          </w:p>
          <w:p w14:paraId="531B6AB8" w14:textId="6F9B52CC"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DD9F2F4"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0D4A59E1" w14:textId="77777777" w:rsidR="003F46B9" w:rsidRDefault="0065662E">
            <w:pPr>
              <w:pStyle w:val="P68B1DB1-Normal1"/>
              <w:spacing w:after="0" w:line="240" w:lineRule="auto"/>
              <w:jc w:val="center"/>
              <w:rPr>
                <w:rFonts w:eastAsia="Times New Roman" w:cs="Times New Roman"/>
                <w:noProof/>
              </w:rPr>
            </w:pPr>
            <w:r>
              <w:rPr>
                <w:noProof/>
              </w:rPr>
              <w:t>za završetak</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66BB0A"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A506DAE" w14:textId="77777777">
        <w:trPr>
          <w:trHeight w:val="502"/>
          <w:tblHeader/>
          <w:jc w:val="center"/>
        </w:trPr>
        <w:tc>
          <w:tcPr>
            <w:tcW w:w="817" w:type="dxa"/>
            <w:vMerge/>
            <w:tcBorders>
              <w:top w:val="single" w:sz="4" w:space="0" w:color="auto"/>
              <w:left w:val="single" w:sz="4" w:space="0" w:color="auto"/>
              <w:bottom w:val="single" w:sz="4" w:space="0" w:color="auto"/>
              <w:right w:val="single" w:sz="4" w:space="0" w:color="auto"/>
            </w:tcBorders>
            <w:hideMark/>
          </w:tcPr>
          <w:p w14:paraId="7D7888AC" w14:textId="77777777" w:rsidR="003F46B9" w:rsidRDefault="003F46B9">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1420368F" w14:textId="77777777" w:rsidR="003F46B9" w:rsidRDefault="003F46B9">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32D9BA08" w14:textId="77777777" w:rsidR="003F46B9" w:rsidRDefault="003F46B9">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65C29394" w14:textId="77777777" w:rsidR="003F46B9" w:rsidRDefault="003F46B9">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74A48A53" w14:textId="77777777" w:rsidR="003F46B9" w:rsidRDefault="003F46B9">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75B9221" w14:textId="77777777" w:rsidR="003F46B9" w:rsidRDefault="0065662E">
            <w:pPr>
              <w:pStyle w:val="P68B1DB1-Normal1"/>
              <w:spacing w:after="0" w:line="240" w:lineRule="auto"/>
              <w:jc w:val="center"/>
              <w:rPr>
                <w:rFonts w:eastAsia="Times New Roman" w:cs="Times New Roman"/>
                <w:noProof/>
              </w:rPr>
            </w:pPr>
            <w:r>
              <w:rPr>
                <w:noProof/>
              </w:rPr>
              <w:t>Odjel</w:t>
            </w:r>
          </w:p>
          <w:p w14:paraId="3F01DF1E" w14:textId="77777777" w:rsidR="003F46B9" w:rsidRDefault="0065662E">
            <w:pPr>
              <w:pStyle w:val="P68B1DB1-Normal1"/>
              <w:spacing w:after="0" w:line="240" w:lineRule="auto"/>
              <w:jc w:val="center"/>
              <w:rPr>
                <w:rFonts w:eastAsia="Times New Roman" w:cs="Times New Roman"/>
                <w:noProof/>
              </w:rPr>
            </w:pPr>
            <w:r>
              <w:rPr>
                <w:noProof/>
              </w:rPr>
              <w:t>od</w:t>
            </w:r>
          </w:p>
          <w:p w14:paraId="45D967A7"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F6E1E2" w14:textId="2AA54653" w:rsidR="003F46B9" w:rsidRDefault="0065662E">
            <w:pPr>
              <w:pStyle w:val="P68B1DB1-Normal1"/>
              <w:spacing w:after="0" w:line="240" w:lineRule="auto"/>
              <w:jc w:val="center"/>
              <w:rPr>
                <w:rFonts w:eastAsia="Times New Roman" w:cs="Times New Roman"/>
                <w:noProof/>
              </w:rPr>
            </w:pPr>
            <w:r>
              <w:rPr>
                <w:noProof/>
              </w:rPr>
              <w:t>Osnovna vrijednost</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8447E89" w14:textId="77777777" w:rsidR="003F46B9" w:rsidRDefault="0065662E">
            <w:pPr>
              <w:pStyle w:val="P68B1DB1-Normal1"/>
              <w:spacing w:after="0" w:line="240" w:lineRule="auto"/>
              <w:jc w:val="center"/>
              <w:rPr>
                <w:rFonts w:eastAsia="Times New Roman" w:cs="Times New Roman"/>
                <w:noProof/>
              </w:rPr>
            </w:pPr>
            <w:r>
              <w:rPr>
                <w:noProof/>
              </w:rPr>
              <w:t>Cilj</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6B702AB"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5EE3D19"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600" w:type="dxa"/>
            <w:vMerge/>
            <w:tcBorders>
              <w:top w:val="single" w:sz="4" w:space="0" w:color="auto"/>
              <w:bottom w:val="single" w:sz="4" w:space="0" w:color="auto"/>
              <w:right w:val="single" w:sz="4" w:space="0" w:color="auto"/>
            </w:tcBorders>
            <w:hideMark/>
          </w:tcPr>
          <w:p w14:paraId="4FAAE643"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6108460B" w14:textId="77777777">
        <w:trPr>
          <w:trHeight w:val="309"/>
          <w:jc w:val="center"/>
        </w:trPr>
        <w:tc>
          <w:tcPr>
            <w:tcW w:w="817" w:type="dxa"/>
            <w:tcBorders>
              <w:top w:val="single" w:sz="4" w:space="0" w:color="auto"/>
              <w:left w:val="single" w:sz="4" w:space="0" w:color="auto"/>
              <w:bottom w:val="single" w:sz="4" w:space="0" w:color="auto"/>
              <w:right w:val="single" w:sz="4" w:space="0" w:color="auto"/>
            </w:tcBorders>
            <w:shd w:val="clear" w:color="auto" w:fill="C6EFCE"/>
            <w:noWrap/>
          </w:tcPr>
          <w:p w14:paraId="2A8CA825" w14:textId="77777777" w:rsidR="003F46B9" w:rsidRDefault="0065662E">
            <w:pPr>
              <w:pStyle w:val="P68B1DB1-Normal5"/>
              <w:spacing w:after="0" w:line="240" w:lineRule="auto"/>
              <w:jc w:val="center"/>
              <w:rPr>
                <w:rFonts w:eastAsia="Times New Roman" w:cs="Times New Roman"/>
                <w:noProof/>
              </w:rPr>
            </w:pPr>
            <w:r>
              <w:rPr>
                <w:noProof/>
              </w:rPr>
              <w:t>22</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711B578C" w14:textId="77777777" w:rsidR="003F46B9" w:rsidRDefault="0065662E">
            <w:pPr>
              <w:pStyle w:val="P68B1DB1-Normal5"/>
              <w:spacing w:after="0" w:line="240" w:lineRule="auto"/>
              <w:jc w:val="both"/>
              <w:rPr>
                <w:rFonts w:eastAsia="Times New Roman" w:cs="Times New Roman"/>
                <w:noProof/>
              </w:rPr>
            </w:pPr>
            <w:r>
              <w:rPr>
                <w:noProof/>
              </w:rPr>
              <w:t xml:space="preserve">Reforma 1. Reforma sustava gospodarenja šumama i upravljanja šumama razvojem nove nacionalne strategije za šume i naknadnog zakonodavstva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0FA9A5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8FF8E1C" w14:textId="77777777" w:rsidR="003F46B9" w:rsidRDefault="0065662E">
            <w:pPr>
              <w:pStyle w:val="P68B1DB1-Normal5"/>
              <w:spacing w:after="0" w:line="240" w:lineRule="auto"/>
              <w:jc w:val="both"/>
              <w:rPr>
                <w:rFonts w:cs="Times New Roman"/>
                <w:noProof/>
              </w:rPr>
            </w:pPr>
            <w:r>
              <w:rPr>
                <w:noProof/>
              </w:rPr>
              <w:t xml:space="preserve">Donošenje nacionalne strategije za šume za razdoblje 2020. 2030. </w:t>
            </w:r>
          </w:p>
          <w:p w14:paraId="2EFBC335" w14:textId="77777777" w:rsidR="003F46B9" w:rsidRDefault="003F46B9">
            <w:pPr>
              <w:spacing w:after="0" w:line="240" w:lineRule="auto"/>
              <w:jc w:val="both"/>
              <w:rPr>
                <w:rFonts w:ascii="Times New Roman" w:eastAsia="Times New Roman" w:hAnsi="Times New Roman" w:cs="Times New Roman"/>
                <w:noProof/>
                <w:sz w:val="24"/>
              </w:rPr>
            </w:pPr>
          </w:p>
          <w:p w14:paraId="0B7C8579"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31935CB" w14:textId="77777777" w:rsidR="003F46B9" w:rsidRDefault="0065662E">
            <w:pPr>
              <w:pStyle w:val="P68B1DB1-Normal5"/>
              <w:spacing w:after="0" w:line="240" w:lineRule="auto"/>
              <w:jc w:val="both"/>
              <w:rPr>
                <w:rFonts w:eastAsia="Times New Roman" w:cs="Times New Roman"/>
                <w:noProof/>
              </w:rPr>
            </w:pPr>
            <w:r>
              <w:rPr>
                <w:noProof/>
              </w:rPr>
              <w:t xml:space="preserve">Donošenje nacionalne strategije za šume za razdoblje 2020. 2030.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3931877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3C27789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14AED56"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427FCEF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3C33A196" w14:textId="77777777" w:rsidR="003F46B9" w:rsidRDefault="0065662E">
            <w:pPr>
              <w:pStyle w:val="P68B1DB1-Normal5"/>
              <w:spacing w:after="0" w:line="240" w:lineRule="auto"/>
              <w:jc w:val="both"/>
              <w:rPr>
                <w:rFonts w:eastAsia="Times New Roman" w:cs="Times New Roman"/>
                <w:noProof/>
              </w:rPr>
            </w:pPr>
            <w:r>
              <w:rPr>
                <w:noProof/>
              </w:rPr>
              <w:t>2022</w:t>
            </w:r>
          </w:p>
        </w:tc>
        <w:tc>
          <w:tcPr>
            <w:tcW w:w="3600" w:type="dxa"/>
            <w:tcBorders>
              <w:top w:val="single" w:sz="4" w:space="0" w:color="auto"/>
              <w:left w:val="single" w:sz="4" w:space="0" w:color="auto"/>
              <w:bottom w:val="single" w:sz="4" w:space="0" w:color="auto"/>
              <w:right w:val="single" w:sz="4" w:space="0" w:color="auto"/>
            </w:tcBorders>
            <w:shd w:val="clear" w:color="auto" w:fill="C6EFCE"/>
            <w:noWrap/>
          </w:tcPr>
          <w:p w14:paraId="23CAD8C0" w14:textId="77777777" w:rsidR="003F46B9" w:rsidRDefault="0065662E">
            <w:pPr>
              <w:pStyle w:val="P68B1DB1-Normal5"/>
              <w:spacing w:after="0" w:line="240" w:lineRule="auto"/>
              <w:jc w:val="both"/>
              <w:rPr>
                <w:rFonts w:cs="Times New Roman"/>
                <w:noProof/>
              </w:rPr>
            </w:pPr>
            <w:r>
              <w:rPr>
                <w:noProof/>
              </w:rPr>
              <w:t xml:space="preserve">Donosi se nacionalna strategija za šume za razdoblje 2020. – 2030. </w:t>
            </w:r>
          </w:p>
          <w:p w14:paraId="37EA0EC0" w14:textId="77777777" w:rsidR="003F46B9" w:rsidRDefault="0065662E">
            <w:pPr>
              <w:pStyle w:val="P68B1DB1-Normal5"/>
              <w:spacing w:after="0" w:line="240" w:lineRule="auto"/>
              <w:jc w:val="both"/>
              <w:rPr>
                <w:rFonts w:cs="Times New Roman"/>
                <w:noProof/>
              </w:rPr>
            </w:pPr>
            <w:r>
              <w:rPr>
                <w:noProof/>
              </w:rPr>
              <w:t>Strategijom se, na temelju preporuka neovisnih studija, utvrđuju sljedeća obvezujuća pravila za poš</w:t>
            </w:r>
            <w:r>
              <w:rPr>
                <w:noProof/>
              </w:rPr>
              <w:t>umljavanje i ponovno pošumljavanje:</w:t>
            </w:r>
          </w:p>
          <w:p w14:paraId="29449CCA" w14:textId="77777777" w:rsidR="003F46B9" w:rsidRDefault="0065662E">
            <w:pPr>
              <w:pStyle w:val="P68B1DB1-Normal5"/>
              <w:spacing w:after="0" w:line="240" w:lineRule="auto"/>
              <w:jc w:val="both"/>
              <w:rPr>
                <w:rFonts w:cs="Times New Roman"/>
                <w:noProof/>
              </w:rPr>
            </w:pPr>
            <w:r>
              <w:rPr>
                <w:noProof/>
              </w:rPr>
              <w:t>a. Zahtjevi da vrste i ekotipovi budu otporni na klimatske promjene i da nemaju negativan utjecaj na bioraznolikost. Strategijom se odgovara na potrebu za ažuriranim smjernicama o sadnji drveća u Rumunjskoj i njome se us</w:t>
            </w:r>
            <w:r>
              <w:rPr>
                <w:noProof/>
              </w:rPr>
              <w:t>postavljaju zaštitne mjere, posebno kako bi se isključila upotreba ili puštanje invazivnih stranih vrsta.</w:t>
            </w:r>
          </w:p>
          <w:p w14:paraId="483FBE56" w14:textId="77777777" w:rsidR="003F46B9" w:rsidRDefault="0065662E">
            <w:pPr>
              <w:pStyle w:val="P68B1DB1-Normal5"/>
              <w:spacing w:after="0" w:line="240" w:lineRule="auto"/>
              <w:jc w:val="both"/>
              <w:rPr>
                <w:rFonts w:cs="Times New Roman"/>
                <w:noProof/>
              </w:rPr>
            </w:pPr>
            <w:r>
              <w:rPr>
                <w:noProof/>
              </w:rPr>
              <w:t>b. Zahtjevi za proizvodnju reprodukcijskog materijala radi usmjeravanja na vrste drveća i ekotipove koji su prikladni za buduće predviđene klimatske u</w:t>
            </w:r>
            <w:r>
              <w:rPr>
                <w:noProof/>
              </w:rPr>
              <w:t xml:space="preserve">vjete u Rumunjskoj u dovoljnim količinama uz sudjelovanje privatnog sektora te za mjere za odvraćanje od stvaranja komercijalnih rasadnika za proizvodnju kratkih ophodnji ili monokulturnih proizvoda. </w:t>
            </w:r>
          </w:p>
          <w:p w14:paraId="5075B19F" w14:textId="77777777" w:rsidR="003F46B9" w:rsidRDefault="0065662E">
            <w:pPr>
              <w:pStyle w:val="P68B1DB1-Normal5"/>
              <w:spacing w:after="0" w:line="240" w:lineRule="auto"/>
              <w:jc w:val="both"/>
              <w:rPr>
                <w:rFonts w:cs="Times New Roman"/>
                <w:noProof/>
              </w:rPr>
            </w:pPr>
            <w:r>
              <w:rPr>
                <w:noProof/>
              </w:rPr>
              <w:t xml:space="preserve">C. Zahtjevi za pošumljavanje radi pozitivnog doprinosa </w:t>
            </w:r>
            <w:r>
              <w:rPr>
                <w:noProof/>
              </w:rPr>
              <w:t xml:space="preserve">ciljevima očuvanja bioraznolikosti, upravljanja vodama i zaštite tla zabranom pošumljavanja ili ponovnog pošumljavanja na poljoprivrednom zemljištu visoke prirodne vrijednosti, travnjacima ili močvarnim zemljištima, isključujući obnovu staništa. </w:t>
            </w:r>
          </w:p>
          <w:p w14:paraId="4E2C0C6F" w14:textId="77777777" w:rsidR="003F46B9" w:rsidRDefault="0065662E">
            <w:pPr>
              <w:pStyle w:val="P68B1DB1-Normal5"/>
              <w:spacing w:after="0" w:line="240" w:lineRule="auto"/>
              <w:jc w:val="both"/>
              <w:rPr>
                <w:rFonts w:cs="Times New Roman"/>
                <w:noProof/>
              </w:rPr>
            </w:pPr>
            <w:r>
              <w:rPr>
                <w:noProof/>
              </w:rPr>
              <w:t>D. Zahtje</w:t>
            </w:r>
            <w:r>
              <w:rPr>
                <w:noProof/>
              </w:rPr>
              <w:t xml:space="preserve">vi za preventivne mjere kojima se povećava prirodna apsorpcijska sposobnost tla koje treba uključiti u aktivnosti gospodarenja šumama i posebne zahtjeve za prilagodbu klimatskim promjenama kako bi se osiguralo da se gospodarenje šumama temelji na praćenju </w:t>
            </w:r>
            <w:r>
              <w:rPr>
                <w:noProof/>
              </w:rPr>
              <w:t xml:space="preserve">vrsta. </w:t>
            </w:r>
          </w:p>
          <w:p w14:paraId="0AE5D8D7" w14:textId="77777777" w:rsidR="003F46B9" w:rsidRDefault="0065662E">
            <w:pPr>
              <w:pStyle w:val="P68B1DB1-Normal5"/>
              <w:spacing w:after="0" w:line="240" w:lineRule="auto"/>
              <w:jc w:val="both"/>
              <w:rPr>
                <w:rFonts w:cs="Times New Roman"/>
                <w:noProof/>
              </w:rPr>
            </w:pPr>
            <w:r>
              <w:rPr>
                <w:noProof/>
              </w:rPr>
              <w:t xml:space="preserve">e. Zahtjevi za urbano pošumljavanje koje treba postići pristupom na razini krajobraza kojim se doprinosi jačanju povezanosti s prirodnim ili poluprirodnim područjima (kao što su šume ili poljoprivredna područja) s naglaskom na povezivanju staništa </w:t>
            </w:r>
            <w:r>
              <w:rPr>
                <w:noProof/>
              </w:rPr>
              <w:t>sa zelenom infrastrukturom i ekološkim koridorima.</w:t>
            </w:r>
          </w:p>
          <w:p w14:paraId="2EBC73C4" w14:textId="77777777" w:rsidR="003F46B9" w:rsidRDefault="0065662E">
            <w:pPr>
              <w:pStyle w:val="P68B1DB1-Normal5"/>
              <w:spacing w:after="0" w:line="240" w:lineRule="auto"/>
              <w:jc w:val="both"/>
              <w:rPr>
                <w:rFonts w:cs="Times New Roman"/>
                <w:noProof/>
              </w:rPr>
            </w:pPr>
            <w:r>
              <w:rPr>
                <w:noProof/>
              </w:rPr>
              <w:t>f. Zahtjevi za projekte pošumljavanja i ponovnog pošumljavanja koji se provode na područjima izloženima klimatskim opasnostima i osjetljivima na njih, posebno na sušu i poplave, a pošumljavanjem ili ponovn</w:t>
            </w:r>
            <w:r>
              <w:rPr>
                <w:noProof/>
              </w:rPr>
              <w:t>im pošumljavanjem smanjuju se rizici koji iz toga proizlaze.</w:t>
            </w:r>
          </w:p>
          <w:p w14:paraId="0EB200DF" w14:textId="77777777" w:rsidR="003F46B9" w:rsidRDefault="0065662E">
            <w:pPr>
              <w:pStyle w:val="P68B1DB1-Normal5"/>
              <w:spacing w:after="0" w:line="240" w:lineRule="auto"/>
              <w:jc w:val="both"/>
              <w:rPr>
                <w:rFonts w:cs="Times New Roman"/>
                <w:noProof/>
              </w:rPr>
            </w:pPr>
            <w:r>
              <w:rPr>
                <w:noProof/>
              </w:rPr>
              <w:t>g. Strategijom se utvrđuju kriteriji održivosti za šumsku biomasu za uporabu energije.</w:t>
            </w:r>
          </w:p>
          <w:p w14:paraId="5DD8163E" w14:textId="77777777" w:rsidR="003F46B9" w:rsidRDefault="0065662E">
            <w:pPr>
              <w:pStyle w:val="P68B1DB1-Normal5"/>
              <w:spacing w:after="0" w:line="240" w:lineRule="auto"/>
              <w:jc w:val="both"/>
              <w:rPr>
                <w:rFonts w:cs="Times New Roman"/>
                <w:noProof/>
              </w:rPr>
            </w:pPr>
            <w:r>
              <w:rPr>
                <w:noProof/>
              </w:rPr>
              <w:t>h. Strategija uključuje posebne mjere za suzbijanje nezakonite sječe, kao što je potpuna provedba SUMAL-a, u</w:t>
            </w:r>
            <w:r>
              <w:rPr>
                <w:noProof/>
              </w:rPr>
              <w:t xml:space="preserve">ključujući praćenje evidencije daljinskim istraživanjem, jačanje režima sankcija i, prema potrebi, druge mjere. </w:t>
            </w:r>
          </w:p>
          <w:p w14:paraId="45DA414F" w14:textId="77777777" w:rsidR="003F46B9" w:rsidRDefault="0065662E">
            <w:pPr>
              <w:pStyle w:val="P68B1DB1-Normal5"/>
              <w:spacing w:after="0" w:line="240" w:lineRule="auto"/>
              <w:jc w:val="both"/>
              <w:rPr>
                <w:rFonts w:cs="Times New Roman"/>
                <w:noProof/>
              </w:rPr>
            </w:pPr>
            <w:r>
              <w:rPr>
                <w:noProof/>
              </w:rPr>
              <w:t>I. Strategija uključuje i konkretne mjere za zaštitu šumskih staništa i vrsta, a posebno usklađivanje šumarskih normi s pitanjima bioraznolikos</w:t>
            </w:r>
            <w:r>
              <w:rPr>
                <w:noProof/>
              </w:rPr>
              <w:t>ti.</w:t>
            </w:r>
          </w:p>
        </w:tc>
      </w:tr>
      <w:tr w:rsidR="003F46B9" w14:paraId="6A48A994"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157405BD" w14:textId="77777777" w:rsidR="003F46B9" w:rsidRDefault="0065662E">
            <w:pPr>
              <w:pStyle w:val="P68B1DB1-Normal5"/>
              <w:spacing w:after="0" w:line="240" w:lineRule="auto"/>
              <w:jc w:val="center"/>
              <w:rPr>
                <w:rFonts w:eastAsia="Times New Roman" w:cs="Times New Roman"/>
                <w:noProof/>
              </w:rPr>
            </w:pPr>
            <w:r>
              <w:rPr>
                <w:noProof/>
              </w:rPr>
              <w:t>23</w:t>
            </w:r>
          </w:p>
        </w:tc>
        <w:tc>
          <w:tcPr>
            <w:tcW w:w="1559" w:type="dxa"/>
            <w:tcBorders>
              <w:top w:val="nil"/>
              <w:left w:val="single" w:sz="4" w:space="0" w:color="auto"/>
              <w:bottom w:val="single" w:sz="4" w:space="0" w:color="auto"/>
              <w:right w:val="single" w:sz="4" w:space="0" w:color="auto"/>
            </w:tcBorders>
            <w:shd w:val="clear" w:color="auto" w:fill="C6EFCE"/>
            <w:noWrap/>
          </w:tcPr>
          <w:p w14:paraId="1F0CF329" w14:textId="77777777" w:rsidR="003F46B9" w:rsidRDefault="0065662E">
            <w:pPr>
              <w:pStyle w:val="P68B1DB1-Normal5"/>
              <w:spacing w:after="0" w:line="240" w:lineRule="auto"/>
              <w:jc w:val="both"/>
              <w:rPr>
                <w:rFonts w:eastAsia="Times New Roman" w:cs="Times New Roman"/>
                <w:noProof/>
              </w:rPr>
            </w:pPr>
            <w:r>
              <w:rPr>
                <w:noProof/>
              </w:rPr>
              <w:t xml:space="preserve">Reforma 1. Reforma sustava gospodarenja šumama i upravljanja šumama razvojem nove nacionalne strategije za šume i naknadnog zakonodavstva </w:t>
            </w:r>
          </w:p>
        </w:tc>
        <w:tc>
          <w:tcPr>
            <w:tcW w:w="1276" w:type="dxa"/>
            <w:tcBorders>
              <w:top w:val="nil"/>
              <w:left w:val="single" w:sz="4" w:space="0" w:color="auto"/>
              <w:bottom w:val="single" w:sz="4" w:space="0" w:color="auto"/>
              <w:right w:val="single" w:sz="4" w:space="0" w:color="auto"/>
            </w:tcBorders>
            <w:shd w:val="clear" w:color="auto" w:fill="C6EFCE"/>
            <w:noWrap/>
          </w:tcPr>
          <w:p w14:paraId="4ED93B0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7EBA0175" w14:textId="77777777" w:rsidR="003F46B9" w:rsidRDefault="0065662E">
            <w:pPr>
              <w:pStyle w:val="P68B1DB1-Normal5"/>
              <w:spacing w:after="0" w:line="240" w:lineRule="auto"/>
              <w:jc w:val="both"/>
              <w:rPr>
                <w:rFonts w:eastAsia="Times New Roman" w:cs="Times New Roman"/>
                <w:noProof/>
              </w:rPr>
            </w:pPr>
            <w:r>
              <w:rPr>
                <w:noProof/>
              </w:rPr>
              <w:t xml:space="preserve">Stupanje na snagu izmijenjenih ministarskih pravilnika o utvrđivanju obvezujućih pravila za </w:t>
            </w:r>
            <w:r>
              <w:rPr>
                <w:noProof/>
              </w:rPr>
              <w:t>pošumljavanje i ponovno pošumljavanje predviđenih u Nacionalnoj strategiji za šume za razdoblje 2020. – 2030.</w:t>
            </w:r>
          </w:p>
        </w:tc>
        <w:tc>
          <w:tcPr>
            <w:tcW w:w="1843" w:type="dxa"/>
            <w:tcBorders>
              <w:top w:val="nil"/>
              <w:left w:val="single" w:sz="4" w:space="0" w:color="auto"/>
              <w:bottom w:val="single" w:sz="4" w:space="0" w:color="auto"/>
              <w:right w:val="single" w:sz="4" w:space="0" w:color="auto"/>
            </w:tcBorders>
            <w:shd w:val="clear" w:color="auto" w:fill="C6EFCE"/>
            <w:noWrap/>
          </w:tcPr>
          <w:p w14:paraId="40D6F31E" w14:textId="77777777" w:rsidR="003F46B9" w:rsidRDefault="0065662E">
            <w:pPr>
              <w:pStyle w:val="P68B1DB1-Normal5"/>
              <w:spacing w:after="0" w:line="240" w:lineRule="auto"/>
              <w:jc w:val="both"/>
              <w:rPr>
                <w:rFonts w:cs="Times New Roman"/>
                <w:noProof/>
              </w:rPr>
            </w:pPr>
            <w:r>
              <w:rPr>
                <w:noProof/>
              </w:rPr>
              <w:t>Odredba u ministarskim pravilnicima u kojoj se navodi stupanje na snagu izmjena</w:t>
            </w:r>
          </w:p>
          <w:p w14:paraId="1139AB6E" w14:textId="77777777" w:rsidR="003F46B9" w:rsidRDefault="003F46B9">
            <w:pPr>
              <w:spacing w:after="0" w:line="240" w:lineRule="auto"/>
              <w:jc w:val="both"/>
              <w:rPr>
                <w:rFonts w:ascii="Times New Roman" w:hAnsi="Times New Roman" w:cs="Times New Roman"/>
                <w:noProof/>
                <w:sz w:val="24"/>
              </w:rPr>
            </w:pPr>
          </w:p>
          <w:p w14:paraId="6C725328"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78ED0835"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nil"/>
              <w:left w:val="single" w:sz="4" w:space="0" w:color="auto"/>
              <w:bottom w:val="single" w:sz="4" w:space="0" w:color="auto"/>
              <w:right w:val="single" w:sz="4" w:space="0" w:color="auto"/>
            </w:tcBorders>
            <w:shd w:val="clear" w:color="auto" w:fill="C6EFCE"/>
            <w:noWrap/>
          </w:tcPr>
          <w:p w14:paraId="3860E200"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single" w:sz="4" w:space="0" w:color="auto"/>
              <w:bottom w:val="single" w:sz="4" w:space="0" w:color="auto"/>
              <w:right w:val="single" w:sz="4" w:space="0" w:color="auto"/>
            </w:tcBorders>
            <w:shd w:val="clear" w:color="auto" w:fill="C6EFCE"/>
            <w:noWrap/>
          </w:tcPr>
          <w:p w14:paraId="77CAE081"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D13B22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37A603E4" w14:textId="77777777" w:rsidR="003F46B9" w:rsidRDefault="0065662E">
            <w:pPr>
              <w:pStyle w:val="P68B1DB1-Normal5"/>
              <w:spacing w:after="0" w:line="240" w:lineRule="auto"/>
              <w:jc w:val="both"/>
              <w:rPr>
                <w:rFonts w:eastAsia="Times New Roman" w:cs="Times New Roman"/>
                <w:noProof/>
              </w:rPr>
            </w:pPr>
            <w:r>
              <w:rPr>
                <w:noProof/>
              </w:rPr>
              <w:t>2022</w:t>
            </w:r>
          </w:p>
        </w:tc>
        <w:tc>
          <w:tcPr>
            <w:tcW w:w="3600" w:type="dxa"/>
            <w:tcBorders>
              <w:top w:val="nil"/>
              <w:left w:val="single" w:sz="4" w:space="0" w:color="auto"/>
              <w:bottom w:val="single" w:sz="4" w:space="0" w:color="auto"/>
              <w:right w:val="single" w:sz="4" w:space="0" w:color="auto"/>
            </w:tcBorders>
            <w:shd w:val="clear" w:color="auto" w:fill="C6EFCE"/>
            <w:noWrap/>
          </w:tcPr>
          <w:p w14:paraId="76F0227C" w14:textId="77777777" w:rsidR="003F46B9" w:rsidRDefault="0065662E">
            <w:pPr>
              <w:pStyle w:val="P68B1DB1-Normal5"/>
              <w:spacing w:after="0" w:line="240" w:lineRule="auto"/>
              <w:jc w:val="both"/>
              <w:rPr>
                <w:rFonts w:cs="Times New Roman"/>
                <w:noProof/>
              </w:rPr>
            </w:pPr>
            <w:r>
              <w:rPr>
                <w:noProof/>
              </w:rPr>
              <w:t xml:space="preserve">Stupanje na snagu sljedećih izmijenjenih </w:t>
            </w:r>
            <w:r>
              <w:rPr>
                <w:noProof/>
              </w:rPr>
              <w:t>ministarskih pravilnika (MO) u skladu s obvezujućim pravilima za pošumljavanje i ponovno pošumljavanje predviđenima u Nacionalnoj strategiji za šume za razdoblje 2020. 2030.:</w:t>
            </w:r>
          </w:p>
          <w:p w14:paraId="7567D505"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Odluka br. 766/2018 o izradi i izmjeni planova gospodarenja šumama, uključujući o</w:t>
            </w:r>
            <w:r>
              <w:rPr>
                <w:noProof/>
              </w:rPr>
              <w:t>dredbe o korištenju šumskog zemljišta, kao i metodologije za odobravanje godišnjih kvota za sječu vjetrova.</w:t>
            </w:r>
          </w:p>
          <w:p w14:paraId="2B642943"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Uredba br. 1648/2000 o odobrenju tehničkih pravila o sastavu, programima i tehnologijama za obnovu šuma i pošumljavanje degradiranog zemljišta</w:t>
            </w:r>
          </w:p>
          <w:p w14:paraId="3C8FC056"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Odluk</w:t>
            </w:r>
            <w:r>
              <w:rPr>
                <w:noProof/>
              </w:rPr>
              <w:t>a br. 1649/2000 o odobrenju tehničkih normi za njegu i upravljanje štandovima</w:t>
            </w:r>
          </w:p>
          <w:p w14:paraId="71D28AA4"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Odluka br. 1650/2000 o odobrenju tehničkih normi o izboru i primjeni tretmana</w:t>
            </w:r>
          </w:p>
          <w:p w14:paraId="351DA8E5"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Nalog br. 1653/2000 o odobrenju tehničkih normi u vezi s godišnjom kontrolom regeneracija</w:t>
            </w:r>
          </w:p>
          <w:p w14:paraId="4DE521A6" w14:textId="77777777" w:rsidR="003F46B9" w:rsidRDefault="0065662E">
            <w:pPr>
              <w:pStyle w:val="P68B1DB1-Normal5"/>
              <w:numPr>
                <w:ilvl w:val="0"/>
                <w:numId w:val="5"/>
              </w:numPr>
              <w:spacing w:before="120" w:after="0" w:line="240" w:lineRule="auto"/>
              <w:ind w:left="317"/>
              <w:jc w:val="both"/>
              <w:rPr>
                <w:rFonts w:cs="Times New Roman"/>
                <w:noProof/>
              </w:rPr>
            </w:pPr>
            <w:r>
              <w:rPr>
                <w:noProof/>
              </w:rPr>
              <w:t>Odluka br.</w:t>
            </w:r>
            <w:r>
              <w:rPr>
                <w:noProof/>
              </w:rPr>
              <w:t xml:space="preserve"> 1672/2000 o odobrenju tehničkih normi za gospodarenje šumama</w:t>
            </w:r>
          </w:p>
        </w:tc>
      </w:tr>
      <w:tr w:rsidR="003F46B9" w14:paraId="289CF91C"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009E8F87" w14:textId="77777777" w:rsidR="003F46B9" w:rsidRDefault="0065662E">
            <w:pPr>
              <w:pStyle w:val="P68B1DB1-Normal5"/>
              <w:spacing w:after="0" w:line="240" w:lineRule="auto"/>
              <w:jc w:val="center"/>
              <w:rPr>
                <w:rFonts w:eastAsia="Times New Roman" w:cs="Times New Roman"/>
                <w:noProof/>
              </w:rPr>
            </w:pPr>
            <w:r>
              <w:rPr>
                <w:noProof/>
              </w:rPr>
              <w:t>24</w:t>
            </w:r>
          </w:p>
        </w:tc>
        <w:tc>
          <w:tcPr>
            <w:tcW w:w="1559" w:type="dxa"/>
            <w:tcBorders>
              <w:top w:val="nil"/>
              <w:left w:val="single" w:sz="4" w:space="0" w:color="auto"/>
              <w:bottom w:val="single" w:sz="4" w:space="0" w:color="auto"/>
              <w:right w:val="single" w:sz="4" w:space="0" w:color="auto"/>
            </w:tcBorders>
            <w:shd w:val="clear" w:color="auto" w:fill="C6EFCE"/>
            <w:noWrap/>
          </w:tcPr>
          <w:p w14:paraId="5DF4CBB7" w14:textId="77777777" w:rsidR="003F46B9" w:rsidRDefault="0065662E">
            <w:pPr>
              <w:pStyle w:val="P68B1DB1-Normal5"/>
              <w:spacing w:after="0" w:line="240" w:lineRule="auto"/>
              <w:jc w:val="both"/>
              <w:rPr>
                <w:rFonts w:eastAsia="Times New Roman" w:cs="Times New Roman"/>
                <w:noProof/>
              </w:rPr>
            </w:pPr>
            <w:r>
              <w:rPr>
                <w:noProof/>
              </w:rPr>
              <w:t xml:space="preserve">Reforma 1. Reforma sustava gospodarenja šumama i upravljanja šumama razvojem nove nacionalne strategije za šume i naknadnog zakonodavstva </w:t>
            </w:r>
          </w:p>
        </w:tc>
        <w:tc>
          <w:tcPr>
            <w:tcW w:w="1276" w:type="dxa"/>
            <w:tcBorders>
              <w:top w:val="nil"/>
              <w:left w:val="single" w:sz="4" w:space="0" w:color="auto"/>
              <w:bottom w:val="single" w:sz="4" w:space="0" w:color="auto"/>
              <w:right w:val="single" w:sz="4" w:space="0" w:color="auto"/>
            </w:tcBorders>
            <w:shd w:val="clear" w:color="auto" w:fill="C6EFCE"/>
            <w:noWrap/>
          </w:tcPr>
          <w:p w14:paraId="133802A0"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66C97C94" w14:textId="77777777" w:rsidR="003F46B9" w:rsidRDefault="0065662E">
            <w:pPr>
              <w:pStyle w:val="P68B1DB1-Normal5"/>
              <w:spacing w:after="0" w:line="240" w:lineRule="auto"/>
              <w:jc w:val="both"/>
              <w:rPr>
                <w:rFonts w:cs="Times New Roman"/>
                <w:noProof/>
              </w:rPr>
            </w:pPr>
            <w:r>
              <w:rPr>
                <w:noProof/>
              </w:rPr>
              <w:t>Stupanje na snagu zakonodavnih akata o izmjeni i dopuni postojećeg zakonodavstva o šumama</w:t>
            </w:r>
          </w:p>
          <w:p w14:paraId="5ABD2C68"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265D682D" w14:textId="77777777" w:rsidR="003F46B9" w:rsidRDefault="0065662E">
            <w:pPr>
              <w:pStyle w:val="P68B1DB1-Normal5"/>
              <w:spacing w:after="0" w:line="240" w:lineRule="auto"/>
              <w:jc w:val="both"/>
              <w:rPr>
                <w:rFonts w:eastAsia="Times New Roman" w:cs="Times New Roman"/>
                <w:noProof/>
              </w:rPr>
            </w:pPr>
            <w:r>
              <w:rPr>
                <w:noProof/>
              </w:rPr>
              <w:t xml:space="preserve">Zakonska odredba o stupanju na snagu zakonodavnih akata </w:t>
            </w:r>
          </w:p>
        </w:tc>
        <w:tc>
          <w:tcPr>
            <w:tcW w:w="1134" w:type="dxa"/>
            <w:tcBorders>
              <w:top w:val="nil"/>
              <w:left w:val="single" w:sz="4" w:space="0" w:color="auto"/>
              <w:bottom w:val="single" w:sz="4" w:space="0" w:color="auto"/>
              <w:right w:val="single" w:sz="4" w:space="0" w:color="auto"/>
            </w:tcBorders>
            <w:shd w:val="clear" w:color="auto" w:fill="C6EFCE"/>
            <w:noWrap/>
          </w:tcPr>
          <w:p w14:paraId="68724A6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418" w:type="dxa"/>
            <w:tcBorders>
              <w:top w:val="nil"/>
              <w:left w:val="single" w:sz="4" w:space="0" w:color="auto"/>
              <w:bottom w:val="single" w:sz="4" w:space="0" w:color="auto"/>
              <w:right w:val="single" w:sz="4" w:space="0" w:color="auto"/>
            </w:tcBorders>
            <w:shd w:val="clear" w:color="auto" w:fill="C6EFCE"/>
            <w:noWrap/>
          </w:tcPr>
          <w:p w14:paraId="039C68B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single" w:sz="4" w:space="0" w:color="auto"/>
              <w:bottom w:val="single" w:sz="4" w:space="0" w:color="auto"/>
              <w:right w:val="single" w:sz="4" w:space="0" w:color="auto"/>
            </w:tcBorders>
            <w:shd w:val="clear" w:color="auto" w:fill="C6EFCE"/>
            <w:noWrap/>
          </w:tcPr>
          <w:p w14:paraId="226B246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35F718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7F935581" w14:textId="77777777" w:rsidR="003F46B9" w:rsidRDefault="0065662E">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524433AB" w14:textId="77777777" w:rsidR="003F46B9" w:rsidRDefault="0065662E">
            <w:pPr>
              <w:pStyle w:val="P68B1DB1-Normal5"/>
              <w:spacing w:after="0" w:line="240" w:lineRule="auto"/>
              <w:jc w:val="both"/>
              <w:rPr>
                <w:rFonts w:cs="Times New Roman"/>
                <w:noProof/>
              </w:rPr>
            </w:pPr>
            <w:r>
              <w:rPr>
                <w:noProof/>
              </w:rPr>
              <w:t xml:space="preserve">Stupanje na snagu sljedećih zakonodavnih akata usmjerenih na pojednostavnjenje pravnog okvira, suzbijanje nezakonite sječe i poboljšanje gospodarenja šumama: </w:t>
            </w:r>
          </w:p>
          <w:p w14:paraId="1D7F0010" w14:textId="77777777" w:rsidR="003F46B9" w:rsidRDefault="0065662E">
            <w:pPr>
              <w:pStyle w:val="P68B1DB1-Normal5"/>
              <w:spacing w:after="0" w:line="240" w:lineRule="auto"/>
              <w:jc w:val="both"/>
              <w:rPr>
                <w:rFonts w:cs="Times New Roman"/>
                <w:noProof/>
              </w:rPr>
            </w:pPr>
            <w:r>
              <w:rPr>
                <w:noProof/>
              </w:rPr>
              <w:t>(i) Novi Zakonik o šumama, kojim se utvrđuju izmjene sustava kaznenih sankcija;</w:t>
            </w:r>
          </w:p>
          <w:p w14:paraId="2C323098" w14:textId="77777777" w:rsidR="003F46B9" w:rsidRDefault="0065662E">
            <w:pPr>
              <w:pStyle w:val="P68B1DB1-Normal5"/>
              <w:spacing w:after="0" w:line="240" w:lineRule="auto"/>
              <w:jc w:val="both"/>
              <w:rPr>
                <w:rFonts w:cs="Times New Roman"/>
                <w:noProof/>
              </w:rPr>
            </w:pPr>
            <w:r>
              <w:rPr>
                <w:noProof/>
              </w:rPr>
              <w:t xml:space="preserve">ii. Hitna uredba </w:t>
            </w:r>
            <w:r>
              <w:rPr>
                <w:noProof/>
              </w:rPr>
              <w:t>br. 85/2006 o utvrđivanju metoda procjene štete na šumskoj vegetaciji u šumama i šire;</w:t>
            </w:r>
          </w:p>
          <w:p w14:paraId="1C7EF556" w14:textId="77777777" w:rsidR="003F46B9" w:rsidRDefault="0065662E">
            <w:pPr>
              <w:pStyle w:val="P68B1DB1-Normal5"/>
              <w:spacing w:after="0" w:line="240" w:lineRule="auto"/>
              <w:jc w:val="both"/>
              <w:rPr>
                <w:rFonts w:cs="Times New Roman"/>
                <w:noProof/>
              </w:rPr>
            </w:pPr>
            <w:r>
              <w:rPr>
                <w:noProof/>
              </w:rPr>
              <w:t>iii. Zakon br. 171/2010 o sankcioniranju kaznenih djela povezanih sa šumama, kojim se utvrđuju metode izračuna za štetu u okolišu i financijsku štetu prouzročenu nezakon</w:t>
            </w:r>
            <w:r>
              <w:rPr>
                <w:noProof/>
              </w:rPr>
              <w:t xml:space="preserve">itom sječom i drugim kaznenim djelima u području šuma, </w:t>
            </w:r>
          </w:p>
          <w:p w14:paraId="4D96ADF9" w14:textId="77777777" w:rsidR="003F46B9" w:rsidRDefault="0065662E">
            <w:pPr>
              <w:pStyle w:val="P68B1DB1-Normal5"/>
              <w:spacing w:after="0" w:line="240" w:lineRule="auto"/>
              <w:jc w:val="both"/>
              <w:rPr>
                <w:rFonts w:eastAsia="Times New Roman" w:cs="Times New Roman"/>
                <w:noProof/>
              </w:rPr>
            </w:pPr>
            <w:r>
              <w:rPr>
                <w:noProof/>
              </w:rPr>
              <w:t>iv. Druge odluke vlade za borbu protiv nezakonite sječe i poboljšanje gospodarenja šumama: Izmjene Odluke Vlade br. 743/2015, Odluke Vlade br. 1076/2009, Odluke Vlade br. 229/2009, Odluke Vlade br. 49</w:t>
            </w:r>
            <w:r>
              <w:rPr>
                <w:noProof/>
              </w:rPr>
              <w:t xml:space="preserve">7/2020; </w:t>
            </w:r>
          </w:p>
        </w:tc>
      </w:tr>
      <w:tr w:rsidR="003F46B9" w14:paraId="6368B123"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290D5DDF" w14:textId="77777777" w:rsidR="003F46B9" w:rsidRDefault="0065662E">
            <w:pPr>
              <w:pStyle w:val="P68B1DB1-Normal5"/>
              <w:spacing w:after="0" w:line="240" w:lineRule="auto"/>
              <w:jc w:val="center"/>
              <w:rPr>
                <w:rFonts w:eastAsia="Times New Roman" w:cs="Times New Roman"/>
                <w:noProof/>
              </w:rPr>
            </w:pPr>
            <w:r>
              <w:rPr>
                <w:noProof/>
              </w:rPr>
              <w:t>25</w:t>
            </w:r>
          </w:p>
        </w:tc>
        <w:tc>
          <w:tcPr>
            <w:tcW w:w="1559" w:type="dxa"/>
            <w:tcBorders>
              <w:top w:val="nil"/>
              <w:left w:val="single" w:sz="4" w:space="0" w:color="auto"/>
              <w:bottom w:val="single" w:sz="4" w:space="0" w:color="auto"/>
              <w:right w:val="single" w:sz="4" w:space="0" w:color="auto"/>
            </w:tcBorders>
            <w:shd w:val="clear" w:color="auto" w:fill="C6EFCE"/>
            <w:noWrap/>
          </w:tcPr>
          <w:p w14:paraId="00D6FE6B" w14:textId="77777777" w:rsidR="003F46B9" w:rsidRDefault="0065662E">
            <w:pPr>
              <w:pStyle w:val="P68B1DB1-Normal5"/>
              <w:spacing w:after="0" w:line="240" w:lineRule="auto"/>
              <w:jc w:val="both"/>
              <w:rPr>
                <w:rFonts w:eastAsia="Times New Roman" w:cs="Times New Roman"/>
                <w:noProof/>
              </w:rPr>
            </w:pPr>
            <w:r>
              <w:rPr>
                <w:noProof/>
              </w:rPr>
              <w:t>Ulaganje 1. Nacionalna kampanja za pošumljavanje i ponovno pošumljavanje, uključujući urbane šume</w:t>
            </w:r>
          </w:p>
        </w:tc>
        <w:tc>
          <w:tcPr>
            <w:tcW w:w="1276" w:type="dxa"/>
            <w:tcBorders>
              <w:top w:val="nil"/>
              <w:left w:val="single" w:sz="4" w:space="0" w:color="auto"/>
              <w:bottom w:val="single" w:sz="4" w:space="0" w:color="auto"/>
              <w:right w:val="single" w:sz="4" w:space="0" w:color="auto"/>
            </w:tcBorders>
            <w:shd w:val="clear" w:color="auto" w:fill="C6EFCE"/>
            <w:noWrap/>
          </w:tcPr>
          <w:p w14:paraId="52EB108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1EE52991" w14:textId="77777777" w:rsidR="003F46B9" w:rsidRDefault="0065662E">
            <w:pPr>
              <w:pStyle w:val="P68B1DB1-Normal5"/>
              <w:spacing w:after="0" w:line="240" w:lineRule="auto"/>
              <w:jc w:val="both"/>
              <w:rPr>
                <w:rFonts w:cs="Times New Roman"/>
                <w:noProof/>
              </w:rPr>
            </w:pPr>
            <w:r>
              <w:rPr>
                <w:noProof/>
              </w:rPr>
              <w:t>Nova područja pošumljenih ili ponovno pošumljenih zemljišta</w:t>
            </w:r>
          </w:p>
          <w:p w14:paraId="5878528D" w14:textId="77777777" w:rsidR="003F46B9" w:rsidRDefault="003F46B9">
            <w:pPr>
              <w:spacing w:after="0" w:line="240" w:lineRule="auto"/>
              <w:jc w:val="both"/>
              <w:rPr>
                <w:rFonts w:ascii="Times New Roman" w:hAnsi="Times New Roman" w:cs="Times New Roman"/>
                <w:noProof/>
                <w:sz w:val="24"/>
              </w:rPr>
            </w:pPr>
          </w:p>
          <w:p w14:paraId="1B03D1E1"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7C97525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43FD1BD" w14:textId="77777777" w:rsidR="003F46B9" w:rsidRDefault="0065662E">
            <w:pPr>
              <w:pStyle w:val="P68B1DB1-Normal5"/>
              <w:spacing w:after="0" w:line="240" w:lineRule="auto"/>
              <w:jc w:val="both"/>
              <w:rPr>
                <w:rFonts w:eastAsia="Times New Roman" w:cs="Times New Roman"/>
                <w:noProof/>
              </w:rPr>
            </w:pPr>
            <w:r>
              <w:rPr>
                <w:noProof/>
              </w:rPr>
              <w:t>ha</w:t>
            </w:r>
          </w:p>
        </w:tc>
        <w:tc>
          <w:tcPr>
            <w:tcW w:w="1418" w:type="dxa"/>
            <w:tcBorders>
              <w:top w:val="nil"/>
              <w:left w:val="single" w:sz="4" w:space="0" w:color="auto"/>
              <w:bottom w:val="single" w:sz="4" w:space="0" w:color="auto"/>
              <w:right w:val="single" w:sz="4" w:space="0" w:color="auto"/>
            </w:tcBorders>
            <w:shd w:val="clear" w:color="auto" w:fill="C6EFCE"/>
            <w:noWrap/>
          </w:tcPr>
          <w:p w14:paraId="2F5E2796"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4A217CDC" w14:textId="3878E3B9" w:rsidR="003F46B9" w:rsidRDefault="0065662E">
            <w:pPr>
              <w:pStyle w:val="P68B1DB1-Normal5"/>
              <w:spacing w:after="0" w:line="240" w:lineRule="auto"/>
              <w:jc w:val="both"/>
              <w:rPr>
                <w:rFonts w:eastAsia="Times New Roman" w:cs="Times New Roman"/>
                <w:noProof/>
              </w:rPr>
            </w:pPr>
            <w:r>
              <w:rPr>
                <w:noProof/>
              </w:rPr>
              <w:t>6 000</w:t>
            </w:r>
          </w:p>
        </w:tc>
        <w:tc>
          <w:tcPr>
            <w:tcW w:w="1134" w:type="dxa"/>
            <w:tcBorders>
              <w:top w:val="nil"/>
              <w:left w:val="single" w:sz="4" w:space="0" w:color="auto"/>
              <w:bottom w:val="single" w:sz="4" w:space="0" w:color="auto"/>
              <w:right w:val="single" w:sz="4" w:space="0" w:color="auto"/>
            </w:tcBorders>
            <w:shd w:val="clear" w:color="auto" w:fill="C6EFCE"/>
            <w:noWrap/>
          </w:tcPr>
          <w:p w14:paraId="01BFD5D3"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377AA139" w14:textId="77777777" w:rsidR="003F46B9" w:rsidRDefault="0065662E">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7687C991" w14:textId="10C4F9DD" w:rsidR="003F46B9" w:rsidRDefault="0065662E">
            <w:pPr>
              <w:pStyle w:val="P68B1DB1-Normal5"/>
              <w:spacing w:after="0" w:line="240" w:lineRule="auto"/>
              <w:jc w:val="both"/>
              <w:rPr>
                <w:rFonts w:eastAsia="Times New Roman" w:cs="Times New Roman"/>
                <w:noProof/>
              </w:rPr>
            </w:pPr>
            <w:r>
              <w:rPr>
                <w:noProof/>
              </w:rPr>
              <w:t>Nova područja pošumljenih ili pošumljenih zemljišta (najmanje 6 000 ha), u skladu s pravnim zahtjevima utvrđenima u Nacionalnoj strategiji za šume:</w:t>
            </w:r>
          </w:p>
          <w:p w14:paraId="524CC9EB"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 xml:space="preserve">Upotrebljavaju se samo vrste i ekotipovi koji su otporni na buduće predviđene učinke klimatskih promjena </w:t>
            </w:r>
            <w:r>
              <w:rPr>
                <w:rFonts w:ascii="Times New Roman" w:hAnsi="Times New Roman"/>
                <w:noProof/>
                <w:sz w:val="24"/>
              </w:rPr>
              <w:t>i nemaju negativan utjecaj na bioraznolikost. Upotreba neautohtonih vrsta dopuštena je samo ako se dokaže da njihova upotreba dovodi do povoljnih i primjerenih uvjeta ekosustava (kao što su klima, tlo, vegetacijska područja, otpornost na požare) i da prisu</w:t>
            </w:r>
            <w:r>
              <w:rPr>
                <w:rFonts w:ascii="Times New Roman" w:hAnsi="Times New Roman"/>
                <w:noProof/>
                <w:sz w:val="24"/>
              </w:rPr>
              <w:t xml:space="preserve">tne autohtone vrste više nisu prilagođene budućim modeliranim klimatskim uvjetima i pedokorološkim uvjetima. </w:t>
            </w:r>
          </w:p>
          <w:p w14:paraId="66EB1B27"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Upotrebljavaju se samo vrste drveća i ekotipovi koji su prikladni za buduće predviđene klimatske uvjete za Rumunjsku;</w:t>
            </w:r>
          </w:p>
          <w:p w14:paraId="647D9EC0"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C.</w:t>
            </w:r>
            <w:r>
              <w:rPr>
                <w:noProof/>
              </w:rPr>
              <w:tab/>
            </w:r>
            <w:r>
              <w:rPr>
                <w:rFonts w:ascii="Times New Roman" w:hAnsi="Times New Roman"/>
                <w:noProof/>
                <w:sz w:val="24"/>
              </w:rPr>
              <w:t>Pošumljavanjem se pozi</w:t>
            </w:r>
            <w:r>
              <w:rPr>
                <w:rFonts w:ascii="Times New Roman" w:hAnsi="Times New Roman"/>
                <w:noProof/>
                <w:sz w:val="24"/>
              </w:rPr>
              <w:t xml:space="preserve">tivno pridonosi ciljevima očuvanja bioraznolikosti, upravljanja vodama i zaštite tla. Pošumljavanje se ne smije provoditi na poljoprivrednom zemljištu visoke prirodne vrijednosti, travnjacima ili močvarnim zemljištima, osim ako je cilj intervencije obnova </w:t>
            </w:r>
            <w:r>
              <w:rPr>
                <w:rFonts w:ascii="Times New Roman" w:hAnsi="Times New Roman"/>
                <w:noProof/>
                <w:sz w:val="24"/>
              </w:rPr>
              <w:t xml:space="preserve">staništa. </w:t>
            </w:r>
          </w:p>
          <w:p w14:paraId="4240280E"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D.</w:t>
            </w:r>
            <w:r>
              <w:rPr>
                <w:noProof/>
              </w:rPr>
              <w:tab/>
            </w:r>
            <w:r>
              <w:rPr>
                <w:rFonts w:ascii="Times New Roman" w:hAnsi="Times New Roman"/>
                <w:noProof/>
                <w:sz w:val="24"/>
              </w:rPr>
              <w:t>Projekti pošumljavanja ili ponovnog pošumljavanja provode se na područjima koja su izložena klimatskim opasnostima i osjetljivima na njih, posebno sušama i poplavama.</w:t>
            </w:r>
          </w:p>
          <w:p w14:paraId="324D880A" w14:textId="77777777" w:rsidR="003F46B9" w:rsidRDefault="0065662E">
            <w:pPr>
              <w:pStyle w:val="P68B1DB1-Normal5"/>
              <w:spacing w:after="0" w:line="240" w:lineRule="auto"/>
              <w:jc w:val="both"/>
              <w:rPr>
                <w:rFonts w:eastAsia="Times New Roman" w:cs="Times New Roman"/>
                <w:noProof/>
              </w:rPr>
            </w:pPr>
            <w:r>
              <w:rPr>
                <w:noProof/>
              </w:rPr>
              <w:t>e. projekti pošumljavanja i ponovnog pošumljavanja podliježu postupku procj</w:t>
            </w:r>
            <w:r>
              <w:rPr>
                <w:noProof/>
              </w:rPr>
              <w:t>ene utjecaja na okoliš (EIA), ako je tako utvrđeno u postupku provjere utjecaja na okoliš; a planovi gospodarenja šumama relevantni za mjere pošumljavanja i ponovnog pošumljavanja podvrgavaju se cjelovitom postupku strateške procjene utjecaja na okoliš (iz</w:t>
            </w:r>
            <w:r>
              <w:rPr>
                <w:noProof/>
              </w:rPr>
              <w:t>vješće o okolišu), posebno ako utječu na zaštićena staništa i/ili vrste.</w:t>
            </w:r>
          </w:p>
        </w:tc>
      </w:tr>
      <w:tr w:rsidR="003F46B9" w14:paraId="56C4781B"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2606CD2" w14:textId="77777777" w:rsidR="003F46B9" w:rsidRDefault="0065662E">
            <w:pPr>
              <w:pStyle w:val="P68B1DB1-Normal5"/>
              <w:spacing w:after="0" w:line="240" w:lineRule="auto"/>
              <w:jc w:val="center"/>
              <w:rPr>
                <w:rFonts w:eastAsia="Times New Roman" w:cs="Times New Roman"/>
                <w:noProof/>
              </w:rPr>
            </w:pPr>
            <w:r>
              <w:rPr>
                <w:noProof/>
              </w:rPr>
              <w:t>26</w:t>
            </w:r>
          </w:p>
        </w:tc>
        <w:tc>
          <w:tcPr>
            <w:tcW w:w="1559" w:type="dxa"/>
            <w:tcBorders>
              <w:top w:val="nil"/>
              <w:left w:val="single" w:sz="4" w:space="0" w:color="auto"/>
              <w:bottom w:val="single" w:sz="4" w:space="0" w:color="auto"/>
              <w:right w:val="single" w:sz="4" w:space="0" w:color="auto"/>
            </w:tcBorders>
            <w:shd w:val="clear" w:color="auto" w:fill="C6EFCE"/>
            <w:noWrap/>
          </w:tcPr>
          <w:p w14:paraId="083B9DB8" w14:textId="77777777" w:rsidR="003F46B9" w:rsidRDefault="0065662E">
            <w:pPr>
              <w:pStyle w:val="P68B1DB1-Normal5"/>
              <w:spacing w:after="0" w:line="240" w:lineRule="auto"/>
              <w:jc w:val="both"/>
              <w:rPr>
                <w:rFonts w:eastAsia="Times New Roman" w:cs="Times New Roman"/>
                <w:noProof/>
              </w:rPr>
            </w:pPr>
            <w:r>
              <w:rPr>
                <w:noProof/>
              </w:rPr>
              <w:t>Ulaganje 1. Nacionalna kampanja za pošumljavanje i ponovno pošumljavanje, uključujući urbane šume</w:t>
            </w:r>
          </w:p>
        </w:tc>
        <w:tc>
          <w:tcPr>
            <w:tcW w:w="1276" w:type="dxa"/>
            <w:tcBorders>
              <w:top w:val="nil"/>
              <w:left w:val="single" w:sz="4" w:space="0" w:color="auto"/>
              <w:bottom w:val="single" w:sz="4" w:space="0" w:color="auto"/>
              <w:right w:val="single" w:sz="4" w:space="0" w:color="auto"/>
            </w:tcBorders>
            <w:shd w:val="clear" w:color="auto" w:fill="C6EFCE"/>
            <w:noWrap/>
          </w:tcPr>
          <w:p w14:paraId="721E3EC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0D5A8B0C" w14:textId="77777777" w:rsidR="003F46B9" w:rsidRDefault="0065662E">
            <w:pPr>
              <w:pStyle w:val="P68B1DB1-Normal5"/>
              <w:spacing w:after="0" w:line="240" w:lineRule="auto"/>
              <w:jc w:val="both"/>
              <w:rPr>
                <w:rFonts w:cs="Times New Roman"/>
                <w:noProof/>
              </w:rPr>
            </w:pPr>
            <w:r>
              <w:rPr>
                <w:noProof/>
              </w:rPr>
              <w:t>Nova područja pošumljenih ili ponovno pošumljenih zemljišta</w:t>
            </w:r>
          </w:p>
          <w:p w14:paraId="6594F47E" w14:textId="77777777" w:rsidR="003F46B9" w:rsidRDefault="003F46B9">
            <w:pPr>
              <w:spacing w:after="0" w:line="240" w:lineRule="auto"/>
              <w:jc w:val="both"/>
              <w:rPr>
                <w:rFonts w:ascii="Times New Roman" w:hAnsi="Times New Roman" w:cs="Times New Roman"/>
                <w:noProof/>
                <w:sz w:val="24"/>
              </w:rPr>
            </w:pPr>
          </w:p>
          <w:p w14:paraId="1E747B43" w14:textId="77777777" w:rsidR="003F46B9" w:rsidRDefault="003F46B9">
            <w:pPr>
              <w:spacing w:after="0" w:line="240" w:lineRule="auto"/>
              <w:jc w:val="both"/>
              <w:rPr>
                <w:rFonts w:ascii="Times New Roman" w:eastAsia="Times New Roman" w:hAnsi="Times New Roman" w:cs="Times New Roman"/>
                <w:noProof/>
                <w:sz w:val="24"/>
              </w:rPr>
            </w:pPr>
          </w:p>
          <w:p w14:paraId="75A98BFC" w14:textId="77777777" w:rsidR="003F46B9" w:rsidRDefault="003F46B9">
            <w:pPr>
              <w:spacing w:after="0" w:line="240" w:lineRule="auto"/>
              <w:jc w:val="both"/>
              <w:rPr>
                <w:rFonts w:ascii="Times New Roman" w:eastAsia="Times New Roman" w:hAnsi="Times New Roman" w:cs="Times New Roman"/>
                <w:noProof/>
                <w:sz w:val="24"/>
              </w:rPr>
            </w:pPr>
          </w:p>
          <w:p w14:paraId="046C29CD"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448C5CA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57CAB7C6" w14:textId="77777777" w:rsidR="003F46B9" w:rsidRDefault="0065662E">
            <w:pPr>
              <w:pStyle w:val="P68B1DB1-Normal5"/>
              <w:spacing w:after="0" w:line="240" w:lineRule="auto"/>
              <w:jc w:val="both"/>
              <w:rPr>
                <w:rFonts w:eastAsia="Times New Roman" w:cs="Times New Roman"/>
                <w:noProof/>
              </w:rPr>
            </w:pPr>
            <w:r>
              <w:rPr>
                <w:noProof/>
              </w:rPr>
              <w:t>ha</w:t>
            </w:r>
          </w:p>
        </w:tc>
        <w:tc>
          <w:tcPr>
            <w:tcW w:w="1418" w:type="dxa"/>
            <w:tcBorders>
              <w:top w:val="nil"/>
              <w:left w:val="single" w:sz="4" w:space="0" w:color="auto"/>
              <w:bottom w:val="single" w:sz="4" w:space="0" w:color="auto"/>
              <w:right w:val="single" w:sz="4" w:space="0" w:color="auto"/>
            </w:tcBorders>
            <w:shd w:val="clear" w:color="auto" w:fill="C6EFCE"/>
            <w:noWrap/>
          </w:tcPr>
          <w:p w14:paraId="16F9099D" w14:textId="6FB25BF7" w:rsidR="003F46B9" w:rsidRDefault="0065662E">
            <w:pPr>
              <w:pStyle w:val="P68B1DB1-Normal5"/>
              <w:spacing w:after="0" w:line="240" w:lineRule="auto"/>
              <w:jc w:val="both"/>
              <w:rPr>
                <w:rFonts w:eastAsia="Times New Roman" w:cs="Times New Roman"/>
                <w:noProof/>
              </w:rPr>
            </w:pPr>
            <w:r>
              <w:rPr>
                <w:noProof/>
              </w:rPr>
              <w:t>6 000</w:t>
            </w:r>
          </w:p>
        </w:tc>
        <w:tc>
          <w:tcPr>
            <w:tcW w:w="851" w:type="dxa"/>
            <w:tcBorders>
              <w:top w:val="nil"/>
              <w:left w:val="single" w:sz="4" w:space="0" w:color="auto"/>
              <w:bottom w:val="single" w:sz="4" w:space="0" w:color="auto"/>
              <w:right w:val="single" w:sz="4" w:space="0" w:color="auto"/>
            </w:tcBorders>
            <w:shd w:val="clear" w:color="auto" w:fill="C6EFCE"/>
            <w:noWrap/>
          </w:tcPr>
          <w:p w14:paraId="6AF287FA" w14:textId="287EF3EA" w:rsidR="003F46B9" w:rsidRDefault="0065662E">
            <w:pPr>
              <w:pStyle w:val="P68B1DB1-Normal5"/>
              <w:spacing w:after="0" w:line="240" w:lineRule="auto"/>
              <w:jc w:val="both"/>
              <w:rPr>
                <w:rFonts w:eastAsia="Times New Roman" w:cs="Times New Roman"/>
                <w:noProof/>
              </w:rPr>
            </w:pPr>
            <w:r>
              <w:rPr>
                <w:noProof/>
              </w:rPr>
              <w:t xml:space="preserve">26 760 </w:t>
            </w:r>
          </w:p>
        </w:tc>
        <w:tc>
          <w:tcPr>
            <w:tcW w:w="1134" w:type="dxa"/>
            <w:tcBorders>
              <w:top w:val="nil"/>
              <w:left w:val="single" w:sz="4" w:space="0" w:color="auto"/>
              <w:bottom w:val="single" w:sz="4" w:space="0" w:color="auto"/>
              <w:right w:val="single" w:sz="4" w:space="0" w:color="auto"/>
            </w:tcBorders>
            <w:shd w:val="clear" w:color="auto" w:fill="C6EFCE"/>
            <w:noWrap/>
          </w:tcPr>
          <w:p w14:paraId="755767A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35301F73" w14:textId="77777777" w:rsidR="003F46B9" w:rsidRDefault="0065662E">
            <w:pPr>
              <w:pStyle w:val="P68B1DB1-Normal5"/>
              <w:spacing w:after="0" w:line="240" w:lineRule="auto"/>
              <w:jc w:val="both"/>
              <w:rPr>
                <w:rFonts w:eastAsia="Times New Roman" w:cs="Times New Roman"/>
                <w:noProof/>
              </w:rPr>
            </w:pPr>
            <w:r>
              <w:rPr>
                <w:noProof/>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2335805" w14:textId="4BE21F08" w:rsidR="003F46B9" w:rsidRDefault="0065662E">
            <w:pPr>
              <w:pStyle w:val="P68B1DB1-Normal5"/>
              <w:spacing w:after="0" w:line="240" w:lineRule="auto"/>
              <w:jc w:val="both"/>
              <w:rPr>
                <w:rFonts w:eastAsia="Times New Roman" w:cs="Times New Roman"/>
                <w:noProof/>
              </w:rPr>
            </w:pPr>
            <w:r>
              <w:rPr>
                <w:noProof/>
              </w:rPr>
              <w:t>Nova područja pošumljenih ili pošumljenih zemljišta (ukupno 26 760 ha) u skladu s pravnim zahtjevima utvrđenima u nacionalnoj strategiji za šume i zahtjevima navedenima u cilju 25.</w:t>
            </w:r>
          </w:p>
        </w:tc>
      </w:tr>
      <w:tr w:rsidR="003F46B9" w14:paraId="66518E92"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4A4077CE" w14:textId="77777777" w:rsidR="003F46B9" w:rsidRDefault="0065662E">
            <w:pPr>
              <w:pStyle w:val="P68B1DB1-Normal5"/>
              <w:spacing w:after="0" w:line="240" w:lineRule="auto"/>
              <w:jc w:val="center"/>
              <w:rPr>
                <w:rFonts w:eastAsia="Times New Roman" w:cs="Times New Roman"/>
                <w:noProof/>
              </w:rPr>
            </w:pPr>
            <w:r>
              <w:rPr>
                <w:noProof/>
              </w:rPr>
              <w:t>27</w:t>
            </w:r>
          </w:p>
        </w:tc>
        <w:tc>
          <w:tcPr>
            <w:tcW w:w="1559" w:type="dxa"/>
            <w:tcBorders>
              <w:top w:val="nil"/>
              <w:left w:val="single" w:sz="4" w:space="0" w:color="auto"/>
              <w:bottom w:val="single" w:sz="4" w:space="0" w:color="auto"/>
              <w:right w:val="single" w:sz="4" w:space="0" w:color="auto"/>
            </w:tcBorders>
            <w:shd w:val="clear" w:color="auto" w:fill="C6EFCE"/>
            <w:noWrap/>
          </w:tcPr>
          <w:p w14:paraId="2640E511" w14:textId="77777777" w:rsidR="003F46B9" w:rsidRDefault="0065662E">
            <w:pPr>
              <w:pStyle w:val="P68B1DB1-Normal5"/>
              <w:spacing w:after="0" w:line="240" w:lineRule="auto"/>
              <w:jc w:val="both"/>
              <w:rPr>
                <w:rFonts w:eastAsia="Times New Roman" w:cs="Times New Roman"/>
                <w:noProof/>
              </w:rPr>
            </w:pPr>
            <w:r>
              <w:rPr>
                <w:noProof/>
              </w:rPr>
              <w:t xml:space="preserve">Ulaganje 1. Nacionalna kampanja za </w:t>
            </w:r>
            <w:r>
              <w:rPr>
                <w:noProof/>
              </w:rPr>
              <w:t>pošumljavanje i ponovno pošumljavanje, uključujući urbane šume</w:t>
            </w:r>
          </w:p>
        </w:tc>
        <w:tc>
          <w:tcPr>
            <w:tcW w:w="1276" w:type="dxa"/>
            <w:tcBorders>
              <w:top w:val="nil"/>
              <w:left w:val="single" w:sz="4" w:space="0" w:color="auto"/>
              <w:bottom w:val="single" w:sz="4" w:space="0" w:color="auto"/>
              <w:right w:val="single" w:sz="4" w:space="0" w:color="auto"/>
            </w:tcBorders>
            <w:shd w:val="clear" w:color="auto" w:fill="C6EFCE"/>
            <w:noWrap/>
          </w:tcPr>
          <w:p w14:paraId="22A07EBD"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022AF008" w14:textId="77777777" w:rsidR="003F46B9" w:rsidRDefault="0065662E">
            <w:pPr>
              <w:pStyle w:val="P68B1DB1-Normal5"/>
              <w:spacing w:after="0" w:line="240" w:lineRule="auto"/>
              <w:jc w:val="both"/>
              <w:rPr>
                <w:rFonts w:eastAsia="Times New Roman" w:cs="Times New Roman"/>
                <w:noProof/>
              </w:rPr>
            </w:pPr>
            <w:r>
              <w:rPr>
                <w:noProof/>
              </w:rPr>
              <w:t>Stvorena nova područja urbanih šuma.</w:t>
            </w:r>
          </w:p>
          <w:p w14:paraId="44470E71" w14:textId="77777777" w:rsidR="003F46B9" w:rsidRDefault="003F46B9">
            <w:pPr>
              <w:spacing w:after="0" w:line="240" w:lineRule="auto"/>
              <w:jc w:val="both"/>
              <w:rPr>
                <w:rFonts w:ascii="Times New Roman" w:eastAsia="Times New Roman" w:hAnsi="Times New Roman" w:cs="Times New Roman"/>
                <w:noProof/>
                <w:sz w:val="24"/>
              </w:rPr>
            </w:pPr>
          </w:p>
          <w:p w14:paraId="7501CCFB" w14:textId="77777777" w:rsidR="003F46B9" w:rsidRDefault="003F46B9">
            <w:pPr>
              <w:spacing w:after="0" w:line="240" w:lineRule="auto"/>
              <w:jc w:val="both"/>
              <w:rPr>
                <w:rFonts w:ascii="Times New Roman" w:eastAsia="Times New Roman" w:hAnsi="Times New Roman" w:cs="Times New Roman"/>
                <w:noProof/>
                <w:sz w:val="24"/>
              </w:rPr>
            </w:pPr>
          </w:p>
        </w:tc>
        <w:tc>
          <w:tcPr>
            <w:tcW w:w="1843" w:type="dxa"/>
            <w:tcBorders>
              <w:top w:val="nil"/>
              <w:left w:val="single" w:sz="4" w:space="0" w:color="auto"/>
              <w:bottom w:val="single" w:sz="4" w:space="0" w:color="auto"/>
              <w:right w:val="single" w:sz="4" w:space="0" w:color="auto"/>
            </w:tcBorders>
            <w:shd w:val="clear" w:color="auto" w:fill="C6EFCE"/>
            <w:noWrap/>
          </w:tcPr>
          <w:p w14:paraId="6121B86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65AC7E77" w14:textId="77777777" w:rsidR="003F46B9" w:rsidRDefault="0065662E">
            <w:pPr>
              <w:pStyle w:val="P68B1DB1-Normal5"/>
              <w:spacing w:after="0" w:line="240" w:lineRule="auto"/>
              <w:jc w:val="both"/>
              <w:rPr>
                <w:rFonts w:eastAsia="Times New Roman" w:cs="Times New Roman"/>
                <w:noProof/>
              </w:rPr>
            </w:pPr>
            <w:r>
              <w:rPr>
                <w:noProof/>
              </w:rPr>
              <w:t>M</w:t>
            </w:r>
            <w:r>
              <w:rPr>
                <w:noProof/>
                <w:vertAlign w:val="superscript"/>
              </w:rPr>
              <w:t>2</w:t>
            </w:r>
          </w:p>
        </w:tc>
        <w:tc>
          <w:tcPr>
            <w:tcW w:w="1418" w:type="dxa"/>
            <w:tcBorders>
              <w:top w:val="nil"/>
              <w:left w:val="single" w:sz="4" w:space="0" w:color="auto"/>
              <w:bottom w:val="single" w:sz="4" w:space="0" w:color="auto"/>
              <w:right w:val="single" w:sz="4" w:space="0" w:color="auto"/>
            </w:tcBorders>
            <w:shd w:val="clear" w:color="auto" w:fill="C6EFCE"/>
            <w:noWrap/>
          </w:tcPr>
          <w:p w14:paraId="257C91C5"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36F0F3AE" w14:textId="77777777" w:rsidR="003F46B9" w:rsidRDefault="0065662E">
            <w:pPr>
              <w:pStyle w:val="P68B1DB1-Normal5"/>
              <w:spacing w:after="0" w:line="240" w:lineRule="auto"/>
              <w:jc w:val="both"/>
              <w:rPr>
                <w:rFonts w:eastAsia="Times New Roman" w:cs="Times New Roman"/>
                <w:noProof/>
              </w:rPr>
            </w:pPr>
            <w:r>
              <w:rPr>
                <w:noProof/>
              </w:rPr>
              <w:t>500 000</w:t>
            </w:r>
          </w:p>
        </w:tc>
        <w:tc>
          <w:tcPr>
            <w:tcW w:w="1134" w:type="dxa"/>
            <w:tcBorders>
              <w:top w:val="nil"/>
              <w:left w:val="single" w:sz="4" w:space="0" w:color="auto"/>
              <w:bottom w:val="single" w:sz="4" w:space="0" w:color="auto"/>
              <w:right w:val="single" w:sz="4" w:space="0" w:color="auto"/>
            </w:tcBorders>
            <w:shd w:val="clear" w:color="auto" w:fill="C6EFCE"/>
            <w:noWrap/>
          </w:tcPr>
          <w:p w14:paraId="54C12E21"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1213929D" w14:textId="77777777" w:rsidR="003F46B9" w:rsidRDefault="0065662E">
            <w:pPr>
              <w:pStyle w:val="P68B1DB1-Normal5"/>
              <w:spacing w:after="0" w:line="240" w:lineRule="auto"/>
              <w:jc w:val="both"/>
              <w:rPr>
                <w:rFonts w:eastAsia="Times New Roman" w:cs="Times New Roman"/>
                <w:noProof/>
              </w:rPr>
            </w:pPr>
            <w:r>
              <w:rPr>
                <w:noProof/>
              </w:rPr>
              <w:t>2023</w:t>
            </w:r>
          </w:p>
        </w:tc>
        <w:tc>
          <w:tcPr>
            <w:tcW w:w="3600" w:type="dxa"/>
            <w:tcBorders>
              <w:top w:val="nil"/>
              <w:left w:val="single" w:sz="4" w:space="0" w:color="auto"/>
              <w:bottom w:val="single" w:sz="4" w:space="0" w:color="auto"/>
              <w:right w:val="single" w:sz="4" w:space="0" w:color="auto"/>
            </w:tcBorders>
            <w:shd w:val="clear" w:color="auto" w:fill="C6EFCE"/>
            <w:noWrap/>
          </w:tcPr>
          <w:p w14:paraId="13EC56B9" w14:textId="77777777" w:rsidR="003F46B9" w:rsidRDefault="0065662E">
            <w:pPr>
              <w:pStyle w:val="P68B1DB1-Normal5"/>
              <w:spacing w:after="0" w:line="240" w:lineRule="auto"/>
              <w:jc w:val="both"/>
              <w:rPr>
                <w:rFonts w:eastAsia="Times New Roman" w:cs="Times New Roman"/>
                <w:noProof/>
              </w:rPr>
            </w:pPr>
            <w:r>
              <w:rPr>
                <w:noProof/>
              </w:rPr>
              <w:t>Nova urbana šumska područja (najmanje 500 000 m 2</w:t>
            </w:r>
            <w:r>
              <w:rPr>
                <w:noProof/>
                <w:vertAlign w:val="superscript"/>
              </w:rPr>
              <w:t>)</w:t>
            </w:r>
            <w:r>
              <w:rPr>
                <w:noProof/>
              </w:rPr>
              <w:t xml:space="preserve">, u skladu s pravnim zahtjevima utvrđenima u Nacionalnoj </w:t>
            </w:r>
            <w:r>
              <w:rPr>
                <w:noProof/>
              </w:rPr>
              <w:t>strategiji za šume:</w:t>
            </w:r>
          </w:p>
          <w:p w14:paraId="6CC7A7D5"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Upotrebljavaju se samo vrste i ekotipovi koji su otporni na buduće predviđene učinke klimatskih promjena i nemaju negativan utjecaj na bioraznolikost. Upotreba neautohtonih vrsta dopuštena je samo ako se dokaže da one dovode do povol</w:t>
            </w:r>
            <w:r>
              <w:rPr>
                <w:rFonts w:ascii="Times New Roman" w:hAnsi="Times New Roman"/>
                <w:noProof/>
                <w:sz w:val="24"/>
              </w:rPr>
              <w:t xml:space="preserve">jnih i primjerenih uvjeta ekosustava (kao što su klima, tlo, vegetacijska područja, otpornost na požare) i da prisutne autohtone vrste više nisu prilagođene budućim modeliranim klimatskim uvjetima i pedokorološkim uvjetima. </w:t>
            </w:r>
          </w:p>
          <w:p w14:paraId="427E9229"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Upotrebljavaju se samo vrste</w:t>
            </w:r>
            <w:r>
              <w:rPr>
                <w:rFonts w:ascii="Times New Roman" w:hAnsi="Times New Roman"/>
                <w:noProof/>
                <w:sz w:val="24"/>
              </w:rPr>
              <w:t xml:space="preserve"> i ekotipovi koji su prikladni za buduće predviđene klimatske uvjete za Rumunjsku;</w:t>
            </w:r>
          </w:p>
          <w:p w14:paraId="0CBA0B6F"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C.</w:t>
            </w:r>
            <w:r>
              <w:rPr>
                <w:noProof/>
              </w:rPr>
              <w:tab/>
            </w:r>
            <w:r>
              <w:rPr>
                <w:rFonts w:ascii="Times New Roman" w:hAnsi="Times New Roman"/>
                <w:noProof/>
                <w:sz w:val="24"/>
              </w:rPr>
              <w:t>Urbano pošumljavanje provodi se pristupom na razini krajobraza kojim se jačaju veze s prirodnim ili poluprirodnim područjima (kao što su šume ili poljoprivredna područja)</w:t>
            </w:r>
            <w:r>
              <w:rPr>
                <w:rFonts w:ascii="Times New Roman" w:hAnsi="Times New Roman"/>
                <w:noProof/>
                <w:sz w:val="24"/>
              </w:rPr>
              <w:t xml:space="preserve"> s naglaskom na povezivanju staništa putem zelene infrastrukture i ekoloških koridora. Pri odabiru vrsta i ekotipova uzima se u obzir njihova uloga u čišćenju zraka i pružanju drugih usluga ekosustava urbanim područjima.</w:t>
            </w:r>
          </w:p>
          <w:p w14:paraId="58556150"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D.</w:t>
            </w:r>
            <w:r>
              <w:rPr>
                <w:noProof/>
              </w:rPr>
              <w:tab/>
            </w:r>
            <w:r>
              <w:rPr>
                <w:rFonts w:ascii="Times New Roman" w:hAnsi="Times New Roman"/>
                <w:noProof/>
                <w:sz w:val="24"/>
              </w:rPr>
              <w:t>Pošumljavanjem se pozitivno prid</w:t>
            </w:r>
            <w:r>
              <w:rPr>
                <w:rFonts w:ascii="Times New Roman" w:hAnsi="Times New Roman"/>
                <w:noProof/>
                <w:sz w:val="24"/>
              </w:rPr>
              <w:t xml:space="preserve">onosi ciljevima očuvanja bioraznolikosti, upravljanja vodama i zaštite tla. Pošumljavanje se ne smije provoditi na poljoprivrednom zemljištu visoke prirodne vrijednosti, travnjacima ili močvarnim zemljištima, osim ako je cilj intervencije obnova staništa. </w:t>
            </w:r>
          </w:p>
          <w:p w14:paraId="5E83188C"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e.</w:t>
            </w:r>
            <w:r>
              <w:rPr>
                <w:noProof/>
              </w:rPr>
              <w:tab/>
            </w:r>
            <w:r>
              <w:rPr>
                <w:rFonts w:ascii="Times New Roman" w:hAnsi="Times New Roman"/>
                <w:noProof/>
                <w:sz w:val="24"/>
              </w:rPr>
              <w:t>Projekti pošumljavanja ili ponovnog pošumljavanja provode se na područjima koja su izložena klimatskim opasnostima i osjetljivima na njih, posebno sušama i poplavama.</w:t>
            </w:r>
          </w:p>
        </w:tc>
      </w:tr>
      <w:tr w:rsidR="003F46B9" w14:paraId="3CEF0B60"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61D75D77" w14:textId="77777777" w:rsidR="003F46B9" w:rsidRDefault="0065662E">
            <w:pPr>
              <w:pStyle w:val="P68B1DB1-Normal5"/>
              <w:spacing w:after="0" w:line="240" w:lineRule="auto"/>
              <w:jc w:val="center"/>
              <w:rPr>
                <w:rFonts w:eastAsia="Times New Roman" w:cs="Times New Roman"/>
                <w:noProof/>
              </w:rPr>
            </w:pPr>
            <w:r>
              <w:rPr>
                <w:noProof/>
              </w:rPr>
              <w:t>28</w:t>
            </w:r>
          </w:p>
        </w:tc>
        <w:tc>
          <w:tcPr>
            <w:tcW w:w="1559" w:type="dxa"/>
            <w:tcBorders>
              <w:top w:val="nil"/>
              <w:left w:val="single" w:sz="4" w:space="0" w:color="auto"/>
              <w:bottom w:val="single" w:sz="4" w:space="0" w:color="auto"/>
              <w:right w:val="single" w:sz="4" w:space="0" w:color="auto"/>
            </w:tcBorders>
            <w:shd w:val="clear" w:color="auto" w:fill="C6EFCE"/>
            <w:noWrap/>
          </w:tcPr>
          <w:p w14:paraId="1E2983B0" w14:textId="77777777" w:rsidR="003F46B9" w:rsidRDefault="0065662E">
            <w:pPr>
              <w:pStyle w:val="P68B1DB1-Normal5"/>
              <w:spacing w:after="0" w:line="240" w:lineRule="auto"/>
              <w:jc w:val="both"/>
              <w:rPr>
                <w:rFonts w:eastAsia="Times New Roman" w:cs="Times New Roman"/>
                <w:noProof/>
              </w:rPr>
            </w:pPr>
            <w:r>
              <w:rPr>
                <w:noProof/>
              </w:rPr>
              <w:t xml:space="preserve">Ulaganje 1. Nacionalna kampanja za pošumljavanje i ponovno pošumljavanje, </w:t>
            </w:r>
            <w:r>
              <w:rPr>
                <w:noProof/>
              </w:rPr>
              <w:t>uključujući urbane šume</w:t>
            </w:r>
          </w:p>
        </w:tc>
        <w:tc>
          <w:tcPr>
            <w:tcW w:w="1276" w:type="dxa"/>
            <w:tcBorders>
              <w:top w:val="nil"/>
              <w:left w:val="single" w:sz="4" w:space="0" w:color="auto"/>
              <w:bottom w:val="single" w:sz="4" w:space="0" w:color="auto"/>
              <w:right w:val="single" w:sz="4" w:space="0" w:color="auto"/>
            </w:tcBorders>
            <w:shd w:val="clear" w:color="auto" w:fill="C6EFCE"/>
            <w:noWrap/>
          </w:tcPr>
          <w:p w14:paraId="39ADA82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56193A0F" w14:textId="77777777" w:rsidR="003F46B9" w:rsidRDefault="0065662E">
            <w:pPr>
              <w:pStyle w:val="P68B1DB1-Normal5"/>
              <w:spacing w:after="0" w:line="240" w:lineRule="auto"/>
              <w:jc w:val="both"/>
              <w:rPr>
                <w:rFonts w:eastAsia="Times New Roman" w:cs="Times New Roman"/>
                <w:noProof/>
              </w:rPr>
            </w:pPr>
            <w:r>
              <w:rPr>
                <w:noProof/>
              </w:rPr>
              <w:t>Stvorena nova područja urbanih šuma</w:t>
            </w:r>
          </w:p>
          <w:p w14:paraId="20D53362" w14:textId="77777777" w:rsidR="003F46B9" w:rsidRDefault="003F46B9">
            <w:pPr>
              <w:spacing w:after="0" w:line="240" w:lineRule="auto"/>
              <w:jc w:val="both"/>
              <w:rPr>
                <w:rFonts w:ascii="Times New Roman" w:eastAsia="Times New Roman" w:hAnsi="Times New Roman" w:cs="Times New Roman"/>
                <w:noProof/>
                <w:sz w:val="24"/>
              </w:rPr>
            </w:pPr>
          </w:p>
          <w:p w14:paraId="2E20F99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843" w:type="dxa"/>
            <w:tcBorders>
              <w:top w:val="nil"/>
              <w:left w:val="single" w:sz="4" w:space="0" w:color="auto"/>
              <w:bottom w:val="single" w:sz="4" w:space="0" w:color="auto"/>
              <w:right w:val="single" w:sz="4" w:space="0" w:color="auto"/>
            </w:tcBorders>
            <w:shd w:val="clear" w:color="auto" w:fill="C6EFCE"/>
            <w:noWrap/>
          </w:tcPr>
          <w:p w14:paraId="4213D82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0E58B9F3" w14:textId="77777777" w:rsidR="003F46B9" w:rsidRDefault="0065662E">
            <w:pPr>
              <w:pStyle w:val="P68B1DB1-Normal5"/>
              <w:spacing w:after="0" w:line="240" w:lineRule="auto"/>
              <w:jc w:val="both"/>
              <w:rPr>
                <w:rFonts w:eastAsia="Times New Roman" w:cs="Times New Roman"/>
                <w:noProof/>
              </w:rPr>
            </w:pPr>
            <w:r>
              <w:rPr>
                <w:noProof/>
              </w:rPr>
              <w:t>M</w:t>
            </w:r>
            <w:r>
              <w:rPr>
                <w:noProof/>
                <w:vertAlign w:val="superscript"/>
              </w:rPr>
              <w:t>2</w:t>
            </w:r>
          </w:p>
        </w:tc>
        <w:tc>
          <w:tcPr>
            <w:tcW w:w="1418" w:type="dxa"/>
            <w:tcBorders>
              <w:top w:val="nil"/>
              <w:left w:val="single" w:sz="4" w:space="0" w:color="auto"/>
              <w:bottom w:val="single" w:sz="4" w:space="0" w:color="auto"/>
              <w:right w:val="single" w:sz="4" w:space="0" w:color="auto"/>
            </w:tcBorders>
            <w:shd w:val="clear" w:color="auto" w:fill="C6EFCE"/>
            <w:noWrap/>
          </w:tcPr>
          <w:p w14:paraId="7CE247F6" w14:textId="77777777" w:rsidR="003F46B9" w:rsidRDefault="0065662E">
            <w:pPr>
              <w:pStyle w:val="P68B1DB1-Normal5"/>
              <w:spacing w:after="0" w:line="240" w:lineRule="auto"/>
              <w:jc w:val="both"/>
              <w:rPr>
                <w:rFonts w:eastAsia="Times New Roman" w:cs="Times New Roman"/>
                <w:noProof/>
              </w:rPr>
            </w:pPr>
            <w:r>
              <w:rPr>
                <w:noProof/>
              </w:rPr>
              <w:t>500 000</w:t>
            </w:r>
          </w:p>
        </w:tc>
        <w:tc>
          <w:tcPr>
            <w:tcW w:w="851" w:type="dxa"/>
            <w:tcBorders>
              <w:top w:val="nil"/>
              <w:left w:val="single" w:sz="4" w:space="0" w:color="auto"/>
              <w:bottom w:val="single" w:sz="4" w:space="0" w:color="auto"/>
              <w:right w:val="single" w:sz="4" w:space="0" w:color="auto"/>
            </w:tcBorders>
            <w:shd w:val="clear" w:color="auto" w:fill="C6EFCE"/>
            <w:noWrap/>
          </w:tcPr>
          <w:p w14:paraId="0FEF9A69" w14:textId="77777777" w:rsidR="003F46B9" w:rsidRDefault="0065662E">
            <w:pPr>
              <w:pStyle w:val="P68B1DB1-Normal5"/>
              <w:spacing w:after="0" w:line="240" w:lineRule="auto"/>
              <w:jc w:val="both"/>
              <w:rPr>
                <w:rFonts w:eastAsia="Times New Roman" w:cs="Times New Roman"/>
                <w:noProof/>
              </w:rPr>
            </w:pPr>
            <w:r>
              <w:rPr>
                <w:noProof/>
              </w:rPr>
              <w:t>3 150 000</w:t>
            </w:r>
          </w:p>
        </w:tc>
        <w:tc>
          <w:tcPr>
            <w:tcW w:w="1134" w:type="dxa"/>
            <w:tcBorders>
              <w:top w:val="nil"/>
              <w:left w:val="single" w:sz="4" w:space="0" w:color="auto"/>
              <w:bottom w:val="single" w:sz="4" w:space="0" w:color="auto"/>
              <w:right w:val="single" w:sz="4" w:space="0" w:color="auto"/>
            </w:tcBorders>
            <w:shd w:val="clear" w:color="auto" w:fill="C6EFCE"/>
            <w:noWrap/>
          </w:tcPr>
          <w:p w14:paraId="7603734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7D6B43E9" w14:textId="77777777" w:rsidR="003F46B9" w:rsidRDefault="0065662E">
            <w:pPr>
              <w:pStyle w:val="P68B1DB1-Normal5"/>
              <w:spacing w:after="0" w:line="240" w:lineRule="auto"/>
              <w:jc w:val="both"/>
              <w:rPr>
                <w:rFonts w:eastAsia="Times New Roman" w:cs="Times New Roman"/>
                <w:noProof/>
              </w:rPr>
            </w:pPr>
            <w:r>
              <w:rPr>
                <w:noProof/>
              </w:rPr>
              <w:t>2026</w:t>
            </w:r>
          </w:p>
        </w:tc>
        <w:tc>
          <w:tcPr>
            <w:tcW w:w="3600" w:type="dxa"/>
            <w:tcBorders>
              <w:top w:val="nil"/>
              <w:left w:val="single" w:sz="4" w:space="0" w:color="auto"/>
              <w:bottom w:val="single" w:sz="4" w:space="0" w:color="auto"/>
              <w:right w:val="single" w:sz="4" w:space="0" w:color="auto"/>
            </w:tcBorders>
            <w:shd w:val="clear" w:color="auto" w:fill="C6EFCE"/>
            <w:noWrap/>
          </w:tcPr>
          <w:p w14:paraId="17193410" w14:textId="77777777" w:rsidR="003F46B9" w:rsidRDefault="0065662E">
            <w:pPr>
              <w:pStyle w:val="P68B1DB1-Normal5"/>
              <w:spacing w:after="0" w:line="240" w:lineRule="auto"/>
              <w:jc w:val="both"/>
              <w:rPr>
                <w:rFonts w:eastAsia="Times New Roman" w:cs="Times New Roman"/>
                <w:noProof/>
              </w:rPr>
            </w:pPr>
            <w:r>
              <w:rPr>
                <w:noProof/>
              </w:rPr>
              <w:t>Nova područja urbanih šuma (ukupno 3 150 000 m 2)</w:t>
            </w:r>
            <w:r>
              <w:rPr>
                <w:noProof/>
                <w:vertAlign w:val="superscript"/>
              </w:rPr>
              <w:t>,</w:t>
            </w:r>
            <w:r>
              <w:rPr>
                <w:noProof/>
              </w:rPr>
              <w:t xml:space="preserve">u skladu s pravnim zahtjevima utvrđenima u strategiji za šume i zahtjevima navedenima u cilju 25. </w:t>
            </w:r>
          </w:p>
        </w:tc>
      </w:tr>
      <w:tr w:rsidR="003F46B9" w14:paraId="054BBE34" w14:textId="77777777">
        <w:trPr>
          <w:trHeight w:val="309"/>
          <w:jc w:val="center"/>
        </w:trPr>
        <w:tc>
          <w:tcPr>
            <w:tcW w:w="817" w:type="dxa"/>
            <w:tcBorders>
              <w:top w:val="nil"/>
              <w:left w:val="single" w:sz="4" w:space="0" w:color="auto"/>
              <w:bottom w:val="single" w:sz="4" w:space="0" w:color="auto"/>
              <w:right w:val="single" w:sz="4" w:space="0" w:color="auto"/>
            </w:tcBorders>
            <w:shd w:val="clear" w:color="auto" w:fill="C6EFCE"/>
            <w:noWrap/>
          </w:tcPr>
          <w:p w14:paraId="3994393E" w14:textId="77777777" w:rsidR="003F46B9" w:rsidRDefault="0065662E">
            <w:pPr>
              <w:pStyle w:val="P68B1DB1-Normal5"/>
              <w:spacing w:after="0" w:line="240" w:lineRule="auto"/>
              <w:jc w:val="center"/>
              <w:rPr>
                <w:rFonts w:eastAsia="Times New Roman" w:cs="Times New Roman"/>
                <w:noProof/>
              </w:rPr>
            </w:pPr>
            <w:r>
              <w:rPr>
                <w:noProof/>
              </w:rPr>
              <w:t>29</w:t>
            </w:r>
          </w:p>
        </w:tc>
        <w:tc>
          <w:tcPr>
            <w:tcW w:w="1559" w:type="dxa"/>
            <w:tcBorders>
              <w:top w:val="nil"/>
              <w:left w:val="single" w:sz="4" w:space="0" w:color="auto"/>
              <w:bottom w:val="single" w:sz="4" w:space="0" w:color="auto"/>
              <w:right w:val="single" w:sz="4" w:space="0" w:color="auto"/>
            </w:tcBorders>
            <w:shd w:val="clear" w:color="auto" w:fill="C6EFCE"/>
            <w:noWrap/>
          </w:tcPr>
          <w:p w14:paraId="0664D16D" w14:textId="77777777" w:rsidR="003F46B9" w:rsidRDefault="0065662E">
            <w:pPr>
              <w:pStyle w:val="P68B1DB1-Normal5"/>
              <w:spacing w:after="0" w:line="240" w:lineRule="auto"/>
              <w:jc w:val="both"/>
              <w:rPr>
                <w:rFonts w:cs="Times New Roman"/>
                <w:noProof/>
              </w:rPr>
            </w:pPr>
            <w:r>
              <w:rPr>
                <w:noProof/>
              </w:rPr>
              <w:t xml:space="preserve">Ulaganje 2. Razvoj modernih proizvodnih kapaciteta šumskog reprodukcijskog materijala </w:t>
            </w:r>
          </w:p>
        </w:tc>
        <w:tc>
          <w:tcPr>
            <w:tcW w:w="1276" w:type="dxa"/>
            <w:tcBorders>
              <w:top w:val="nil"/>
              <w:left w:val="single" w:sz="4" w:space="0" w:color="auto"/>
              <w:bottom w:val="single" w:sz="4" w:space="0" w:color="auto"/>
              <w:right w:val="single" w:sz="4" w:space="0" w:color="auto"/>
            </w:tcBorders>
            <w:shd w:val="clear" w:color="auto" w:fill="C6EFCE"/>
            <w:noWrap/>
          </w:tcPr>
          <w:p w14:paraId="64C2E42A" w14:textId="77777777" w:rsidR="003F46B9" w:rsidRDefault="0065662E">
            <w:pPr>
              <w:pStyle w:val="P68B1DB1-Normal5"/>
              <w:spacing w:after="0" w:line="240" w:lineRule="auto"/>
              <w:jc w:val="center"/>
              <w:rPr>
                <w:rFonts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23B8077C" w14:textId="77777777" w:rsidR="003F46B9" w:rsidRDefault="0065662E">
            <w:pPr>
              <w:pStyle w:val="P68B1DB1-Normal5"/>
              <w:spacing w:after="0" w:line="240" w:lineRule="auto"/>
              <w:jc w:val="both"/>
              <w:rPr>
                <w:rFonts w:cs="Times New Roman"/>
                <w:noProof/>
              </w:rPr>
            </w:pPr>
            <w:r>
              <w:rPr>
                <w:noProof/>
              </w:rPr>
              <w:t xml:space="preserve">Novi i obnovljeni rasadnici stabala (uspostavljeni ili </w:t>
            </w:r>
            <w:r>
              <w:rPr>
                <w:noProof/>
              </w:rPr>
              <w:t>obnovljeni)</w:t>
            </w:r>
          </w:p>
        </w:tc>
        <w:tc>
          <w:tcPr>
            <w:tcW w:w="1843" w:type="dxa"/>
            <w:tcBorders>
              <w:top w:val="nil"/>
              <w:left w:val="single" w:sz="4" w:space="0" w:color="auto"/>
              <w:bottom w:val="single" w:sz="4" w:space="0" w:color="auto"/>
              <w:right w:val="single" w:sz="4" w:space="0" w:color="auto"/>
            </w:tcBorders>
            <w:shd w:val="clear" w:color="auto" w:fill="C6EFCE"/>
            <w:noWrap/>
          </w:tcPr>
          <w:p w14:paraId="6603ECEC"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14:paraId="3FA50183" w14:textId="77777777" w:rsidR="003F46B9" w:rsidRDefault="0065662E">
            <w:pPr>
              <w:pStyle w:val="P68B1DB1-Normal5"/>
              <w:spacing w:after="0" w:line="240" w:lineRule="auto"/>
              <w:jc w:val="both"/>
              <w:rPr>
                <w:rFonts w:cs="Times New Roman"/>
                <w:noProof/>
              </w:rPr>
            </w:pPr>
            <w:r>
              <w:rPr>
                <w:noProof/>
              </w:rPr>
              <w:t>Broj</w:t>
            </w:r>
          </w:p>
        </w:tc>
        <w:tc>
          <w:tcPr>
            <w:tcW w:w="1418" w:type="dxa"/>
            <w:tcBorders>
              <w:top w:val="nil"/>
              <w:left w:val="single" w:sz="4" w:space="0" w:color="auto"/>
              <w:bottom w:val="single" w:sz="4" w:space="0" w:color="auto"/>
              <w:right w:val="single" w:sz="4" w:space="0" w:color="auto"/>
            </w:tcBorders>
            <w:shd w:val="clear" w:color="auto" w:fill="C6EFCE"/>
            <w:noWrap/>
          </w:tcPr>
          <w:p w14:paraId="3837C805"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single" w:sz="4" w:space="0" w:color="auto"/>
              <w:bottom w:val="single" w:sz="4" w:space="0" w:color="auto"/>
              <w:right w:val="single" w:sz="4" w:space="0" w:color="auto"/>
            </w:tcBorders>
            <w:shd w:val="clear" w:color="auto" w:fill="C6EFCE"/>
            <w:noWrap/>
          </w:tcPr>
          <w:p w14:paraId="4F0141F4" w14:textId="77777777" w:rsidR="003F46B9" w:rsidRDefault="0065662E">
            <w:pPr>
              <w:pStyle w:val="P68B1DB1-Normal5"/>
              <w:spacing w:after="0" w:line="240" w:lineRule="auto"/>
              <w:jc w:val="both"/>
              <w:rPr>
                <w:rFonts w:cs="Times New Roman"/>
                <w:noProof/>
              </w:rPr>
            </w:pPr>
            <w:r>
              <w:rPr>
                <w:noProof/>
              </w:rPr>
              <w:t>90</w:t>
            </w:r>
          </w:p>
        </w:tc>
        <w:tc>
          <w:tcPr>
            <w:tcW w:w="1134" w:type="dxa"/>
            <w:tcBorders>
              <w:top w:val="nil"/>
              <w:left w:val="single" w:sz="4" w:space="0" w:color="auto"/>
              <w:bottom w:val="single" w:sz="4" w:space="0" w:color="auto"/>
              <w:right w:val="single" w:sz="4" w:space="0" w:color="auto"/>
            </w:tcBorders>
            <w:shd w:val="clear" w:color="auto" w:fill="C6EFCE"/>
            <w:noWrap/>
          </w:tcPr>
          <w:p w14:paraId="7E4C1B2F"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nil"/>
              <w:left w:val="single" w:sz="4" w:space="0" w:color="auto"/>
              <w:bottom w:val="single" w:sz="4" w:space="0" w:color="auto"/>
              <w:right w:val="single" w:sz="4" w:space="0" w:color="auto"/>
            </w:tcBorders>
            <w:shd w:val="clear" w:color="auto" w:fill="C6EFCE"/>
            <w:noWrap/>
          </w:tcPr>
          <w:p w14:paraId="48BBC958" w14:textId="77777777" w:rsidR="003F46B9" w:rsidRDefault="0065662E">
            <w:pPr>
              <w:pStyle w:val="P68B1DB1-Normal5"/>
              <w:spacing w:after="0" w:line="240" w:lineRule="auto"/>
              <w:jc w:val="both"/>
              <w:rPr>
                <w:rFonts w:cs="Times New Roman"/>
                <w:noProof/>
              </w:rPr>
            </w:pPr>
            <w:r>
              <w:rPr>
                <w:noProof/>
              </w:rPr>
              <w:t>2024</w:t>
            </w:r>
          </w:p>
        </w:tc>
        <w:tc>
          <w:tcPr>
            <w:tcW w:w="3600" w:type="dxa"/>
            <w:tcBorders>
              <w:top w:val="nil"/>
              <w:left w:val="single" w:sz="4" w:space="0" w:color="auto"/>
              <w:bottom w:val="single" w:sz="4" w:space="0" w:color="auto"/>
              <w:right w:val="single" w:sz="4" w:space="0" w:color="auto"/>
            </w:tcBorders>
            <w:shd w:val="clear" w:color="auto" w:fill="C6EFCE"/>
            <w:noWrap/>
          </w:tcPr>
          <w:p w14:paraId="672804C4" w14:textId="77777777" w:rsidR="003F46B9" w:rsidRDefault="0065662E">
            <w:pPr>
              <w:pStyle w:val="P68B1DB1-Normal5"/>
              <w:spacing w:after="0" w:line="240" w:lineRule="auto"/>
              <w:jc w:val="both"/>
              <w:rPr>
                <w:rFonts w:cs="Times New Roman"/>
                <w:noProof/>
              </w:rPr>
            </w:pPr>
            <w:r>
              <w:rPr>
                <w:noProof/>
              </w:rPr>
              <w:t xml:space="preserve">Nove i obnovljene rasadnike stabala koji su operativni (najmanje 90), u skladu s pravnim zahtjevima utvrđenima u Nacionalnoj strategiji za šume. Proizvodnja reprodukcijskog materijala usmjerena je na vrste drveća i </w:t>
            </w:r>
            <w:r>
              <w:rPr>
                <w:noProof/>
              </w:rPr>
              <w:t>ekotipove koji su prikladni za buduće predviđene klimatske uvjete u Rumunjskoj.</w:t>
            </w:r>
          </w:p>
        </w:tc>
      </w:tr>
    </w:tbl>
    <w:p w14:paraId="45CC930D" w14:textId="77777777" w:rsidR="003F46B9" w:rsidRDefault="003F46B9">
      <w:pPr>
        <w:spacing w:before="120" w:after="120" w:line="240" w:lineRule="auto"/>
        <w:ind w:left="709"/>
        <w:jc w:val="both"/>
        <w:rPr>
          <w:rFonts w:ascii="Times New Roman" w:hAnsi="Times New Roman" w:cs="Times New Roman"/>
          <w:noProof/>
          <w:sz w:val="24"/>
        </w:rPr>
      </w:pPr>
    </w:p>
    <w:p w14:paraId="54324279" w14:textId="77777777" w:rsidR="003F46B9" w:rsidRDefault="003F46B9">
      <w:pPr>
        <w:spacing w:before="120" w:after="120" w:line="240" w:lineRule="auto"/>
        <w:ind w:left="709"/>
        <w:jc w:val="both"/>
        <w:rPr>
          <w:rFonts w:ascii="Times New Roman" w:hAnsi="Times New Roman" w:cs="Times New Roman"/>
          <w:noProof/>
          <w:sz w:val="24"/>
        </w:rPr>
        <w:sectPr w:rsidR="003F46B9">
          <w:headerReference w:type="even" r:id="rId42"/>
          <w:headerReference w:type="default" r:id="rId43"/>
          <w:footerReference w:type="even" r:id="rId44"/>
          <w:footerReference w:type="default" r:id="rId45"/>
          <w:headerReference w:type="first" r:id="rId46"/>
          <w:footerReference w:type="first" r:id="rId47"/>
          <w:pgSz w:w="16839" w:h="11907" w:orient="landscape"/>
          <w:pgMar w:top="720" w:right="720" w:bottom="720" w:left="720" w:header="709" w:footer="709" w:gutter="0"/>
          <w:cols w:space="720"/>
          <w:docGrid w:linePitch="360"/>
        </w:sectPr>
      </w:pPr>
    </w:p>
    <w:p w14:paraId="272CF340" w14:textId="77777777" w:rsidR="003F46B9" w:rsidRDefault="0065662E">
      <w:pPr>
        <w:pStyle w:val="Heading2"/>
        <w:numPr>
          <w:ilvl w:val="0"/>
          <w:numId w:val="0"/>
        </w:numPr>
        <w:ind w:left="850"/>
        <w:rPr>
          <w:b w:val="0"/>
          <w:noProof/>
          <w:u w:val="single"/>
        </w:rPr>
      </w:pPr>
      <w:r>
        <w:rPr>
          <w:noProof/>
        </w:rPr>
        <w:t xml:space="preserve">B.3. </w:t>
      </w:r>
      <w:r>
        <w:rPr>
          <w:noProof/>
        </w:rPr>
        <w:tab/>
        <w:t xml:space="preserve">Opis reformi i ulaganja za zajam </w:t>
      </w:r>
    </w:p>
    <w:p w14:paraId="027CA92F" w14:textId="77777777" w:rsidR="003F46B9" w:rsidRDefault="0065662E">
      <w:pPr>
        <w:pStyle w:val="P68B1DB1-Standard6"/>
        <w:spacing w:before="240"/>
        <w:jc w:val="both"/>
        <w:rPr>
          <w:rFonts w:ascii="Times New Roman" w:eastAsiaTheme="majorEastAsia" w:hAnsi="Times New Roman" w:cs="Times New Roman"/>
          <w:noProof/>
        </w:rPr>
      </w:pPr>
      <w:r>
        <w:rPr>
          <w:noProof/>
        </w:rPr>
        <w:t>R</w:t>
      </w:r>
      <w:r>
        <w:rPr>
          <w:rFonts w:ascii="Times New Roman" w:hAnsi="Times New Roman"/>
          <w:noProof/>
        </w:rPr>
        <w:t>eobrazac 2. Reforma sustava upravljanja zaštićenim prirodnim područjima radi</w:t>
      </w:r>
      <w:r>
        <w:rPr>
          <w:rFonts w:ascii="Times New Roman" w:hAnsi="Times New Roman"/>
          <w:noProof/>
        </w:rPr>
        <w:t xml:space="preserve"> dosljedne i učinkovite provedbe Europske strategije za bioraznolikost</w:t>
      </w:r>
    </w:p>
    <w:p w14:paraId="037315C4" w14:textId="77777777" w:rsidR="003F46B9" w:rsidRDefault="0065662E">
      <w:pPr>
        <w:pStyle w:val="P68B1DB1-Normal5"/>
        <w:spacing w:before="120" w:after="120" w:line="240" w:lineRule="auto"/>
        <w:jc w:val="both"/>
        <w:rPr>
          <w:rFonts w:cs="Times New Roman"/>
          <w:noProof/>
        </w:rPr>
      </w:pPr>
      <w:r>
        <w:rPr>
          <w:noProof/>
        </w:rPr>
        <w:t>Cilj je te reforme operacionalizirati postojeći okvir za određivanje zaštićenih prirodnih područja, posebno uspostavom mehanizma za povezivanje zakonodavstva specifičnog za različite se</w:t>
      </w:r>
      <w:r>
        <w:rPr>
          <w:noProof/>
        </w:rPr>
        <w:t xml:space="preserve">ktore koji utječu na biološku raznolikost, a to su obrazovanje, poljoprivreda, šumarstvo, lov, turizam, prostorna organizacija, promet i energetika. </w:t>
      </w:r>
    </w:p>
    <w:p w14:paraId="7116C1B1" w14:textId="77777777" w:rsidR="003F46B9" w:rsidRDefault="0065662E">
      <w:pPr>
        <w:pStyle w:val="P68B1DB1-Normal5"/>
        <w:spacing w:before="120" w:after="120" w:line="240" w:lineRule="auto"/>
        <w:jc w:val="both"/>
        <w:rPr>
          <w:rFonts w:cs="Times New Roman"/>
          <w:noProof/>
        </w:rPr>
      </w:pPr>
      <w:r>
        <w:rPr>
          <w:noProof/>
        </w:rPr>
        <w:t xml:space="preserve">To se postiže donošenjem i stupanjem na snagu dvaju zakonodavnih akata: </w:t>
      </w:r>
    </w:p>
    <w:p w14:paraId="11118AB2" w14:textId="77777777" w:rsidR="003F46B9" w:rsidRDefault="0065662E">
      <w:pPr>
        <w:pStyle w:val="P68B1DB1-Normal5"/>
        <w:spacing w:before="120" w:after="120" w:line="240" w:lineRule="auto"/>
        <w:jc w:val="both"/>
        <w:rPr>
          <w:rFonts w:cs="Times New Roman"/>
          <w:noProof/>
        </w:rPr>
      </w:pPr>
      <w:r>
        <w:rPr>
          <w:noProof/>
        </w:rPr>
        <w:t>1. zakonodavni akt o osnivanju me</w:t>
      </w:r>
      <w:r>
        <w:rPr>
          <w:noProof/>
        </w:rPr>
        <w:t>đuinstitucijskog odbora za analizu pravnog okvira primjenjivog na sektore koji utječu na bioraznolikost te za izradu i promicanje prijedloga za izmjenu ili dopunu pravnog okvira s obzirom na ažurirane informacije o rasprostranjenosti i dinamici stanja očuv</w:t>
      </w:r>
      <w:r>
        <w:rPr>
          <w:noProof/>
        </w:rPr>
        <w:t>anosti vrsta i staništa (do 30. lipnja 2022.);</w:t>
      </w:r>
    </w:p>
    <w:p w14:paraId="69028C7A" w14:textId="77777777" w:rsidR="003F46B9" w:rsidRDefault="0065662E">
      <w:pPr>
        <w:pStyle w:val="P68B1DB1-Normal5"/>
        <w:spacing w:before="120" w:after="120" w:line="240" w:lineRule="auto"/>
        <w:jc w:val="both"/>
        <w:rPr>
          <w:rFonts w:cs="Times New Roman"/>
          <w:noProof/>
        </w:rPr>
      </w:pPr>
      <w:r>
        <w:rPr>
          <w:noProof/>
        </w:rPr>
        <w:t>2. zakonodavni akt kojim se mijenja pravni okvir koji se primjenjuje na sektore koji utječu na bioraznolikost kako bi se osiguralo da postojeći pravni okvir u različitim relevantnim sektorima ne utječe na prov</w:t>
      </w:r>
      <w:r>
        <w:rPr>
          <w:noProof/>
        </w:rPr>
        <w:t>edbu mjera očuvanja u planovima upravljanja zaštićenim prirodnim područjima niti je ograničava (do 30. lipnja 2025.). Zakonodavni akt temelji se na prijedlozima odbora osnovanog u skladu s točkom 1.</w:t>
      </w:r>
    </w:p>
    <w:p w14:paraId="21D41EE8"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2025.</w:t>
      </w:r>
    </w:p>
    <w:p w14:paraId="61B2640D" w14:textId="77777777" w:rsidR="003F46B9" w:rsidRDefault="003F46B9">
      <w:pPr>
        <w:spacing w:after="0" w:line="240" w:lineRule="auto"/>
        <w:jc w:val="both"/>
        <w:rPr>
          <w:rFonts w:ascii="Times New Roman" w:hAnsi="Times New Roman" w:cs="Times New Roman"/>
          <w:noProof/>
          <w:sz w:val="24"/>
        </w:rPr>
      </w:pPr>
    </w:p>
    <w:p w14:paraId="13B5224A" w14:textId="77777777" w:rsidR="003F46B9" w:rsidRDefault="0065662E">
      <w:pPr>
        <w:pStyle w:val="P68B1DB1-Standard6"/>
        <w:jc w:val="both"/>
        <w:rPr>
          <w:rFonts w:ascii="Times New Roman" w:eastAsiaTheme="majorEastAsia" w:hAnsi="Times New Roman" w:cs="Times New Roman"/>
          <w:noProof/>
        </w:rPr>
      </w:pPr>
      <w:r>
        <w:rPr>
          <w:noProof/>
        </w:rPr>
        <w:t>Ulaganje 3. Ažuriranje odobrenih planova upravljanja i utvrđivanje potencijalnih područja za strogu zaštitu prirodnih kopnenih i morskih staništa radi provedbe Strategije EU-a za bioraznolikost do 2030.</w:t>
      </w:r>
    </w:p>
    <w:p w14:paraId="26F12303" w14:textId="77777777" w:rsidR="003F46B9" w:rsidRDefault="0065662E">
      <w:pPr>
        <w:pStyle w:val="P68B1DB1-Normal5"/>
        <w:spacing w:before="120" w:after="120" w:line="240" w:lineRule="auto"/>
        <w:jc w:val="both"/>
        <w:rPr>
          <w:rFonts w:cs="Times New Roman"/>
          <w:noProof/>
        </w:rPr>
      </w:pPr>
      <w:r>
        <w:rPr>
          <w:noProof/>
        </w:rPr>
        <w:t>Ulaganje se sastoji od dvaju podulaganja.</w:t>
      </w:r>
    </w:p>
    <w:p w14:paraId="0BD8F16D" w14:textId="67A3EE05" w:rsidR="003F46B9" w:rsidRDefault="0065662E">
      <w:pPr>
        <w:pStyle w:val="P68B1DB1-Normal5"/>
        <w:spacing w:before="120" w:after="120" w:line="240" w:lineRule="auto"/>
        <w:jc w:val="both"/>
        <w:rPr>
          <w:rFonts w:cs="Times New Roman"/>
          <w:noProof/>
        </w:rPr>
      </w:pPr>
      <w:r>
        <w:rPr>
          <w:noProof/>
        </w:rPr>
        <w:t>Cilj je prv</w:t>
      </w:r>
      <w:r>
        <w:rPr>
          <w:noProof/>
        </w:rPr>
        <w:t xml:space="preserve">og podulaganja (Ulaganje 3.1.) ažurirati odobrene planove upravljanja. Cilj je drugog podulaganja (Ulaganje 3.2.) utvrditi potencijalna područja za strogu zaštitu u skladu sa Strategijom EU-a za bioraznolikost do 2030. </w:t>
      </w:r>
    </w:p>
    <w:p w14:paraId="1CB29314" w14:textId="77777777" w:rsidR="003F46B9" w:rsidRDefault="0065662E">
      <w:pPr>
        <w:pStyle w:val="P68B1DB1-Normal5"/>
        <w:spacing w:before="120" w:after="120" w:line="240" w:lineRule="auto"/>
        <w:jc w:val="both"/>
        <w:rPr>
          <w:rFonts w:cs="Times New Roman"/>
          <w:noProof/>
        </w:rPr>
      </w:pPr>
      <w:r>
        <w:rPr>
          <w:noProof/>
        </w:rPr>
        <w:t>Kad je riječ o ažuriranju postojećih</w:t>
      </w:r>
      <w:r>
        <w:rPr>
          <w:noProof/>
        </w:rPr>
        <w:t xml:space="preserve"> planova upravljanja, kao rezultat ulaganja najmanje 250 planova upravljanja zaštićenim prirodnim područjima preispituje se i ažurira u skladu sa zakonodavstvom EU-a do 30. lipnja 2026. </w:t>
      </w:r>
    </w:p>
    <w:p w14:paraId="09C12DC0" w14:textId="77777777" w:rsidR="003F46B9" w:rsidRDefault="0065662E">
      <w:pPr>
        <w:pStyle w:val="P68B1DB1-Normal5"/>
        <w:spacing w:before="120" w:after="120" w:line="240" w:lineRule="auto"/>
        <w:jc w:val="both"/>
        <w:rPr>
          <w:rFonts w:cs="Times New Roman"/>
          <w:noProof/>
        </w:rPr>
      </w:pPr>
      <w:r>
        <w:rPr>
          <w:noProof/>
        </w:rPr>
        <w:t xml:space="preserve">Provedba tog podulaganja mora biti dovršena do 30. lipnja 2026. </w:t>
      </w:r>
    </w:p>
    <w:p w14:paraId="5304DD2A" w14:textId="77777777" w:rsidR="003F46B9" w:rsidRDefault="0065662E">
      <w:pPr>
        <w:pStyle w:val="P68B1DB1-Normal5"/>
        <w:spacing w:before="120" w:after="120" w:line="240" w:lineRule="auto"/>
        <w:jc w:val="both"/>
        <w:rPr>
          <w:rFonts w:cs="Times New Roman"/>
          <w:noProof/>
        </w:rPr>
      </w:pPr>
      <w:r>
        <w:rPr>
          <w:noProof/>
        </w:rPr>
        <w:t xml:space="preserve">Što </w:t>
      </w:r>
      <w:r>
        <w:rPr>
          <w:noProof/>
        </w:rPr>
        <w:t>se tiče strogo zaštićenih područja, donose se i stupaju na snagu dva zakonodavna akta: 1. zakonodavni akt za određivanje strogo zaštićenih područja utvrđenih u zaštićenim područjima mreže Natura 2000 s postojećim planovima upravljanja ili uključujući prima</w:t>
      </w:r>
      <w:r>
        <w:rPr>
          <w:noProof/>
        </w:rPr>
        <w:t xml:space="preserve">rne šume i šume starog rasta (do 31. prosinca 2023.); i 2. zakonodavni akt za određivanje strogo zaštićenih područja utvrđenih u zaštićenim područjima mreže Natura 2000 bez postojećih planova upravljanja i u drugim područjima (do 31. prosinca 2025.). </w:t>
      </w:r>
    </w:p>
    <w:p w14:paraId="7CA579DB" w14:textId="77777777" w:rsidR="003F46B9" w:rsidRDefault="0065662E">
      <w:pPr>
        <w:pStyle w:val="P68B1DB1-Normal5"/>
        <w:spacing w:before="120" w:after="120" w:line="240" w:lineRule="auto"/>
        <w:jc w:val="both"/>
        <w:rPr>
          <w:rFonts w:cs="Times New Roman"/>
          <w:noProof/>
        </w:rPr>
      </w:pPr>
      <w:r>
        <w:rPr>
          <w:noProof/>
        </w:rPr>
        <w:t>Prov</w:t>
      </w:r>
      <w:r>
        <w:rPr>
          <w:noProof/>
        </w:rPr>
        <w:t xml:space="preserve">edba tog podulaganja mora biti dovršena do 31. prosinca 2025. </w:t>
      </w:r>
    </w:p>
    <w:p w14:paraId="7340D272"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4. Integrirana ulaganja u ekološku obnovu staništa i očuvanje vrsta povezanih s livadama, vodenim područjima i područjima ovisnima o vodi </w:t>
      </w:r>
    </w:p>
    <w:p w14:paraId="18D6646A" w14:textId="77777777" w:rsidR="003F46B9" w:rsidRDefault="0065662E">
      <w:pPr>
        <w:pStyle w:val="P68B1DB1-Normal5"/>
        <w:spacing w:before="120" w:after="120" w:line="240" w:lineRule="auto"/>
        <w:jc w:val="both"/>
        <w:rPr>
          <w:rFonts w:cs="Times New Roman"/>
          <w:noProof/>
        </w:rPr>
      </w:pPr>
      <w:r>
        <w:rPr>
          <w:noProof/>
        </w:rPr>
        <w:t xml:space="preserve">To ulaganje sastoji se od pet podulaganja. </w:t>
      </w:r>
    </w:p>
    <w:p w14:paraId="73D6F9DE" w14:textId="77777777" w:rsidR="003F46B9" w:rsidRDefault="0065662E">
      <w:pPr>
        <w:pStyle w:val="P68B1DB1-Normal5"/>
        <w:spacing w:before="120" w:after="120" w:line="240" w:lineRule="auto"/>
        <w:jc w:val="both"/>
        <w:rPr>
          <w:rFonts w:cs="Times New Roman"/>
          <w:noProof/>
        </w:rPr>
      </w:pPr>
      <w:r>
        <w:rPr>
          <w:noProof/>
        </w:rPr>
        <w:t>C</w:t>
      </w:r>
      <w:r>
        <w:rPr>
          <w:noProof/>
        </w:rPr>
        <w:t>ilj je prvog podulaganja (Ulaganje 4.1.) obnoviti povezanost vodotoka uklanjanjem prepreka u vodotocima i time pridonijeti obnovi lateralne povezanosti vodenih staništa i vrsta ovisnih o vodi, u skladu s primjenjivim planovima upravljanja zaštićenim prirod</w:t>
      </w:r>
      <w:r>
        <w:rPr>
          <w:noProof/>
        </w:rPr>
        <w:t xml:space="preserve">nim područjima. Kao rezultat tog podulaganja obnovit će se povezanost 1 700 ha obalnih staništa. </w:t>
      </w:r>
    </w:p>
    <w:p w14:paraId="193C9ECE" w14:textId="77777777" w:rsidR="003F46B9" w:rsidRDefault="0065662E">
      <w:pPr>
        <w:pStyle w:val="P68B1DB1-Normal5"/>
        <w:spacing w:before="120" w:after="120" w:line="240" w:lineRule="auto"/>
        <w:jc w:val="both"/>
        <w:rPr>
          <w:rFonts w:cs="Times New Roman"/>
          <w:noProof/>
        </w:rPr>
      </w:pPr>
      <w:r>
        <w:rPr>
          <w:noProof/>
        </w:rPr>
        <w:t xml:space="preserve">Provedba tog podulaganja mora biti dovršena do 30. lipnja 2026. </w:t>
      </w:r>
    </w:p>
    <w:p w14:paraId="45A500B4" w14:textId="77777777" w:rsidR="003F46B9" w:rsidRDefault="0065662E">
      <w:pPr>
        <w:pStyle w:val="P68B1DB1-Normal5"/>
        <w:spacing w:before="120" w:after="120" w:line="240" w:lineRule="auto"/>
        <w:jc w:val="both"/>
        <w:rPr>
          <w:rFonts w:cs="Times New Roman"/>
          <w:noProof/>
        </w:rPr>
      </w:pPr>
      <w:r>
        <w:rPr>
          <w:noProof/>
        </w:rPr>
        <w:t xml:space="preserve">Drugo podulaganje (Ulaganje 4.2.) usmjereno je na obnovu staništa travnjaka u zaštićenim prirodnim područjima. Kao rezultat tog podulaganja ekološki se obnavlja najmanje 2 800 ha travnjačkih staništa. </w:t>
      </w:r>
    </w:p>
    <w:p w14:paraId="6618D83F" w14:textId="77777777" w:rsidR="003F46B9" w:rsidRDefault="0065662E">
      <w:pPr>
        <w:pStyle w:val="P68B1DB1-Normal5"/>
        <w:spacing w:before="120" w:after="120" w:line="240" w:lineRule="auto"/>
        <w:jc w:val="both"/>
        <w:rPr>
          <w:rFonts w:cs="Times New Roman"/>
          <w:noProof/>
        </w:rPr>
      </w:pPr>
      <w:r>
        <w:rPr>
          <w:noProof/>
        </w:rPr>
        <w:t>Provedba tog podulaganja mora biti dovršena do 30. lip</w:t>
      </w:r>
      <w:r>
        <w:rPr>
          <w:noProof/>
        </w:rPr>
        <w:t xml:space="preserve">nja 2026. </w:t>
      </w:r>
    </w:p>
    <w:p w14:paraId="622CE770" w14:textId="77777777" w:rsidR="003F46B9" w:rsidRDefault="0065662E">
      <w:pPr>
        <w:pStyle w:val="P68B1DB1-Normal5"/>
        <w:spacing w:before="120" w:after="120" w:line="240" w:lineRule="auto"/>
        <w:jc w:val="both"/>
        <w:rPr>
          <w:rFonts w:cs="Times New Roman"/>
          <w:noProof/>
        </w:rPr>
      </w:pPr>
      <w:r>
        <w:rPr>
          <w:noProof/>
        </w:rPr>
        <w:t>Cilj je trećeg podulaganja (Ulaganje 4.3.) smanjiti eutrofikaciju i održati biološku raznolikost jezera delte Dunava. Mjere koje će biti obuhvaćene ovim potinvestiranjem uključuju regulaciju vodostaja u dvama jezerima, osmišljavanje i postizanje</w:t>
      </w:r>
      <w:r>
        <w:rPr>
          <w:noProof/>
        </w:rPr>
        <w:t xml:space="preserve"> optimalnog profila granica jezera, dekolorizaciju, konsolidaciju banaka, radove održavanja, sječu za obnovu vegetacije i drveća u perimetru, uklanjanje drva i plaža koje zaklanjaju protok vode i potiču taloženje, praćenje vrsta i staništa na tom području </w:t>
      </w:r>
      <w:r>
        <w:rPr>
          <w:noProof/>
        </w:rPr>
        <w:t>te manje radove otjecanja radi optimalnog protoka vode. Kao rezultat tog podulaganja najmanje 100 ha područja jezera mora imati koristi od uklanjanja vodenog bilja na temelju ažurirane studije izvedivosti (lipanj 2021.).</w:t>
      </w:r>
    </w:p>
    <w:p w14:paraId="6FB7ABDF" w14:textId="77777777" w:rsidR="003F46B9" w:rsidRDefault="0065662E">
      <w:pPr>
        <w:pStyle w:val="P68B1DB1-Normal5"/>
        <w:spacing w:before="120" w:after="120" w:line="240" w:lineRule="auto"/>
        <w:jc w:val="both"/>
        <w:rPr>
          <w:rFonts w:cs="Times New Roman"/>
          <w:noProof/>
        </w:rPr>
      </w:pPr>
      <w:r>
        <w:rPr>
          <w:noProof/>
        </w:rPr>
        <w:t>Provedba tog ulaganja mora biti dov</w:t>
      </w:r>
      <w:r>
        <w:rPr>
          <w:noProof/>
        </w:rPr>
        <w:t xml:space="preserve">ršena do 30. lipnja 2026. </w:t>
      </w:r>
    </w:p>
    <w:p w14:paraId="74497156" w14:textId="5940F242" w:rsidR="003F46B9" w:rsidRDefault="0065662E">
      <w:pPr>
        <w:pStyle w:val="P68B1DB1-Normal5"/>
        <w:spacing w:before="120" w:after="120" w:line="240" w:lineRule="auto"/>
        <w:jc w:val="both"/>
        <w:rPr>
          <w:rFonts w:cs="Times New Roman"/>
          <w:noProof/>
        </w:rPr>
      </w:pPr>
      <w:r>
        <w:rPr>
          <w:noProof/>
        </w:rPr>
        <w:t>Cilj je četvrtog podulaganja (Ulaganje 4.4.) razviti sustav praćenja divljih jesetre duž donjeg Dunava (1 500 km) u kombinaciji s umjetnom inteligencijom kako bi se suzbio krivolov. Kao rezultat tog podulaganja, mreža za praćenje</w:t>
      </w:r>
      <w:r>
        <w:rPr>
          <w:noProof/>
        </w:rPr>
        <w:t>, komunikaciju i prijenos podataka o divljim jesetrima postaje operativna. Očekuje se da to podulaganje ne nanosi bitnu štetu okolišnim ciljevima u smislu članka 17. Uredbe (EU) 2020/852, uzimajući u obzir opis mjere i korake za ublažavanje utvrđene u plan</w:t>
      </w:r>
      <w:r>
        <w:rPr>
          <w:noProof/>
        </w:rPr>
        <w:t>u za oporavak i otpornost u skladu s Tehničkim smjernicama o primjeni načela nenanošenja bitne štete (2021/C58/01). Konkretno, vozila koja se kupuju moraju imati specifične emisije CO2, kako su definirane u članku 3. stavku 1. točki (h) Uredbe (EU) 2019/63</w:t>
      </w:r>
      <w:r>
        <w:rPr>
          <w:noProof/>
        </w:rPr>
        <w:t xml:space="preserve">1, koje su niže od 50 g CO2/km. Mjerni brodovi koji se kupuju moraju odgovarati najboljoj dostupnoj tehnologiji sa stajališta okoliša. </w:t>
      </w:r>
    </w:p>
    <w:p w14:paraId="408DDCAA" w14:textId="2B9AA45F" w:rsidR="003F46B9" w:rsidRDefault="0065662E">
      <w:pPr>
        <w:pStyle w:val="P68B1DB1-Normal5"/>
        <w:spacing w:before="120" w:after="120" w:line="240" w:lineRule="auto"/>
        <w:jc w:val="both"/>
        <w:rPr>
          <w:rFonts w:cs="Times New Roman"/>
          <w:noProof/>
        </w:rPr>
      </w:pPr>
      <w:r>
        <w:rPr>
          <w:noProof/>
        </w:rPr>
        <w:t xml:space="preserve">Provedba tog podulaganja mora biti dovršena do 30. rujna 2025. </w:t>
      </w:r>
    </w:p>
    <w:p w14:paraId="1D57394E" w14:textId="77777777" w:rsidR="003F46B9" w:rsidRDefault="0065662E">
      <w:pPr>
        <w:pStyle w:val="P68B1DB1-Normal5"/>
        <w:spacing w:before="120" w:after="120" w:line="240" w:lineRule="auto"/>
        <w:jc w:val="both"/>
        <w:rPr>
          <w:rFonts w:cs="Times New Roman"/>
          <w:noProof/>
        </w:rPr>
      </w:pPr>
      <w:r>
        <w:rPr>
          <w:noProof/>
        </w:rPr>
        <w:t>Naposljetku, cilj petog podulaganja (Ulaganje 4.5.) jest</w:t>
      </w:r>
      <w:r>
        <w:rPr>
          <w:noProof/>
        </w:rPr>
        <w:t xml:space="preserve"> modernizirati javni pristup delti Dunava i infrastrukturu za posjetitelje kako bi se smanjio pritisak na staništa i vrste. Kao rezultat tog podulaganja, izgradit će se 10 gostujućih centara s ciljem ublažavanja pritiska turizma na staništa usmjeravanjem i</w:t>
      </w:r>
      <w:r>
        <w:rPr>
          <w:noProof/>
        </w:rPr>
        <w:t xml:space="preserve"> praćenjem turističkih tokova prema mreži od 10 gostujućih centara povezanih s 40 točaka za promatranje koje su primjereno opremljene za potrebe svih kategorija posjetitelja. U izgradnji gostujućih centara upotrebljavaju se tehnologije prihvatljive za okol</w:t>
      </w:r>
      <w:r>
        <w:rPr>
          <w:noProof/>
        </w:rPr>
        <w:t xml:space="preserve">iš, pristupi utemeljeni na ekosustavu i materijali na tradicionalan način za arhitekturu zajednice delte Dunava. </w:t>
      </w:r>
    </w:p>
    <w:p w14:paraId="363E2D1E" w14:textId="77777777" w:rsidR="003F46B9" w:rsidRDefault="0065662E">
      <w:pPr>
        <w:pStyle w:val="P68B1DB1-Normal5"/>
        <w:spacing w:before="120" w:after="120" w:line="240" w:lineRule="auto"/>
        <w:jc w:val="both"/>
        <w:rPr>
          <w:rFonts w:cs="Times New Roman"/>
          <w:noProof/>
        </w:rPr>
      </w:pPr>
      <w:r>
        <w:rPr>
          <w:noProof/>
        </w:rPr>
        <w:t xml:space="preserve">Provedba tog podulaganja mora biti dovršena do 30. lipnja 2026. </w:t>
      </w:r>
    </w:p>
    <w:p w14:paraId="0A55B231"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Integrirani sustavi za ublažavanje rizika od poplava u šumskim ri</w:t>
      </w:r>
      <w:r>
        <w:rPr>
          <w:noProof/>
        </w:rPr>
        <w:t xml:space="preserve">ječnim slivovima </w:t>
      </w:r>
    </w:p>
    <w:p w14:paraId="14A1B08F" w14:textId="77777777" w:rsidR="003F46B9" w:rsidRDefault="0065662E">
      <w:pPr>
        <w:pStyle w:val="P68B1DB1-Normal5"/>
        <w:spacing w:before="120" w:after="120" w:line="240" w:lineRule="auto"/>
        <w:jc w:val="both"/>
        <w:rPr>
          <w:rFonts w:cs="Times New Roman"/>
          <w:noProof/>
        </w:rPr>
      </w:pPr>
      <w:r>
        <w:rPr>
          <w:noProof/>
        </w:rPr>
        <w:t xml:space="preserve">Cilj je ulaganja smanjiti rizik od poplava kako bi se zaštitili ljudi, infrastruktura i društveno-gospodarski ciljevi u rizičnim područjima te zaštitili okoliš i bioraznolikost odgovarajućim mjerama zaštite okoliša, posebno onima koje se </w:t>
      </w:r>
      <w:r>
        <w:rPr>
          <w:noProof/>
        </w:rPr>
        <w:t>odnose na osiguravanje migracije riba i osiguravanje ekološkog toka.</w:t>
      </w:r>
    </w:p>
    <w:p w14:paraId="19FF1E9D" w14:textId="77777777" w:rsidR="003F46B9" w:rsidRDefault="0065662E">
      <w:pPr>
        <w:pStyle w:val="P68B1DB1-Normal5"/>
        <w:spacing w:before="120" w:after="120" w:line="240" w:lineRule="auto"/>
        <w:jc w:val="both"/>
        <w:rPr>
          <w:rFonts w:cs="Times New Roman"/>
          <w:noProof/>
        </w:rPr>
      </w:pPr>
      <w:r>
        <w:rPr>
          <w:noProof/>
        </w:rPr>
        <w:t>Ulaganje se provodi u dva koraka:</w:t>
      </w:r>
    </w:p>
    <w:p w14:paraId="6B463D81" w14:textId="77777777" w:rsidR="003F46B9" w:rsidRDefault="0065662E">
      <w:pPr>
        <w:pStyle w:val="P68B1DB1-Normal5"/>
        <w:spacing w:before="120" w:after="120" w:line="240" w:lineRule="auto"/>
        <w:ind w:left="850"/>
        <w:jc w:val="both"/>
        <w:rPr>
          <w:rFonts w:cs="Times New Roman"/>
          <w:noProof/>
        </w:rPr>
      </w:pPr>
      <w:r>
        <w:rPr>
          <w:noProof/>
        </w:rPr>
        <w:t xml:space="preserve">(1) donošenje nacrta projekta modernizacije zaštite od poplava, koji uključuje: (i) obnova najmanje 6 oštećenih aluvijijskih retencijskih struktura radi </w:t>
      </w:r>
      <w:r>
        <w:rPr>
          <w:noProof/>
        </w:rPr>
        <w:t>postavljanja uzdužnih mjera (ribarske ljestve prema potrebi i ekološki protok); ii. izgradnja najmanje 30 novih aluvijalnih struktura, uključujući riblje ljestve i ekološki protok, s najvećom visinom od 5 m; obnova najmanje 4 ha zemljišta ponovnim pošumlja</w:t>
      </w:r>
      <w:r>
        <w:rPr>
          <w:noProof/>
        </w:rPr>
        <w:t>vanjem, korjenjem ili izgradnjom ograda za širinu; i iv. obnova najmanje 30 km torrentnog dna. Provedba tog koraka mora biti dovršena do 31. ožujka 2023.</w:t>
      </w:r>
    </w:p>
    <w:p w14:paraId="00B28137" w14:textId="77777777" w:rsidR="003F46B9" w:rsidRDefault="0065662E">
      <w:pPr>
        <w:pStyle w:val="P68B1DB1-Normal5"/>
        <w:spacing w:before="120" w:after="120" w:line="240" w:lineRule="auto"/>
        <w:ind w:left="850"/>
        <w:jc w:val="both"/>
        <w:rPr>
          <w:rFonts w:cs="Times New Roman"/>
          <w:noProof/>
        </w:rPr>
      </w:pPr>
      <w:r>
        <w:rPr>
          <w:noProof/>
        </w:rPr>
        <w:t xml:space="preserve">(2) završetak radova modernizacije zaštite od poplava na temelju projekta donesenog u skladu s točkom </w:t>
      </w:r>
      <w:r>
        <w:rPr>
          <w:noProof/>
        </w:rPr>
        <w:t xml:space="preserve">1. Provedba tog koraka mora biti dovršena do 30. lipnja 2026. </w:t>
      </w:r>
    </w:p>
    <w:p w14:paraId="5B13DE7D" w14:textId="77777777" w:rsidR="003F46B9" w:rsidRDefault="0065662E">
      <w:pPr>
        <w:pStyle w:val="P68B1DB1-Normal5"/>
        <w:spacing w:before="120" w:after="120" w:line="240" w:lineRule="auto"/>
        <w:jc w:val="both"/>
        <w:rPr>
          <w:rFonts w:cs="Times New Roman"/>
          <w:noProof/>
        </w:rPr>
      </w:pPr>
      <w:r>
        <w:rPr>
          <w:noProof/>
        </w:rPr>
        <w:t xml:space="preserve">Sve mjere utvrđene u okviru procjene u skladu s Direktivom 2000/60/EZ (Okvirna direktiva o vodama) koje su potrebne kako bi se osigurala usklađenost s Tehničkim smjernicama o nenanošenju bitne </w:t>
      </w:r>
      <w:r>
        <w:rPr>
          <w:noProof/>
        </w:rPr>
        <w:t>štete (2021/C58/01) uključuju se u projekt projekta i strogo se poštuju u svim fazama izgradnje, modernizacije, rada i stavljanja izvan pogona. Mora se izbjegavati pogoršanje ekološkog stanja zahvaćenih vodnih tijela, a mjerom se ne smije spriječiti pobolj</w:t>
      </w:r>
      <w:r>
        <w:rPr>
          <w:noProof/>
        </w:rPr>
        <w:t>šanje ekološkog stanja ili potencijala zahvaćenih vodnih tijela.</w:t>
      </w:r>
    </w:p>
    <w:p w14:paraId="244B5481"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lipnja 2026. </w:t>
      </w:r>
    </w:p>
    <w:p w14:paraId="78F597CD"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48"/>
          <w:headerReference w:type="default" r:id="rId49"/>
          <w:footerReference w:type="even" r:id="rId50"/>
          <w:footerReference w:type="default" r:id="rId51"/>
          <w:headerReference w:type="first" r:id="rId52"/>
          <w:footerReference w:type="first" r:id="rId53"/>
          <w:pgSz w:w="11907" w:h="16839"/>
          <w:pgMar w:top="1134" w:right="1417" w:bottom="1134" w:left="1417" w:header="709" w:footer="709" w:gutter="0"/>
          <w:cols w:space="720"/>
          <w:docGrid w:linePitch="360"/>
        </w:sectPr>
      </w:pPr>
    </w:p>
    <w:p w14:paraId="00CD837F"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B.4. </w:t>
      </w:r>
      <w:r>
        <w:rPr>
          <w:noProof/>
        </w:rPr>
        <w:tab/>
      </w:r>
      <w:r>
        <w:rPr>
          <w:rFonts w:ascii="Times New Roman" w:hAnsi="Times New Roman"/>
          <w:b/>
          <w:noProof/>
          <w:sz w:val="24"/>
        </w:rPr>
        <w:t xml:space="preserve">Ključne etape, ciljne vrijednosti, pokazatelji i vremenski raspored za </w:t>
      </w:r>
      <w:r>
        <w:rPr>
          <w:rFonts w:ascii="Times New Roman" w:hAnsi="Times New Roman"/>
          <w:b/>
          <w:noProof/>
          <w:sz w:val="24"/>
        </w:rPr>
        <w:t>praćenje i provedbu zajma</w:t>
      </w:r>
    </w:p>
    <w:tbl>
      <w:tblPr>
        <w:tblW w:w="15502" w:type="dxa"/>
        <w:jc w:val="center"/>
        <w:tblLayout w:type="fixed"/>
        <w:tblLook w:val="04A0" w:firstRow="1" w:lastRow="0" w:firstColumn="1" w:lastColumn="0" w:noHBand="0" w:noVBand="1"/>
      </w:tblPr>
      <w:tblGrid>
        <w:gridCol w:w="809"/>
        <w:gridCol w:w="1892"/>
        <w:gridCol w:w="1224"/>
        <w:gridCol w:w="1632"/>
        <w:gridCol w:w="1757"/>
        <w:gridCol w:w="1087"/>
        <w:gridCol w:w="1356"/>
        <w:gridCol w:w="818"/>
        <w:gridCol w:w="1087"/>
        <w:gridCol w:w="819"/>
        <w:gridCol w:w="3021"/>
      </w:tblGrid>
      <w:tr w:rsidR="003F46B9" w14:paraId="3199868A" w14:textId="77777777">
        <w:trPr>
          <w:trHeight w:val="939"/>
          <w:tblHeader/>
          <w:jc w:val="center"/>
        </w:trPr>
        <w:tc>
          <w:tcPr>
            <w:tcW w:w="83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73A4187"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98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F0C032"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0A0F89"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02DEA5"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246517" w14:textId="704BE2C1"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446F4A7" w14:textId="01C1837D"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1248794" w14:textId="77777777" w:rsidR="003F46B9" w:rsidRDefault="0065662E">
            <w:pPr>
              <w:pStyle w:val="P68B1DB1-Normal1"/>
              <w:spacing w:after="0" w:line="240" w:lineRule="auto"/>
              <w:jc w:val="center"/>
              <w:rPr>
                <w:rFonts w:eastAsia="Times New Roman" w:cs="Times New Roman"/>
                <w:noProof/>
              </w:rPr>
            </w:pPr>
            <w:r>
              <w:rPr>
                <w:noProof/>
              </w:rPr>
              <w:t xml:space="preserve">Okvirni vremenski okvir za dovršetak </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721B99" w14:textId="77777777" w:rsidR="003F46B9" w:rsidRDefault="0065662E">
            <w:pPr>
              <w:pStyle w:val="P68B1DB1-Normal1"/>
              <w:spacing w:after="0" w:line="240" w:lineRule="auto"/>
              <w:jc w:val="center"/>
              <w:rPr>
                <w:rFonts w:eastAsia="Times New Roman" w:cs="Times New Roman"/>
                <w:noProof/>
              </w:rPr>
            </w:pPr>
            <w:r>
              <w:rPr>
                <w:noProof/>
              </w:rPr>
              <w:t>Opis svake ključne et</w:t>
            </w:r>
            <w:r>
              <w:rPr>
                <w:noProof/>
              </w:rPr>
              <w:t>ape i ciljne vrijednosti</w:t>
            </w:r>
          </w:p>
        </w:tc>
      </w:tr>
      <w:tr w:rsidR="003F46B9" w14:paraId="0D3F1545" w14:textId="77777777">
        <w:trPr>
          <w:trHeight w:val="1027"/>
          <w:tblHeader/>
          <w:jc w:val="center"/>
        </w:trPr>
        <w:tc>
          <w:tcPr>
            <w:tcW w:w="839" w:type="dxa"/>
            <w:vMerge/>
            <w:tcBorders>
              <w:top w:val="single" w:sz="4" w:space="0" w:color="auto"/>
              <w:left w:val="single" w:sz="4" w:space="0" w:color="auto"/>
              <w:bottom w:val="single" w:sz="4" w:space="0" w:color="auto"/>
              <w:right w:val="single" w:sz="4" w:space="0" w:color="auto"/>
            </w:tcBorders>
            <w:hideMark/>
          </w:tcPr>
          <w:p w14:paraId="69CB1A52" w14:textId="77777777" w:rsidR="003F46B9" w:rsidRDefault="003F46B9">
            <w:pPr>
              <w:spacing w:after="0" w:line="240" w:lineRule="auto"/>
              <w:jc w:val="center"/>
              <w:rPr>
                <w:rFonts w:ascii="Times New Roman" w:eastAsia="Times New Roman" w:hAnsi="Times New Roman" w:cs="Times New Roman"/>
                <w:b/>
                <w:noProof/>
                <w:sz w:val="24"/>
              </w:rPr>
            </w:pPr>
          </w:p>
        </w:tc>
        <w:tc>
          <w:tcPr>
            <w:tcW w:w="1983" w:type="dxa"/>
            <w:vMerge/>
            <w:tcBorders>
              <w:top w:val="single" w:sz="4" w:space="0" w:color="auto"/>
              <w:left w:val="single" w:sz="4" w:space="0" w:color="auto"/>
              <w:bottom w:val="single" w:sz="4" w:space="0" w:color="auto"/>
              <w:right w:val="single" w:sz="4" w:space="0" w:color="auto"/>
            </w:tcBorders>
            <w:hideMark/>
          </w:tcPr>
          <w:p w14:paraId="2FBDB2DA" w14:textId="77777777" w:rsidR="003F46B9" w:rsidRDefault="003F46B9">
            <w:pPr>
              <w:spacing w:after="0" w:line="240" w:lineRule="auto"/>
              <w:jc w:val="both"/>
              <w:rPr>
                <w:rFonts w:ascii="Times New Roman" w:eastAsia="Times New Roman" w:hAnsi="Times New Roman" w:cs="Times New Roman"/>
                <w:b/>
                <w:noProof/>
                <w:sz w:val="24"/>
              </w:rPr>
            </w:pPr>
          </w:p>
        </w:tc>
        <w:tc>
          <w:tcPr>
            <w:tcW w:w="1278" w:type="dxa"/>
            <w:vMerge/>
            <w:tcBorders>
              <w:top w:val="single" w:sz="4" w:space="0" w:color="auto"/>
              <w:left w:val="single" w:sz="4" w:space="0" w:color="auto"/>
              <w:bottom w:val="single" w:sz="4" w:space="0" w:color="auto"/>
              <w:right w:val="single" w:sz="4" w:space="0" w:color="auto"/>
            </w:tcBorders>
            <w:hideMark/>
          </w:tcPr>
          <w:p w14:paraId="1B8320BA" w14:textId="77777777" w:rsidR="003F46B9" w:rsidRDefault="003F46B9">
            <w:pPr>
              <w:spacing w:after="0" w:line="240" w:lineRule="auto"/>
              <w:jc w:val="center"/>
              <w:rPr>
                <w:rFonts w:ascii="Times New Roman" w:eastAsia="Times New Roman" w:hAnsi="Times New Roman" w:cs="Times New Roman"/>
                <w:b/>
                <w:noProof/>
                <w:sz w:val="24"/>
              </w:rPr>
            </w:pPr>
          </w:p>
        </w:tc>
        <w:tc>
          <w:tcPr>
            <w:tcW w:w="1709" w:type="dxa"/>
            <w:vMerge/>
            <w:tcBorders>
              <w:top w:val="single" w:sz="4" w:space="0" w:color="auto"/>
              <w:left w:val="single" w:sz="4" w:space="0" w:color="auto"/>
              <w:bottom w:val="single" w:sz="4" w:space="0" w:color="auto"/>
              <w:right w:val="single" w:sz="4" w:space="0" w:color="auto"/>
            </w:tcBorders>
            <w:hideMark/>
          </w:tcPr>
          <w:p w14:paraId="108B36A5" w14:textId="77777777" w:rsidR="003F46B9" w:rsidRDefault="003F46B9">
            <w:pPr>
              <w:spacing w:after="0" w:line="240" w:lineRule="auto"/>
              <w:jc w:val="both"/>
              <w:rPr>
                <w:rFonts w:ascii="Times New Roman" w:eastAsia="Times New Roman" w:hAnsi="Times New Roman" w:cs="Times New Roman"/>
                <w:b/>
                <w:noProof/>
                <w:sz w:val="24"/>
              </w:rPr>
            </w:pPr>
          </w:p>
        </w:tc>
        <w:tc>
          <w:tcPr>
            <w:tcW w:w="1841" w:type="dxa"/>
            <w:vMerge/>
            <w:tcBorders>
              <w:top w:val="single" w:sz="4" w:space="0" w:color="auto"/>
              <w:left w:val="single" w:sz="4" w:space="0" w:color="auto"/>
              <w:bottom w:val="single" w:sz="4" w:space="0" w:color="auto"/>
              <w:right w:val="single" w:sz="4" w:space="0" w:color="auto"/>
            </w:tcBorders>
            <w:hideMark/>
          </w:tcPr>
          <w:p w14:paraId="47BC1ED3" w14:textId="77777777" w:rsidR="003F46B9" w:rsidRDefault="003F46B9">
            <w:pPr>
              <w:spacing w:after="0" w:line="240" w:lineRule="auto"/>
              <w:jc w:val="both"/>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F7580D"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4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9F9A492" w14:textId="77777777"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92B3134"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0B92A0"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C04CBD6"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174" w:type="dxa"/>
            <w:vMerge/>
            <w:tcBorders>
              <w:top w:val="single" w:sz="4" w:space="0" w:color="auto"/>
              <w:bottom w:val="single" w:sz="4" w:space="0" w:color="auto"/>
              <w:right w:val="single" w:sz="4" w:space="0" w:color="auto"/>
            </w:tcBorders>
            <w:hideMark/>
          </w:tcPr>
          <w:p w14:paraId="2F0C7DB3" w14:textId="77777777" w:rsidR="003F46B9" w:rsidRDefault="003F46B9">
            <w:pPr>
              <w:spacing w:after="0" w:line="240" w:lineRule="auto"/>
              <w:jc w:val="center"/>
              <w:rPr>
                <w:rFonts w:ascii="Times New Roman" w:eastAsia="Times New Roman" w:hAnsi="Times New Roman" w:cs="Times New Roman"/>
                <w:b/>
                <w:noProof/>
                <w:sz w:val="24"/>
              </w:rPr>
            </w:pPr>
          </w:p>
        </w:tc>
      </w:tr>
      <w:tr w:rsidR="003F46B9" w14:paraId="47A191A9" w14:textId="77777777">
        <w:trPr>
          <w:trHeight w:val="313"/>
          <w:jc w:val="center"/>
        </w:trPr>
        <w:tc>
          <w:tcPr>
            <w:tcW w:w="839" w:type="dxa"/>
            <w:tcBorders>
              <w:top w:val="single" w:sz="4" w:space="0" w:color="auto"/>
              <w:left w:val="single" w:sz="4" w:space="0" w:color="auto"/>
              <w:bottom w:val="single" w:sz="4" w:space="0" w:color="auto"/>
              <w:right w:val="single" w:sz="4" w:space="0" w:color="auto"/>
            </w:tcBorders>
            <w:shd w:val="clear" w:color="auto" w:fill="C6EFCE"/>
            <w:noWrap/>
          </w:tcPr>
          <w:p w14:paraId="481FB85B" w14:textId="77777777" w:rsidR="003F46B9" w:rsidRDefault="0065662E">
            <w:pPr>
              <w:pStyle w:val="P68B1DB1-Normal5"/>
              <w:spacing w:after="0" w:line="240" w:lineRule="auto"/>
              <w:jc w:val="center"/>
              <w:rPr>
                <w:rFonts w:eastAsia="Times New Roman" w:cs="Times New Roman"/>
                <w:noProof/>
              </w:rPr>
            </w:pPr>
            <w:r>
              <w:rPr>
                <w:noProof/>
              </w:rPr>
              <w:t>30</w:t>
            </w:r>
          </w:p>
        </w:tc>
        <w:tc>
          <w:tcPr>
            <w:tcW w:w="1983" w:type="dxa"/>
            <w:tcBorders>
              <w:top w:val="single" w:sz="4" w:space="0" w:color="auto"/>
              <w:left w:val="nil"/>
              <w:bottom w:val="single" w:sz="4" w:space="0" w:color="auto"/>
              <w:right w:val="single" w:sz="4" w:space="0" w:color="auto"/>
            </w:tcBorders>
            <w:shd w:val="clear" w:color="auto" w:fill="C6EFCE"/>
            <w:noWrap/>
          </w:tcPr>
          <w:p w14:paraId="03F04F0F" w14:textId="77777777" w:rsidR="003F46B9" w:rsidRDefault="0065662E">
            <w:pPr>
              <w:pStyle w:val="P68B1DB1-Normal5"/>
              <w:spacing w:after="0" w:line="240" w:lineRule="auto"/>
              <w:jc w:val="both"/>
              <w:rPr>
                <w:rFonts w:eastAsia="Times New Roman" w:cs="Times New Roman"/>
                <w:noProof/>
              </w:rPr>
            </w:pPr>
            <w:r>
              <w:rPr>
                <w:noProof/>
              </w:rPr>
              <w:t>Reforma 2. Reforma sustava upravljanja zaštićenim prirodnim područjima usklađenom i učinkovitom provedbom Europske strategije za bioraznolikost</w:t>
            </w:r>
          </w:p>
        </w:tc>
        <w:tc>
          <w:tcPr>
            <w:tcW w:w="1278" w:type="dxa"/>
            <w:tcBorders>
              <w:top w:val="single" w:sz="4" w:space="0" w:color="auto"/>
              <w:left w:val="nil"/>
              <w:bottom w:val="single" w:sz="4" w:space="0" w:color="auto"/>
              <w:right w:val="single" w:sz="4" w:space="0" w:color="auto"/>
            </w:tcBorders>
            <w:shd w:val="clear" w:color="auto" w:fill="C6EFCE"/>
            <w:noWrap/>
          </w:tcPr>
          <w:p w14:paraId="35159751"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09" w:type="dxa"/>
            <w:tcBorders>
              <w:top w:val="single" w:sz="4" w:space="0" w:color="auto"/>
              <w:left w:val="nil"/>
              <w:bottom w:val="single" w:sz="4" w:space="0" w:color="auto"/>
              <w:right w:val="single" w:sz="4" w:space="0" w:color="auto"/>
            </w:tcBorders>
            <w:shd w:val="clear" w:color="auto" w:fill="C6EFCE"/>
            <w:noWrap/>
          </w:tcPr>
          <w:p w14:paraId="185ABFFE"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zakonodavnog akta kojim se osniva međuinstitucijski odbor za analizu pravnog okvira primjenjivog na sektore koji utječu na bioraznolikost </w:t>
            </w:r>
          </w:p>
        </w:tc>
        <w:tc>
          <w:tcPr>
            <w:tcW w:w="1841" w:type="dxa"/>
            <w:tcBorders>
              <w:top w:val="single" w:sz="4" w:space="0" w:color="auto"/>
              <w:left w:val="nil"/>
              <w:bottom w:val="single" w:sz="4" w:space="0" w:color="auto"/>
              <w:right w:val="single" w:sz="4" w:space="0" w:color="auto"/>
            </w:tcBorders>
            <w:shd w:val="clear" w:color="auto" w:fill="C6EFCE"/>
            <w:noWrap/>
          </w:tcPr>
          <w:p w14:paraId="6C842446"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w:t>
            </w:r>
          </w:p>
        </w:tc>
        <w:tc>
          <w:tcPr>
            <w:tcW w:w="1134" w:type="dxa"/>
            <w:tcBorders>
              <w:top w:val="single" w:sz="4" w:space="0" w:color="auto"/>
              <w:left w:val="nil"/>
              <w:bottom w:val="single" w:sz="4" w:space="0" w:color="auto"/>
              <w:right w:val="single" w:sz="4" w:space="0" w:color="auto"/>
            </w:tcBorders>
            <w:shd w:val="clear" w:color="auto" w:fill="C6EFCE"/>
            <w:noWrap/>
          </w:tcPr>
          <w:p w14:paraId="247089B1"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0C5F134F"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36748688"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F59D82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tcPr>
          <w:p w14:paraId="24C6850C" w14:textId="77777777" w:rsidR="003F46B9" w:rsidRDefault="0065662E">
            <w:pPr>
              <w:pStyle w:val="P68B1DB1-Normal5"/>
              <w:spacing w:after="0" w:line="240" w:lineRule="auto"/>
              <w:jc w:val="both"/>
              <w:rPr>
                <w:rFonts w:eastAsia="Times New Roman" w:cs="Times New Roman"/>
                <w:noProof/>
              </w:rPr>
            </w:pPr>
            <w:r>
              <w:rPr>
                <w:noProof/>
              </w:rPr>
              <w:t xml:space="preserve">2022 </w:t>
            </w:r>
          </w:p>
        </w:tc>
        <w:tc>
          <w:tcPr>
            <w:tcW w:w="3174" w:type="dxa"/>
            <w:tcBorders>
              <w:top w:val="single" w:sz="4" w:space="0" w:color="auto"/>
              <w:left w:val="nil"/>
              <w:bottom w:val="single" w:sz="4" w:space="0" w:color="auto"/>
              <w:right w:val="single" w:sz="4" w:space="0" w:color="auto"/>
            </w:tcBorders>
            <w:shd w:val="clear" w:color="auto" w:fill="C6EFCE"/>
            <w:noWrap/>
          </w:tcPr>
          <w:p w14:paraId="6EEAE344" w14:textId="77777777" w:rsidR="003F46B9" w:rsidRDefault="0065662E">
            <w:pPr>
              <w:pStyle w:val="P68B1DB1-Normal5"/>
              <w:spacing w:after="0" w:line="240" w:lineRule="auto"/>
              <w:jc w:val="both"/>
              <w:rPr>
                <w:rFonts w:cs="Times New Roman"/>
                <w:noProof/>
              </w:rPr>
            </w:pPr>
            <w:r>
              <w:rPr>
                <w:noProof/>
              </w:rPr>
              <w:t>Stupanje na snagu zakon</w:t>
            </w:r>
            <w:r>
              <w:rPr>
                <w:noProof/>
              </w:rPr>
              <w:t xml:space="preserve">odavnog akta kojim se osniva međuinstitucijski odbor za analizu pravnog okvira primjenjivog na sektore koji utječu na biološku raznolikost, a to su obrazovanje, poljoprivreda, šumarstvo, lov, turizam, prostorna organizacija, promet i energetika. </w:t>
            </w:r>
          </w:p>
          <w:p w14:paraId="441D939A" w14:textId="77777777" w:rsidR="003F46B9" w:rsidRDefault="0065662E">
            <w:pPr>
              <w:pStyle w:val="P68B1DB1-Normal5"/>
              <w:spacing w:after="0" w:line="240" w:lineRule="auto"/>
              <w:jc w:val="both"/>
              <w:rPr>
                <w:rFonts w:cs="Times New Roman"/>
                <w:noProof/>
              </w:rPr>
            </w:pPr>
            <w:r>
              <w:rPr>
                <w:noProof/>
              </w:rPr>
              <w:t>Odborom u</w:t>
            </w:r>
            <w:r>
              <w:rPr>
                <w:noProof/>
              </w:rPr>
              <w:t>pravlja Ministarstvo okoliša, voda i šuma, a uključuje resorna ministarstva i podređena tijela nadležna za relevantne sektore: obrazovanje, poljoprivreda, šumarstvo, lov, turizam, prostorna organizacija, promet i energetika.</w:t>
            </w:r>
          </w:p>
          <w:p w14:paraId="3DB44400" w14:textId="77777777" w:rsidR="003F46B9" w:rsidRDefault="0065662E">
            <w:pPr>
              <w:pStyle w:val="P68B1DB1-Normal5"/>
              <w:spacing w:after="0" w:line="240" w:lineRule="auto"/>
              <w:jc w:val="both"/>
              <w:rPr>
                <w:rFonts w:eastAsia="Times New Roman" w:cs="Times New Roman"/>
                <w:noProof/>
              </w:rPr>
            </w:pPr>
            <w:r>
              <w:rPr>
                <w:noProof/>
              </w:rPr>
              <w:t xml:space="preserve">Odbor priprema prijedloge za reviziju pravnog okvira s obzirom na ažurirane informacije o rasprostranjenosti i dinamici stanja očuvanosti vrsta i staništa. </w:t>
            </w:r>
          </w:p>
        </w:tc>
      </w:tr>
      <w:tr w:rsidR="003F46B9" w14:paraId="5D1006F6"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1C5DDC2F" w14:textId="77777777" w:rsidR="003F46B9" w:rsidRDefault="0065662E">
            <w:pPr>
              <w:pStyle w:val="P68B1DB1-Normal5"/>
              <w:spacing w:after="0" w:line="240" w:lineRule="auto"/>
              <w:jc w:val="center"/>
              <w:rPr>
                <w:rFonts w:eastAsia="Times New Roman" w:cs="Times New Roman"/>
                <w:noProof/>
              </w:rPr>
            </w:pPr>
            <w:r>
              <w:rPr>
                <w:noProof/>
              </w:rPr>
              <w:t>31</w:t>
            </w:r>
          </w:p>
        </w:tc>
        <w:tc>
          <w:tcPr>
            <w:tcW w:w="1983" w:type="dxa"/>
            <w:tcBorders>
              <w:top w:val="nil"/>
              <w:left w:val="nil"/>
              <w:bottom w:val="single" w:sz="4" w:space="0" w:color="auto"/>
              <w:right w:val="single" w:sz="4" w:space="0" w:color="auto"/>
            </w:tcBorders>
            <w:shd w:val="clear" w:color="auto" w:fill="C6EFCE"/>
            <w:noWrap/>
            <w:hideMark/>
          </w:tcPr>
          <w:p w14:paraId="57D4BE1B" w14:textId="77777777" w:rsidR="003F46B9" w:rsidRDefault="0065662E">
            <w:pPr>
              <w:pStyle w:val="P68B1DB1-Normal5"/>
              <w:spacing w:after="0" w:line="240" w:lineRule="auto"/>
              <w:jc w:val="both"/>
              <w:rPr>
                <w:rFonts w:eastAsia="Times New Roman" w:cs="Times New Roman"/>
                <w:noProof/>
              </w:rPr>
            </w:pPr>
            <w:r>
              <w:rPr>
                <w:noProof/>
              </w:rPr>
              <w:t>Reforma 2. Reforma sustava upravljanja zaštićenim prirodnim područjima usklađenom i učinkovitom</w:t>
            </w:r>
            <w:r>
              <w:rPr>
                <w:noProof/>
              </w:rPr>
              <w:t xml:space="preserve"> provedbom Europske strategije za bioraznolikost</w:t>
            </w:r>
          </w:p>
        </w:tc>
        <w:tc>
          <w:tcPr>
            <w:tcW w:w="1278" w:type="dxa"/>
            <w:tcBorders>
              <w:top w:val="nil"/>
              <w:left w:val="nil"/>
              <w:bottom w:val="single" w:sz="4" w:space="0" w:color="auto"/>
              <w:right w:val="single" w:sz="4" w:space="0" w:color="auto"/>
            </w:tcBorders>
            <w:shd w:val="clear" w:color="auto" w:fill="C6EFCE"/>
            <w:noWrap/>
            <w:hideMark/>
          </w:tcPr>
          <w:p w14:paraId="178DF32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hideMark/>
          </w:tcPr>
          <w:p w14:paraId="3BB5840B" w14:textId="77777777" w:rsidR="003F46B9" w:rsidRDefault="0065662E">
            <w:pPr>
              <w:pStyle w:val="P68B1DB1-Normal5"/>
              <w:spacing w:after="0" w:line="240" w:lineRule="auto"/>
              <w:jc w:val="both"/>
              <w:rPr>
                <w:rFonts w:eastAsia="Times New Roman" w:cs="Times New Roman"/>
                <w:noProof/>
              </w:rPr>
            </w:pPr>
            <w:r>
              <w:rPr>
                <w:noProof/>
              </w:rPr>
              <w:t>Stupanje na snagu zakonodavnog akta kojim se mijenja pravni okvir koji se primjenjuje na sektore koji utječu na bioraznolikost</w:t>
            </w:r>
          </w:p>
        </w:tc>
        <w:tc>
          <w:tcPr>
            <w:tcW w:w="1841" w:type="dxa"/>
            <w:tcBorders>
              <w:top w:val="nil"/>
              <w:left w:val="nil"/>
              <w:bottom w:val="single" w:sz="4" w:space="0" w:color="auto"/>
              <w:right w:val="single" w:sz="4" w:space="0" w:color="auto"/>
            </w:tcBorders>
            <w:shd w:val="clear" w:color="auto" w:fill="C6EFCE"/>
            <w:noWrap/>
            <w:hideMark/>
          </w:tcPr>
          <w:p w14:paraId="3D977D47"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w:t>
            </w:r>
          </w:p>
        </w:tc>
        <w:tc>
          <w:tcPr>
            <w:tcW w:w="1134" w:type="dxa"/>
            <w:tcBorders>
              <w:top w:val="nil"/>
              <w:left w:val="nil"/>
              <w:bottom w:val="single" w:sz="4" w:space="0" w:color="auto"/>
              <w:right w:val="single" w:sz="4" w:space="0" w:color="auto"/>
            </w:tcBorders>
            <w:shd w:val="clear" w:color="auto" w:fill="C6EFCE"/>
            <w:noWrap/>
            <w:hideMark/>
          </w:tcPr>
          <w:p w14:paraId="77ADDA1E"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hideMark/>
          </w:tcPr>
          <w:p w14:paraId="63959C1E"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hideMark/>
          </w:tcPr>
          <w:p w14:paraId="7D932866"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1181DAC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3DB2B260" w14:textId="77777777" w:rsidR="003F46B9" w:rsidRDefault="0065662E">
            <w:pPr>
              <w:pStyle w:val="P68B1DB1-Normal5"/>
              <w:spacing w:after="0" w:line="240" w:lineRule="auto"/>
              <w:jc w:val="both"/>
              <w:rPr>
                <w:rFonts w:eastAsia="Times New Roman"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hideMark/>
          </w:tcPr>
          <w:p w14:paraId="0B71DB8E" w14:textId="77777777" w:rsidR="003F46B9" w:rsidRDefault="0065662E">
            <w:pPr>
              <w:pStyle w:val="P68B1DB1-Normal5"/>
              <w:spacing w:after="0" w:line="240" w:lineRule="auto"/>
              <w:jc w:val="both"/>
              <w:rPr>
                <w:rFonts w:cs="Times New Roman"/>
                <w:noProof/>
              </w:rPr>
            </w:pPr>
            <w:r>
              <w:rPr>
                <w:noProof/>
              </w:rPr>
              <w:t xml:space="preserve">Stupanje na snagu zakonodavnog akta kojim se mijenja pravni okvir koji se primjenjuje na sektore koji utječu na bioraznolikost. </w:t>
            </w:r>
          </w:p>
          <w:p w14:paraId="2A007F6C" w14:textId="77777777" w:rsidR="003F46B9" w:rsidRDefault="0065662E">
            <w:pPr>
              <w:pStyle w:val="P68B1DB1-Normal5"/>
              <w:spacing w:after="0" w:line="240" w:lineRule="auto"/>
              <w:jc w:val="both"/>
              <w:rPr>
                <w:rFonts w:cs="Times New Roman"/>
                <w:noProof/>
              </w:rPr>
            </w:pPr>
            <w:r>
              <w:rPr>
                <w:noProof/>
              </w:rPr>
              <w:t>Cilj je tih zakonodavnih izmjena osigurati da postojeći pravni okvir u različitim relevantnim sektorima ne utj</w:t>
            </w:r>
            <w:r>
              <w:rPr>
                <w:noProof/>
              </w:rPr>
              <w:t>eče/ne ograničava provedbu mjera očuvanja u planovima upravljanja zaštićenim prirodnim područjima.</w:t>
            </w:r>
          </w:p>
          <w:p w14:paraId="70252BD9" w14:textId="77777777" w:rsidR="003F46B9" w:rsidRDefault="0065662E">
            <w:pPr>
              <w:pStyle w:val="P68B1DB1-Normal5"/>
              <w:spacing w:after="0" w:line="240" w:lineRule="auto"/>
              <w:jc w:val="both"/>
              <w:rPr>
                <w:rFonts w:cs="Times New Roman"/>
                <w:noProof/>
              </w:rPr>
            </w:pPr>
            <w:r>
              <w:rPr>
                <w:noProof/>
              </w:rPr>
              <w:t xml:space="preserve">Zakonodavni akt temelji se na prijedlozima odbora u svjetlu ažuriranih informacija o rasprostranjenosti i dinamici stanja očuvanosti vrsta i staništa. </w:t>
            </w:r>
          </w:p>
        </w:tc>
      </w:tr>
      <w:tr w:rsidR="003F46B9" w14:paraId="352CFEBE"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hideMark/>
          </w:tcPr>
          <w:p w14:paraId="4AE7F132" w14:textId="77777777" w:rsidR="003F46B9" w:rsidRDefault="0065662E">
            <w:pPr>
              <w:pStyle w:val="P68B1DB1-Normal5"/>
              <w:spacing w:after="0" w:line="240" w:lineRule="auto"/>
              <w:jc w:val="center"/>
              <w:rPr>
                <w:rFonts w:eastAsia="Times New Roman" w:cs="Times New Roman"/>
                <w:noProof/>
              </w:rPr>
            </w:pPr>
            <w:r>
              <w:rPr>
                <w:noProof/>
              </w:rPr>
              <w:t>32</w:t>
            </w:r>
          </w:p>
        </w:tc>
        <w:tc>
          <w:tcPr>
            <w:tcW w:w="1983" w:type="dxa"/>
            <w:tcBorders>
              <w:top w:val="nil"/>
              <w:left w:val="nil"/>
              <w:bottom w:val="single" w:sz="4" w:space="0" w:color="auto"/>
              <w:right w:val="single" w:sz="4" w:space="0" w:color="auto"/>
            </w:tcBorders>
            <w:shd w:val="clear" w:color="auto" w:fill="C6EFCE"/>
            <w:noWrap/>
            <w:hideMark/>
          </w:tcPr>
          <w:p w14:paraId="3F1CDF3C" w14:textId="1D5DB294" w:rsidR="003F46B9" w:rsidRDefault="0065662E">
            <w:pPr>
              <w:pStyle w:val="P68B1DB1-Normal5"/>
              <w:spacing w:after="0" w:line="240" w:lineRule="auto"/>
              <w:jc w:val="both"/>
              <w:rPr>
                <w:rFonts w:eastAsia="Times New Roman" w:cs="Times New Roman"/>
                <w:noProof/>
              </w:rPr>
            </w:pPr>
            <w:r>
              <w:rPr>
                <w:noProof/>
              </w:rPr>
              <w:t>Ulaganje 3.1. Ažuriranje odobrenih planova upravljanja</w:t>
            </w:r>
          </w:p>
        </w:tc>
        <w:tc>
          <w:tcPr>
            <w:tcW w:w="1278" w:type="dxa"/>
            <w:tcBorders>
              <w:top w:val="nil"/>
              <w:left w:val="nil"/>
              <w:bottom w:val="single" w:sz="4" w:space="0" w:color="auto"/>
              <w:right w:val="single" w:sz="4" w:space="0" w:color="auto"/>
            </w:tcBorders>
            <w:shd w:val="clear" w:color="auto" w:fill="C6EFCE"/>
            <w:noWrap/>
            <w:hideMark/>
          </w:tcPr>
          <w:p w14:paraId="51ACD2FE"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hideMark/>
          </w:tcPr>
          <w:p w14:paraId="6E273E13" w14:textId="77777777" w:rsidR="003F46B9" w:rsidRDefault="0065662E">
            <w:pPr>
              <w:pStyle w:val="P68B1DB1-Normal5"/>
              <w:spacing w:after="0" w:line="240" w:lineRule="auto"/>
              <w:jc w:val="both"/>
              <w:rPr>
                <w:rFonts w:eastAsia="Times New Roman" w:cs="Times New Roman"/>
                <w:noProof/>
              </w:rPr>
            </w:pPr>
            <w:r>
              <w:rPr>
                <w:noProof/>
              </w:rPr>
              <w:t xml:space="preserve">Zaštićena prirodna područja s ažuriranim planovima upravljanja stupili su na snagu </w:t>
            </w:r>
          </w:p>
        </w:tc>
        <w:tc>
          <w:tcPr>
            <w:tcW w:w="1841" w:type="dxa"/>
            <w:tcBorders>
              <w:top w:val="nil"/>
              <w:left w:val="nil"/>
              <w:bottom w:val="single" w:sz="4" w:space="0" w:color="auto"/>
              <w:right w:val="single" w:sz="4" w:space="0" w:color="auto"/>
            </w:tcBorders>
            <w:shd w:val="clear" w:color="auto" w:fill="C6EFCE"/>
            <w:noWrap/>
            <w:hideMark/>
          </w:tcPr>
          <w:p w14:paraId="72855D0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014DE42E"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nil"/>
              <w:left w:val="nil"/>
              <w:bottom w:val="single" w:sz="4" w:space="0" w:color="auto"/>
              <w:right w:val="single" w:sz="4" w:space="0" w:color="auto"/>
            </w:tcBorders>
            <w:shd w:val="clear" w:color="auto" w:fill="C6EFCE"/>
            <w:noWrap/>
            <w:hideMark/>
          </w:tcPr>
          <w:p w14:paraId="24377315"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hideMark/>
          </w:tcPr>
          <w:p w14:paraId="7E46B336" w14:textId="77777777" w:rsidR="003F46B9" w:rsidRDefault="0065662E">
            <w:pPr>
              <w:pStyle w:val="P68B1DB1-Normal5"/>
              <w:spacing w:after="0" w:line="240" w:lineRule="auto"/>
              <w:jc w:val="both"/>
              <w:rPr>
                <w:rFonts w:eastAsia="Times New Roman"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hideMark/>
          </w:tcPr>
          <w:p w14:paraId="79560800"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747DE773" w14:textId="77777777" w:rsidR="003F46B9" w:rsidRDefault="0065662E">
            <w:pPr>
              <w:pStyle w:val="P68B1DB1-Normal5"/>
              <w:spacing w:after="0" w:line="240" w:lineRule="auto"/>
              <w:jc w:val="both"/>
              <w:rPr>
                <w:rFonts w:eastAsia="Times New Roman"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hideMark/>
          </w:tcPr>
          <w:p w14:paraId="1D2525EF" w14:textId="300DF992" w:rsidR="003F46B9" w:rsidRDefault="0065662E">
            <w:pPr>
              <w:pStyle w:val="P68B1DB1-Normal5"/>
              <w:spacing w:after="0" w:line="240" w:lineRule="auto"/>
              <w:jc w:val="both"/>
              <w:rPr>
                <w:rFonts w:eastAsia="Times New Roman" w:cs="Times New Roman"/>
                <w:noProof/>
              </w:rPr>
            </w:pPr>
            <w:r>
              <w:rPr>
                <w:noProof/>
              </w:rPr>
              <w:t>Zaštićena prirodna područja (najmanje 100) s ažuriranim planovima upravljanja st</w:t>
            </w:r>
            <w:r>
              <w:rPr>
                <w:noProof/>
              </w:rPr>
              <w:t xml:space="preserve">upaju na snagu. Prednost se daje područjima na koja bi mogli utjecati infrastrukturni projekti na koje se Rumunjska u skladu s relevantnim zakonodavstvom EU-a obvezala dodatno prikupljati podatke o praćenju s ciljem definiranja ciljeva očuvanja staništa i </w:t>
            </w:r>
            <w:r>
              <w:rPr>
                <w:noProof/>
              </w:rPr>
              <w:t xml:space="preserve">vrsta, uključujući migratorne vrste ptica.  </w:t>
            </w:r>
          </w:p>
        </w:tc>
      </w:tr>
      <w:tr w:rsidR="003F46B9" w14:paraId="2D24B64F"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A358C5A" w14:textId="77777777" w:rsidR="003F46B9" w:rsidRDefault="0065662E">
            <w:pPr>
              <w:pStyle w:val="P68B1DB1-Normal5"/>
              <w:spacing w:after="0" w:line="240" w:lineRule="auto"/>
              <w:jc w:val="center"/>
              <w:rPr>
                <w:rFonts w:eastAsia="Times New Roman" w:cs="Times New Roman"/>
                <w:noProof/>
              </w:rPr>
            </w:pPr>
            <w:r>
              <w:rPr>
                <w:noProof/>
              </w:rPr>
              <w:t>33</w:t>
            </w:r>
          </w:p>
        </w:tc>
        <w:tc>
          <w:tcPr>
            <w:tcW w:w="1983" w:type="dxa"/>
            <w:tcBorders>
              <w:top w:val="nil"/>
              <w:left w:val="nil"/>
              <w:bottom w:val="single" w:sz="4" w:space="0" w:color="auto"/>
              <w:right w:val="single" w:sz="4" w:space="0" w:color="auto"/>
            </w:tcBorders>
            <w:shd w:val="clear" w:color="auto" w:fill="C6EFCE"/>
            <w:noWrap/>
          </w:tcPr>
          <w:p w14:paraId="13561D8F" w14:textId="77777777" w:rsidR="003F46B9" w:rsidRDefault="0065662E">
            <w:pPr>
              <w:pStyle w:val="P68B1DB1-Normal5"/>
              <w:spacing w:after="0" w:line="240" w:lineRule="auto"/>
              <w:jc w:val="both"/>
              <w:rPr>
                <w:rFonts w:cs="Times New Roman"/>
                <w:noProof/>
              </w:rPr>
            </w:pPr>
            <w:r>
              <w:rPr>
                <w:noProof/>
              </w:rPr>
              <w:t>Ozbiljna ulaganja. 3.1 Ažuriranje odobrenih planova upravljanja</w:t>
            </w:r>
          </w:p>
        </w:tc>
        <w:tc>
          <w:tcPr>
            <w:tcW w:w="1278" w:type="dxa"/>
            <w:tcBorders>
              <w:top w:val="nil"/>
              <w:left w:val="nil"/>
              <w:bottom w:val="single" w:sz="4" w:space="0" w:color="auto"/>
              <w:right w:val="single" w:sz="4" w:space="0" w:color="auto"/>
            </w:tcBorders>
            <w:shd w:val="clear" w:color="auto" w:fill="C6EFCE"/>
            <w:noWrap/>
          </w:tcPr>
          <w:p w14:paraId="69B8A7A7" w14:textId="77777777" w:rsidR="003F46B9" w:rsidRDefault="0065662E">
            <w:pPr>
              <w:pStyle w:val="P68B1DB1-Normal5"/>
              <w:spacing w:after="0" w:line="240" w:lineRule="auto"/>
              <w:jc w:val="center"/>
              <w:rPr>
                <w:rFonts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tcPr>
          <w:p w14:paraId="6C048E0D" w14:textId="77777777" w:rsidR="003F46B9" w:rsidRDefault="0065662E">
            <w:pPr>
              <w:pStyle w:val="P68B1DB1-Normal5"/>
              <w:spacing w:after="0" w:line="240" w:lineRule="auto"/>
              <w:jc w:val="both"/>
              <w:rPr>
                <w:rFonts w:cs="Times New Roman"/>
                <w:noProof/>
              </w:rPr>
            </w:pPr>
            <w:r>
              <w:rPr>
                <w:noProof/>
              </w:rPr>
              <w:t xml:space="preserve">Zaštićena prirodna područja s ažuriranim planovima upravljanja stupili su na snagu </w:t>
            </w:r>
          </w:p>
        </w:tc>
        <w:tc>
          <w:tcPr>
            <w:tcW w:w="1841" w:type="dxa"/>
            <w:tcBorders>
              <w:top w:val="nil"/>
              <w:left w:val="nil"/>
              <w:bottom w:val="single" w:sz="4" w:space="0" w:color="auto"/>
              <w:right w:val="single" w:sz="4" w:space="0" w:color="auto"/>
            </w:tcBorders>
            <w:shd w:val="clear" w:color="auto" w:fill="C6EFCE"/>
            <w:noWrap/>
          </w:tcPr>
          <w:p w14:paraId="05CA8781"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5BD203A" w14:textId="77777777" w:rsidR="003F46B9" w:rsidRDefault="0065662E">
            <w:pPr>
              <w:pStyle w:val="P68B1DB1-Normal5"/>
              <w:spacing w:after="0" w:line="240" w:lineRule="auto"/>
              <w:jc w:val="both"/>
              <w:rPr>
                <w:rFonts w:cs="Times New Roman"/>
                <w:noProof/>
              </w:rPr>
            </w:pPr>
            <w:r>
              <w:rPr>
                <w:noProof/>
              </w:rPr>
              <w:t>Broj</w:t>
            </w:r>
          </w:p>
        </w:tc>
        <w:tc>
          <w:tcPr>
            <w:tcW w:w="1418" w:type="dxa"/>
            <w:tcBorders>
              <w:top w:val="nil"/>
              <w:left w:val="nil"/>
              <w:bottom w:val="single" w:sz="4" w:space="0" w:color="auto"/>
              <w:right w:val="single" w:sz="4" w:space="0" w:color="auto"/>
            </w:tcBorders>
            <w:shd w:val="clear" w:color="auto" w:fill="C6EFCE"/>
            <w:noWrap/>
          </w:tcPr>
          <w:p w14:paraId="038A2C0A" w14:textId="77777777" w:rsidR="003F46B9" w:rsidRDefault="0065662E">
            <w:pPr>
              <w:pStyle w:val="P68B1DB1-Normal5"/>
              <w:spacing w:after="0" w:line="240" w:lineRule="auto"/>
              <w:jc w:val="both"/>
              <w:rPr>
                <w:rFonts w:cs="Times New Roman"/>
                <w:noProof/>
              </w:rPr>
            </w:pPr>
            <w:r>
              <w:rPr>
                <w:noProof/>
              </w:rPr>
              <w:t>100</w:t>
            </w:r>
          </w:p>
        </w:tc>
        <w:tc>
          <w:tcPr>
            <w:tcW w:w="850" w:type="dxa"/>
            <w:tcBorders>
              <w:top w:val="nil"/>
              <w:left w:val="nil"/>
              <w:bottom w:val="single" w:sz="4" w:space="0" w:color="auto"/>
              <w:right w:val="single" w:sz="4" w:space="0" w:color="auto"/>
            </w:tcBorders>
            <w:shd w:val="clear" w:color="auto" w:fill="C6EFCE"/>
            <w:noWrap/>
          </w:tcPr>
          <w:p w14:paraId="66C81C60" w14:textId="77777777" w:rsidR="003F46B9" w:rsidRDefault="0065662E">
            <w:pPr>
              <w:pStyle w:val="P68B1DB1-Normal5"/>
              <w:spacing w:after="0" w:line="240" w:lineRule="auto"/>
              <w:jc w:val="both"/>
              <w:rPr>
                <w:rFonts w:cs="Times New Roman"/>
                <w:noProof/>
              </w:rPr>
            </w:pPr>
            <w:r>
              <w:rPr>
                <w:noProof/>
              </w:rPr>
              <w:t>250</w:t>
            </w:r>
          </w:p>
        </w:tc>
        <w:tc>
          <w:tcPr>
            <w:tcW w:w="1134" w:type="dxa"/>
            <w:tcBorders>
              <w:top w:val="nil"/>
              <w:left w:val="nil"/>
              <w:bottom w:val="single" w:sz="4" w:space="0" w:color="auto"/>
              <w:right w:val="single" w:sz="4" w:space="0" w:color="auto"/>
            </w:tcBorders>
            <w:shd w:val="clear" w:color="auto" w:fill="C6EFCE"/>
            <w:noWrap/>
          </w:tcPr>
          <w:p w14:paraId="25F5772D"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54E9CD31"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2871B475" w14:textId="77777777" w:rsidR="003F46B9" w:rsidRDefault="0065662E">
            <w:pPr>
              <w:pStyle w:val="P68B1DB1-Normal5"/>
              <w:spacing w:after="0" w:line="240" w:lineRule="auto"/>
              <w:jc w:val="both"/>
              <w:rPr>
                <w:rFonts w:cs="Times New Roman"/>
                <w:noProof/>
              </w:rPr>
            </w:pPr>
            <w:r>
              <w:rPr>
                <w:noProof/>
              </w:rPr>
              <w:t>Na snagu je stupilo najmanje 250 zaštićenih prirodnih područja s ažuriranim planovima upravljanja. Prednost se daje područjima na koja bi mogli utjecati infrastrukturni projekti na koje se Rumunjska u skladu s relevantnim zakonodavstvom EU-a obvezala dodat</w:t>
            </w:r>
            <w:r>
              <w:rPr>
                <w:noProof/>
              </w:rPr>
              <w:t xml:space="preserve">no prikupljati podatke o praćenju s ciljem definiranja ciljeva očuvanja staništa i vrsta, uključujući migratorne vrste ptica. </w:t>
            </w:r>
          </w:p>
        </w:tc>
      </w:tr>
      <w:tr w:rsidR="003F46B9" w14:paraId="60E96570"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72CB50" w14:textId="77777777" w:rsidR="003F46B9" w:rsidRDefault="0065662E">
            <w:pPr>
              <w:pStyle w:val="P68B1DB1-Normal5"/>
              <w:spacing w:after="0" w:line="240" w:lineRule="auto"/>
              <w:jc w:val="center"/>
              <w:rPr>
                <w:rFonts w:eastAsia="Times New Roman" w:cs="Times New Roman"/>
                <w:noProof/>
              </w:rPr>
            </w:pPr>
            <w:r>
              <w:rPr>
                <w:noProof/>
              </w:rPr>
              <w:t>34</w:t>
            </w:r>
          </w:p>
        </w:tc>
        <w:tc>
          <w:tcPr>
            <w:tcW w:w="1983" w:type="dxa"/>
            <w:tcBorders>
              <w:top w:val="nil"/>
              <w:left w:val="nil"/>
              <w:bottom w:val="single" w:sz="4" w:space="0" w:color="auto"/>
              <w:right w:val="single" w:sz="4" w:space="0" w:color="auto"/>
            </w:tcBorders>
            <w:shd w:val="clear" w:color="auto" w:fill="C6EFCE"/>
            <w:noWrap/>
          </w:tcPr>
          <w:p w14:paraId="72EEBB5D" w14:textId="77777777" w:rsidR="003F46B9" w:rsidRDefault="0065662E">
            <w:pPr>
              <w:pStyle w:val="P68B1DB1-Normal5"/>
              <w:spacing w:after="0" w:line="240" w:lineRule="auto"/>
              <w:jc w:val="both"/>
              <w:rPr>
                <w:rFonts w:cs="Times New Roman"/>
                <w:noProof/>
              </w:rPr>
            </w:pPr>
            <w:r>
              <w:rPr>
                <w:noProof/>
              </w:rPr>
              <w:t xml:space="preserve">Ulaganje 3.2. Utvrđivanje potencijalnih područja za strogu zaštitu prirodnih kopnenih i morskih staništa radi provedbe </w:t>
            </w:r>
            <w:r>
              <w:rPr>
                <w:noProof/>
              </w:rPr>
              <w:t>Strategije EU-a za bioraznolikost do 2030.</w:t>
            </w:r>
          </w:p>
        </w:tc>
        <w:tc>
          <w:tcPr>
            <w:tcW w:w="1278" w:type="dxa"/>
            <w:tcBorders>
              <w:top w:val="nil"/>
              <w:left w:val="nil"/>
              <w:bottom w:val="single" w:sz="4" w:space="0" w:color="auto"/>
              <w:right w:val="single" w:sz="4" w:space="0" w:color="auto"/>
            </w:tcBorders>
            <w:shd w:val="clear" w:color="auto" w:fill="C6EFCE"/>
            <w:noWrap/>
          </w:tcPr>
          <w:p w14:paraId="4B96D000" w14:textId="77777777" w:rsidR="003F46B9" w:rsidRDefault="0065662E">
            <w:pPr>
              <w:pStyle w:val="P68B1DB1-Normal5"/>
              <w:spacing w:after="0" w:line="240" w:lineRule="auto"/>
              <w:jc w:val="center"/>
              <w:rPr>
                <w:rFonts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tcPr>
          <w:p w14:paraId="73B67B85" w14:textId="77777777" w:rsidR="003F46B9" w:rsidRDefault="0065662E">
            <w:pPr>
              <w:pStyle w:val="P68B1DB1-Normal5"/>
              <w:spacing w:after="0" w:line="240" w:lineRule="auto"/>
              <w:jc w:val="both"/>
              <w:rPr>
                <w:rFonts w:cs="Times New Roman"/>
                <w:noProof/>
              </w:rPr>
            </w:pPr>
            <w:r>
              <w:rPr>
                <w:noProof/>
              </w:rPr>
              <w:t>Stupanje na snagu zakonodavnog akta o određivanju strogo zaštićenih područja (utvrđenih u zaštićenim područjima mreže Natura 2000 s postojećim planovima upravljanja ili uključujući primarne šume i šume</w:t>
            </w:r>
            <w:r>
              <w:rPr>
                <w:noProof/>
              </w:rPr>
              <w:t xml:space="preserve"> starog rasta)</w:t>
            </w:r>
          </w:p>
        </w:tc>
        <w:tc>
          <w:tcPr>
            <w:tcW w:w="1841" w:type="dxa"/>
            <w:tcBorders>
              <w:top w:val="nil"/>
              <w:left w:val="nil"/>
              <w:bottom w:val="single" w:sz="4" w:space="0" w:color="auto"/>
              <w:right w:val="single" w:sz="4" w:space="0" w:color="auto"/>
            </w:tcBorders>
            <w:shd w:val="clear" w:color="auto" w:fill="C6EFCE"/>
            <w:noWrap/>
          </w:tcPr>
          <w:p w14:paraId="3AAD9042" w14:textId="77777777" w:rsidR="003F46B9" w:rsidRDefault="0065662E">
            <w:pPr>
              <w:pStyle w:val="P68B1DB1-Normal5"/>
              <w:spacing w:after="0" w:line="240" w:lineRule="auto"/>
              <w:jc w:val="both"/>
              <w:rPr>
                <w:rFonts w:cs="Times New Roman"/>
                <w:noProof/>
              </w:rPr>
            </w:pPr>
            <w:r>
              <w:rPr>
                <w:noProof/>
              </w:rPr>
              <w:t>Zakonska odredba o stupanju na snagu zakonodavnog akta</w:t>
            </w:r>
          </w:p>
        </w:tc>
        <w:tc>
          <w:tcPr>
            <w:tcW w:w="1134" w:type="dxa"/>
            <w:tcBorders>
              <w:top w:val="nil"/>
              <w:left w:val="nil"/>
              <w:bottom w:val="single" w:sz="4" w:space="0" w:color="auto"/>
              <w:right w:val="single" w:sz="4" w:space="0" w:color="auto"/>
            </w:tcBorders>
            <w:shd w:val="clear" w:color="auto" w:fill="C6EFCE"/>
            <w:noWrap/>
          </w:tcPr>
          <w:p w14:paraId="2F840008" w14:textId="77777777" w:rsidR="003F46B9" w:rsidRDefault="003F46B9">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7601F464" w14:textId="77777777" w:rsidR="003F46B9" w:rsidRDefault="003F46B9">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44099717"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EF62373" w14:textId="77777777" w:rsidR="003F46B9" w:rsidRDefault="0065662E">
            <w:pPr>
              <w:pStyle w:val="P68B1DB1-Normal5"/>
              <w:spacing w:after="0" w:line="240" w:lineRule="auto"/>
              <w:jc w:val="both"/>
              <w:rPr>
                <w:rFonts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03BAC14E" w14:textId="77777777" w:rsidR="003F46B9" w:rsidRDefault="0065662E">
            <w:pPr>
              <w:pStyle w:val="P68B1DB1-Normal5"/>
              <w:spacing w:after="0" w:line="240" w:lineRule="auto"/>
              <w:jc w:val="both"/>
              <w:rPr>
                <w:rFonts w:cs="Times New Roman"/>
                <w:noProof/>
              </w:rPr>
            </w:pPr>
            <w:r>
              <w:rPr>
                <w:noProof/>
              </w:rPr>
              <w:t>2023</w:t>
            </w:r>
          </w:p>
        </w:tc>
        <w:tc>
          <w:tcPr>
            <w:tcW w:w="3174" w:type="dxa"/>
            <w:tcBorders>
              <w:top w:val="nil"/>
              <w:left w:val="nil"/>
              <w:bottom w:val="single" w:sz="4" w:space="0" w:color="auto"/>
              <w:right w:val="single" w:sz="4" w:space="0" w:color="auto"/>
            </w:tcBorders>
            <w:shd w:val="clear" w:color="auto" w:fill="C6EFCE"/>
            <w:noWrap/>
          </w:tcPr>
          <w:p w14:paraId="2E968E9A" w14:textId="718BD887" w:rsidR="003F46B9" w:rsidRDefault="0065662E">
            <w:pPr>
              <w:pStyle w:val="P68B1DB1-Normal5"/>
              <w:spacing w:after="0" w:line="240" w:lineRule="auto"/>
              <w:jc w:val="both"/>
              <w:rPr>
                <w:rFonts w:cs="Times New Roman"/>
                <w:noProof/>
              </w:rPr>
            </w:pPr>
            <w:r>
              <w:rPr>
                <w:noProof/>
              </w:rPr>
              <w:t>Stupanje na snagu zakonodavnog akta o određivanju strogo zaštićenih područja. Akt se temelji na analizama/studijama i mapiranju razgraničenja područja predloženih za neintervenciju (strogo zaštićena), koji su potrebni kako bi se potkrijepio prijedlog zakon</w:t>
            </w:r>
            <w:r>
              <w:rPr>
                <w:noProof/>
              </w:rPr>
              <w:t>odavnog akta na temelju Strategije EU-a za bioraznolikost do 2030. Zakonodavnim aktom određuju se strogo zaštićena područja utvrđena u zaštićenim područjima mreže Natura 2000 s postojećim planovima upravljanja ili uključujući primarne šume i šume starog ra</w:t>
            </w:r>
            <w:r>
              <w:rPr>
                <w:noProof/>
              </w:rPr>
              <w:t xml:space="preserve">sta. </w:t>
            </w:r>
          </w:p>
        </w:tc>
      </w:tr>
      <w:tr w:rsidR="003F46B9" w14:paraId="5E574B08"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74E55C11" w14:textId="77777777" w:rsidR="003F46B9" w:rsidRDefault="0065662E">
            <w:pPr>
              <w:pStyle w:val="P68B1DB1-Normal5"/>
              <w:spacing w:after="0" w:line="240" w:lineRule="auto"/>
              <w:jc w:val="center"/>
              <w:rPr>
                <w:rFonts w:eastAsia="Times New Roman" w:cs="Times New Roman"/>
                <w:noProof/>
              </w:rPr>
            </w:pPr>
            <w:r>
              <w:rPr>
                <w:noProof/>
              </w:rPr>
              <w:t>35</w:t>
            </w:r>
          </w:p>
        </w:tc>
        <w:tc>
          <w:tcPr>
            <w:tcW w:w="1983" w:type="dxa"/>
            <w:tcBorders>
              <w:top w:val="nil"/>
              <w:left w:val="nil"/>
              <w:bottom w:val="single" w:sz="4" w:space="0" w:color="auto"/>
              <w:right w:val="single" w:sz="4" w:space="0" w:color="auto"/>
            </w:tcBorders>
            <w:shd w:val="clear" w:color="auto" w:fill="C6EFCE"/>
            <w:noWrap/>
          </w:tcPr>
          <w:p w14:paraId="1E09E4F9" w14:textId="77777777" w:rsidR="003F46B9" w:rsidRDefault="0065662E">
            <w:pPr>
              <w:pStyle w:val="P68B1DB1-Normal5"/>
              <w:spacing w:after="0" w:line="240" w:lineRule="auto"/>
              <w:jc w:val="both"/>
              <w:rPr>
                <w:rFonts w:cs="Times New Roman"/>
                <w:noProof/>
              </w:rPr>
            </w:pPr>
            <w:r>
              <w:rPr>
                <w:noProof/>
              </w:rPr>
              <w:t>Ulaganje 3.2. Utvrđivanje potencijalnih područja za strogu zaštitu prirodnih kopnenih i morskih staništa radi provedbe Strategije EU-a za bioraznolikost do 2030.</w:t>
            </w:r>
          </w:p>
        </w:tc>
        <w:tc>
          <w:tcPr>
            <w:tcW w:w="1278" w:type="dxa"/>
            <w:tcBorders>
              <w:top w:val="nil"/>
              <w:left w:val="nil"/>
              <w:bottom w:val="single" w:sz="4" w:space="0" w:color="auto"/>
              <w:right w:val="single" w:sz="4" w:space="0" w:color="auto"/>
            </w:tcBorders>
            <w:shd w:val="clear" w:color="auto" w:fill="C6EFCE"/>
            <w:noWrap/>
          </w:tcPr>
          <w:p w14:paraId="7CA1F467" w14:textId="77777777" w:rsidR="003F46B9" w:rsidRDefault="0065662E">
            <w:pPr>
              <w:pStyle w:val="P68B1DB1-Normal5"/>
              <w:spacing w:after="0" w:line="240" w:lineRule="auto"/>
              <w:jc w:val="center"/>
              <w:rPr>
                <w:rFonts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tcPr>
          <w:p w14:paraId="6C2A0C5A" w14:textId="77777777" w:rsidR="003F46B9" w:rsidRDefault="0065662E">
            <w:pPr>
              <w:pStyle w:val="P68B1DB1-Normal5"/>
              <w:spacing w:after="0" w:line="240" w:lineRule="auto"/>
              <w:jc w:val="both"/>
              <w:rPr>
                <w:rFonts w:cs="Times New Roman"/>
                <w:noProof/>
              </w:rPr>
            </w:pPr>
            <w:r>
              <w:rPr>
                <w:noProof/>
              </w:rPr>
              <w:t xml:space="preserve">Stupanje na snagu zakonodavnog akta o određivanju strogo zaštićenih </w:t>
            </w:r>
            <w:r>
              <w:rPr>
                <w:noProof/>
              </w:rPr>
              <w:t>područja (utvrđenih u zaštićenim područjima mreže Natura 2000 bez postojećih planova upravljanja i u drugim područjima)</w:t>
            </w:r>
          </w:p>
        </w:tc>
        <w:tc>
          <w:tcPr>
            <w:tcW w:w="1841" w:type="dxa"/>
            <w:tcBorders>
              <w:top w:val="nil"/>
              <w:left w:val="nil"/>
              <w:bottom w:val="single" w:sz="4" w:space="0" w:color="auto"/>
              <w:right w:val="single" w:sz="4" w:space="0" w:color="auto"/>
            </w:tcBorders>
            <w:shd w:val="clear" w:color="auto" w:fill="C6EFCE"/>
            <w:noWrap/>
          </w:tcPr>
          <w:p w14:paraId="2428B921" w14:textId="77777777" w:rsidR="003F46B9" w:rsidRDefault="0065662E">
            <w:pPr>
              <w:pStyle w:val="P68B1DB1-Normal5"/>
              <w:spacing w:after="0" w:line="240" w:lineRule="auto"/>
              <w:jc w:val="both"/>
              <w:rPr>
                <w:rFonts w:cs="Times New Roman"/>
                <w:noProof/>
              </w:rPr>
            </w:pPr>
            <w:r>
              <w:rPr>
                <w:noProof/>
              </w:rPr>
              <w:t>Zakonska odredba o stupanju na snagu zakonodavnog akta</w:t>
            </w:r>
          </w:p>
        </w:tc>
        <w:tc>
          <w:tcPr>
            <w:tcW w:w="1134" w:type="dxa"/>
            <w:tcBorders>
              <w:top w:val="nil"/>
              <w:left w:val="nil"/>
              <w:bottom w:val="single" w:sz="4" w:space="0" w:color="auto"/>
              <w:right w:val="single" w:sz="4" w:space="0" w:color="auto"/>
            </w:tcBorders>
            <w:shd w:val="clear" w:color="auto" w:fill="C6EFCE"/>
            <w:noWrap/>
          </w:tcPr>
          <w:p w14:paraId="4952F823" w14:textId="77777777" w:rsidR="003F46B9" w:rsidRDefault="003F46B9">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0F0625B1" w14:textId="77777777" w:rsidR="003F46B9" w:rsidRDefault="003F46B9">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79E0BC02"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D998838" w14:textId="77777777" w:rsidR="003F46B9" w:rsidRDefault="0065662E">
            <w:pPr>
              <w:pStyle w:val="P68B1DB1-Normal5"/>
              <w:spacing w:after="0" w:line="240" w:lineRule="auto"/>
              <w:jc w:val="both"/>
              <w:rPr>
                <w:rFonts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460BB0F9" w14:textId="77777777" w:rsidR="003F46B9" w:rsidRDefault="0065662E">
            <w:pPr>
              <w:pStyle w:val="P68B1DB1-Normal5"/>
              <w:spacing w:after="0" w:line="240" w:lineRule="auto"/>
              <w:jc w:val="both"/>
              <w:rPr>
                <w:rFonts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tcPr>
          <w:p w14:paraId="4991181F" w14:textId="77777777" w:rsidR="003F46B9" w:rsidRDefault="0065662E">
            <w:pPr>
              <w:pStyle w:val="P68B1DB1-Normal5"/>
              <w:spacing w:after="0" w:line="240" w:lineRule="auto"/>
              <w:jc w:val="both"/>
              <w:rPr>
                <w:rFonts w:cs="Times New Roman"/>
                <w:noProof/>
              </w:rPr>
            </w:pPr>
            <w:r>
              <w:rPr>
                <w:noProof/>
              </w:rPr>
              <w:t>Stupanje na snagu zakonodavnog akta o određivanju str</w:t>
            </w:r>
            <w:r>
              <w:rPr>
                <w:noProof/>
              </w:rPr>
              <w:t>ogo zaštićenih područja. Akt se temelji na analizama/studijama i mapiranju razgraničenja područja predloženih za neintervenciju (strogo zaštićena), koji su potrebni kako bi se potkrijepio prijedlog zakonodavnog akta na temelju Strategije EU-a za bioraznoli</w:t>
            </w:r>
            <w:r>
              <w:rPr>
                <w:noProof/>
              </w:rPr>
              <w:t>kost do 2030. Zakonodavnim aktom određuju se strogo zaštićena područja utvrđena u zaštićenim područjima mreže Natura 2000 bez postojećih planova upravljanja i u dodatnim područjima.</w:t>
            </w:r>
          </w:p>
        </w:tc>
      </w:tr>
      <w:tr w:rsidR="003F46B9" w14:paraId="5532D039"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5E64FB7" w14:textId="77777777" w:rsidR="003F46B9" w:rsidRDefault="0065662E">
            <w:pPr>
              <w:pStyle w:val="P68B1DB1-Normal5"/>
              <w:spacing w:after="0" w:line="240" w:lineRule="auto"/>
              <w:jc w:val="center"/>
              <w:rPr>
                <w:rFonts w:eastAsia="Times New Roman" w:cs="Times New Roman"/>
                <w:noProof/>
              </w:rPr>
            </w:pPr>
            <w:r>
              <w:rPr>
                <w:noProof/>
              </w:rPr>
              <w:t>36</w:t>
            </w:r>
          </w:p>
        </w:tc>
        <w:tc>
          <w:tcPr>
            <w:tcW w:w="1983" w:type="dxa"/>
            <w:tcBorders>
              <w:top w:val="nil"/>
              <w:left w:val="nil"/>
              <w:bottom w:val="single" w:sz="4" w:space="0" w:color="auto"/>
              <w:right w:val="single" w:sz="4" w:space="0" w:color="auto"/>
            </w:tcBorders>
            <w:shd w:val="clear" w:color="auto" w:fill="C6EFCE"/>
            <w:noWrap/>
          </w:tcPr>
          <w:p w14:paraId="7F8D0933" w14:textId="77777777" w:rsidR="003F46B9" w:rsidRDefault="0065662E">
            <w:pPr>
              <w:pStyle w:val="P68B1DB1-Normal5"/>
              <w:spacing w:after="0" w:line="240" w:lineRule="auto"/>
              <w:jc w:val="both"/>
              <w:rPr>
                <w:rFonts w:cs="Times New Roman"/>
                <w:noProof/>
              </w:rPr>
            </w:pPr>
            <w:r>
              <w:rPr>
                <w:noProof/>
              </w:rPr>
              <w:t xml:space="preserve">Ulaganje 4.1. Uklanjanje prepreka u vodotocima kako bi se olakšala </w:t>
            </w:r>
            <w:r>
              <w:rPr>
                <w:noProof/>
              </w:rPr>
              <w:t>obnova povezanosti ovisnih staništa i vrsta</w:t>
            </w:r>
          </w:p>
        </w:tc>
        <w:tc>
          <w:tcPr>
            <w:tcW w:w="1278" w:type="dxa"/>
            <w:tcBorders>
              <w:top w:val="nil"/>
              <w:left w:val="nil"/>
              <w:bottom w:val="single" w:sz="4" w:space="0" w:color="auto"/>
              <w:right w:val="single" w:sz="4" w:space="0" w:color="auto"/>
            </w:tcBorders>
            <w:shd w:val="clear" w:color="auto" w:fill="C6EFCE"/>
            <w:noWrap/>
          </w:tcPr>
          <w:p w14:paraId="60A6F50B" w14:textId="77777777" w:rsidR="003F46B9" w:rsidRDefault="0065662E">
            <w:pPr>
              <w:pStyle w:val="P68B1DB1-Normal5"/>
              <w:spacing w:after="0" w:line="240" w:lineRule="auto"/>
              <w:jc w:val="center"/>
              <w:rPr>
                <w:rFonts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tcPr>
          <w:p w14:paraId="0013893B" w14:textId="77777777" w:rsidR="003F46B9" w:rsidRDefault="0065662E">
            <w:pPr>
              <w:pStyle w:val="P68B1DB1-Normal5"/>
              <w:spacing w:after="0" w:line="240" w:lineRule="auto"/>
              <w:jc w:val="both"/>
              <w:rPr>
                <w:rFonts w:cs="Times New Roman"/>
                <w:noProof/>
              </w:rPr>
            </w:pPr>
            <w:r>
              <w:rPr>
                <w:noProof/>
              </w:rPr>
              <w:t>Obalna staništa s obnovljenom povezanošću</w:t>
            </w:r>
          </w:p>
        </w:tc>
        <w:tc>
          <w:tcPr>
            <w:tcW w:w="1841" w:type="dxa"/>
            <w:tcBorders>
              <w:top w:val="nil"/>
              <w:left w:val="nil"/>
              <w:bottom w:val="single" w:sz="4" w:space="0" w:color="auto"/>
              <w:right w:val="single" w:sz="4" w:space="0" w:color="auto"/>
            </w:tcBorders>
            <w:shd w:val="clear" w:color="auto" w:fill="C6EFCE"/>
            <w:noWrap/>
          </w:tcPr>
          <w:p w14:paraId="088454EF"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7BB06A7" w14:textId="77777777" w:rsidR="003F46B9" w:rsidRDefault="0065662E">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3CFB1425" w14:textId="77777777" w:rsidR="003F46B9" w:rsidRDefault="0065662E">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0740B127" w14:textId="77777777" w:rsidR="003F46B9" w:rsidRDefault="0065662E">
            <w:pPr>
              <w:pStyle w:val="P68B1DB1-Normal5"/>
              <w:spacing w:after="0" w:line="240" w:lineRule="auto"/>
              <w:jc w:val="both"/>
              <w:rPr>
                <w:rFonts w:cs="Times New Roman"/>
                <w:noProof/>
              </w:rPr>
            </w:pPr>
            <w:r>
              <w:rPr>
                <w:noProof/>
              </w:rPr>
              <w:t>1 700</w:t>
            </w:r>
          </w:p>
        </w:tc>
        <w:tc>
          <w:tcPr>
            <w:tcW w:w="1134" w:type="dxa"/>
            <w:tcBorders>
              <w:top w:val="nil"/>
              <w:left w:val="nil"/>
              <w:bottom w:val="single" w:sz="4" w:space="0" w:color="auto"/>
              <w:right w:val="single" w:sz="4" w:space="0" w:color="auto"/>
            </w:tcBorders>
            <w:shd w:val="clear" w:color="auto" w:fill="C6EFCE"/>
            <w:noWrap/>
          </w:tcPr>
          <w:p w14:paraId="57D8D33F"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342D0CED"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3F55AF4C" w14:textId="77777777" w:rsidR="003F46B9" w:rsidRDefault="0065662E">
            <w:pPr>
              <w:pStyle w:val="P68B1DB1-Normal5"/>
              <w:spacing w:after="0" w:line="240" w:lineRule="auto"/>
              <w:jc w:val="both"/>
              <w:rPr>
                <w:rFonts w:cs="Times New Roman"/>
                <w:noProof/>
              </w:rPr>
            </w:pPr>
            <w:r>
              <w:rPr>
                <w:noProof/>
              </w:rPr>
              <w:t>Obalna staništa s obnovljenom povezanošću (najmanje 1 700 ha)</w:t>
            </w:r>
          </w:p>
        </w:tc>
      </w:tr>
      <w:tr w:rsidR="003F46B9" w14:paraId="27C17CB1"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96AFDD7" w14:textId="77777777" w:rsidR="003F46B9" w:rsidRDefault="0065662E">
            <w:pPr>
              <w:pStyle w:val="P68B1DB1-Normal5"/>
              <w:spacing w:after="0" w:line="240" w:lineRule="auto"/>
              <w:jc w:val="center"/>
              <w:rPr>
                <w:rFonts w:eastAsia="Times New Roman" w:cs="Times New Roman"/>
                <w:noProof/>
              </w:rPr>
            </w:pPr>
            <w:r>
              <w:rPr>
                <w:noProof/>
              </w:rPr>
              <w:t>37</w:t>
            </w:r>
          </w:p>
        </w:tc>
        <w:tc>
          <w:tcPr>
            <w:tcW w:w="1983" w:type="dxa"/>
            <w:tcBorders>
              <w:top w:val="nil"/>
              <w:left w:val="nil"/>
              <w:bottom w:val="single" w:sz="4" w:space="0" w:color="auto"/>
              <w:right w:val="single" w:sz="4" w:space="0" w:color="auto"/>
            </w:tcBorders>
            <w:shd w:val="clear" w:color="auto" w:fill="C6EFCE"/>
            <w:noWrap/>
          </w:tcPr>
          <w:p w14:paraId="3898E07F" w14:textId="77777777" w:rsidR="003F46B9" w:rsidRDefault="0065662E">
            <w:pPr>
              <w:pStyle w:val="P68B1DB1-Normal5"/>
              <w:spacing w:after="0" w:line="240" w:lineRule="auto"/>
              <w:jc w:val="both"/>
              <w:rPr>
                <w:rFonts w:cs="Times New Roman"/>
                <w:noProof/>
              </w:rPr>
            </w:pPr>
            <w:r>
              <w:rPr>
                <w:noProof/>
              </w:rPr>
              <w:t xml:space="preserve">Ulaganje 4.2 Obnova travnjačkih staništa u zaštićenim prirodnim </w:t>
            </w:r>
            <w:r>
              <w:rPr>
                <w:noProof/>
              </w:rPr>
              <w:t>područjima</w:t>
            </w:r>
          </w:p>
        </w:tc>
        <w:tc>
          <w:tcPr>
            <w:tcW w:w="1278" w:type="dxa"/>
            <w:tcBorders>
              <w:top w:val="nil"/>
              <w:left w:val="nil"/>
              <w:bottom w:val="single" w:sz="4" w:space="0" w:color="auto"/>
              <w:right w:val="single" w:sz="4" w:space="0" w:color="auto"/>
            </w:tcBorders>
            <w:shd w:val="clear" w:color="auto" w:fill="C6EFCE"/>
            <w:noWrap/>
          </w:tcPr>
          <w:p w14:paraId="5BE9353D" w14:textId="77777777" w:rsidR="003F46B9" w:rsidRDefault="0065662E">
            <w:pPr>
              <w:pStyle w:val="P68B1DB1-Normal5"/>
              <w:spacing w:after="0" w:line="240" w:lineRule="auto"/>
              <w:jc w:val="center"/>
              <w:rPr>
                <w:rFonts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tcPr>
          <w:p w14:paraId="1CAC3B7B" w14:textId="77777777" w:rsidR="003F46B9" w:rsidRDefault="0065662E">
            <w:pPr>
              <w:pStyle w:val="P68B1DB1-Normal5"/>
              <w:spacing w:after="0" w:line="240" w:lineRule="auto"/>
              <w:jc w:val="both"/>
              <w:rPr>
                <w:rFonts w:cs="Times New Roman"/>
                <w:noProof/>
              </w:rPr>
            </w:pPr>
            <w:r>
              <w:rPr>
                <w:noProof/>
              </w:rPr>
              <w:t>Ekološki obnovljena staništa travnjaka</w:t>
            </w:r>
          </w:p>
        </w:tc>
        <w:tc>
          <w:tcPr>
            <w:tcW w:w="1841" w:type="dxa"/>
            <w:tcBorders>
              <w:top w:val="nil"/>
              <w:left w:val="nil"/>
              <w:bottom w:val="single" w:sz="4" w:space="0" w:color="auto"/>
              <w:right w:val="single" w:sz="4" w:space="0" w:color="auto"/>
            </w:tcBorders>
            <w:shd w:val="clear" w:color="auto" w:fill="C6EFCE"/>
            <w:noWrap/>
          </w:tcPr>
          <w:p w14:paraId="16729AC1"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5A79303" w14:textId="77777777" w:rsidR="003F46B9" w:rsidRDefault="0065662E">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48BFBD12" w14:textId="77777777" w:rsidR="003F46B9" w:rsidRDefault="0065662E">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7EC5335A" w14:textId="77777777" w:rsidR="003F46B9" w:rsidRDefault="0065662E">
            <w:pPr>
              <w:pStyle w:val="P68B1DB1-Normal5"/>
              <w:spacing w:after="0" w:line="240" w:lineRule="auto"/>
              <w:jc w:val="both"/>
              <w:rPr>
                <w:rFonts w:cs="Times New Roman"/>
                <w:noProof/>
              </w:rPr>
            </w:pPr>
            <w:r>
              <w:rPr>
                <w:noProof/>
              </w:rPr>
              <w:t>2 800</w:t>
            </w:r>
          </w:p>
        </w:tc>
        <w:tc>
          <w:tcPr>
            <w:tcW w:w="1134" w:type="dxa"/>
            <w:tcBorders>
              <w:top w:val="nil"/>
              <w:left w:val="nil"/>
              <w:bottom w:val="single" w:sz="4" w:space="0" w:color="auto"/>
              <w:right w:val="single" w:sz="4" w:space="0" w:color="auto"/>
            </w:tcBorders>
            <w:shd w:val="clear" w:color="auto" w:fill="C6EFCE"/>
            <w:noWrap/>
          </w:tcPr>
          <w:p w14:paraId="6E4FFF66"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0E05E810"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3A478F8" w14:textId="77777777" w:rsidR="003F46B9" w:rsidRDefault="0065662E">
            <w:pPr>
              <w:pStyle w:val="P68B1DB1-Normal5"/>
              <w:spacing w:after="0" w:line="240" w:lineRule="auto"/>
              <w:jc w:val="both"/>
              <w:rPr>
                <w:rFonts w:cs="Times New Roman"/>
                <w:noProof/>
              </w:rPr>
            </w:pPr>
            <w:r>
              <w:rPr>
                <w:noProof/>
              </w:rPr>
              <w:t>Ekološki obnovljena staništa travnjaka (najmanje 2 800 ha).</w:t>
            </w:r>
          </w:p>
        </w:tc>
      </w:tr>
      <w:tr w:rsidR="003F46B9" w14:paraId="481BC697"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44D9476D" w14:textId="77777777" w:rsidR="003F46B9" w:rsidRDefault="0065662E">
            <w:pPr>
              <w:pStyle w:val="P68B1DB1-Normal5"/>
              <w:spacing w:after="0" w:line="240" w:lineRule="auto"/>
              <w:jc w:val="center"/>
              <w:rPr>
                <w:rFonts w:eastAsia="Times New Roman" w:cs="Times New Roman"/>
                <w:noProof/>
              </w:rPr>
            </w:pPr>
            <w:r>
              <w:rPr>
                <w:noProof/>
              </w:rPr>
              <w:t>38</w:t>
            </w:r>
          </w:p>
        </w:tc>
        <w:tc>
          <w:tcPr>
            <w:tcW w:w="1983" w:type="dxa"/>
            <w:tcBorders>
              <w:top w:val="nil"/>
              <w:left w:val="nil"/>
              <w:bottom w:val="single" w:sz="4" w:space="0" w:color="auto"/>
              <w:right w:val="single" w:sz="4" w:space="0" w:color="auto"/>
            </w:tcBorders>
            <w:shd w:val="clear" w:color="auto" w:fill="C6EFCE"/>
            <w:noWrap/>
          </w:tcPr>
          <w:p w14:paraId="5E95F21E" w14:textId="77777777" w:rsidR="003F46B9" w:rsidRDefault="0065662E">
            <w:pPr>
              <w:pStyle w:val="P68B1DB1-Normal5"/>
              <w:spacing w:after="0" w:line="240" w:lineRule="auto"/>
              <w:jc w:val="both"/>
              <w:rPr>
                <w:rFonts w:cs="Times New Roman"/>
                <w:noProof/>
              </w:rPr>
            </w:pPr>
            <w:r>
              <w:rPr>
                <w:noProof/>
              </w:rPr>
              <w:t xml:space="preserve">Ulaganje 4.3. Debojizacija jezera delte Dunava kako bi se smanjila eutrofikacija i održala biološka raznolikost </w:t>
            </w:r>
          </w:p>
        </w:tc>
        <w:tc>
          <w:tcPr>
            <w:tcW w:w="1278" w:type="dxa"/>
            <w:tcBorders>
              <w:top w:val="nil"/>
              <w:left w:val="nil"/>
              <w:bottom w:val="single" w:sz="4" w:space="0" w:color="auto"/>
              <w:right w:val="single" w:sz="4" w:space="0" w:color="auto"/>
            </w:tcBorders>
            <w:shd w:val="clear" w:color="auto" w:fill="C6EFCE"/>
            <w:noWrap/>
          </w:tcPr>
          <w:p w14:paraId="39765AB7" w14:textId="77777777" w:rsidR="003F46B9" w:rsidRDefault="0065662E">
            <w:pPr>
              <w:pStyle w:val="P68B1DB1-Normal5"/>
              <w:spacing w:after="0" w:line="240" w:lineRule="auto"/>
              <w:jc w:val="center"/>
              <w:rPr>
                <w:rFonts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tcPr>
          <w:p w14:paraId="0C82F4F4" w14:textId="77777777" w:rsidR="003F46B9" w:rsidRDefault="0065662E">
            <w:pPr>
              <w:pStyle w:val="P68B1DB1-Normal5"/>
              <w:spacing w:after="0" w:line="240" w:lineRule="auto"/>
              <w:jc w:val="both"/>
              <w:rPr>
                <w:rFonts w:cs="Times New Roman"/>
                <w:noProof/>
              </w:rPr>
            </w:pPr>
            <w:r>
              <w:rPr>
                <w:noProof/>
              </w:rPr>
              <w:t xml:space="preserve">Područja jezera koja su imala koristi od uklanjanja vodenog bilja </w:t>
            </w:r>
          </w:p>
        </w:tc>
        <w:tc>
          <w:tcPr>
            <w:tcW w:w="1841" w:type="dxa"/>
            <w:tcBorders>
              <w:top w:val="nil"/>
              <w:left w:val="nil"/>
              <w:bottom w:val="single" w:sz="4" w:space="0" w:color="auto"/>
              <w:right w:val="single" w:sz="4" w:space="0" w:color="auto"/>
            </w:tcBorders>
            <w:shd w:val="clear" w:color="auto" w:fill="C6EFCE"/>
            <w:noWrap/>
          </w:tcPr>
          <w:p w14:paraId="16FBD949"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6CB722D" w14:textId="77777777" w:rsidR="003F46B9" w:rsidRDefault="0065662E">
            <w:pPr>
              <w:pStyle w:val="P68B1DB1-Normal5"/>
              <w:spacing w:after="0" w:line="240" w:lineRule="auto"/>
              <w:jc w:val="both"/>
              <w:rPr>
                <w:rFonts w:cs="Times New Roman"/>
                <w:noProof/>
              </w:rPr>
            </w:pPr>
            <w:r>
              <w:rPr>
                <w:noProof/>
              </w:rPr>
              <w:t>ha</w:t>
            </w:r>
          </w:p>
        </w:tc>
        <w:tc>
          <w:tcPr>
            <w:tcW w:w="1418" w:type="dxa"/>
            <w:tcBorders>
              <w:top w:val="nil"/>
              <w:left w:val="nil"/>
              <w:bottom w:val="single" w:sz="4" w:space="0" w:color="auto"/>
              <w:right w:val="single" w:sz="4" w:space="0" w:color="auto"/>
            </w:tcBorders>
            <w:shd w:val="clear" w:color="auto" w:fill="C6EFCE"/>
            <w:noWrap/>
          </w:tcPr>
          <w:p w14:paraId="55E80C14" w14:textId="77777777" w:rsidR="003F46B9" w:rsidRDefault="0065662E">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42242C0A" w14:textId="77777777" w:rsidR="003F46B9" w:rsidRDefault="0065662E">
            <w:pPr>
              <w:pStyle w:val="P68B1DB1-Normal5"/>
              <w:spacing w:after="0" w:line="240" w:lineRule="auto"/>
              <w:jc w:val="both"/>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00BA4E22"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0654214F"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648E7498" w14:textId="77777777" w:rsidR="003F46B9" w:rsidRDefault="0065662E">
            <w:pPr>
              <w:pStyle w:val="P68B1DB1-Normal5"/>
              <w:spacing w:after="0" w:line="240" w:lineRule="auto"/>
              <w:jc w:val="both"/>
              <w:rPr>
                <w:rFonts w:cs="Times New Roman"/>
                <w:noProof/>
              </w:rPr>
            </w:pPr>
            <w:r>
              <w:rPr>
                <w:noProof/>
              </w:rPr>
              <w:t>Područja jezera (najmanje 100 ha) koja su</w:t>
            </w:r>
            <w:r>
              <w:rPr>
                <w:noProof/>
              </w:rPr>
              <w:t xml:space="preserve"> imala koristi od uklanjanja vodenog bilja na temelju ažurirane studije izvedivosti (lipanj 2021.).</w:t>
            </w:r>
          </w:p>
        </w:tc>
      </w:tr>
      <w:tr w:rsidR="003F46B9" w14:paraId="1D2CD0DF"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6C9E6180" w14:textId="77777777" w:rsidR="003F46B9" w:rsidRDefault="0065662E">
            <w:pPr>
              <w:pStyle w:val="P68B1DB1-Normal5"/>
              <w:spacing w:after="0" w:line="240" w:lineRule="auto"/>
              <w:jc w:val="center"/>
              <w:rPr>
                <w:rFonts w:eastAsia="Times New Roman" w:cs="Times New Roman"/>
                <w:noProof/>
              </w:rPr>
            </w:pPr>
            <w:r>
              <w:rPr>
                <w:noProof/>
              </w:rPr>
              <w:t>39</w:t>
            </w:r>
          </w:p>
        </w:tc>
        <w:tc>
          <w:tcPr>
            <w:tcW w:w="1983" w:type="dxa"/>
            <w:tcBorders>
              <w:top w:val="nil"/>
              <w:left w:val="nil"/>
              <w:bottom w:val="single" w:sz="4" w:space="0" w:color="auto"/>
              <w:right w:val="single" w:sz="4" w:space="0" w:color="auto"/>
            </w:tcBorders>
            <w:shd w:val="clear" w:color="auto" w:fill="C6EFCE"/>
            <w:noWrap/>
          </w:tcPr>
          <w:p w14:paraId="130F52C1" w14:textId="77777777" w:rsidR="003F46B9" w:rsidRDefault="0065662E">
            <w:pPr>
              <w:pStyle w:val="P68B1DB1-Normal5"/>
              <w:spacing w:after="0" w:line="240" w:lineRule="auto"/>
              <w:jc w:val="both"/>
              <w:rPr>
                <w:rFonts w:cs="Times New Roman"/>
                <w:noProof/>
              </w:rPr>
            </w:pPr>
            <w:r>
              <w:rPr>
                <w:noProof/>
              </w:rPr>
              <w:t>Ulaganje 4.4. Provedba sustava praćenja divljih jesetre duž donjeg Dunava</w:t>
            </w:r>
          </w:p>
        </w:tc>
        <w:tc>
          <w:tcPr>
            <w:tcW w:w="1278" w:type="dxa"/>
            <w:tcBorders>
              <w:top w:val="nil"/>
              <w:left w:val="nil"/>
              <w:bottom w:val="single" w:sz="4" w:space="0" w:color="auto"/>
              <w:right w:val="single" w:sz="4" w:space="0" w:color="auto"/>
            </w:tcBorders>
            <w:shd w:val="clear" w:color="auto" w:fill="C6EFCE"/>
            <w:noWrap/>
          </w:tcPr>
          <w:p w14:paraId="4DE67547" w14:textId="77777777" w:rsidR="003F46B9" w:rsidRDefault="0065662E">
            <w:pPr>
              <w:pStyle w:val="P68B1DB1-Normal5"/>
              <w:spacing w:after="0" w:line="240" w:lineRule="auto"/>
              <w:jc w:val="center"/>
              <w:rPr>
                <w:rFonts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tcPr>
          <w:p w14:paraId="1D2E035B" w14:textId="77777777" w:rsidR="003F46B9" w:rsidRDefault="0065662E">
            <w:pPr>
              <w:pStyle w:val="P68B1DB1-Normal5"/>
              <w:spacing w:after="0" w:line="240" w:lineRule="auto"/>
              <w:jc w:val="both"/>
              <w:rPr>
                <w:rFonts w:cs="Times New Roman"/>
                <w:noProof/>
              </w:rPr>
            </w:pPr>
            <w:r>
              <w:rPr>
                <w:noProof/>
              </w:rPr>
              <w:t xml:space="preserve">Mreža za praćenje, komunikaciju i prijenos podataka o divljim jesetrima operativna </w:t>
            </w:r>
          </w:p>
        </w:tc>
        <w:tc>
          <w:tcPr>
            <w:tcW w:w="1841" w:type="dxa"/>
            <w:tcBorders>
              <w:top w:val="nil"/>
              <w:left w:val="nil"/>
              <w:bottom w:val="single" w:sz="4" w:space="0" w:color="auto"/>
              <w:right w:val="single" w:sz="4" w:space="0" w:color="auto"/>
            </w:tcBorders>
            <w:shd w:val="clear" w:color="auto" w:fill="C6EFCE"/>
            <w:noWrap/>
          </w:tcPr>
          <w:p w14:paraId="09437661" w14:textId="77777777" w:rsidR="003F46B9" w:rsidRDefault="0065662E">
            <w:pPr>
              <w:pStyle w:val="P68B1DB1-Normal5"/>
              <w:spacing w:after="0" w:line="240" w:lineRule="auto"/>
              <w:jc w:val="both"/>
              <w:rPr>
                <w:rFonts w:cs="Times New Roman"/>
                <w:noProof/>
              </w:rPr>
            </w:pPr>
            <w:r>
              <w:rPr>
                <w:noProof/>
              </w:rPr>
              <w:t> Mreža je operativna</w:t>
            </w:r>
          </w:p>
        </w:tc>
        <w:tc>
          <w:tcPr>
            <w:tcW w:w="1134" w:type="dxa"/>
            <w:tcBorders>
              <w:top w:val="nil"/>
              <w:left w:val="nil"/>
              <w:bottom w:val="single" w:sz="4" w:space="0" w:color="auto"/>
              <w:right w:val="single" w:sz="4" w:space="0" w:color="auto"/>
            </w:tcBorders>
            <w:shd w:val="clear" w:color="auto" w:fill="C6EFCE"/>
            <w:noWrap/>
          </w:tcPr>
          <w:p w14:paraId="7C21232D" w14:textId="77777777" w:rsidR="003F46B9" w:rsidRDefault="003F46B9">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1E4F818A" w14:textId="77777777" w:rsidR="003F46B9" w:rsidRDefault="003F46B9">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6B295F46"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D38FFF6"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7EC039D5" w14:textId="66A0948B" w:rsidR="003F46B9" w:rsidRDefault="0065662E">
            <w:pPr>
              <w:pStyle w:val="P68B1DB1-Normal5"/>
              <w:spacing w:after="0" w:line="240" w:lineRule="auto"/>
              <w:jc w:val="both"/>
              <w:rPr>
                <w:rFonts w:cs="Times New Roman"/>
                <w:noProof/>
              </w:rPr>
            </w:pPr>
            <w:r>
              <w:rPr>
                <w:noProof/>
              </w:rPr>
              <w:t>2025</w:t>
            </w:r>
          </w:p>
        </w:tc>
        <w:tc>
          <w:tcPr>
            <w:tcW w:w="3174" w:type="dxa"/>
            <w:tcBorders>
              <w:top w:val="nil"/>
              <w:left w:val="nil"/>
              <w:bottom w:val="single" w:sz="4" w:space="0" w:color="auto"/>
              <w:right w:val="single" w:sz="4" w:space="0" w:color="auto"/>
            </w:tcBorders>
            <w:shd w:val="clear" w:color="auto" w:fill="C6EFCE"/>
            <w:noWrap/>
          </w:tcPr>
          <w:p w14:paraId="2F77ACCC" w14:textId="70D65926" w:rsidR="003F46B9" w:rsidRDefault="0065662E">
            <w:pPr>
              <w:pStyle w:val="P68B1DB1-Normal5"/>
              <w:spacing w:after="0" w:line="240" w:lineRule="auto"/>
              <w:jc w:val="both"/>
              <w:rPr>
                <w:rFonts w:cs="Times New Roman"/>
                <w:noProof/>
              </w:rPr>
            </w:pPr>
            <w:r>
              <w:rPr>
                <w:noProof/>
              </w:rPr>
              <w:t>Operativna mreža za praćenje, komunikaciju i prijenos podataka o divljim jesetrima. Mjerama se razvija sustav praćenja divljih jese</w:t>
            </w:r>
            <w:r>
              <w:rPr>
                <w:noProof/>
              </w:rPr>
              <w:t>tre duž donjeg Dunava (1 500 km), zajedno s umjetnom inteligencijom, u cilju borbe protiv krivolova. Kako bi se osigurala usklađenost s tehničkim smjernicama o primjeni načela nenanošenja bitne štete (2021/C 58/01), vozila koja se kupuju moraju imati speci</w:t>
            </w:r>
            <w:r>
              <w:rPr>
                <w:noProof/>
              </w:rPr>
              <w:t xml:space="preserve">fične emisije CO2, kako su definirane u članku 3. stavku 1. točki (h) Uredbe (EU) 2019/631, koje su niže od 50 g CO2/km. Mjerni brodovi koji se kupuju moraju odgovarati najboljoj dostupnoj tehnologiji sa stajališta okoliša. </w:t>
            </w:r>
          </w:p>
        </w:tc>
      </w:tr>
      <w:tr w:rsidR="003F46B9" w14:paraId="3A05E3C4"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5B55CEC8" w14:textId="77777777" w:rsidR="003F46B9" w:rsidRDefault="0065662E">
            <w:pPr>
              <w:pStyle w:val="P68B1DB1-Normal5"/>
              <w:spacing w:after="0" w:line="240" w:lineRule="auto"/>
              <w:jc w:val="center"/>
              <w:rPr>
                <w:rFonts w:eastAsia="Times New Roman" w:cs="Times New Roman"/>
                <w:noProof/>
              </w:rPr>
            </w:pPr>
            <w:r>
              <w:rPr>
                <w:noProof/>
              </w:rPr>
              <w:t>40</w:t>
            </w:r>
          </w:p>
        </w:tc>
        <w:tc>
          <w:tcPr>
            <w:tcW w:w="1983" w:type="dxa"/>
            <w:tcBorders>
              <w:top w:val="nil"/>
              <w:left w:val="nil"/>
              <w:bottom w:val="single" w:sz="4" w:space="0" w:color="auto"/>
              <w:right w:val="single" w:sz="4" w:space="0" w:color="auto"/>
            </w:tcBorders>
            <w:shd w:val="clear" w:color="auto" w:fill="C6EFCE"/>
            <w:noWrap/>
          </w:tcPr>
          <w:p w14:paraId="05EAAB59" w14:textId="77777777" w:rsidR="003F46B9" w:rsidRDefault="0065662E">
            <w:pPr>
              <w:pStyle w:val="P68B1DB1-Normal5"/>
              <w:spacing w:after="0" w:line="240" w:lineRule="auto"/>
              <w:jc w:val="both"/>
              <w:rPr>
                <w:rFonts w:cs="Times New Roman"/>
                <w:noProof/>
              </w:rPr>
            </w:pPr>
            <w:r>
              <w:rPr>
                <w:noProof/>
              </w:rPr>
              <w:t xml:space="preserve">Ulaganje 4.5. </w:t>
            </w:r>
            <w:r>
              <w:rPr>
                <w:noProof/>
              </w:rPr>
              <w:t>Rekonfiguracija javne infrastrukture za pristup delti Dunava i njezin posjet kako bi se smanjio pritisak turizma na staništa i vrste</w:t>
            </w:r>
          </w:p>
        </w:tc>
        <w:tc>
          <w:tcPr>
            <w:tcW w:w="1278" w:type="dxa"/>
            <w:tcBorders>
              <w:top w:val="nil"/>
              <w:left w:val="nil"/>
              <w:bottom w:val="single" w:sz="4" w:space="0" w:color="auto"/>
              <w:right w:val="single" w:sz="4" w:space="0" w:color="auto"/>
            </w:tcBorders>
            <w:shd w:val="clear" w:color="auto" w:fill="C6EFCE"/>
            <w:noWrap/>
          </w:tcPr>
          <w:p w14:paraId="16BC1CE6" w14:textId="77777777" w:rsidR="003F46B9" w:rsidRDefault="0065662E">
            <w:pPr>
              <w:pStyle w:val="P68B1DB1-Normal5"/>
              <w:spacing w:after="0" w:line="240" w:lineRule="auto"/>
              <w:jc w:val="center"/>
              <w:rPr>
                <w:rFonts w:cs="Times New Roman"/>
                <w:noProof/>
              </w:rPr>
            </w:pPr>
            <w:r>
              <w:rPr>
                <w:noProof/>
              </w:rPr>
              <w:t>Ciljna</w:t>
            </w:r>
          </w:p>
        </w:tc>
        <w:tc>
          <w:tcPr>
            <w:tcW w:w="1709" w:type="dxa"/>
            <w:tcBorders>
              <w:top w:val="nil"/>
              <w:left w:val="nil"/>
              <w:bottom w:val="single" w:sz="4" w:space="0" w:color="auto"/>
              <w:right w:val="single" w:sz="4" w:space="0" w:color="auto"/>
            </w:tcBorders>
            <w:shd w:val="clear" w:color="auto" w:fill="C6EFCE"/>
            <w:noWrap/>
          </w:tcPr>
          <w:p w14:paraId="49AD536F" w14:textId="77777777" w:rsidR="003F46B9" w:rsidRDefault="0065662E">
            <w:pPr>
              <w:pStyle w:val="P68B1DB1-Normal5"/>
              <w:spacing w:after="0" w:line="240" w:lineRule="auto"/>
              <w:jc w:val="both"/>
              <w:rPr>
                <w:rFonts w:cs="Times New Roman"/>
                <w:noProof/>
              </w:rPr>
            </w:pPr>
            <w:r>
              <w:rPr>
                <w:noProof/>
              </w:rPr>
              <w:t>Gostujući centri izgrađeni kako bi se ublažio pritisak turizma na staništa</w:t>
            </w:r>
          </w:p>
        </w:tc>
        <w:tc>
          <w:tcPr>
            <w:tcW w:w="1841" w:type="dxa"/>
            <w:tcBorders>
              <w:top w:val="nil"/>
              <w:left w:val="nil"/>
              <w:bottom w:val="single" w:sz="4" w:space="0" w:color="auto"/>
              <w:right w:val="single" w:sz="4" w:space="0" w:color="auto"/>
            </w:tcBorders>
            <w:shd w:val="clear" w:color="auto" w:fill="C6EFCE"/>
            <w:noWrap/>
          </w:tcPr>
          <w:p w14:paraId="1966A5CA"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11F2EF68" w14:textId="77777777" w:rsidR="003F46B9" w:rsidRDefault="0065662E">
            <w:pPr>
              <w:pStyle w:val="P68B1DB1-Normal5"/>
              <w:spacing w:after="0" w:line="240" w:lineRule="auto"/>
              <w:jc w:val="both"/>
              <w:rPr>
                <w:rFonts w:cs="Times New Roman"/>
                <w:noProof/>
              </w:rPr>
            </w:pPr>
            <w:r>
              <w:rPr>
                <w:noProof/>
              </w:rPr>
              <w:t>Broj</w:t>
            </w:r>
          </w:p>
        </w:tc>
        <w:tc>
          <w:tcPr>
            <w:tcW w:w="1418" w:type="dxa"/>
            <w:tcBorders>
              <w:top w:val="nil"/>
              <w:left w:val="nil"/>
              <w:bottom w:val="single" w:sz="4" w:space="0" w:color="auto"/>
              <w:right w:val="single" w:sz="4" w:space="0" w:color="auto"/>
            </w:tcBorders>
            <w:shd w:val="clear" w:color="auto" w:fill="C6EFCE"/>
            <w:noWrap/>
          </w:tcPr>
          <w:p w14:paraId="2FD72506" w14:textId="77777777" w:rsidR="003F46B9" w:rsidRDefault="0065662E">
            <w:pPr>
              <w:pStyle w:val="P68B1DB1-Normal5"/>
              <w:spacing w:after="0" w:line="240" w:lineRule="auto"/>
              <w:jc w:val="both"/>
              <w:rPr>
                <w:rFonts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6BB43284" w14:textId="77777777" w:rsidR="003F46B9" w:rsidRDefault="0065662E">
            <w:pPr>
              <w:pStyle w:val="P68B1DB1-Normal5"/>
              <w:spacing w:after="0" w:line="240" w:lineRule="auto"/>
              <w:jc w:val="both"/>
              <w:rPr>
                <w:rFonts w:cs="Times New Roman"/>
                <w:noProof/>
              </w:rPr>
            </w:pPr>
            <w:r>
              <w:rPr>
                <w:noProof/>
              </w:rPr>
              <w:t>10</w:t>
            </w:r>
          </w:p>
        </w:tc>
        <w:tc>
          <w:tcPr>
            <w:tcW w:w="1134" w:type="dxa"/>
            <w:tcBorders>
              <w:top w:val="nil"/>
              <w:left w:val="nil"/>
              <w:bottom w:val="single" w:sz="4" w:space="0" w:color="auto"/>
              <w:right w:val="single" w:sz="4" w:space="0" w:color="auto"/>
            </w:tcBorders>
            <w:shd w:val="clear" w:color="auto" w:fill="C6EFCE"/>
            <w:noWrap/>
          </w:tcPr>
          <w:p w14:paraId="7B02DBE6"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37BB00C3"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C191C92" w14:textId="77777777" w:rsidR="003F46B9" w:rsidRDefault="0065662E">
            <w:pPr>
              <w:pStyle w:val="P68B1DB1-Normal5"/>
              <w:spacing w:after="0" w:line="240" w:lineRule="auto"/>
              <w:jc w:val="both"/>
              <w:rPr>
                <w:rFonts w:cs="Times New Roman"/>
                <w:noProof/>
              </w:rPr>
            </w:pPr>
            <w:r>
              <w:rPr>
                <w:noProof/>
              </w:rPr>
              <w:t>Izgrađeno je</w:t>
            </w:r>
            <w:r>
              <w:rPr>
                <w:noProof/>
              </w:rPr>
              <w:t xml:space="preserve"> 10 centara za posjete, čiji je cilj ublažiti pritisak turizma na staništa usmjeravanjem i praćenjem turističkih tokova prema mreži od 10 gostujućih centara povezanih s 40 točaka za promatranje koje su odgovarajuće opremljene i opremljene za potrebe svih k</w:t>
            </w:r>
            <w:r>
              <w:rPr>
                <w:noProof/>
              </w:rPr>
              <w:t xml:space="preserve">ategorija posjetitelja. </w:t>
            </w:r>
          </w:p>
          <w:p w14:paraId="0A69DDD1" w14:textId="77777777" w:rsidR="003F46B9" w:rsidRDefault="0065662E">
            <w:pPr>
              <w:pStyle w:val="P68B1DB1-Normal5"/>
              <w:spacing w:after="0" w:line="240" w:lineRule="auto"/>
              <w:jc w:val="both"/>
              <w:rPr>
                <w:rFonts w:cs="Times New Roman"/>
                <w:noProof/>
              </w:rPr>
            </w:pPr>
            <w:r>
              <w:rPr>
                <w:noProof/>
              </w:rPr>
              <w:t xml:space="preserve">Lokacije se odabiru u skladu s kriterijima iz Plana upravljanja rezervacijom delte Dunava, koji je trenutačno u postupku revizije. </w:t>
            </w:r>
          </w:p>
          <w:p w14:paraId="1A6F4710" w14:textId="77777777" w:rsidR="003F46B9" w:rsidRDefault="0065662E">
            <w:pPr>
              <w:pStyle w:val="P68B1DB1-Normal5"/>
              <w:spacing w:after="0" w:line="240" w:lineRule="auto"/>
              <w:jc w:val="both"/>
              <w:rPr>
                <w:rFonts w:cs="Times New Roman"/>
                <w:noProof/>
              </w:rPr>
            </w:pPr>
            <w:r>
              <w:rPr>
                <w:noProof/>
              </w:rPr>
              <w:t>U izgradnji gostujućih centara upotrebljavaju se tehnologije prihvatljive za okoliš, pristupi uteme</w:t>
            </w:r>
            <w:r>
              <w:rPr>
                <w:noProof/>
              </w:rPr>
              <w:t>ljeni na ekosustavu i materijali na tradicionalan način za arhitekturu zajednice delte Dunava.</w:t>
            </w:r>
          </w:p>
        </w:tc>
      </w:tr>
      <w:tr w:rsidR="003F46B9" w14:paraId="73E0F235"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0EFF9D77" w14:textId="77777777" w:rsidR="003F46B9" w:rsidRDefault="0065662E">
            <w:pPr>
              <w:pStyle w:val="P68B1DB1-Normal5"/>
              <w:spacing w:after="0" w:line="240" w:lineRule="auto"/>
              <w:jc w:val="center"/>
              <w:rPr>
                <w:rFonts w:eastAsia="Times New Roman" w:cs="Times New Roman"/>
                <w:noProof/>
              </w:rPr>
            </w:pPr>
            <w:r>
              <w:rPr>
                <w:noProof/>
              </w:rPr>
              <w:t>41</w:t>
            </w:r>
          </w:p>
        </w:tc>
        <w:tc>
          <w:tcPr>
            <w:tcW w:w="1983" w:type="dxa"/>
            <w:tcBorders>
              <w:top w:val="nil"/>
              <w:left w:val="nil"/>
              <w:bottom w:val="single" w:sz="4" w:space="0" w:color="auto"/>
              <w:right w:val="single" w:sz="4" w:space="0" w:color="auto"/>
            </w:tcBorders>
            <w:shd w:val="clear" w:color="auto" w:fill="C6EFCE"/>
            <w:noWrap/>
          </w:tcPr>
          <w:p w14:paraId="7F4887BD" w14:textId="77777777" w:rsidR="003F46B9" w:rsidRDefault="0065662E">
            <w:pPr>
              <w:pStyle w:val="P68B1DB1-Normal5"/>
              <w:spacing w:after="0" w:line="240" w:lineRule="auto"/>
              <w:jc w:val="both"/>
              <w:rPr>
                <w:rFonts w:cs="Times New Roman"/>
                <w:noProof/>
              </w:rPr>
            </w:pPr>
            <w:r>
              <w:rPr>
                <w:noProof/>
              </w:rPr>
              <w:t xml:space="preserve">Ulaganje 5. Integrirani sustavi za ublažavanje rizika od poplava u šumskim riječnim slivovima </w:t>
            </w:r>
          </w:p>
        </w:tc>
        <w:tc>
          <w:tcPr>
            <w:tcW w:w="1278" w:type="dxa"/>
            <w:tcBorders>
              <w:top w:val="nil"/>
              <w:left w:val="nil"/>
              <w:bottom w:val="single" w:sz="4" w:space="0" w:color="auto"/>
              <w:right w:val="single" w:sz="4" w:space="0" w:color="auto"/>
            </w:tcBorders>
            <w:shd w:val="clear" w:color="auto" w:fill="C6EFCE"/>
            <w:noWrap/>
          </w:tcPr>
          <w:p w14:paraId="1C8C4FA1" w14:textId="77777777" w:rsidR="003F46B9" w:rsidRDefault="0065662E">
            <w:pPr>
              <w:pStyle w:val="P68B1DB1-Normal5"/>
              <w:spacing w:after="0" w:line="240" w:lineRule="auto"/>
              <w:jc w:val="center"/>
              <w:rPr>
                <w:rFonts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tcPr>
          <w:p w14:paraId="4DD7919A" w14:textId="77777777" w:rsidR="003F46B9" w:rsidRDefault="0065662E">
            <w:pPr>
              <w:pStyle w:val="P68B1DB1-Normal5"/>
              <w:spacing w:after="0" w:line="240" w:lineRule="auto"/>
              <w:jc w:val="both"/>
              <w:rPr>
                <w:rFonts w:cs="Times New Roman"/>
                <w:noProof/>
              </w:rPr>
            </w:pPr>
            <w:r>
              <w:rPr>
                <w:noProof/>
              </w:rPr>
              <w:t>Donošenje nacrta projekta</w:t>
            </w:r>
          </w:p>
        </w:tc>
        <w:tc>
          <w:tcPr>
            <w:tcW w:w="1841" w:type="dxa"/>
            <w:tcBorders>
              <w:top w:val="nil"/>
              <w:left w:val="nil"/>
              <w:bottom w:val="single" w:sz="4" w:space="0" w:color="auto"/>
              <w:right w:val="single" w:sz="4" w:space="0" w:color="auto"/>
            </w:tcBorders>
            <w:shd w:val="clear" w:color="auto" w:fill="C6EFCE"/>
            <w:noWrap/>
          </w:tcPr>
          <w:p w14:paraId="61F9B109" w14:textId="77777777" w:rsidR="003F46B9" w:rsidRDefault="0065662E">
            <w:pPr>
              <w:pStyle w:val="P68B1DB1-Normal5"/>
              <w:spacing w:after="0" w:line="240" w:lineRule="auto"/>
              <w:jc w:val="both"/>
              <w:rPr>
                <w:rFonts w:cs="Times New Roman"/>
                <w:noProof/>
              </w:rPr>
            </w:pPr>
            <w:r>
              <w:rPr>
                <w:noProof/>
              </w:rPr>
              <w:t xml:space="preserve">Donošenje nacrta projekta </w:t>
            </w:r>
          </w:p>
        </w:tc>
        <w:tc>
          <w:tcPr>
            <w:tcW w:w="1134" w:type="dxa"/>
            <w:tcBorders>
              <w:top w:val="nil"/>
              <w:left w:val="nil"/>
              <w:bottom w:val="single" w:sz="4" w:space="0" w:color="auto"/>
              <w:right w:val="single" w:sz="4" w:space="0" w:color="auto"/>
            </w:tcBorders>
            <w:shd w:val="clear" w:color="auto" w:fill="C6EFCE"/>
            <w:noWrap/>
          </w:tcPr>
          <w:p w14:paraId="43099C48" w14:textId="77777777" w:rsidR="003F46B9" w:rsidRDefault="003F46B9">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62BD5337" w14:textId="77777777" w:rsidR="003F46B9" w:rsidRDefault="003F46B9">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142E55C0"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09C6863"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1B5D7C4D" w14:textId="77777777" w:rsidR="003F46B9" w:rsidRDefault="0065662E">
            <w:pPr>
              <w:pStyle w:val="P68B1DB1-Normal5"/>
              <w:spacing w:after="0" w:line="240" w:lineRule="auto"/>
              <w:jc w:val="both"/>
              <w:rPr>
                <w:rFonts w:cs="Times New Roman"/>
                <w:noProof/>
              </w:rPr>
            </w:pPr>
            <w:r>
              <w:rPr>
                <w:noProof/>
              </w:rPr>
              <w:t>2023</w:t>
            </w:r>
          </w:p>
        </w:tc>
        <w:tc>
          <w:tcPr>
            <w:tcW w:w="3174" w:type="dxa"/>
            <w:tcBorders>
              <w:top w:val="nil"/>
              <w:left w:val="nil"/>
              <w:bottom w:val="single" w:sz="4" w:space="0" w:color="auto"/>
              <w:right w:val="single" w:sz="4" w:space="0" w:color="auto"/>
            </w:tcBorders>
            <w:shd w:val="clear" w:color="auto" w:fill="C6EFCE"/>
            <w:noWrap/>
          </w:tcPr>
          <w:p w14:paraId="6C7663BF" w14:textId="77777777" w:rsidR="003F46B9" w:rsidRDefault="0065662E">
            <w:pPr>
              <w:pStyle w:val="P68B1DB1-Normal5"/>
              <w:spacing w:after="0" w:line="240" w:lineRule="auto"/>
              <w:jc w:val="both"/>
              <w:rPr>
                <w:rFonts w:cs="Times New Roman"/>
                <w:noProof/>
              </w:rPr>
            </w:pPr>
            <w:r>
              <w:rPr>
                <w:noProof/>
              </w:rPr>
              <w:t>Mora se usvojiti projekt modernizacije zaštite od poplava. On obuhvaća:</w:t>
            </w:r>
          </w:p>
          <w:p w14:paraId="14DD850F" w14:textId="77777777" w:rsidR="003F46B9" w:rsidRDefault="0065662E">
            <w:pPr>
              <w:pStyle w:val="P68B1DB1-ListParagraph13"/>
              <w:numPr>
                <w:ilvl w:val="0"/>
                <w:numId w:val="6"/>
              </w:numPr>
              <w:spacing w:after="0" w:line="240" w:lineRule="auto"/>
              <w:ind w:left="173" w:hanging="218"/>
              <w:jc w:val="both"/>
              <w:rPr>
                <w:rFonts w:cs="Times New Roman"/>
                <w:noProof/>
              </w:rPr>
            </w:pPr>
            <w:r>
              <w:rPr>
                <w:noProof/>
              </w:rPr>
              <w:t>Obnova najmanje 6 oštećenih aluvijskih struktura za zadržavanje kako bi se ugradile uzdužne mjere (ribarske ljestve prema potrebi i ekolo</w:t>
            </w:r>
            <w:r>
              <w:rPr>
                <w:noProof/>
              </w:rPr>
              <w:t>ški protok);</w:t>
            </w:r>
          </w:p>
          <w:p w14:paraId="11464EDE" w14:textId="77777777" w:rsidR="003F46B9" w:rsidRDefault="0065662E">
            <w:pPr>
              <w:pStyle w:val="P68B1DB1-ListParagraph13"/>
              <w:numPr>
                <w:ilvl w:val="0"/>
                <w:numId w:val="6"/>
              </w:numPr>
              <w:spacing w:after="0" w:line="240" w:lineRule="auto"/>
              <w:ind w:left="173" w:hanging="218"/>
              <w:jc w:val="both"/>
              <w:rPr>
                <w:rFonts w:cs="Times New Roman"/>
                <w:noProof/>
              </w:rPr>
            </w:pPr>
            <w:r>
              <w:rPr>
                <w:noProof/>
              </w:rPr>
              <w:t>Izgradnja najmanje 30 novih aluvijalnih struktura, uključujući riblje ljestve i ekološki protok, s najvećom visinom od 5 m;</w:t>
            </w:r>
          </w:p>
          <w:p w14:paraId="514C59E3" w14:textId="77777777" w:rsidR="003F46B9" w:rsidRDefault="0065662E">
            <w:pPr>
              <w:pStyle w:val="P68B1DB1-ListParagraph13"/>
              <w:numPr>
                <w:ilvl w:val="0"/>
                <w:numId w:val="6"/>
              </w:numPr>
              <w:spacing w:after="0" w:line="240" w:lineRule="auto"/>
              <w:ind w:left="173" w:hanging="218"/>
              <w:jc w:val="both"/>
              <w:rPr>
                <w:rFonts w:cs="Times New Roman"/>
                <w:noProof/>
              </w:rPr>
            </w:pPr>
            <w:r>
              <w:rPr>
                <w:noProof/>
              </w:rPr>
              <w:t>Najmanje 4 ha zemljišta obnovljenog ponovnim pošumljavanjem, korjenjem ili izgradnjom ograda za širinu;</w:t>
            </w:r>
          </w:p>
          <w:p w14:paraId="79213EFD" w14:textId="77777777" w:rsidR="003F46B9" w:rsidRDefault="0065662E">
            <w:pPr>
              <w:pStyle w:val="P68B1DB1-ListParagraph13"/>
              <w:numPr>
                <w:ilvl w:val="0"/>
                <w:numId w:val="6"/>
              </w:numPr>
              <w:spacing w:after="0" w:line="240" w:lineRule="auto"/>
              <w:ind w:left="173" w:hanging="218"/>
              <w:jc w:val="both"/>
              <w:rPr>
                <w:rFonts w:cs="Times New Roman"/>
                <w:noProof/>
              </w:rPr>
            </w:pPr>
            <w:r>
              <w:rPr>
                <w:noProof/>
              </w:rPr>
              <w:t xml:space="preserve">najmanje 30 km </w:t>
            </w:r>
            <w:r>
              <w:rPr>
                <w:noProof/>
              </w:rPr>
              <w:t>torrentnog kreveta vraćeno.</w:t>
            </w:r>
          </w:p>
          <w:p w14:paraId="0B7A74D6" w14:textId="77777777" w:rsidR="003F46B9" w:rsidRDefault="0065662E">
            <w:pPr>
              <w:pStyle w:val="P68B1DB1-Normal5"/>
              <w:spacing w:after="0" w:line="240" w:lineRule="auto"/>
              <w:jc w:val="both"/>
              <w:rPr>
                <w:rFonts w:cs="Times New Roman"/>
                <w:noProof/>
              </w:rPr>
            </w:pPr>
            <w:r>
              <w:rPr>
                <w:noProof/>
              </w:rPr>
              <w:t xml:space="preserve">Sve mjere utvrđene u okviru procjene u skladu s Direktivom 2000/60/EZ (Okvirna direktiva o vodama) koje su potrebne kako bi se osigurala usklađenost s Tehničkim smjernicama o nenanošenju bitne štete (2021/C58/01) uključuju se u </w:t>
            </w:r>
            <w:r>
              <w:rPr>
                <w:noProof/>
              </w:rPr>
              <w:t>projekt projekta i strogo se poštuju u fazama izgradnje, modernizacije, rada i stavljanja izvan pogona. Mora se izbjegavati pogoršanje ekološkog stanja zahvaćenih vodnih tijela, a mjerom se ne smije spriječiti poboljšanje ekološkog stanja ili potencijala z</w:t>
            </w:r>
            <w:r>
              <w:rPr>
                <w:noProof/>
              </w:rPr>
              <w:t xml:space="preserve">ahvaćenih vodnih tijela. </w:t>
            </w:r>
          </w:p>
        </w:tc>
      </w:tr>
      <w:tr w:rsidR="003F46B9" w14:paraId="4A0DF9FA" w14:textId="77777777">
        <w:trPr>
          <w:trHeight w:val="313"/>
          <w:jc w:val="center"/>
        </w:trPr>
        <w:tc>
          <w:tcPr>
            <w:tcW w:w="839" w:type="dxa"/>
            <w:tcBorders>
              <w:top w:val="nil"/>
              <w:left w:val="single" w:sz="4" w:space="0" w:color="auto"/>
              <w:bottom w:val="single" w:sz="4" w:space="0" w:color="auto"/>
              <w:right w:val="single" w:sz="4" w:space="0" w:color="auto"/>
            </w:tcBorders>
            <w:shd w:val="clear" w:color="auto" w:fill="C6EFCE"/>
            <w:noWrap/>
          </w:tcPr>
          <w:p w14:paraId="17B8CB80" w14:textId="77777777" w:rsidR="003F46B9" w:rsidRDefault="0065662E">
            <w:pPr>
              <w:pStyle w:val="P68B1DB1-Normal5"/>
              <w:spacing w:after="0" w:line="240" w:lineRule="auto"/>
              <w:jc w:val="center"/>
              <w:rPr>
                <w:rFonts w:eastAsia="Times New Roman" w:cs="Times New Roman"/>
                <w:noProof/>
              </w:rPr>
            </w:pPr>
            <w:r>
              <w:rPr>
                <w:noProof/>
              </w:rPr>
              <w:t>42</w:t>
            </w:r>
          </w:p>
        </w:tc>
        <w:tc>
          <w:tcPr>
            <w:tcW w:w="1983" w:type="dxa"/>
            <w:tcBorders>
              <w:top w:val="nil"/>
              <w:left w:val="nil"/>
              <w:bottom w:val="single" w:sz="4" w:space="0" w:color="auto"/>
              <w:right w:val="single" w:sz="4" w:space="0" w:color="auto"/>
            </w:tcBorders>
            <w:shd w:val="clear" w:color="auto" w:fill="C6EFCE"/>
            <w:noWrap/>
          </w:tcPr>
          <w:p w14:paraId="2763A4E0" w14:textId="77777777" w:rsidR="003F46B9" w:rsidRDefault="0065662E">
            <w:pPr>
              <w:pStyle w:val="P68B1DB1-Normal5"/>
              <w:spacing w:after="0" w:line="240" w:lineRule="auto"/>
              <w:jc w:val="both"/>
              <w:rPr>
                <w:rFonts w:cs="Times New Roman"/>
                <w:noProof/>
              </w:rPr>
            </w:pPr>
            <w:r>
              <w:rPr>
                <w:noProof/>
              </w:rPr>
              <w:t xml:space="preserve">Ulaganje 5. Integrirani sustavi za ublažavanje rizika od poplava u šumskim riječnim slivovima </w:t>
            </w:r>
          </w:p>
        </w:tc>
        <w:tc>
          <w:tcPr>
            <w:tcW w:w="1278" w:type="dxa"/>
            <w:tcBorders>
              <w:top w:val="nil"/>
              <w:left w:val="nil"/>
              <w:bottom w:val="single" w:sz="4" w:space="0" w:color="auto"/>
              <w:right w:val="single" w:sz="4" w:space="0" w:color="auto"/>
            </w:tcBorders>
            <w:shd w:val="clear" w:color="auto" w:fill="C6EFCE"/>
            <w:noWrap/>
          </w:tcPr>
          <w:p w14:paraId="34B8E1C5" w14:textId="77777777" w:rsidR="003F46B9" w:rsidRDefault="0065662E">
            <w:pPr>
              <w:pStyle w:val="P68B1DB1-Normal5"/>
              <w:spacing w:after="0" w:line="240" w:lineRule="auto"/>
              <w:jc w:val="center"/>
              <w:rPr>
                <w:rFonts w:cs="Times New Roman"/>
                <w:noProof/>
              </w:rPr>
            </w:pPr>
            <w:r>
              <w:rPr>
                <w:noProof/>
              </w:rPr>
              <w:t>Prekretnica</w:t>
            </w:r>
          </w:p>
        </w:tc>
        <w:tc>
          <w:tcPr>
            <w:tcW w:w="1709" w:type="dxa"/>
            <w:tcBorders>
              <w:top w:val="nil"/>
              <w:left w:val="nil"/>
              <w:bottom w:val="single" w:sz="4" w:space="0" w:color="auto"/>
              <w:right w:val="single" w:sz="4" w:space="0" w:color="auto"/>
            </w:tcBorders>
            <w:shd w:val="clear" w:color="auto" w:fill="C6EFCE"/>
            <w:noWrap/>
          </w:tcPr>
          <w:p w14:paraId="33BA057A" w14:textId="77777777" w:rsidR="003F46B9" w:rsidRDefault="0065662E">
            <w:pPr>
              <w:pStyle w:val="P68B1DB1-Normal5"/>
              <w:spacing w:after="0" w:line="240" w:lineRule="auto"/>
              <w:jc w:val="both"/>
              <w:rPr>
                <w:rFonts w:cs="Times New Roman"/>
                <w:noProof/>
              </w:rPr>
            </w:pPr>
            <w:r>
              <w:rPr>
                <w:noProof/>
              </w:rPr>
              <w:t>Završetak radova modernizacije zaštite od poplava</w:t>
            </w:r>
          </w:p>
        </w:tc>
        <w:tc>
          <w:tcPr>
            <w:tcW w:w="1841" w:type="dxa"/>
            <w:tcBorders>
              <w:top w:val="nil"/>
              <w:left w:val="nil"/>
              <w:bottom w:val="single" w:sz="4" w:space="0" w:color="auto"/>
              <w:right w:val="single" w:sz="4" w:space="0" w:color="auto"/>
            </w:tcBorders>
            <w:shd w:val="clear" w:color="auto" w:fill="C6EFCE"/>
            <w:noWrap/>
          </w:tcPr>
          <w:p w14:paraId="0270FB08" w14:textId="77777777" w:rsidR="003F46B9" w:rsidRDefault="0065662E">
            <w:pPr>
              <w:pStyle w:val="P68B1DB1-Normal5"/>
              <w:spacing w:after="0" w:line="240" w:lineRule="auto"/>
              <w:jc w:val="both"/>
              <w:rPr>
                <w:rFonts w:cs="Times New Roman"/>
                <w:noProof/>
              </w:rPr>
            </w:pPr>
            <w:r>
              <w:rPr>
                <w:noProof/>
              </w:rPr>
              <w:t>Dovršetak modernizacije radova na zaštiti od poplava</w:t>
            </w:r>
          </w:p>
        </w:tc>
        <w:tc>
          <w:tcPr>
            <w:tcW w:w="1134" w:type="dxa"/>
            <w:tcBorders>
              <w:top w:val="nil"/>
              <w:left w:val="nil"/>
              <w:bottom w:val="single" w:sz="4" w:space="0" w:color="auto"/>
              <w:right w:val="single" w:sz="4" w:space="0" w:color="auto"/>
            </w:tcBorders>
            <w:shd w:val="clear" w:color="auto" w:fill="C6EFCE"/>
            <w:noWrap/>
          </w:tcPr>
          <w:p w14:paraId="435B0FFD" w14:textId="77777777" w:rsidR="003F46B9" w:rsidRDefault="003F46B9">
            <w:pPr>
              <w:spacing w:after="0" w:line="240" w:lineRule="auto"/>
              <w:jc w:val="both"/>
              <w:rPr>
                <w:rFonts w:ascii="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17812B97" w14:textId="77777777" w:rsidR="003F46B9" w:rsidRDefault="003F46B9">
            <w:pPr>
              <w:spacing w:after="0" w:line="240" w:lineRule="auto"/>
              <w:jc w:val="both"/>
              <w:rPr>
                <w:rFonts w:ascii="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5171FFB2"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D6B2037" w14:textId="77777777" w:rsidR="003F46B9" w:rsidRDefault="0065662E">
            <w:pPr>
              <w:pStyle w:val="P68B1DB1-Normal5"/>
              <w:spacing w:after="0" w:line="240" w:lineRule="auto"/>
              <w:jc w:val="both"/>
              <w:rPr>
                <w:rFonts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31BF9B93" w14:textId="77777777" w:rsidR="003F46B9" w:rsidRDefault="0065662E">
            <w:pPr>
              <w:pStyle w:val="P68B1DB1-Normal5"/>
              <w:spacing w:after="0" w:line="240" w:lineRule="auto"/>
              <w:jc w:val="both"/>
              <w:rPr>
                <w:rFonts w:cs="Times New Roman"/>
                <w:noProof/>
              </w:rPr>
            </w:pPr>
            <w:r>
              <w:rPr>
                <w:noProof/>
              </w:rPr>
              <w:t>2026</w:t>
            </w:r>
          </w:p>
        </w:tc>
        <w:tc>
          <w:tcPr>
            <w:tcW w:w="3174" w:type="dxa"/>
            <w:tcBorders>
              <w:top w:val="nil"/>
              <w:left w:val="nil"/>
              <w:bottom w:val="single" w:sz="4" w:space="0" w:color="auto"/>
              <w:right w:val="single" w:sz="4" w:space="0" w:color="auto"/>
            </w:tcBorders>
            <w:shd w:val="clear" w:color="auto" w:fill="C6EFCE"/>
            <w:noWrap/>
          </w:tcPr>
          <w:p w14:paraId="1EC015B8" w14:textId="77777777" w:rsidR="003F46B9" w:rsidRDefault="0065662E">
            <w:pPr>
              <w:pStyle w:val="P68B1DB1-Normal5"/>
              <w:spacing w:after="0" w:line="240" w:lineRule="auto"/>
              <w:jc w:val="both"/>
              <w:rPr>
                <w:rFonts w:cs="Times New Roman"/>
                <w:noProof/>
              </w:rPr>
            </w:pPr>
            <w:r>
              <w:rPr>
                <w:noProof/>
              </w:rPr>
              <w:t xml:space="preserve">Projekt modernizacije zaštite od poplava mora se dovršiti u skladu sa zahtjevima utvrđenima u ključnoj etapi 41. </w:t>
            </w:r>
          </w:p>
        </w:tc>
      </w:tr>
    </w:tbl>
    <w:p w14:paraId="153BC643"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54"/>
          <w:headerReference w:type="default" r:id="rId55"/>
          <w:footerReference w:type="even" r:id="rId56"/>
          <w:footerReference w:type="default" r:id="rId57"/>
          <w:headerReference w:type="first" r:id="rId58"/>
          <w:footerReference w:type="first" r:id="rId59"/>
          <w:pgSz w:w="16839" w:h="11907" w:orient="landscape"/>
          <w:pgMar w:top="720" w:right="720" w:bottom="720" w:left="720" w:header="709" w:footer="709" w:gutter="0"/>
          <w:cols w:space="720"/>
          <w:docGrid w:linePitch="360"/>
        </w:sectPr>
      </w:pPr>
    </w:p>
    <w:p w14:paraId="1F5355BC"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 DIO: Gospodarenje otpadom</w:t>
      </w:r>
    </w:p>
    <w:p w14:paraId="5B0CC977" w14:textId="77777777" w:rsidR="003F46B9" w:rsidRDefault="0065662E">
      <w:pPr>
        <w:pStyle w:val="P68B1DB1-Normal5"/>
        <w:spacing w:before="120" w:after="120" w:line="240" w:lineRule="auto"/>
        <w:jc w:val="both"/>
        <w:rPr>
          <w:rFonts w:cs="Times New Roman"/>
          <w:noProof/>
        </w:rPr>
      </w:pPr>
      <w:r>
        <w:rPr>
          <w:noProof/>
        </w:rPr>
        <w:t xml:space="preserve">Cilj je komponente ubrzati širenje i </w:t>
      </w:r>
      <w:r>
        <w:rPr>
          <w:noProof/>
        </w:rPr>
        <w:t>modernizaciju sustava gospodarenja otpadom u Rumunjskoj s naglaskom na odvojenom prikupljanju, sprečavanju, smanjenju, ponovnoj uporabi i oporabi radi usklađivanja s primjenjivim zakonodavstvom EU-a i prelaska na kružno gospodarstvo.</w:t>
      </w:r>
    </w:p>
    <w:p w14:paraId="1499AE9A" w14:textId="77777777" w:rsidR="003F46B9" w:rsidRDefault="0065662E">
      <w:pPr>
        <w:pStyle w:val="P68B1DB1-Normal5"/>
        <w:spacing w:before="120" w:after="120" w:line="240" w:lineRule="auto"/>
        <w:jc w:val="both"/>
        <w:rPr>
          <w:rFonts w:cs="Times New Roman"/>
          <w:noProof/>
        </w:rPr>
      </w:pPr>
      <w:r>
        <w:rPr>
          <w:noProof/>
        </w:rPr>
        <w:t xml:space="preserve">Komponenta se sastoji </w:t>
      </w:r>
      <w:r>
        <w:rPr>
          <w:noProof/>
        </w:rPr>
        <w:t xml:space="preserve">od jedne reforme i triju ulaganja. </w:t>
      </w:r>
    </w:p>
    <w:p w14:paraId="66CC11A6" w14:textId="77777777" w:rsidR="003F46B9" w:rsidRDefault="0065662E">
      <w:pPr>
        <w:pStyle w:val="P68B1DB1-Normal5"/>
        <w:spacing w:before="120" w:after="120" w:line="240" w:lineRule="auto"/>
        <w:jc w:val="both"/>
        <w:rPr>
          <w:rFonts w:cs="Times New Roman"/>
          <w:noProof/>
        </w:rPr>
      </w:pPr>
      <w:r>
        <w:rPr>
          <w:noProof/>
        </w:rPr>
        <w:t>Očekuje se da će se mjerama uključenima u komponentu odgovoriti na neke od izazova istaknutih u preporuci za pojedinu zemlju da se ulaganja usmjere na zelenu i digitalnu tranziciju, posebno na, među ostalim, okolišnu inf</w:t>
      </w:r>
      <w:r>
        <w:rPr>
          <w:noProof/>
        </w:rPr>
        <w:t>rastrukturu (preporuke po državama članicama za 2019. i 2020.).</w:t>
      </w:r>
    </w:p>
    <w:p w14:paraId="3DCE06FD"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ciljevima u smislu članka 17. Uredbe (EU) 2020/852, uzimajući u obzir opis mjera i korake ublažavanja utvrđe</w:t>
      </w:r>
      <w:r>
        <w:rPr>
          <w:noProof/>
        </w:rPr>
        <w:t>ne u planu za oporavak i otpornost u skladu s Tehničkim smjernicama DNSH-a (2021/C58/01).</w:t>
      </w:r>
    </w:p>
    <w:p w14:paraId="23EEF127" w14:textId="77777777" w:rsidR="003F46B9" w:rsidRDefault="0065662E">
      <w:pPr>
        <w:keepNext/>
        <w:spacing w:before="120" w:after="120" w:line="240" w:lineRule="auto"/>
        <w:jc w:val="both"/>
        <w:outlineLvl w:val="1"/>
        <w:rPr>
          <w:rFonts w:ascii="Times New Roman" w:eastAsiaTheme="majorEastAsia" w:hAnsi="Times New Roman" w:cs="Times New Roman"/>
          <w:i/>
          <w:noProof/>
          <w:sz w:val="24"/>
        </w:rPr>
      </w:pPr>
      <w:r>
        <w:rPr>
          <w:rFonts w:ascii="Times New Roman" w:hAnsi="Times New Roman"/>
          <w:b/>
          <w:noProof/>
          <w:sz w:val="24"/>
        </w:rPr>
        <w:t xml:space="preserve">C.1. </w:t>
      </w:r>
      <w:r>
        <w:rPr>
          <w:noProof/>
        </w:rPr>
        <w:tab/>
      </w:r>
      <w:r>
        <w:rPr>
          <w:rFonts w:ascii="Times New Roman" w:hAnsi="Times New Roman"/>
          <w:b/>
          <w:noProof/>
          <w:sz w:val="24"/>
        </w:rPr>
        <w:t>Opis reformi i ulaganja za zajam</w:t>
      </w:r>
    </w:p>
    <w:p w14:paraId="20A62575"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 Poboljšanje upravljanja gospodarenjem otpadom kako bi se ubrzao prelazak na kružno gospodarstvo</w:t>
      </w:r>
    </w:p>
    <w:p w14:paraId="20F7CD80" w14:textId="77777777" w:rsidR="003F46B9" w:rsidRDefault="0065662E">
      <w:pPr>
        <w:pStyle w:val="P68B1DB1-Normal5"/>
        <w:spacing w:before="120" w:after="120" w:line="240" w:lineRule="auto"/>
        <w:jc w:val="both"/>
        <w:rPr>
          <w:rFonts w:eastAsia="Calibri" w:cs="Times New Roman"/>
          <w:noProof/>
        </w:rPr>
      </w:pPr>
      <w:r>
        <w:rPr>
          <w:noProof/>
        </w:rPr>
        <w:t>Cilj je te reforme s</w:t>
      </w:r>
      <w:r>
        <w:rPr>
          <w:noProof/>
        </w:rPr>
        <w:t>tvoriti strateški i pravni okvir za prelazak na kružno gospodarstvo donošenjem nacionalne strategije za kružno gospodarstvo i akcijskog plana te izmjenom određenih pravnih akata povezanih s gospodarenjem otpadom.</w:t>
      </w:r>
    </w:p>
    <w:p w14:paraId="5D9372BA" w14:textId="77777777" w:rsidR="003F46B9" w:rsidRDefault="0065662E">
      <w:pPr>
        <w:pStyle w:val="P68B1DB1-Normal5"/>
        <w:spacing w:before="120" w:after="120" w:line="240" w:lineRule="auto"/>
        <w:jc w:val="both"/>
        <w:rPr>
          <w:rFonts w:eastAsia="Calibri" w:cs="Times New Roman"/>
          <w:noProof/>
        </w:rPr>
      </w:pPr>
      <w:r>
        <w:rPr>
          <w:noProof/>
        </w:rPr>
        <w:t>Provedba te reforme sastoji se od sljedećih</w:t>
      </w:r>
      <w:r>
        <w:rPr>
          <w:noProof/>
        </w:rPr>
        <w:t xml:space="preserve"> koraka:</w:t>
      </w:r>
    </w:p>
    <w:p w14:paraId="7CA5317E" w14:textId="77777777" w:rsidR="003F46B9" w:rsidRDefault="0065662E">
      <w:pPr>
        <w:pStyle w:val="P68B1DB1-Normal5"/>
        <w:spacing w:before="120" w:after="120" w:line="240" w:lineRule="auto"/>
        <w:ind w:left="142"/>
        <w:jc w:val="both"/>
        <w:rPr>
          <w:rFonts w:eastAsia="Calibri" w:cs="Times New Roman"/>
          <w:noProof/>
        </w:rPr>
      </w:pPr>
      <w:r>
        <w:rPr>
          <w:noProof/>
        </w:rPr>
        <w:t>(1) Donošenje nacionalne strategije za kružno gospodarstvo kako bi se utvrdio okvir za preobrazbu rumunjskog gospodarstva prema kružnom djelovanju, koja obuhvaća cijeli životni ciklus proizvoda (do 31. rujna 2022.);</w:t>
      </w:r>
    </w:p>
    <w:p w14:paraId="6868AC80" w14:textId="77777777" w:rsidR="003F46B9" w:rsidRDefault="0065662E">
      <w:pPr>
        <w:pStyle w:val="P68B1DB1-Normal5"/>
        <w:spacing w:before="120" w:after="120" w:line="240" w:lineRule="auto"/>
        <w:ind w:left="142"/>
        <w:jc w:val="both"/>
        <w:rPr>
          <w:rFonts w:eastAsia="Calibri" w:cs="Times New Roman"/>
          <w:noProof/>
        </w:rPr>
      </w:pPr>
      <w:r>
        <w:rPr>
          <w:noProof/>
        </w:rPr>
        <w:t>(2) Stupanje na snagu zakonodav</w:t>
      </w:r>
      <w:r>
        <w:rPr>
          <w:noProof/>
        </w:rPr>
        <w:t>nih akata potrebnih za operacionalizaciju jedinstvenog gospodarenja otpadom u skladu s Nacionalnim planom gospodarenja otpadom, posebno zakonodavstva koja se odnose na obradu otpada, usluge odvodnje općina i utvrđivanje tarifa za usluge odvodnje i proširen</w:t>
      </w:r>
      <w:r>
        <w:rPr>
          <w:noProof/>
        </w:rPr>
        <w:t xml:space="preserve">u odgovornost proizvođača ambalaže (do 31. rujna 2022.); </w:t>
      </w:r>
    </w:p>
    <w:p w14:paraId="12AEA2EA" w14:textId="77777777" w:rsidR="003F46B9" w:rsidRDefault="0065662E">
      <w:pPr>
        <w:pStyle w:val="P68B1DB1-Normal5"/>
        <w:spacing w:before="120" w:after="120" w:line="240" w:lineRule="auto"/>
        <w:ind w:left="142"/>
        <w:jc w:val="both"/>
        <w:rPr>
          <w:rFonts w:eastAsia="Calibri" w:cs="Times New Roman"/>
          <w:noProof/>
        </w:rPr>
      </w:pPr>
      <w:r>
        <w:rPr>
          <w:noProof/>
        </w:rPr>
        <w:t>(3) Donošenje akcijskog plana za nacionalnu strategiju za kružno gospodarstvo u kojem se definiraju ključni provedbeni koraci strategije (iz točke 1.), nadležna tijela i obvezujući vremenski okvir d</w:t>
      </w:r>
      <w:r>
        <w:rPr>
          <w:noProof/>
        </w:rPr>
        <w:t xml:space="preserve">jelovanja (do 31. rujna 2023.). Sve mjere dodijeljene javnim tijelima od trećeg tromjesečja 2023. do prvog tromjesečja 2026. u okviru Strategije i Akcijskog plana moraju biti dovršene do 30. ožujka 2026. </w:t>
      </w:r>
    </w:p>
    <w:p w14:paraId="50AC9A83" w14:textId="77777777" w:rsidR="003F46B9" w:rsidRDefault="0065662E">
      <w:pPr>
        <w:pStyle w:val="P68B1DB1-Normal5"/>
        <w:spacing w:before="120" w:after="120" w:line="240" w:lineRule="auto"/>
        <w:jc w:val="both"/>
        <w:rPr>
          <w:rFonts w:eastAsia="Calibri" w:cs="Times New Roman"/>
          <w:noProof/>
        </w:rPr>
      </w:pPr>
      <w:r>
        <w:rPr>
          <w:noProof/>
        </w:rPr>
        <w:t>Kao rezultat reforme, kontrole i praćenja te parame</w:t>
      </w:r>
      <w:r>
        <w:rPr>
          <w:noProof/>
        </w:rPr>
        <w:t xml:space="preserve">tara kvalitete okoliša rumunjskog sustava gospodarenja otpadom moraju se poboljšati te će se povećati razina odvojenog prikupljanja otpada. Doprinos od 4,5 postotnih bodova nacionalnom cilju recikliranja i pripreme za ponovnu uporabu od 50 % do 2025. mora </w:t>
      </w:r>
      <w:r>
        <w:rPr>
          <w:noProof/>
        </w:rPr>
        <w:t xml:space="preserve">se ostvariti do 30. lipnja 2026. </w:t>
      </w:r>
    </w:p>
    <w:p w14:paraId="08B07394" w14:textId="77777777" w:rsidR="003F46B9" w:rsidRDefault="0065662E">
      <w:pPr>
        <w:pStyle w:val="P68B1DB1-Normal5"/>
        <w:spacing w:before="120" w:after="120" w:line="240" w:lineRule="auto"/>
        <w:jc w:val="both"/>
        <w:rPr>
          <w:rFonts w:eastAsia="Times New Roman" w:cs="Times New Roman"/>
          <w:noProof/>
        </w:rPr>
      </w:pPr>
      <w:r>
        <w:rPr>
          <w:noProof/>
        </w:rPr>
        <w:t>Provedba reforme mora biti dovršena do 30. lipnja 2026.</w:t>
      </w:r>
    </w:p>
    <w:p w14:paraId="744E9C06" w14:textId="77777777" w:rsidR="003F46B9" w:rsidRDefault="0065662E">
      <w:pPr>
        <w:pStyle w:val="P68B1DB1-Normal5"/>
        <w:spacing w:before="120" w:after="120" w:line="240" w:lineRule="auto"/>
        <w:rPr>
          <w:rFonts w:cs="Times New Roman"/>
          <w:noProof/>
        </w:rPr>
        <w:sectPr w:rsidR="003F46B9" w:rsidSect="00ED6412">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pPr>
      <w:r>
        <w:rPr>
          <w:noProof/>
        </w:rPr>
        <w:t>Reforma 1 popraćena je trima ulaganjima – ulaganja 1, 2 i 3.</w:t>
      </w:r>
    </w:p>
    <w:p w14:paraId="06C49947"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 Razvoj, modernizacija i dovršetak integriranih sustava gospodarenja komunalnim otpadom na razini okruga ili na razini grada/općine </w:t>
      </w:r>
    </w:p>
    <w:p w14:paraId="3F38FF73" w14:textId="77777777" w:rsidR="003F46B9" w:rsidRDefault="0065662E">
      <w:pPr>
        <w:pStyle w:val="P68B1DB1-Normal5"/>
        <w:spacing w:before="120" w:after="120" w:line="240" w:lineRule="auto"/>
        <w:jc w:val="both"/>
        <w:rPr>
          <w:rFonts w:cs="Times New Roman"/>
          <w:noProof/>
          <w:u w:val="single"/>
        </w:rPr>
      </w:pPr>
      <w:r>
        <w:rPr>
          <w:noProof/>
        </w:rPr>
        <w:t>Cilj je ovog ulaganja razviti i modernizirati integrirane sustave gospodarenja otpadom i infrastrukturu za gospo</w:t>
      </w:r>
      <w:r>
        <w:rPr>
          <w:noProof/>
        </w:rPr>
        <w:t xml:space="preserve">darenje javnim otpadom na razini županije ili grada/općine. </w:t>
      </w:r>
    </w:p>
    <w:p w14:paraId="08ACC3A2" w14:textId="77777777" w:rsidR="003F46B9" w:rsidRDefault="0065662E">
      <w:pPr>
        <w:pStyle w:val="P68B1DB1-Normal5"/>
        <w:spacing w:before="120" w:after="120" w:line="240" w:lineRule="auto"/>
        <w:jc w:val="both"/>
        <w:rPr>
          <w:rFonts w:eastAsia="Calibri" w:cs="Times New Roman"/>
          <w:noProof/>
        </w:rPr>
      </w:pPr>
      <w:r>
        <w:rPr>
          <w:noProof/>
        </w:rPr>
        <w:t>Ulaganjem se doprinosi postizanju novih ciljeva za pripremu, ponovnu uporabu i recikliranje komunalnog otpada u skladu s Direktivom (EU) 2018/851 o izmjeni Direktive 2008/98/EZ o otpadu. Ulaganja</w:t>
      </w:r>
      <w:r>
        <w:rPr>
          <w:noProof/>
        </w:rPr>
        <w:t xml:space="preserve"> se temelje na Nacionalnom planu gospodarenja otpadom, županijskim planovima gospodarenja otpadom i Planu gospodarenja otpadom Općine Bukurešt te doprinose ciljevima recikliranja iz paketa za kružno gospodarstvo.</w:t>
      </w:r>
    </w:p>
    <w:p w14:paraId="66D9E40F" w14:textId="77777777" w:rsidR="003F46B9" w:rsidRDefault="0065662E">
      <w:pPr>
        <w:pStyle w:val="P68B1DB1-Normal5"/>
        <w:spacing w:before="120" w:after="120" w:line="240" w:lineRule="auto"/>
        <w:jc w:val="both"/>
        <w:rPr>
          <w:rFonts w:eastAsia="Calibri" w:cs="Times New Roman"/>
          <w:noProof/>
        </w:rPr>
      </w:pPr>
      <w:r>
        <w:rPr>
          <w:noProof/>
        </w:rPr>
        <w:t xml:space="preserve">Provedba tog ulaganja uključuje: </w:t>
      </w:r>
    </w:p>
    <w:p w14:paraId="500EF4DB" w14:textId="77777777" w:rsidR="003F46B9" w:rsidRDefault="0065662E">
      <w:pPr>
        <w:pStyle w:val="P68B1DB1-Normal5"/>
        <w:spacing w:before="120" w:after="120" w:line="240" w:lineRule="auto"/>
        <w:ind w:left="426"/>
        <w:jc w:val="both"/>
        <w:rPr>
          <w:rFonts w:eastAsia="Calibri" w:cs="Times New Roman"/>
          <w:noProof/>
        </w:rPr>
      </w:pPr>
      <w:r>
        <w:rPr>
          <w:noProof/>
        </w:rPr>
        <w:t>(a)uspost</w:t>
      </w:r>
      <w:r>
        <w:rPr>
          <w:noProof/>
        </w:rPr>
        <w:t xml:space="preserve">ava dobrovoljnih centara za prikupljanje otpada kako bi se </w:t>
      </w:r>
      <w:r>
        <w:rPr>
          <w:noProof/>
          <w:shd w:val="clear" w:color="auto" w:fill="FFFFFF"/>
        </w:rPr>
        <w:t xml:space="preserve">osiguralo odvojeno prikupljanje otpada iz kućanstava </w:t>
      </w:r>
      <w:r>
        <w:rPr>
          <w:noProof/>
        </w:rPr>
        <w:t>za niz tokova otpada (I.1.a), zbog čega će 565 centara za dobrovoljno skupljanje biti operativno do 30. lipnja 2026.</w:t>
      </w:r>
    </w:p>
    <w:p w14:paraId="68D4547E" w14:textId="77777777" w:rsidR="003F46B9" w:rsidRDefault="0065662E">
      <w:pPr>
        <w:pStyle w:val="P68B1DB1-Normal5"/>
        <w:spacing w:before="120" w:after="120" w:line="240" w:lineRule="auto"/>
        <w:ind w:left="426"/>
        <w:jc w:val="both"/>
        <w:rPr>
          <w:rFonts w:eastAsia="Trebuchet MS" w:cs="Times New Roman"/>
          <w:noProof/>
        </w:rPr>
      </w:pPr>
      <w:r>
        <w:rPr>
          <w:noProof/>
        </w:rPr>
        <w:t xml:space="preserve">(b)uspostava </w:t>
      </w:r>
      <w:r>
        <w:rPr>
          <w:noProof/>
        </w:rPr>
        <w:t>digitaliziranih eko-otoka za odvojeno skupljanje otpada na lokalnoj razini, uglavnom u područjima stambenih zgrada (I.1.b), zbog čega je 13752 digitaliziranih eko-otoka za odvojeno skupljanje otpada operativno do 30. lipnja 2026.</w:t>
      </w:r>
    </w:p>
    <w:p w14:paraId="34BA44EF" w14:textId="08DA615C" w:rsidR="003F46B9" w:rsidRDefault="0065662E">
      <w:pPr>
        <w:pStyle w:val="P68B1DB1-Normal5"/>
        <w:spacing w:before="120" w:after="120" w:line="240" w:lineRule="auto"/>
        <w:ind w:left="426"/>
        <w:jc w:val="both"/>
        <w:rPr>
          <w:rFonts w:eastAsia="Trebuchet MS" w:cs="Times New Roman"/>
          <w:noProof/>
        </w:rPr>
      </w:pPr>
      <w:r>
        <w:rPr>
          <w:noProof/>
        </w:rPr>
        <w:t>(C)integrirani centri za o</w:t>
      </w:r>
      <w:r>
        <w:rPr>
          <w:noProof/>
        </w:rPr>
        <w:t xml:space="preserve">dvojeno skupljanje otpada u gradskim aglomeracijama (I.1.c), zbog čega integrirani centri za prikupljanje otpada moraju biti operativni u 14 urbanih aglomeracija do 30. lipnja 2026. </w:t>
      </w:r>
    </w:p>
    <w:p w14:paraId="68F35286" w14:textId="77777777" w:rsidR="003F46B9" w:rsidRDefault="0065662E">
      <w:pPr>
        <w:pStyle w:val="P68B1DB1-Normal5"/>
        <w:spacing w:before="120" w:after="120" w:line="240" w:lineRule="auto"/>
        <w:ind w:left="426"/>
        <w:jc w:val="both"/>
        <w:rPr>
          <w:rFonts w:eastAsia="Trebuchet MS" w:cs="Times New Roman"/>
          <w:noProof/>
        </w:rPr>
      </w:pPr>
      <w:r>
        <w:rPr>
          <w:noProof/>
        </w:rPr>
        <w:t>(d) izgradnja postrojenja za recikliranje otpada kako bi se ispunili cilj</w:t>
      </w:r>
      <w:r>
        <w:rPr>
          <w:noProof/>
        </w:rPr>
        <w:t>evi za recikliranje iz paketa za kružno gospodarstvo (I.1.d), nakon čega će 26 postrojenja za recikliranje otpada biti pušteno u rad do 30. lipnja 2026. kako bi se ispunili ciljevi za recikliranje iz nacionalne strategije za kružno gospodarstvo.</w:t>
      </w:r>
    </w:p>
    <w:p w14:paraId="59B1C661" w14:textId="77777777" w:rsidR="003F46B9" w:rsidRDefault="0065662E">
      <w:pPr>
        <w:pStyle w:val="P68B1DB1-Normal5"/>
        <w:spacing w:before="120" w:after="120" w:line="240" w:lineRule="auto"/>
        <w:jc w:val="both"/>
        <w:rPr>
          <w:rFonts w:cs="Times New Roman"/>
          <w:noProof/>
        </w:rPr>
      </w:pPr>
      <w:r>
        <w:rPr>
          <w:noProof/>
        </w:rPr>
        <w:t xml:space="preserve">Prethodno </w:t>
      </w:r>
      <w:r>
        <w:rPr>
          <w:noProof/>
        </w:rPr>
        <w:t>navedena ulaganja (a-d) moraju biti u skladu s odredbama Nacionalnog plana gospodarenja otpadom, županijskih planova gospodarenja otpadom i Plana gospodarenja otpadom Općine Bukurešt, kako je primjenjivo.</w:t>
      </w:r>
    </w:p>
    <w:p w14:paraId="14146011" w14:textId="77777777" w:rsidR="003F46B9" w:rsidRDefault="0065662E">
      <w:pPr>
        <w:pStyle w:val="P68B1DB1-Normal5"/>
        <w:spacing w:before="120" w:after="120" w:line="240" w:lineRule="auto"/>
        <w:jc w:val="both"/>
        <w:rPr>
          <w:rFonts w:cs="Times New Roman"/>
          <w:noProof/>
        </w:rPr>
      </w:pPr>
      <w:r>
        <w:rPr>
          <w:noProof/>
        </w:rPr>
        <w:t xml:space="preserve">Očekuje se da se tom mjerom ne nanosi znatna šteta </w:t>
      </w:r>
      <w:r>
        <w:rPr>
          <w:noProof/>
        </w:rPr>
        <w:t>okolišnim ciljevima u smislu članka 17. Uredbe (EU) 2020/852, uzimajući u obzir opis mjere i korake ublažavanja utvrđene u planu za oporavak i otpornost u skladu s Tehničkim smjernicama DNSH-a (2021/C58/01). Konkretno, vozila kupljena u okviru ove mjere mo</w:t>
      </w:r>
      <w:r>
        <w:rPr>
          <w:noProof/>
        </w:rPr>
        <w:t>raju biti najbolja dostupna tehnologija sa stajališta zaštite okoliša.</w:t>
      </w:r>
    </w:p>
    <w:p w14:paraId="6CB62412"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2292B3B6"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2. Razvoj infrastrukture za gospodarenje stajskim gnojem i drugim poljoprivrednim otpadom koji se mogu kompostirati </w:t>
      </w:r>
    </w:p>
    <w:p w14:paraId="7105199E" w14:textId="769DC589" w:rsidR="003F46B9" w:rsidRDefault="0065662E">
      <w:pPr>
        <w:pStyle w:val="P68B1DB1-Normal5"/>
        <w:spacing w:before="120" w:after="120" w:line="240" w:lineRule="auto"/>
        <w:jc w:val="both"/>
        <w:rPr>
          <w:rFonts w:cs="Times New Roman"/>
          <w:noProof/>
        </w:rPr>
      </w:pPr>
      <w:r>
        <w:rPr>
          <w:noProof/>
        </w:rPr>
        <w:t>Ci</w:t>
      </w:r>
      <w:r>
        <w:rPr>
          <w:noProof/>
        </w:rPr>
        <w:t xml:space="preserve">lj je ulaganja razviti sustave prikupljanja i oporabe stajskog gnoja. </w:t>
      </w:r>
    </w:p>
    <w:p w14:paraId="6BB4ADB2" w14:textId="77777777" w:rsidR="003F46B9" w:rsidRDefault="0065662E">
      <w:pPr>
        <w:pStyle w:val="P68B1DB1-Normal5"/>
        <w:spacing w:before="120" w:after="120" w:line="240" w:lineRule="auto"/>
        <w:jc w:val="both"/>
        <w:rPr>
          <w:rFonts w:cs="Times New Roman"/>
          <w:noProof/>
        </w:rPr>
      </w:pPr>
      <w:r>
        <w:rPr>
          <w:noProof/>
        </w:rPr>
        <w:t>Ulaganje se prvenstveno sastoji od uspostave integriranih zajedničkih sustava za oporabu gnojiva, stanica za kompostiranje i opreme za upravljanje kompostom za velike zajednice poljopri</w:t>
      </w:r>
      <w:r>
        <w:rPr>
          <w:noProof/>
        </w:rPr>
        <w:t>vrednih gospodarstava, sustava bioplina i kupnje opreme za upravljanje poljoprivrednim kompostom. Predloženim ulaganjima nastoji se modernizirati infrastruktura, smanjiti emisije amonijaka i metana te smanjiti onečišćenje nitratima.</w:t>
      </w:r>
    </w:p>
    <w:p w14:paraId="0D7863B4" w14:textId="77777777" w:rsidR="003F46B9" w:rsidRDefault="0065662E">
      <w:pPr>
        <w:pStyle w:val="P68B1DB1-Normal5"/>
        <w:spacing w:before="120" w:after="120" w:line="240" w:lineRule="auto"/>
        <w:jc w:val="both"/>
        <w:rPr>
          <w:rFonts w:cs="Times New Roman"/>
          <w:noProof/>
        </w:rPr>
      </w:pPr>
      <w:r>
        <w:rPr>
          <w:noProof/>
        </w:rPr>
        <w:t>Kao rezultat ulaganja u</w:t>
      </w:r>
      <w:r>
        <w:rPr>
          <w:noProof/>
        </w:rPr>
        <w:t xml:space="preserve">spostavljaju se 254 integrirana sustava za prikupljanje poljoprivrednog otpada koji se može kompostirati i postati operativni do 30. lipnja 2026. </w:t>
      </w:r>
    </w:p>
    <w:p w14:paraId="5E95A25E" w14:textId="77777777" w:rsidR="003F46B9" w:rsidRDefault="0065662E">
      <w:pPr>
        <w:pStyle w:val="P68B1DB1-Normal5"/>
        <w:spacing w:before="120" w:after="120" w:line="240" w:lineRule="auto"/>
        <w:jc w:val="both"/>
        <w:rPr>
          <w:rFonts w:cs="Times New Roman"/>
          <w:noProof/>
        </w:rPr>
      </w:pPr>
      <w:r>
        <w:rPr>
          <w:noProof/>
        </w:rPr>
        <w:t>Očekuje se da se tom mjerom ne nanosi znatna šteta okolišnim ciljevima u smislu članka 17. Uredbe (EU) 2020/8</w:t>
      </w:r>
      <w:r>
        <w:rPr>
          <w:noProof/>
        </w:rPr>
        <w:t>52, uzimajući u obzir opis mjere i korake ublažavanja utvrđene u planu za oporavak i otpornost u skladu s Tehničkim smjernicama DNSH-a (2021/C58/01). Konkretno, vozila kupljena u okviru ove mjere moraju biti najbolja dostupna tehnologija sa stajališta zašt</w:t>
      </w:r>
      <w:r>
        <w:rPr>
          <w:noProof/>
        </w:rPr>
        <w:t>ite okoliša.</w:t>
      </w:r>
    </w:p>
    <w:p w14:paraId="2D82CFE9" w14:textId="77777777" w:rsidR="003F46B9" w:rsidRDefault="0065662E">
      <w:pPr>
        <w:pStyle w:val="P68B1DB1-Normal5"/>
        <w:spacing w:before="120" w:after="120" w:line="240" w:lineRule="auto"/>
        <w:jc w:val="both"/>
        <w:rPr>
          <w:rFonts w:cs="Times New Roman"/>
          <w:noProof/>
        </w:rPr>
      </w:pPr>
      <w:r>
        <w:rPr>
          <w:noProof/>
        </w:rPr>
        <w:t>Ulaganje mora biti u skladu s Nacionalnim planom gospodarenja otpadom.</w:t>
      </w:r>
    </w:p>
    <w:p w14:paraId="0E6ED65E"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4D229AE1" w14:textId="77777777" w:rsidR="003F46B9" w:rsidRDefault="0065662E">
      <w:pPr>
        <w:pStyle w:val="P68B1DB1-Standard6"/>
        <w:spacing w:before="240"/>
        <w:jc w:val="both"/>
        <w:rPr>
          <w:noProof/>
        </w:rPr>
      </w:pPr>
      <w:r>
        <w:rPr>
          <w:noProof/>
        </w:rPr>
        <w:t xml:space="preserve">Ulaganje 3. Razvoj javnog praćenja, kontrole i institucionalnih kapaciteta za gospodarenje otpadom i sprečavanje onečišćenja </w:t>
      </w:r>
    </w:p>
    <w:p w14:paraId="439C958F" w14:textId="77777777" w:rsidR="003F46B9" w:rsidRDefault="0065662E">
      <w:pPr>
        <w:pStyle w:val="P68B1DB1-Standard14"/>
        <w:spacing w:before="240"/>
        <w:jc w:val="both"/>
        <w:rPr>
          <w:rFonts w:cs="Times New Roman"/>
          <w:noProof/>
        </w:rPr>
      </w:pPr>
      <w:r>
        <w:rPr>
          <w:noProof/>
        </w:rPr>
        <w:t xml:space="preserve">Cilj je tog ulaganja opremiti odgovarajuća javna tijela za aktivnosti praćenja, kontrole i izvješćivanja o gospodarenju otpadom. </w:t>
      </w:r>
    </w:p>
    <w:p w14:paraId="69227766" w14:textId="77777777" w:rsidR="003F46B9" w:rsidRDefault="0065662E">
      <w:pPr>
        <w:pStyle w:val="P68B1DB1-Normal5"/>
        <w:spacing w:before="120" w:after="120" w:line="240" w:lineRule="auto"/>
        <w:jc w:val="both"/>
        <w:rPr>
          <w:rFonts w:cs="Times New Roman"/>
          <w:noProof/>
        </w:rPr>
      </w:pPr>
      <w:r>
        <w:rPr>
          <w:noProof/>
        </w:rPr>
        <w:t>Ulaganje se provodi kroz dva područja djelovanja:</w:t>
      </w:r>
    </w:p>
    <w:p w14:paraId="6A4B65D5" w14:textId="77777777" w:rsidR="003F46B9" w:rsidRDefault="0065662E">
      <w:pPr>
        <w:pStyle w:val="P68B1DB1-Normal5"/>
        <w:spacing w:before="120" w:after="120" w:line="240" w:lineRule="auto"/>
        <w:ind w:left="426"/>
        <w:jc w:val="both"/>
        <w:rPr>
          <w:rFonts w:cs="Times New Roman"/>
          <w:noProof/>
        </w:rPr>
      </w:pPr>
      <w:r>
        <w:rPr>
          <w:noProof/>
        </w:rPr>
        <w:t>(1) Opremanje 43 okružnih povjerenika nacionalne policije za zaštitu okoliša digitalnom opremom (sustav IKT-a, sustavi za skeniranje kamiona, videokamere koje se nose na tijelu, bespilotne letjelice) za akt</w:t>
      </w:r>
      <w:r>
        <w:rPr>
          <w:noProof/>
        </w:rPr>
        <w:t xml:space="preserve">ivnosti praćenja i kontrole gospodarenja otpadom (do 31. prosinca 2024.). Kao rezultat toga, do 31. prosinca 2025. nacionalni povjerenici za zaštitu okoliša provode 400 kontrolnih misija koristeći se novom digitalnom opremom. </w:t>
      </w:r>
    </w:p>
    <w:p w14:paraId="698E9E27" w14:textId="3CD5B45A" w:rsidR="003F46B9" w:rsidRDefault="0065662E">
      <w:pPr>
        <w:pStyle w:val="P68B1DB1-Normal5"/>
        <w:spacing w:before="120" w:after="120" w:line="240" w:lineRule="auto"/>
        <w:ind w:left="426"/>
        <w:jc w:val="both"/>
        <w:rPr>
          <w:rFonts w:cs="Times New Roman"/>
          <w:noProof/>
        </w:rPr>
      </w:pPr>
      <w:r>
        <w:rPr>
          <w:noProof/>
        </w:rPr>
        <w:t>(2) Nabava i operacionalizaci</w:t>
      </w:r>
      <w:r>
        <w:rPr>
          <w:noProof/>
        </w:rPr>
        <w:t>ja 384 opreme za kvalitetu zraka, radioaktivnost i praćenje buke za Nacionalnu agenciju za zaštitu okoliša kako bi se osiguralo prikupljanje, prijenos i pohrana podataka o koncentracijama onečišćujućih tvari u okolišu te izvješćivanje o njima (do 30. lipnj</w:t>
      </w:r>
      <w:r>
        <w:rPr>
          <w:noProof/>
        </w:rPr>
        <w:t xml:space="preserve">a 2025.). </w:t>
      </w:r>
    </w:p>
    <w:p w14:paraId="1F562F16" w14:textId="77777777" w:rsidR="003F46B9" w:rsidRDefault="0065662E">
      <w:pPr>
        <w:pStyle w:val="P68B1DB1-Normal5"/>
        <w:spacing w:before="120" w:after="120" w:line="240" w:lineRule="auto"/>
        <w:jc w:val="both"/>
        <w:rPr>
          <w:rFonts w:cs="Times New Roman"/>
          <w:noProof/>
        </w:rPr>
      </w:pPr>
      <w:r>
        <w:rPr>
          <w:noProof/>
        </w:rPr>
        <w:t>Očekuje se da se tom mjerom ne nanosi znatna šteta okolišnim ciljevima u smislu članka 17. Uredbe (EU) 2020/852, uzimajući u obzir opis mjere i korake ublažavanja utvrđene u planu za oporavak i otpornost u skladu s Tehničkim smjernicama DNSH-a (</w:t>
      </w:r>
      <w:r>
        <w:rPr>
          <w:noProof/>
        </w:rPr>
        <w:t>2021/C58/01). Konkretno, vozila kupljena u okviru ove mjere moraju biti najbolja dostupna tehnologija sa stajališta zaštite okoliša.</w:t>
      </w:r>
    </w:p>
    <w:p w14:paraId="48592E91"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205C46C5"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66"/>
          <w:headerReference w:type="default" r:id="rId67"/>
          <w:footerReference w:type="even" r:id="rId68"/>
          <w:footerReference w:type="default" r:id="rId69"/>
          <w:headerReference w:type="first" r:id="rId70"/>
          <w:footerReference w:type="first" r:id="rId71"/>
          <w:pgSz w:w="11907" w:h="16839"/>
          <w:pgMar w:top="1134" w:right="1418" w:bottom="1134" w:left="1418" w:header="709" w:footer="709" w:gutter="0"/>
          <w:cols w:space="720"/>
          <w:docGrid w:linePitch="360"/>
        </w:sectPr>
      </w:pPr>
    </w:p>
    <w:p w14:paraId="0F13C218" w14:textId="77777777" w:rsidR="003F46B9" w:rsidRDefault="0065662E">
      <w:pPr>
        <w:keepNext/>
        <w:spacing w:before="120" w:after="120" w:line="240" w:lineRule="auto"/>
        <w:ind w:left="-284"/>
        <w:jc w:val="both"/>
        <w:outlineLvl w:val="1"/>
        <w:rPr>
          <w:rFonts w:ascii="Times New Roman" w:eastAsiaTheme="majorEastAsia" w:hAnsi="Times New Roman" w:cs="Times New Roman"/>
          <w:b/>
          <w:noProof/>
          <w:sz w:val="24"/>
        </w:rPr>
      </w:pPr>
      <w:r>
        <w:rPr>
          <w:rFonts w:ascii="Times New Roman" w:hAnsi="Times New Roman"/>
          <w:b/>
          <w:noProof/>
          <w:sz w:val="24"/>
        </w:rPr>
        <w:t xml:space="preserve">C.2. </w:t>
      </w:r>
      <w:r>
        <w:rPr>
          <w:noProof/>
        </w:rPr>
        <w:tab/>
      </w:r>
      <w:r>
        <w:rPr>
          <w:rFonts w:ascii="Times New Roman" w:hAnsi="Times New Roman"/>
          <w:b/>
          <w:noProof/>
          <w:sz w:val="24"/>
        </w:rPr>
        <w:t>Klj</w:t>
      </w:r>
      <w:r>
        <w:rPr>
          <w:rFonts w:ascii="Times New Roman" w:hAnsi="Times New Roman"/>
          <w:b/>
          <w:noProof/>
          <w:sz w:val="24"/>
        </w:rPr>
        <w:t>učne etape, ciljne vrijednosti, pokazatelji i vremenski raspored za praćenje i provedbu zajma</w:t>
      </w:r>
    </w:p>
    <w:tbl>
      <w:tblPr>
        <w:tblW w:w="15544" w:type="dxa"/>
        <w:jc w:val="center"/>
        <w:tblLayout w:type="fixed"/>
        <w:tblLook w:val="04A0" w:firstRow="1" w:lastRow="0" w:firstColumn="1" w:lastColumn="0" w:noHBand="0" w:noVBand="1"/>
      </w:tblPr>
      <w:tblGrid>
        <w:gridCol w:w="15"/>
        <w:gridCol w:w="819"/>
        <w:gridCol w:w="1490"/>
        <w:gridCol w:w="1222"/>
        <w:gridCol w:w="1490"/>
        <w:gridCol w:w="1625"/>
        <w:gridCol w:w="1087"/>
        <w:gridCol w:w="1357"/>
        <w:gridCol w:w="818"/>
        <w:gridCol w:w="1087"/>
        <w:gridCol w:w="819"/>
        <w:gridCol w:w="3715"/>
      </w:tblGrid>
      <w:tr w:rsidR="003F46B9" w14:paraId="645F0479" w14:textId="77777777">
        <w:trPr>
          <w:trHeight w:val="587"/>
          <w:tblHeader/>
          <w:jc w:val="center"/>
        </w:trPr>
        <w:tc>
          <w:tcPr>
            <w:tcW w:w="865"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9D3FC"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16260B"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BE3003"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44CFE3" w14:textId="77777777" w:rsidR="003F46B9" w:rsidRDefault="0065662E">
            <w:pPr>
              <w:pStyle w:val="P68B1DB1-Normal1"/>
              <w:spacing w:after="0" w:line="240" w:lineRule="auto"/>
              <w:jc w:val="center"/>
              <w:rPr>
                <w:rFonts w:eastAsia="Times New Roman" w:cs="Times New Roman"/>
                <w:noProof/>
              </w:rPr>
            </w:pPr>
            <w:r>
              <w:rPr>
                <w:noProof/>
              </w:rPr>
              <w:t>Ime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E8076A" w14:textId="77777777" w:rsidR="003F46B9" w:rsidRDefault="0065662E">
            <w:pPr>
              <w:pStyle w:val="P68B1DB1-Normal1"/>
              <w:spacing w:after="0" w:line="240" w:lineRule="auto"/>
              <w:jc w:val="center"/>
              <w:rPr>
                <w:rFonts w:eastAsia="Times New Roman" w:cs="Times New Roman"/>
                <w:noProof/>
              </w:rPr>
            </w:pPr>
            <w:r>
              <w:rPr>
                <w:noProof/>
              </w:rPr>
              <w:t>Kvalitativna</w:t>
            </w:r>
          </w:p>
          <w:p w14:paraId="39714014"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8B41F8C" w14:textId="77777777" w:rsidR="003F46B9" w:rsidRDefault="0065662E">
            <w:pPr>
              <w:pStyle w:val="P68B1DB1-Normal1"/>
              <w:spacing w:after="0" w:line="240" w:lineRule="auto"/>
              <w:jc w:val="center"/>
              <w:rPr>
                <w:rFonts w:eastAsia="Times New Roman" w:cs="Times New Roman"/>
                <w:noProof/>
              </w:rPr>
            </w:pPr>
            <w:r>
              <w:rPr>
                <w:noProof/>
              </w:rPr>
              <w:t>Kvantitativni pokazatelji (za</w:t>
            </w:r>
            <w:r>
              <w:rPr>
                <w:noProof/>
              </w:rPr>
              <w:t xml:space="preserve"> ciljne vrijednosti)</w:t>
            </w:r>
          </w:p>
        </w:tc>
        <w:tc>
          <w:tcPr>
            <w:tcW w:w="1985" w:type="dxa"/>
            <w:gridSpan w:val="2"/>
            <w:tcBorders>
              <w:top w:val="single" w:sz="4" w:space="0" w:color="auto"/>
              <w:left w:val="nil"/>
              <w:bottom w:val="single" w:sz="4" w:space="0" w:color="auto"/>
              <w:right w:val="single" w:sz="4" w:space="0" w:color="auto"/>
            </w:tcBorders>
            <w:shd w:val="clear" w:color="auto" w:fill="BDD7EE"/>
            <w:vAlign w:val="center"/>
          </w:tcPr>
          <w:p w14:paraId="412B275C"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2F91C4AC" w14:textId="77777777" w:rsidR="003F46B9" w:rsidRDefault="0065662E">
            <w:pPr>
              <w:pStyle w:val="P68B1DB1-Normal1"/>
              <w:spacing w:after="0" w:line="240" w:lineRule="auto"/>
              <w:jc w:val="center"/>
              <w:rPr>
                <w:rFonts w:eastAsia="Times New Roman" w:cs="Times New Roman"/>
                <w:noProof/>
              </w:rPr>
            </w:pPr>
            <w:r>
              <w:rPr>
                <w:noProof/>
              </w:rPr>
              <w:t>za završetak</w:t>
            </w:r>
          </w:p>
        </w:tc>
        <w:tc>
          <w:tcPr>
            <w:tcW w:w="39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32C292"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0996550" w14:textId="77777777">
        <w:trPr>
          <w:trHeight w:val="457"/>
          <w:tblHeader/>
          <w:jc w:val="center"/>
        </w:trPr>
        <w:tc>
          <w:tcPr>
            <w:tcW w:w="865" w:type="dxa"/>
            <w:gridSpan w:val="2"/>
            <w:vMerge/>
            <w:tcBorders>
              <w:top w:val="single" w:sz="4" w:space="0" w:color="auto"/>
              <w:left w:val="single" w:sz="4" w:space="0" w:color="auto"/>
              <w:bottom w:val="single" w:sz="4" w:space="0" w:color="auto"/>
              <w:right w:val="single" w:sz="4" w:space="0" w:color="auto"/>
            </w:tcBorders>
            <w:hideMark/>
          </w:tcPr>
          <w:p w14:paraId="2C3B80F5" w14:textId="77777777" w:rsidR="003F46B9" w:rsidRDefault="003F46B9">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01CEF92B" w14:textId="77777777" w:rsidR="003F46B9" w:rsidRDefault="003F46B9">
            <w:pPr>
              <w:spacing w:after="0" w:line="240" w:lineRule="auto"/>
              <w:jc w:val="both"/>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hideMark/>
          </w:tcPr>
          <w:p w14:paraId="7C39A901" w14:textId="77777777" w:rsidR="003F46B9" w:rsidRDefault="003F46B9">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hideMark/>
          </w:tcPr>
          <w:p w14:paraId="4B158905" w14:textId="77777777" w:rsidR="003F46B9" w:rsidRDefault="003F46B9">
            <w:pPr>
              <w:spacing w:after="0" w:line="240" w:lineRule="auto"/>
              <w:jc w:val="both"/>
              <w:rPr>
                <w:rFonts w:ascii="Times New Roman" w:eastAsia="Times New Roman" w:hAnsi="Times New Roman" w:cs="Times New Roman"/>
                <w:b/>
                <w:noProof/>
                <w:sz w:val="24"/>
              </w:rPr>
            </w:pPr>
          </w:p>
        </w:tc>
        <w:tc>
          <w:tcPr>
            <w:tcW w:w="1701" w:type="dxa"/>
            <w:vMerge/>
            <w:tcBorders>
              <w:top w:val="single" w:sz="4" w:space="0" w:color="auto"/>
              <w:left w:val="single" w:sz="4" w:space="0" w:color="auto"/>
              <w:bottom w:val="single" w:sz="4" w:space="0" w:color="auto"/>
              <w:right w:val="single" w:sz="4" w:space="0" w:color="auto"/>
            </w:tcBorders>
            <w:hideMark/>
          </w:tcPr>
          <w:p w14:paraId="143666C0" w14:textId="77777777" w:rsidR="003F46B9" w:rsidRDefault="003F46B9">
            <w:pPr>
              <w:spacing w:after="0" w:line="240" w:lineRule="auto"/>
              <w:jc w:val="both"/>
              <w:rPr>
                <w:rFonts w:ascii="Times New Roman" w:eastAsia="Times New Roman" w:hAnsi="Times New Roman" w:cs="Times New Roman"/>
                <w:b/>
                <w:noProof/>
                <w:sz w:val="24"/>
              </w:rPr>
            </w:pPr>
          </w:p>
        </w:tc>
        <w:tc>
          <w:tcPr>
            <w:tcW w:w="1134" w:type="dxa"/>
            <w:tcBorders>
              <w:top w:val="nil"/>
              <w:left w:val="single" w:sz="4" w:space="0" w:color="auto"/>
              <w:bottom w:val="nil"/>
              <w:right w:val="single" w:sz="4" w:space="0" w:color="auto"/>
            </w:tcBorders>
            <w:shd w:val="clear" w:color="auto" w:fill="BDD7EE"/>
            <w:vAlign w:val="center"/>
            <w:hideMark/>
          </w:tcPr>
          <w:p w14:paraId="061096BD" w14:textId="77777777" w:rsidR="003F46B9" w:rsidRDefault="0065662E">
            <w:pPr>
              <w:pStyle w:val="P68B1DB1-Normal1"/>
              <w:spacing w:after="0" w:line="240" w:lineRule="auto"/>
              <w:jc w:val="center"/>
              <w:rPr>
                <w:rFonts w:eastAsia="Times New Roman" w:cs="Times New Roman"/>
                <w:noProof/>
              </w:rPr>
            </w:pPr>
            <w:r>
              <w:rPr>
                <w:noProof/>
              </w:rPr>
              <w:t xml:space="preserve">Odjel </w:t>
            </w:r>
          </w:p>
          <w:p w14:paraId="457392F9" w14:textId="77777777" w:rsidR="003F46B9" w:rsidRDefault="0065662E">
            <w:pPr>
              <w:pStyle w:val="P68B1DB1-Normal1"/>
              <w:spacing w:after="0" w:line="240" w:lineRule="auto"/>
              <w:jc w:val="center"/>
              <w:rPr>
                <w:rFonts w:eastAsia="Times New Roman" w:cs="Times New Roman"/>
                <w:noProof/>
              </w:rPr>
            </w:pPr>
            <w:r>
              <w:rPr>
                <w:noProof/>
              </w:rPr>
              <w:t xml:space="preserve">od </w:t>
            </w:r>
          </w:p>
          <w:p w14:paraId="7DDA2AC7"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418" w:type="dxa"/>
            <w:tcBorders>
              <w:top w:val="nil"/>
              <w:left w:val="nil"/>
              <w:bottom w:val="nil"/>
              <w:right w:val="single" w:sz="4" w:space="0" w:color="auto"/>
            </w:tcBorders>
            <w:shd w:val="clear" w:color="auto" w:fill="BDD7EE"/>
            <w:vAlign w:val="center"/>
            <w:hideMark/>
          </w:tcPr>
          <w:p w14:paraId="0A893083" w14:textId="1D6A5F1C"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850" w:type="dxa"/>
            <w:tcBorders>
              <w:top w:val="nil"/>
              <w:left w:val="nil"/>
              <w:bottom w:val="nil"/>
              <w:right w:val="single" w:sz="4" w:space="0" w:color="auto"/>
            </w:tcBorders>
            <w:shd w:val="clear" w:color="auto" w:fill="BDD7EE"/>
            <w:vAlign w:val="center"/>
            <w:hideMark/>
          </w:tcPr>
          <w:p w14:paraId="4C16B734"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34" w:type="dxa"/>
            <w:tcBorders>
              <w:top w:val="nil"/>
              <w:left w:val="nil"/>
              <w:bottom w:val="nil"/>
              <w:right w:val="single" w:sz="4" w:space="0" w:color="auto"/>
            </w:tcBorders>
            <w:shd w:val="clear" w:color="auto" w:fill="BDD7EE"/>
            <w:vAlign w:val="center"/>
            <w:hideMark/>
          </w:tcPr>
          <w:p w14:paraId="1E7F26C6"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1" w:type="dxa"/>
            <w:tcBorders>
              <w:top w:val="nil"/>
              <w:left w:val="nil"/>
              <w:bottom w:val="nil"/>
              <w:right w:val="single" w:sz="4" w:space="0" w:color="auto"/>
            </w:tcBorders>
            <w:shd w:val="clear" w:color="auto" w:fill="BDD7EE"/>
            <w:vAlign w:val="center"/>
            <w:hideMark/>
          </w:tcPr>
          <w:p w14:paraId="0EFF4E74"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906" w:type="dxa"/>
            <w:vMerge/>
            <w:tcBorders>
              <w:top w:val="single" w:sz="4" w:space="0" w:color="auto"/>
              <w:bottom w:val="single" w:sz="4" w:space="0" w:color="auto"/>
              <w:right w:val="single" w:sz="4" w:space="0" w:color="auto"/>
            </w:tcBorders>
            <w:hideMark/>
          </w:tcPr>
          <w:p w14:paraId="7371676B"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59128DB1" w14:textId="77777777">
        <w:tblPrEx>
          <w:tblCellMar>
            <w:left w:w="28" w:type="dxa"/>
            <w:right w:w="28" w:type="dxa"/>
          </w:tblCellMar>
        </w:tblPrEx>
        <w:trPr>
          <w:trHeight w:val="309"/>
          <w:jc w:val="center"/>
        </w:trPr>
        <w:tc>
          <w:tcPr>
            <w:tcW w:w="865"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14:paraId="77D08833" w14:textId="77777777" w:rsidR="003F46B9" w:rsidRDefault="0065662E">
            <w:pPr>
              <w:pStyle w:val="P68B1DB1-Normal5"/>
              <w:spacing w:after="0" w:line="240" w:lineRule="auto"/>
              <w:jc w:val="center"/>
              <w:rPr>
                <w:rFonts w:eastAsia="Times New Roman" w:cs="Times New Roman"/>
                <w:noProof/>
              </w:rPr>
            </w:pPr>
            <w:r>
              <w:rPr>
                <w:noProof/>
              </w:rPr>
              <w:t>43</w:t>
            </w:r>
          </w:p>
        </w:tc>
        <w:tc>
          <w:tcPr>
            <w:tcW w:w="1559" w:type="dxa"/>
            <w:tcBorders>
              <w:top w:val="single" w:sz="4" w:space="0" w:color="auto"/>
              <w:left w:val="nil"/>
              <w:bottom w:val="single" w:sz="4" w:space="0" w:color="auto"/>
              <w:right w:val="single" w:sz="4" w:space="0" w:color="auto"/>
            </w:tcBorders>
            <w:shd w:val="clear" w:color="auto" w:fill="C6EFCE"/>
            <w:noWrap/>
            <w:hideMark/>
          </w:tcPr>
          <w:p w14:paraId="1605FA13" w14:textId="77777777" w:rsidR="003F46B9" w:rsidRDefault="0065662E">
            <w:pPr>
              <w:pStyle w:val="P68B1DB1-Normal5"/>
              <w:spacing w:after="0" w:line="240" w:lineRule="auto"/>
              <w:jc w:val="both"/>
              <w:rPr>
                <w:rFonts w:eastAsia="Times New Roman" w:cs="Times New Roman"/>
                <w:noProof/>
              </w:rPr>
            </w:pPr>
            <w:r>
              <w:rPr>
                <w:noProof/>
              </w:rPr>
              <w:t xml:space="preserve">Reforma 1. Poboljšanje upravljanja otpadom kako bi se ubrzao prelazak na </w:t>
            </w:r>
            <w:r>
              <w:rPr>
                <w:noProof/>
              </w:rPr>
              <w:t>kružno gospodarstvo</w:t>
            </w:r>
          </w:p>
        </w:tc>
        <w:tc>
          <w:tcPr>
            <w:tcW w:w="1276" w:type="dxa"/>
            <w:tcBorders>
              <w:top w:val="single" w:sz="4" w:space="0" w:color="auto"/>
              <w:left w:val="nil"/>
              <w:bottom w:val="single" w:sz="4" w:space="0" w:color="auto"/>
              <w:right w:val="single" w:sz="4" w:space="0" w:color="auto"/>
            </w:tcBorders>
            <w:shd w:val="clear" w:color="auto" w:fill="C6EFCE"/>
            <w:noWrap/>
            <w:hideMark/>
          </w:tcPr>
          <w:p w14:paraId="7E5773F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hideMark/>
          </w:tcPr>
          <w:p w14:paraId="7C085BA9" w14:textId="77777777" w:rsidR="003F46B9" w:rsidRDefault="0065662E">
            <w:pPr>
              <w:pStyle w:val="P68B1DB1-Normal5"/>
              <w:spacing w:after="0" w:line="240" w:lineRule="auto"/>
              <w:jc w:val="both"/>
              <w:rPr>
                <w:rFonts w:eastAsia="Times New Roman" w:cs="Times New Roman"/>
                <w:noProof/>
              </w:rPr>
            </w:pPr>
            <w:r>
              <w:rPr>
                <w:noProof/>
              </w:rPr>
              <w:t>Donošenje nacionalne strategije za kružno gospodarstvo</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7B164B1" w14:textId="77777777" w:rsidR="003F46B9" w:rsidRDefault="0065662E">
            <w:pPr>
              <w:pStyle w:val="P68B1DB1-Normal5"/>
              <w:spacing w:after="0" w:line="240" w:lineRule="auto"/>
              <w:jc w:val="both"/>
              <w:rPr>
                <w:rFonts w:eastAsia="Times New Roman" w:cs="Times New Roman"/>
                <w:noProof/>
              </w:rPr>
            </w:pPr>
            <w:r>
              <w:rPr>
                <w:noProof/>
              </w:rPr>
              <w:t>Donošenje nacionalne strategije za kružno gospodarstvo odlukom Vlade</w:t>
            </w:r>
          </w:p>
        </w:tc>
        <w:tc>
          <w:tcPr>
            <w:tcW w:w="1134" w:type="dxa"/>
            <w:tcBorders>
              <w:top w:val="single" w:sz="4" w:space="0" w:color="auto"/>
              <w:left w:val="nil"/>
              <w:bottom w:val="single" w:sz="4" w:space="0" w:color="auto"/>
              <w:right w:val="single" w:sz="4" w:space="0" w:color="auto"/>
            </w:tcBorders>
            <w:shd w:val="clear" w:color="auto" w:fill="C6EFCE"/>
            <w:noWrap/>
          </w:tcPr>
          <w:p w14:paraId="1B70D5B6"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52C360D0"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C65E028"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B553B2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6FCAC165" w14:textId="77777777" w:rsidR="003F46B9" w:rsidRDefault="0065662E">
            <w:pPr>
              <w:pStyle w:val="P68B1DB1-Normal5"/>
              <w:spacing w:after="0" w:line="240" w:lineRule="auto"/>
              <w:jc w:val="both"/>
              <w:rPr>
                <w:rFonts w:eastAsia="Times New Roman" w:cs="Times New Roman"/>
                <w:noProof/>
              </w:rPr>
            </w:pPr>
            <w:r>
              <w:rPr>
                <w:noProof/>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506A406B" w14:textId="77777777" w:rsidR="003F46B9" w:rsidRDefault="0065662E">
            <w:pPr>
              <w:pStyle w:val="P68B1DB1-Normal5"/>
              <w:spacing w:after="0" w:line="240" w:lineRule="auto"/>
              <w:jc w:val="both"/>
              <w:rPr>
                <w:rFonts w:cs="Times New Roman"/>
                <w:noProof/>
              </w:rPr>
            </w:pPr>
            <w:r>
              <w:rPr>
                <w:noProof/>
              </w:rPr>
              <w:t>Donošenje nacionalne strategije za kružno gospodarstvo, koja se temelji na prepo</w:t>
            </w:r>
            <w:r>
              <w:rPr>
                <w:noProof/>
              </w:rPr>
              <w:t>rukama tekućeg projekta Instrumenta za tehničku potporu.</w:t>
            </w:r>
          </w:p>
          <w:p w14:paraId="1736251C" w14:textId="77777777" w:rsidR="003F46B9" w:rsidRDefault="0065662E">
            <w:pPr>
              <w:pStyle w:val="P68B1DB1-Normal5"/>
              <w:spacing w:after="0" w:line="240" w:lineRule="auto"/>
              <w:jc w:val="both"/>
              <w:rPr>
                <w:rFonts w:cs="Times New Roman"/>
                <w:noProof/>
              </w:rPr>
            </w:pPr>
            <w:r>
              <w:rPr>
                <w:noProof/>
              </w:rPr>
              <w:t>Strategijom se utvrđuju pravila za cijeli životni ciklus proizvoda i definiraju sljedeći ključni elementi:</w:t>
            </w:r>
          </w:p>
          <w:p w14:paraId="133A6DA7" w14:textId="77777777" w:rsidR="003F46B9" w:rsidRDefault="0065662E">
            <w:pPr>
              <w:pStyle w:val="P68B1DB1-ListParagraph13"/>
              <w:numPr>
                <w:ilvl w:val="0"/>
                <w:numId w:val="8"/>
              </w:numPr>
              <w:spacing w:after="0" w:line="240" w:lineRule="auto"/>
              <w:ind w:left="165" w:hanging="141"/>
              <w:jc w:val="both"/>
              <w:rPr>
                <w:rFonts w:cs="Times New Roman"/>
                <w:noProof/>
              </w:rPr>
            </w:pPr>
            <w:r>
              <w:rPr>
                <w:noProof/>
              </w:rPr>
              <w:t>regulatorne, financijske i informacijske metode i alate za potporu kružnim inicijativama;</w:t>
            </w:r>
          </w:p>
          <w:p w14:paraId="438D6846" w14:textId="77777777" w:rsidR="003F46B9" w:rsidRDefault="0065662E">
            <w:pPr>
              <w:pStyle w:val="P68B1DB1-ListParagraph13"/>
              <w:numPr>
                <w:ilvl w:val="0"/>
                <w:numId w:val="8"/>
              </w:numPr>
              <w:spacing w:after="0" w:line="240" w:lineRule="auto"/>
              <w:ind w:left="165" w:hanging="141"/>
              <w:jc w:val="both"/>
              <w:rPr>
                <w:rFonts w:cs="Times New Roman"/>
                <w:noProof/>
              </w:rPr>
            </w:pPr>
            <w:r>
              <w:rPr>
                <w:noProof/>
              </w:rPr>
              <w:t>ut</w:t>
            </w:r>
            <w:r>
              <w:rPr>
                <w:noProof/>
              </w:rPr>
              <w:t>vrđivanje sektora koji će biti obuhvaćeni;</w:t>
            </w:r>
          </w:p>
          <w:p w14:paraId="22E61FA5" w14:textId="77777777" w:rsidR="003F46B9" w:rsidRDefault="0065662E">
            <w:pPr>
              <w:pStyle w:val="P68B1DB1-ListParagraph13"/>
              <w:numPr>
                <w:ilvl w:val="0"/>
                <w:numId w:val="8"/>
              </w:numPr>
              <w:spacing w:after="0" w:line="240" w:lineRule="auto"/>
              <w:ind w:left="165" w:hanging="141"/>
              <w:jc w:val="both"/>
              <w:rPr>
                <w:rFonts w:cs="Times New Roman"/>
                <w:noProof/>
              </w:rPr>
            </w:pPr>
            <w:r>
              <w:rPr>
                <w:noProof/>
              </w:rPr>
              <w:t>revizija ekoloških i gospodarskih poticaja za otpad kako bi recikliranje bilo prikladnije od odlaganja i spaljivanja;</w:t>
            </w:r>
          </w:p>
          <w:p w14:paraId="7158CB17" w14:textId="77777777" w:rsidR="003F46B9" w:rsidRDefault="0065662E">
            <w:pPr>
              <w:pStyle w:val="P68B1DB1-ListParagraph13"/>
              <w:numPr>
                <w:ilvl w:val="0"/>
                <w:numId w:val="8"/>
              </w:numPr>
              <w:spacing w:after="0" w:line="240" w:lineRule="auto"/>
              <w:ind w:left="165" w:hanging="141"/>
              <w:jc w:val="both"/>
              <w:rPr>
                <w:rFonts w:cs="Times New Roman"/>
                <w:noProof/>
              </w:rPr>
            </w:pPr>
            <w:r>
              <w:rPr>
                <w:noProof/>
              </w:rPr>
              <w:t>smjernice za upotrebu financijskih metoda i metoda/alata upravljanja u odgovarajućim sektorima;</w:t>
            </w:r>
          </w:p>
          <w:p w14:paraId="76741C80" w14:textId="77777777" w:rsidR="003F46B9" w:rsidRDefault="0065662E">
            <w:pPr>
              <w:pStyle w:val="P68B1DB1-ListParagraph13"/>
              <w:numPr>
                <w:ilvl w:val="0"/>
                <w:numId w:val="8"/>
              </w:numPr>
              <w:spacing w:after="0" w:line="240" w:lineRule="auto"/>
              <w:ind w:left="165" w:hanging="141"/>
              <w:jc w:val="both"/>
              <w:rPr>
                <w:rFonts w:cs="Times New Roman"/>
                <w:noProof/>
              </w:rPr>
            </w:pPr>
            <w:r>
              <w:rPr>
                <w:noProof/>
              </w:rPr>
              <w:t xml:space="preserve">upravljački okvir za suradnju među dionicima (tijela, akademska zajednica, privatni sektor, neprofitni sektor i građani). </w:t>
            </w:r>
          </w:p>
          <w:p w14:paraId="5F76511C" w14:textId="77777777" w:rsidR="003F46B9" w:rsidRDefault="0065662E">
            <w:pPr>
              <w:pStyle w:val="P68B1DB1-Normal5"/>
              <w:spacing w:after="0" w:line="240" w:lineRule="auto"/>
              <w:jc w:val="both"/>
              <w:rPr>
                <w:rFonts w:eastAsia="Times New Roman" w:cs="Times New Roman"/>
                <w:noProof/>
              </w:rPr>
            </w:pPr>
            <w:r>
              <w:rPr>
                <w:noProof/>
              </w:rPr>
              <w:t>Nacionalna strategija za kružno gospodarstvo učinkovito doprinosi ciljevima EU-a u pogledu recikliranja otpada, posebno u pogledu re</w:t>
            </w:r>
            <w:r>
              <w:rPr>
                <w:noProof/>
              </w:rPr>
              <w:t>cikliranja komunalnog otpada i smanjenja visokih stopa odlaganja otpada na odlagališta.</w:t>
            </w:r>
          </w:p>
        </w:tc>
      </w:tr>
      <w:tr w:rsidR="003F46B9" w14:paraId="1DB0DF1D"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7D29612" w14:textId="77777777" w:rsidR="003F46B9" w:rsidRDefault="0065662E">
            <w:pPr>
              <w:pStyle w:val="P68B1DB1-Normal5"/>
              <w:spacing w:after="0" w:line="240" w:lineRule="auto"/>
              <w:jc w:val="both"/>
              <w:rPr>
                <w:rFonts w:eastAsia="Times New Roman" w:cs="Times New Roman"/>
                <w:noProof/>
              </w:rPr>
            </w:pPr>
            <w:r>
              <w:rPr>
                <w:noProof/>
              </w:rPr>
              <w:t>44</w:t>
            </w:r>
          </w:p>
        </w:tc>
        <w:tc>
          <w:tcPr>
            <w:tcW w:w="1559" w:type="dxa"/>
            <w:tcBorders>
              <w:top w:val="nil"/>
              <w:left w:val="nil"/>
              <w:bottom w:val="single" w:sz="4" w:space="0" w:color="auto"/>
              <w:right w:val="single" w:sz="4" w:space="0" w:color="auto"/>
            </w:tcBorders>
            <w:shd w:val="clear" w:color="auto" w:fill="C6EFCE"/>
            <w:noWrap/>
            <w:hideMark/>
          </w:tcPr>
          <w:p w14:paraId="24D3F10E" w14:textId="77777777" w:rsidR="003F46B9" w:rsidRDefault="0065662E">
            <w:pPr>
              <w:pStyle w:val="P68B1DB1-Normal5"/>
              <w:spacing w:after="0" w:line="240" w:lineRule="auto"/>
              <w:jc w:val="both"/>
              <w:rPr>
                <w:rFonts w:eastAsia="Times New Roman" w:cs="Times New Roman"/>
                <w:noProof/>
              </w:rPr>
            </w:pPr>
            <w:r>
              <w:rPr>
                <w:noProof/>
              </w:rPr>
              <w:t xml:space="preserve">Reforma 1. Poboljšanje upravljanja otpadom kako bi se ubrzao prelazak na kružno gospodarstvo </w:t>
            </w:r>
          </w:p>
        </w:tc>
        <w:tc>
          <w:tcPr>
            <w:tcW w:w="1276" w:type="dxa"/>
            <w:tcBorders>
              <w:top w:val="nil"/>
              <w:left w:val="nil"/>
              <w:bottom w:val="single" w:sz="4" w:space="0" w:color="auto"/>
              <w:right w:val="single" w:sz="4" w:space="0" w:color="auto"/>
            </w:tcBorders>
            <w:shd w:val="clear" w:color="auto" w:fill="C6EFCE"/>
            <w:noWrap/>
            <w:hideMark/>
          </w:tcPr>
          <w:p w14:paraId="71D3689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9" w:type="dxa"/>
            <w:tcBorders>
              <w:top w:val="nil"/>
              <w:left w:val="nil"/>
              <w:bottom w:val="single" w:sz="4" w:space="0" w:color="auto"/>
              <w:right w:val="single" w:sz="4" w:space="0" w:color="auto"/>
            </w:tcBorders>
            <w:shd w:val="clear" w:color="auto" w:fill="C6EFCE"/>
            <w:noWrap/>
            <w:hideMark/>
          </w:tcPr>
          <w:p w14:paraId="566180FD" w14:textId="77777777" w:rsidR="003F46B9" w:rsidRDefault="0065662E">
            <w:pPr>
              <w:pStyle w:val="P68B1DB1-Normal5"/>
              <w:spacing w:after="0" w:line="240" w:lineRule="auto"/>
              <w:jc w:val="both"/>
              <w:rPr>
                <w:rFonts w:eastAsia="Times New Roman" w:cs="Times New Roman"/>
                <w:noProof/>
              </w:rPr>
            </w:pPr>
            <w:r>
              <w:rPr>
                <w:noProof/>
              </w:rPr>
              <w:t xml:space="preserve">Donošenje akcijskog plana za nacionalnu strategiju za </w:t>
            </w:r>
            <w:r>
              <w:rPr>
                <w:noProof/>
              </w:rPr>
              <w:t>kružno gospodarstvo</w:t>
            </w:r>
          </w:p>
        </w:tc>
        <w:tc>
          <w:tcPr>
            <w:tcW w:w="1701" w:type="dxa"/>
            <w:tcBorders>
              <w:top w:val="nil"/>
              <w:left w:val="nil"/>
              <w:bottom w:val="single" w:sz="4" w:space="0" w:color="auto"/>
              <w:right w:val="single" w:sz="4" w:space="0" w:color="auto"/>
            </w:tcBorders>
            <w:shd w:val="clear" w:color="auto" w:fill="C6EFCE"/>
            <w:noWrap/>
            <w:hideMark/>
          </w:tcPr>
          <w:p w14:paraId="759E5308" w14:textId="77777777" w:rsidR="003F46B9" w:rsidRDefault="0065662E">
            <w:pPr>
              <w:pStyle w:val="P68B1DB1-Normal5"/>
              <w:spacing w:after="0" w:line="240" w:lineRule="auto"/>
              <w:jc w:val="both"/>
              <w:rPr>
                <w:rFonts w:eastAsia="Times New Roman" w:cs="Times New Roman"/>
                <w:noProof/>
              </w:rPr>
            </w:pPr>
            <w:r>
              <w:rPr>
                <w:noProof/>
              </w:rPr>
              <w:t>Donošenje akcijskog plana za nacionalnu strategiju za kružno gospodarstvo Odlukom Vlade Rumunjske</w:t>
            </w:r>
          </w:p>
        </w:tc>
        <w:tc>
          <w:tcPr>
            <w:tcW w:w="1134" w:type="dxa"/>
            <w:tcBorders>
              <w:top w:val="nil"/>
              <w:left w:val="nil"/>
              <w:bottom w:val="single" w:sz="4" w:space="0" w:color="auto"/>
              <w:right w:val="single" w:sz="4" w:space="0" w:color="auto"/>
            </w:tcBorders>
            <w:shd w:val="clear" w:color="auto" w:fill="C6EFCE"/>
            <w:noWrap/>
          </w:tcPr>
          <w:p w14:paraId="55E4540A"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3378E078"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3F483775"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084518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7F379F12" w14:textId="77777777" w:rsidR="003F46B9" w:rsidRDefault="0065662E">
            <w:pPr>
              <w:pStyle w:val="P68B1DB1-Normal5"/>
              <w:spacing w:after="0" w:line="240" w:lineRule="auto"/>
              <w:jc w:val="both"/>
              <w:rPr>
                <w:rFonts w:eastAsia="Times New Roman" w:cs="Times New Roman"/>
                <w:noProof/>
              </w:rPr>
            </w:pPr>
            <w:r>
              <w:rPr>
                <w:noProof/>
              </w:rPr>
              <w:t>2023</w:t>
            </w:r>
          </w:p>
        </w:tc>
        <w:tc>
          <w:tcPr>
            <w:tcW w:w="3906" w:type="dxa"/>
            <w:tcBorders>
              <w:top w:val="nil"/>
              <w:left w:val="nil"/>
              <w:bottom w:val="single" w:sz="4" w:space="0" w:color="auto"/>
              <w:right w:val="single" w:sz="4" w:space="0" w:color="auto"/>
            </w:tcBorders>
            <w:shd w:val="clear" w:color="auto" w:fill="C6EFCE"/>
            <w:noWrap/>
          </w:tcPr>
          <w:p w14:paraId="13DE743F" w14:textId="77777777" w:rsidR="003F46B9" w:rsidRDefault="0065662E">
            <w:pPr>
              <w:pStyle w:val="P68B1DB1-Normal5"/>
              <w:spacing w:after="0" w:line="240" w:lineRule="auto"/>
              <w:jc w:val="both"/>
              <w:rPr>
                <w:rFonts w:cs="Times New Roman"/>
                <w:noProof/>
              </w:rPr>
            </w:pPr>
            <w:r>
              <w:rPr>
                <w:noProof/>
              </w:rPr>
              <w:t xml:space="preserve">Akcijskim planom utvrđuju se ključni provedbeni koraci strategije donesene u ključnoj etapi 43, nadležna tijela i </w:t>
            </w:r>
            <w:r>
              <w:rPr>
                <w:noProof/>
              </w:rPr>
              <w:t>obvezujući vremenski okvir za utvrđene mjere na temelju stručnih preporuka koje treba izraditi u okviru projekta Instrumenta za tehničku potporu.</w:t>
            </w:r>
          </w:p>
          <w:p w14:paraId="581E4E5B" w14:textId="77777777" w:rsidR="003F46B9" w:rsidRDefault="0065662E">
            <w:pPr>
              <w:pStyle w:val="P68B1DB1-Normal5"/>
              <w:spacing w:after="0" w:line="240" w:lineRule="auto"/>
              <w:jc w:val="both"/>
              <w:rPr>
                <w:rFonts w:eastAsia="Times New Roman" w:cs="Times New Roman"/>
                <w:noProof/>
              </w:rPr>
            </w:pPr>
            <w:r>
              <w:rPr>
                <w:noProof/>
              </w:rPr>
              <w:t>Plan uključuje odgovarajući sustav za praćenje provedbe i korektivne alate kako bi se osiguralo ostvarenje pla</w:t>
            </w:r>
            <w:r>
              <w:rPr>
                <w:noProof/>
              </w:rPr>
              <w:t>niranih ključnih mjera.</w:t>
            </w:r>
          </w:p>
        </w:tc>
      </w:tr>
      <w:tr w:rsidR="003F46B9" w14:paraId="4D6F7CF6"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56C1E26" w14:textId="77777777" w:rsidR="003F46B9" w:rsidRDefault="0065662E">
            <w:pPr>
              <w:pStyle w:val="P68B1DB1-Normal5"/>
              <w:spacing w:after="0" w:line="240" w:lineRule="auto"/>
              <w:jc w:val="both"/>
              <w:rPr>
                <w:rFonts w:eastAsia="Times New Roman" w:cs="Times New Roman"/>
                <w:noProof/>
              </w:rPr>
            </w:pPr>
            <w:r>
              <w:rPr>
                <w:noProof/>
              </w:rPr>
              <w:t>45</w:t>
            </w:r>
          </w:p>
        </w:tc>
        <w:tc>
          <w:tcPr>
            <w:tcW w:w="1559" w:type="dxa"/>
            <w:tcBorders>
              <w:top w:val="nil"/>
              <w:left w:val="nil"/>
              <w:bottom w:val="single" w:sz="4" w:space="0" w:color="auto"/>
              <w:right w:val="single" w:sz="4" w:space="0" w:color="auto"/>
            </w:tcBorders>
            <w:shd w:val="clear" w:color="auto" w:fill="C6EFCE"/>
            <w:noWrap/>
            <w:hideMark/>
          </w:tcPr>
          <w:p w14:paraId="3FCD5DA3" w14:textId="77777777" w:rsidR="003F46B9" w:rsidRDefault="0065662E">
            <w:pPr>
              <w:pStyle w:val="P68B1DB1-Normal5"/>
              <w:spacing w:after="0" w:line="240" w:lineRule="auto"/>
              <w:jc w:val="both"/>
              <w:rPr>
                <w:rFonts w:eastAsia="Times New Roman" w:cs="Times New Roman"/>
                <w:noProof/>
              </w:rPr>
            </w:pPr>
            <w:r>
              <w:rPr>
                <w:noProof/>
              </w:rPr>
              <w:t>Reforma 1. Poboljšanje upravljanja otpadom kako bi se ubrzao prelazak na kružno gospodarstvo</w:t>
            </w:r>
          </w:p>
        </w:tc>
        <w:tc>
          <w:tcPr>
            <w:tcW w:w="1276" w:type="dxa"/>
            <w:tcBorders>
              <w:top w:val="nil"/>
              <w:left w:val="nil"/>
              <w:bottom w:val="single" w:sz="4" w:space="0" w:color="auto"/>
              <w:right w:val="single" w:sz="4" w:space="0" w:color="auto"/>
            </w:tcBorders>
            <w:shd w:val="clear" w:color="auto" w:fill="C6EFCE"/>
            <w:noWrap/>
            <w:hideMark/>
          </w:tcPr>
          <w:p w14:paraId="448E1B2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9" w:type="dxa"/>
            <w:tcBorders>
              <w:top w:val="nil"/>
              <w:left w:val="nil"/>
              <w:bottom w:val="single" w:sz="4" w:space="0" w:color="auto"/>
              <w:right w:val="single" w:sz="4" w:space="0" w:color="auto"/>
            </w:tcBorders>
            <w:shd w:val="clear" w:color="auto" w:fill="C6EFCE"/>
            <w:noWrap/>
            <w:hideMark/>
          </w:tcPr>
          <w:p w14:paraId="1AB4279F" w14:textId="77777777" w:rsidR="003F46B9" w:rsidRDefault="0065662E">
            <w:pPr>
              <w:pStyle w:val="P68B1DB1-Normal5"/>
              <w:spacing w:after="0" w:line="240" w:lineRule="auto"/>
              <w:jc w:val="both"/>
              <w:rPr>
                <w:rFonts w:eastAsia="Times New Roman" w:cs="Times New Roman"/>
                <w:noProof/>
              </w:rPr>
            </w:pPr>
            <w:r>
              <w:rPr>
                <w:noProof/>
              </w:rPr>
              <w:t>Provedba mjera iz nacionalne strategije i akcijskog plana za kružno gospodarstvo dodijeljenih javnim tijelima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hideMark/>
          </w:tcPr>
          <w:p w14:paraId="0C60B5B0" w14:textId="77777777" w:rsidR="003F46B9" w:rsidRDefault="0065662E">
            <w:pPr>
              <w:pStyle w:val="P68B1DB1-Normal5"/>
              <w:spacing w:after="0" w:line="240" w:lineRule="auto"/>
              <w:jc w:val="both"/>
              <w:rPr>
                <w:rFonts w:eastAsia="Times New Roman" w:cs="Times New Roman"/>
                <w:noProof/>
              </w:rPr>
            </w:pPr>
            <w:r>
              <w:rPr>
                <w:noProof/>
              </w:rPr>
              <w:t xml:space="preserve">Provedba mjera iz nacionalne strategije i akcijskog plana za kružno gospodarstvo dodijeljenih javnim tijelima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7526D9E1"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6E818EBD"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7B4DC831"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7205F06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68E51302"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single" w:sz="4" w:space="0" w:color="auto"/>
              <w:left w:val="single" w:sz="4" w:space="0" w:color="auto"/>
              <w:bottom w:val="single" w:sz="4" w:space="0" w:color="auto"/>
              <w:right w:val="single" w:sz="4" w:space="0" w:color="auto"/>
            </w:tcBorders>
            <w:shd w:val="clear" w:color="auto" w:fill="C6EFCE"/>
            <w:noWrap/>
          </w:tcPr>
          <w:p w14:paraId="37172159" w14:textId="07DA78DC" w:rsidR="003F46B9" w:rsidRDefault="0065662E">
            <w:pPr>
              <w:pStyle w:val="P68B1DB1-Normal5"/>
              <w:spacing w:after="0" w:line="240" w:lineRule="auto"/>
              <w:jc w:val="both"/>
              <w:rPr>
                <w:rFonts w:cs="Times New Roman"/>
                <w:noProof/>
              </w:rPr>
            </w:pPr>
            <w:r>
              <w:rPr>
                <w:noProof/>
              </w:rPr>
              <w:t>Završetak provedbe svih mjera predviđenih u nacionalnoj strategiji i akcijskom planu za kružno gospodarstvo koje su dodijelje</w:t>
            </w:r>
            <w:r>
              <w:rPr>
                <w:noProof/>
              </w:rPr>
              <w:t xml:space="preserve">ne javnim tijelima od trećeg tromjesečja 2023. do prvog tromjesečja 2026. </w:t>
            </w:r>
          </w:p>
          <w:p w14:paraId="0D672336" w14:textId="77777777" w:rsidR="003F46B9" w:rsidRDefault="003F46B9">
            <w:pPr>
              <w:spacing w:after="0" w:line="240" w:lineRule="auto"/>
              <w:jc w:val="both"/>
              <w:rPr>
                <w:rFonts w:ascii="Times New Roman" w:hAnsi="Times New Roman" w:cs="Times New Roman"/>
                <w:noProof/>
                <w:sz w:val="24"/>
              </w:rPr>
            </w:pPr>
          </w:p>
          <w:p w14:paraId="48BE73DB"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2814059D"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919D27E" w14:textId="77777777" w:rsidR="003F46B9" w:rsidRDefault="0065662E">
            <w:pPr>
              <w:pStyle w:val="P68B1DB1-Normal5"/>
              <w:spacing w:after="0" w:line="240" w:lineRule="auto"/>
              <w:jc w:val="both"/>
              <w:rPr>
                <w:rFonts w:eastAsia="Times New Roman" w:cs="Times New Roman"/>
                <w:noProof/>
              </w:rPr>
            </w:pPr>
            <w:r>
              <w:rPr>
                <w:noProof/>
              </w:rPr>
              <w:t>46</w:t>
            </w:r>
          </w:p>
        </w:tc>
        <w:tc>
          <w:tcPr>
            <w:tcW w:w="1559" w:type="dxa"/>
            <w:tcBorders>
              <w:top w:val="nil"/>
              <w:left w:val="nil"/>
              <w:bottom w:val="single" w:sz="4" w:space="0" w:color="auto"/>
              <w:right w:val="single" w:sz="4" w:space="0" w:color="auto"/>
            </w:tcBorders>
            <w:shd w:val="clear" w:color="auto" w:fill="C6EFCE"/>
            <w:noWrap/>
            <w:hideMark/>
          </w:tcPr>
          <w:p w14:paraId="7EACFF8A" w14:textId="77777777" w:rsidR="003F46B9" w:rsidRDefault="0065662E">
            <w:pPr>
              <w:pStyle w:val="P68B1DB1-Normal5"/>
              <w:spacing w:after="0" w:line="240" w:lineRule="auto"/>
              <w:jc w:val="both"/>
              <w:rPr>
                <w:rFonts w:eastAsia="Times New Roman" w:cs="Times New Roman"/>
                <w:noProof/>
              </w:rPr>
            </w:pPr>
            <w:r>
              <w:rPr>
                <w:noProof/>
              </w:rPr>
              <w:t>Reforma 1. Poboljšanje upravljanja otpadom kako bi se ubrzao prelazak na kružno gospodarstvo</w:t>
            </w:r>
          </w:p>
        </w:tc>
        <w:tc>
          <w:tcPr>
            <w:tcW w:w="1276" w:type="dxa"/>
            <w:tcBorders>
              <w:top w:val="nil"/>
              <w:left w:val="nil"/>
              <w:bottom w:val="single" w:sz="4" w:space="0" w:color="auto"/>
              <w:right w:val="single" w:sz="4" w:space="0" w:color="auto"/>
            </w:tcBorders>
            <w:shd w:val="clear" w:color="auto" w:fill="C6EFCE"/>
            <w:noWrap/>
            <w:hideMark/>
          </w:tcPr>
          <w:p w14:paraId="4DD4542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59" w:type="dxa"/>
            <w:tcBorders>
              <w:top w:val="nil"/>
              <w:left w:val="nil"/>
              <w:bottom w:val="single" w:sz="4" w:space="0" w:color="auto"/>
              <w:right w:val="single" w:sz="4" w:space="0" w:color="auto"/>
            </w:tcBorders>
            <w:shd w:val="clear" w:color="auto" w:fill="C6EFCE"/>
            <w:noWrap/>
            <w:hideMark/>
          </w:tcPr>
          <w:p w14:paraId="65AE5D13"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zakonodavnih akata potrebnih za operacionalizaciju </w:t>
            </w:r>
            <w:r>
              <w:rPr>
                <w:noProof/>
              </w:rPr>
              <w:t>jedinstvenog gospodarenja otpadom u skladu s Nacionalnim planom gospodarenja otpadom</w:t>
            </w:r>
          </w:p>
        </w:tc>
        <w:tc>
          <w:tcPr>
            <w:tcW w:w="1701" w:type="dxa"/>
            <w:tcBorders>
              <w:top w:val="single" w:sz="4" w:space="0" w:color="auto"/>
              <w:left w:val="nil"/>
              <w:bottom w:val="single" w:sz="4" w:space="0" w:color="auto"/>
              <w:right w:val="single" w:sz="4" w:space="0" w:color="auto"/>
            </w:tcBorders>
            <w:shd w:val="clear" w:color="auto" w:fill="C6EFCE"/>
            <w:noWrap/>
            <w:hideMark/>
          </w:tcPr>
          <w:p w14:paraId="6D357F1C"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zakonodavnih akata o praksi gospodarenja otpadom</w:t>
            </w:r>
          </w:p>
        </w:tc>
        <w:tc>
          <w:tcPr>
            <w:tcW w:w="1134" w:type="dxa"/>
            <w:tcBorders>
              <w:top w:val="single" w:sz="4" w:space="0" w:color="auto"/>
              <w:left w:val="nil"/>
              <w:bottom w:val="single" w:sz="4" w:space="0" w:color="auto"/>
              <w:right w:val="single" w:sz="4" w:space="0" w:color="auto"/>
            </w:tcBorders>
            <w:shd w:val="clear" w:color="auto" w:fill="C6EFCE"/>
            <w:noWrap/>
          </w:tcPr>
          <w:p w14:paraId="385A53E0"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7C509834"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3AEC0F4F"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D140C7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552EDEA3" w14:textId="77777777" w:rsidR="003F46B9" w:rsidRDefault="0065662E">
            <w:pPr>
              <w:pStyle w:val="P68B1DB1-Normal5"/>
              <w:spacing w:after="0" w:line="240" w:lineRule="auto"/>
              <w:jc w:val="both"/>
              <w:rPr>
                <w:rFonts w:eastAsia="Times New Roman" w:cs="Times New Roman"/>
                <w:noProof/>
              </w:rPr>
            </w:pPr>
            <w:r>
              <w:rPr>
                <w:noProof/>
              </w:rPr>
              <w:t>2022</w:t>
            </w:r>
          </w:p>
        </w:tc>
        <w:tc>
          <w:tcPr>
            <w:tcW w:w="3906" w:type="dxa"/>
            <w:tcBorders>
              <w:top w:val="single" w:sz="4" w:space="0" w:color="auto"/>
              <w:left w:val="nil"/>
              <w:bottom w:val="single" w:sz="4" w:space="0" w:color="auto"/>
              <w:right w:val="single" w:sz="4" w:space="0" w:color="auto"/>
            </w:tcBorders>
            <w:shd w:val="clear" w:color="auto" w:fill="C6EFCE"/>
            <w:noWrap/>
          </w:tcPr>
          <w:p w14:paraId="021FEFE8" w14:textId="402F867A" w:rsidR="003F46B9" w:rsidRDefault="0065662E">
            <w:pPr>
              <w:pStyle w:val="P68B1DB1-Normal5"/>
              <w:spacing w:after="0" w:line="240" w:lineRule="auto"/>
              <w:jc w:val="both"/>
              <w:rPr>
                <w:rFonts w:cs="Times New Roman"/>
                <w:noProof/>
              </w:rPr>
            </w:pPr>
            <w:r>
              <w:rPr>
                <w:noProof/>
              </w:rPr>
              <w:t>Stupanje na snagu zakonodavnih akata potrebnih za konsolidaciju u</w:t>
            </w:r>
            <w:r>
              <w:rPr>
                <w:noProof/>
              </w:rPr>
              <w:t xml:space="preserve">sklađenog gospodarenja otpadom u Rumunjskoj, posebno putem mjera upravljanja za gospodarenje komunalnim otpadom u Nacionalnom planu gospodarenja otpadom, kako bi se postigli ciljevi u području gospodarenja otpadom iz Okvirne direktive EU-a o otpadu. </w:t>
            </w:r>
          </w:p>
          <w:p w14:paraId="1E433ED9" w14:textId="77777777" w:rsidR="003F46B9" w:rsidRDefault="0065662E">
            <w:pPr>
              <w:pStyle w:val="P68B1DB1-Normal5"/>
              <w:spacing w:after="0" w:line="240" w:lineRule="auto"/>
              <w:jc w:val="both"/>
              <w:rPr>
                <w:rFonts w:cs="Times New Roman"/>
                <w:noProof/>
              </w:rPr>
            </w:pPr>
            <w:r>
              <w:rPr>
                <w:noProof/>
              </w:rPr>
              <w:t>Sljed</w:t>
            </w:r>
            <w:r>
              <w:rPr>
                <w:noProof/>
              </w:rPr>
              <w:t>eći zakonodavni akti stupaju na snagu:</w:t>
            </w:r>
          </w:p>
          <w:p w14:paraId="14CEBAB7" w14:textId="77777777" w:rsidR="003F46B9" w:rsidRDefault="0065662E">
            <w:pPr>
              <w:pStyle w:val="P68B1DB1-Normal5"/>
              <w:spacing w:after="0" w:line="240" w:lineRule="auto"/>
              <w:jc w:val="both"/>
              <w:rPr>
                <w:rFonts w:eastAsia="Times New Roman" w:cs="Times New Roman"/>
                <w:noProof/>
              </w:rPr>
            </w:pPr>
            <w:r>
              <w:rPr>
                <w:noProof/>
              </w:rPr>
              <w:t xml:space="preserve">1. Pravilnik o sustavu otpada, koji </w:t>
            </w:r>
          </w:p>
          <w:p w14:paraId="59DDCB95" w14:textId="079E7E3D" w:rsidR="003F46B9" w:rsidRDefault="0065662E">
            <w:pPr>
              <w:pStyle w:val="P68B1DB1-Normal5"/>
              <w:spacing w:after="0" w:line="240" w:lineRule="auto"/>
              <w:jc w:val="both"/>
              <w:rPr>
                <w:rFonts w:cs="Times New Roman"/>
                <w:noProof/>
              </w:rPr>
            </w:pPr>
            <w:r>
              <w:rPr>
                <w:noProof/>
              </w:rPr>
              <w:t>uređuje proširenu odgovornost proizvođača u skladu s Okvirnom direktivom o otpadu. Pravilnikom se uvode i stroge kazne kako bi se odvratilo od nezakonitog odlaganja otpada, odlagan</w:t>
            </w:r>
            <w:r>
              <w:rPr>
                <w:noProof/>
              </w:rPr>
              <w:t xml:space="preserve">ja otpada i spaljivanja na otvorenom. </w:t>
            </w:r>
          </w:p>
          <w:p w14:paraId="2CD7E973" w14:textId="77777777" w:rsidR="003F46B9" w:rsidRDefault="0065662E">
            <w:pPr>
              <w:pStyle w:val="P68B1DB1-Normal5"/>
              <w:spacing w:after="0" w:line="240" w:lineRule="auto"/>
              <w:jc w:val="both"/>
              <w:rPr>
                <w:rFonts w:cs="Times New Roman"/>
                <w:noProof/>
              </w:rPr>
            </w:pPr>
            <w:r>
              <w:rPr>
                <w:noProof/>
              </w:rPr>
              <w:t xml:space="preserve">2. Pravilnik o izmjeni Zakona 101/2006 (Zakon o odvjetništvu). </w:t>
            </w:r>
          </w:p>
          <w:p w14:paraId="72239DD7" w14:textId="77777777" w:rsidR="003F46B9" w:rsidRDefault="0065662E">
            <w:pPr>
              <w:pStyle w:val="P68B1DB1-Normal5"/>
              <w:spacing w:after="0" w:line="240" w:lineRule="auto"/>
              <w:jc w:val="both"/>
              <w:rPr>
                <w:rFonts w:cs="Times New Roman"/>
                <w:noProof/>
              </w:rPr>
            </w:pPr>
            <w:r>
              <w:rPr>
                <w:noProof/>
              </w:rPr>
              <w:t>3. Izmjena Uredbe 109/2007 Nacionalnog regulatornog tijela za javne komunalne usluge Zajednice (ANRSC) o metodologiji sanitarnih tarifa.</w:t>
            </w:r>
          </w:p>
          <w:p w14:paraId="5B6B42BB" w14:textId="77777777" w:rsidR="003F46B9" w:rsidRDefault="0065662E">
            <w:pPr>
              <w:pStyle w:val="P68B1DB1-Normal5"/>
              <w:spacing w:after="0" w:line="240" w:lineRule="auto"/>
              <w:jc w:val="both"/>
              <w:rPr>
                <w:rFonts w:cs="Times New Roman"/>
                <w:noProof/>
              </w:rPr>
            </w:pPr>
            <w:r>
              <w:rPr>
                <w:noProof/>
              </w:rPr>
              <w:t>Pravilnikom (br.</w:t>
            </w:r>
            <w:r>
              <w:rPr>
                <w:noProof/>
              </w:rPr>
              <w:t xml:space="preserve"> 2) i izmijenjenom naredbom ANRSC-a (br. 3) uređuje se: </w:t>
            </w:r>
          </w:p>
          <w:p w14:paraId="3CEBE310" w14:textId="77777777" w:rsidR="003F46B9" w:rsidRDefault="0065662E">
            <w:pPr>
              <w:pStyle w:val="P68B1DB1-ListParagraph13"/>
              <w:numPr>
                <w:ilvl w:val="0"/>
                <w:numId w:val="9"/>
              </w:numPr>
              <w:spacing w:after="0" w:line="240" w:lineRule="auto"/>
              <w:ind w:left="165" w:hanging="141"/>
              <w:jc w:val="both"/>
              <w:rPr>
                <w:rFonts w:cs="Times New Roman"/>
                <w:noProof/>
              </w:rPr>
            </w:pPr>
            <w:r>
              <w:rPr>
                <w:noProof/>
              </w:rPr>
              <w:t>potpuna operacionalizacija gospodarskih instrumenata (plati koliko baciš, porez na odlagališta otpada i proširena odgovornost proizvođača);</w:t>
            </w:r>
          </w:p>
          <w:p w14:paraId="4072C291" w14:textId="77777777" w:rsidR="003F46B9" w:rsidRDefault="0065662E">
            <w:pPr>
              <w:pStyle w:val="P68B1DB1-ListParagraph13"/>
              <w:numPr>
                <w:ilvl w:val="0"/>
                <w:numId w:val="9"/>
              </w:numPr>
              <w:spacing w:after="0" w:line="240" w:lineRule="auto"/>
              <w:ind w:left="165" w:hanging="141"/>
              <w:jc w:val="both"/>
              <w:rPr>
                <w:rFonts w:cs="Times New Roman"/>
                <w:noProof/>
              </w:rPr>
            </w:pPr>
            <w:r>
              <w:rPr>
                <w:noProof/>
              </w:rPr>
              <w:t>uloga nacionalnog regulatornog tijela za javne komunalne us</w:t>
            </w:r>
            <w:r>
              <w:rPr>
                <w:noProof/>
              </w:rPr>
              <w:t>luge Zajednice kao nacionalnog regulatornog tijela za politiku određivanja naknada za komunalni otpad;</w:t>
            </w:r>
          </w:p>
          <w:p w14:paraId="0D9F01C8" w14:textId="77777777" w:rsidR="003F46B9" w:rsidRDefault="0065662E">
            <w:pPr>
              <w:pStyle w:val="P68B1DB1-ListParagraph13"/>
              <w:numPr>
                <w:ilvl w:val="0"/>
                <w:numId w:val="9"/>
              </w:numPr>
              <w:spacing w:after="0" w:line="240" w:lineRule="auto"/>
              <w:ind w:left="165" w:hanging="141"/>
              <w:jc w:val="both"/>
              <w:rPr>
                <w:rFonts w:eastAsia="Times New Roman" w:cs="Times New Roman"/>
                <w:noProof/>
              </w:rPr>
            </w:pPr>
            <w:r>
              <w:rPr>
                <w:noProof/>
              </w:rPr>
              <w:t>financijske odgovornosti razvojnih udruga među zajednicama u pogledu projekata integriranih sustava gospodarenja otpadom.</w:t>
            </w:r>
          </w:p>
        </w:tc>
      </w:tr>
      <w:tr w:rsidR="003F46B9" w14:paraId="46C82331"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328151B" w14:textId="77777777" w:rsidR="003F46B9" w:rsidRDefault="0065662E">
            <w:pPr>
              <w:pStyle w:val="P68B1DB1-Normal5"/>
              <w:spacing w:after="0" w:line="240" w:lineRule="auto"/>
              <w:jc w:val="both"/>
              <w:rPr>
                <w:rFonts w:cs="Times New Roman"/>
                <w:noProof/>
              </w:rPr>
            </w:pPr>
            <w:r>
              <w:rPr>
                <w:noProof/>
              </w:rPr>
              <w:t>47</w:t>
            </w:r>
          </w:p>
          <w:p w14:paraId="53BE61B5" w14:textId="77777777" w:rsidR="003F46B9" w:rsidRDefault="003F46B9">
            <w:pPr>
              <w:spacing w:after="0" w:line="240" w:lineRule="auto"/>
              <w:jc w:val="both"/>
              <w:rPr>
                <w:rFonts w:ascii="Times New Roman" w:eastAsia="Times New Roman" w:hAnsi="Times New Roman" w:cs="Times New Roman"/>
                <w:noProof/>
                <w:sz w:val="24"/>
              </w:rPr>
            </w:pPr>
          </w:p>
        </w:tc>
        <w:tc>
          <w:tcPr>
            <w:tcW w:w="1559" w:type="dxa"/>
            <w:tcBorders>
              <w:top w:val="nil"/>
              <w:left w:val="nil"/>
              <w:bottom w:val="single" w:sz="4" w:space="0" w:color="auto"/>
              <w:right w:val="single" w:sz="4" w:space="0" w:color="auto"/>
            </w:tcBorders>
            <w:shd w:val="clear" w:color="auto" w:fill="C6EFCE"/>
            <w:noWrap/>
            <w:hideMark/>
          </w:tcPr>
          <w:p w14:paraId="49B73FBC" w14:textId="77777777" w:rsidR="003F46B9" w:rsidRDefault="0065662E">
            <w:pPr>
              <w:pStyle w:val="P68B1DB1-Normal5"/>
              <w:spacing w:after="0" w:line="240" w:lineRule="auto"/>
              <w:jc w:val="both"/>
              <w:rPr>
                <w:rFonts w:eastAsia="Times New Roman" w:cs="Times New Roman"/>
                <w:noProof/>
              </w:rPr>
            </w:pPr>
            <w:r>
              <w:rPr>
                <w:noProof/>
              </w:rPr>
              <w:t xml:space="preserve">Reforma 1. Poboljšanje </w:t>
            </w:r>
            <w:r>
              <w:rPr>
                <w:noProof/>
              </w:rPr>
              <w:t>upravljanja otpadom kako bi se ubrzao prelazak na kružno gospodarstvo</w:t>
            </w:r>
          </w:p>
        </w:tc>
        <w:tc>
          <w:tcPr>
            <w:tcW w:w="1276" w:type="dxa"/>
            <w:tcBorders>
              <w:top w:val="nil"/>
              <w:left w:val="nil"/>
              <w:bottom w:val="single" w:sz="4" w:space="0" w:color="auto"/>
              <w:right w:val="single" w:sz="4" w:space="0" w:color="auto"/>
            </w:tcBorders>
            <w:shd w:val="clear" w:color="auto" w:fill="C6EFCE"/>
            <w:noWrap/>
            <w:hideMark/>
          </w:tcPr>
          <w:p w14:paraId="1614E71E"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tcPr>
          <w:p w14:paraId="3AF318E1" w14:textId="77777777" w:rsidR="003F46B9" w:rsidRDefault="0065662E">
            <w:pPr>
              <w:pStyle w:val="P68B1DB1-Normal5"/>
              <w:spacing w:after="0" w:line="240" w:lineRule="auto"/>
              <w:jc w:val="both"/>
              <w:rPr>
                <w:rFonts w:cs="Times New Roman"/>
                <w:noProof/>
              </w:rPr>
            </w:pPr>
            <w:r>
              <w:rPr>
                <w:noProof/>
              </w:rPr>
              <w:t>Doprinos od 4,5 % nacionalnom cilju recikliranja i pripreme za ponovnu uporabu od 4,5 % do 2025.</w:t>
            </w:r>
          </w:p>
          <w:p w14:paraId="1B0E454F" w14:textId="77777777" w:rsidR="003F46B9" w:rsidRDefault="003F46B9">
            <w:pPr>
              <w:spacing w:after="0" w:line="240" w:lineRule="auto"/>
              <w:jc w:val="both"/>
              <w:rPr>
                <w:rFonts w:ascii="Times New Roman" w:hAnsi="Times New Roman" w:cs="Times New Roman"/>
                <w:noProof/>
                <w:sz w:val="24"/>
              </w:rPr>
            </w:pPr>
          </w:p>
          <w:p w14:paraId="0D85ABD0" w14:textId="77777777" w:rsidR="003F46B9" w:rsidRDefault="003F46B9">
            <w:pPr>
              <w:spacing w:after="0" w:line="240" w:lineRule="auto"/>
              <w:jc w:val="both"/>
              <w:rPr>
                <w:rFonts w:ascii="Times New Roman" w:eastAsia="Times New Roman" w:hAnsi="Times New Roman" w:cs="Times New Roman"/>
                <w:noProof/>
                <w:sz w:val="24"/>
              </w:rPr>
            </w:pPr>
          </w:p>
        </w:tc>
        <w:tc>
          <w:tcPr>
            <w:tcW w:w="1701" w:type="dxa"/>
            <w:tcBorders>
              <w:top w:val="nil"/>
              <w:left w:val="nil"/>
              <w:bottom w:val="single" w:sz="4" w:space="0" w:color="auto"/>
              <w:right w:val="single" w:sz="4" w:space="0" w:color="auto"/>
            </w:tcBorders>
            <w:shd w:val="clear" w:color="auto" w:fill="C6EFCE"/>
            <w:noWrap/>
            <w:hideMark/>
          </w:tcPr>
          <w:p w14:paraId="5C1D024F" w14:textId="2E6FDF2B" w:rsidR="003F46B9" w:rsidRDefault="0065662E">
            <w:pPr>
              <w:pStyle w:val="P68B1DB1-Normal5"/>
              <w:spacing w:after="0" w:line="240" w:lineRule="auto"/>
              <w:jc w:val="both"/>
              <w:rPr>
                <w:rFonts w:eastAsia="Times New Roman" w:cs="Times New Roman"/>
                <w:noProof/>
              </w:rPr>
            </w:pPr>
            <w:r>
              <w:rPr>
                <w:noProof/>
              </w:rPr>
              <w:t>Doprinos od 4,5 % nacionalnom cilju recikliranja i pripreme za ponovnu uporabu o</w:t>
            </w:r>
            <w:r>
              <w:rPr>
                <w:noProof/>
              </w:rPr>
              <w:t xml:space="preserve">d 4,5 %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FEE6FEE"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5948F87E" w14:textId="77777777" w:rsidR="003F46B9" w:rsidRDefault="0065662E">
            <w:pPr>
              <w:pStyle w:val="P68B1DB1-Normal5"/>
              <w:spacing w:after="0" w:line="240" w:lineRule="auto"/>
              <w:jc w:val="both"/>
              <w:rPr>
                <w:rFonts w:eastAsia="Times New Roman" w:cs="Times New Roman"/>
                <w:noProof/>
              </w:rPr>
            </w:pPr>
            <w:r>
              <w:rPr>
                <w:noProof/>
              </w:rPr>
              <w:t>45,5</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14:paraId="5F71DD5A" w14:textId="77777777" w:rsidR="003F46B9" w:rsidRDefault="0065662E">
            <w:pPr>
              <w:pStyle w:val="P68B1DB1-Normal5"/>
              <w:spacing w:after="0" w:line="240" w:lineRule="auto"/>
              <w:jc w:val="both"/>
              <w:rPr>
                <w:rFonts w:eastAsia="Times New Roman" w:cs="Times New Roman"/>
                <w:noProof/>
              </w:rPr>
            </w:pPr>
            <w:r>
              <w:rPr>
                <w:noProof/>
              </w:rPr>
              <w:t>50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E45AEE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25361EE"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hideMark/>
          </w:tcPr>
          <w:p w14:paraId="13E0C007" w14:textId="77777777" w:rsidR="003F46B9" w:rsidRDefault="0065662E">
            <w:pPr>
              <w:pStyle w:val="P68B1DB1-Normal5"/>
              <w:spacing w:after="0" w:line="240" w:lineRule="auto"/>
              <w:jc w:val="both"/>
              <w:rPr>
                <w:rFonts w:cs="Times New Roman"/>
                <w:noProof/>
              </w:rPr>
            </w:pPr>
            <w:r>
              <w:rPr>
                <w:noProof/>
              </w:rPr>
              <w:t xml:space="preserve">Doprinos od 4,5 postotnih bodova ulaganja Nacionalnog plana za oporavak i otpornost u gospodarenje komunalnim otpadom nacionalnom cilju recikliranja od 50 % i pripreme za ponovnu uporabu komunalnog otpada do 2025. (kako </w:t>
            </w:r>
            <w:r>
              <w:rPr>
                <w:noProof/>
              </w:rPr>
              <w:t>je definirano u Okvirnoj direktivi o otpadu (2008/98/EZ izmijenjena Direktivom (EU) 2018/851) i Odluci Komisije 2011/753/EU od 18. studenoga 2011. o utvrđivanju pravila i metoda izračuna za provjeru usklađenosti s ciljevima utvrđenima u članku 11. stavku 2</w:t>
            </w:r>
            <w:r>
              <w:rPr>
                <w:noProof/>
              </w:rPr>
              <w:t>. Direktive 2008/98/EZ).</w:t>
            </w:r>
          </w:p>
          <w:p w14:paraId="30339AD8" w14:textId="77777777" w:rsidR="003F46B9" w:rsidRDefault="0065662E">
            <w:pPr>
              <w:pStyle w:val="P68B1DB1-Normal5"/>
              <w:spacing w:after="0" w:line="240" w:lineRule="auto"/>
              <w:jc w:val="both"/>
              <w:rPr>
                <w:rFonts w:eastAsia="Times New Roman" w:cs="Times New Roman"/>
                <w:noProof/>
              </w:rPr>
            </w:pPr>
            <w:r>
              <w:rPr>
                <w:noProof/>
              </w:rPr>
              <w:t>Doprinos se izračunava na temelju količina komunalnog otpada iz infrastrukture koja se podupire nacionalnim planom za oporavak i otpornost i koja će se reciklirati 2025. Doprinos se izračunava u odnosu na nacionalni cilj recikliran</w:t>
            </w:r>
            <w:r>
              <w:rPr>
                <w:noProof/>
              </w:rPr>
              <w:t>ja i pripreme za ponovnu uporabu od 50 % utvrđen za 2025.</w:t>
            </w:r>
          </w:p>
        </w:tc>
      </w:tr>
      <w:tr w:rsidR="003F46B9" w14:paraId="05912F76"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6FAD6A9" w14:textId="77777777" w:rsidR="003F46B9" w:rsidRDefault="0065662E">
            <w:pPr>
              <w:pStyle w:val="P68B1DB1-Normal5"/>
              <w:spacing w:after="0" w:line="240" w:lineRule="auto"/>
              <w:jc w:val="both"/>
              <w:rPr>
                <w:rFonts w:eastAsia="Times New Roman" w:cs="Times New Roman"/>
                <w:noProof/>
              </w:rPr>
            </w:pPr>
            <w:r>
              <w:rPr>
                <w:noProof/>
              </w:rPr>
              <w:t>48</w:t>
            </w:r>
          </w:p>
        </w:tc>
        <w:tc>
          <w:tcPr>
            <w:tcW w:w="1559" w:type="dxa"/>
            <w:tcBorders>
              <w:top w:val="nil"/>
              <w:left w:val="nil"/>
              <w:bottom w:val="single" w:sz="4" w:space="0" w:color="auto"/>
              <w:right w:val="single" w:sz="4" w:space="0" w:color="auto"/>
            </w:tcBorders>
            <w:shd w:val="clear" w:color="auto" w:fill="C6EFCE"/>
            <w:noWrap/>
            <w:hideMark/>
          </w:tcPr>
          <w:p w14:paraId="6009CC49" w14:textId="77777777" w:rsidR="003F46B9" w:rsidRDefault="0065662E">
            <w:pPr>
              <w:pStyle w:val="P68B1DB1-Normal5"/>
              <w:spacing w:after="0" w:line="240" w:lineRule="auto"/>
              <w:jc w:val="both"/>
              <w:rPr>
                <w:rFonts w:eastAsia="Times New Roman" w:cs="Times New Roman"/>
                <w:noProof/>
              </w:rPr>
            </w:pPr>
            <w:r>
              <w:rPr>
                <w:noProof/>
              </w:rPr>
              <w:t>Ulaganje 1.a Uspostava dobrovoljnih sabirnih centara</w:t>
            </w:r>
          </w:p>
        </w:tc>
        <w:tc>
          <w:tcPr>
            <w:tcW w:w="1276" w:type="dxa"/>
            <w:tcBorders>
              <w:top w:val="nil"/>
              <w:left w:val="nil"/>
              <w:bottom w:val="single" w:sz="4" w:space="0" w:color="auto"/>
              <w:right w:val="single" w:sz="4" w:space="0" w:color="auto"/>
            </w:tcBorders>
            <w:shd w:val="clear" w:color="auto" w:fill="C6EFCE"/>
            <w:noWrap/>
            <w:hideMark/>
          </w:tcPr>
          <w:p w14:paraId="72EF03E1"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5674B623" w14:textId="77777777" w:rsidR="003F46B9" w:rsidRDefault="0065662E">
            <w:pPr>
              <w:pStyle w:val="P68B1DB1-Normal5"/>
              <w:spacing w:after="0" w:line="240" w:lineRule="auto"/>
              <w:jc w:val="both"/>
              <w:rPr>
                <w:rFonts w:eastAsia="Times New Roman" w:cs="Times New Roman"/>
                <w:noProof/>
              </w:rPr>
            </w:pPr>
            <w:r>
              <w:rPr>
                <w:noProof/>
              </w:rPr>
              <w:t>Uspostavljeni i operativni dobrovoljni sabirni centri</w:t>
            </w:r>
          </w:p>
        </w:tc>
        <w:tc>
          <w:tcPr>
            <w:tcW w:w="1701" w:type="dxa"/>
            <w:tcBorders>
              <w:top w:val="nil"/>
              <w:left w:val="nil"/>
              <w:bottom w:val="single" w:sz="4" w:space="0" w:color="auto"/>
              <w:right w:val="single" w:sz="4" w:space="0" w:color="auto"/>
            </w:tcBorders>
            <w:shd w:val="clear" w:color="auto" w:fill="C6EFCE"/>
            <w:noWrap/>
          </w:tcPr>
          <w:p w14:paraId="567C5007"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7A170B49"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18DB31"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119DC164" w14:textId="77777777" w:rsidR="003F46B9" w:rsidRDefault="0065662E">
            <w:pPr>
              <w:pStyle w:val="P68B1DB1-Normal5"/>
              <w:spacing w:after="0" w:line="240" w:lineRule="auto"/>
              <w:jc w:val="both"/>
              <w:rPr>
                <w:rFonts w:eastAsia="Times New Roman" w:cs="Times New Roman"/>
                <w:noProof/>
              </w:rPr>
            </w:pPr>
            <w:r>
              <w:rPr>
                <w:noProof/>
              </w:rPr>
              <w:t>250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C10E3F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5F06048B" w14:textId="77777777" w:rsidR="003F46B9" w:rsidRDefault="0065662E">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04E940E9" w14:textId="77777777" w:rsidR="003F46B9" w:rsidRDefault="0065662E">
            <w:pPr>
              <w:pStyle w:val="P68B1DB1-Normal5"/>
              <w:spacing w:after="0" w:line="240" w:lineRule="auto"/>
              <w:jc w:val="both"/>
              <w:rPr>
                <w:rFonts w:cs="Times New Roman"/>
                <w:noProof/>
              </w:rPr>
            </w:pPr>
            <w:r>
              <w:rPr>
                <w:noProof/>
              </w:rPr>
              <w:t xml:space="preserve">Najmanje 250 dobrovoljnih sabirnih centara koji su uspostavljeni i operativni, u skladu s Nacionalnim planom gospodarenja otpadom/planovima gospodarenja otpadom u zemlji i planovima gospodarenja otpadom u općini Bukurešt. </w:t>
            </w:r>
          </w:p>
          <w:p w14:paraId="036BDA27" w14:textId="1DE13C0A" w:rsidR="003F46B9" w:rsidRDefault="0065662E">
            <w:pPr>
              <w:pStyle w:val="P68B1DB1-Normal5"/>
              <w:spacing w:after="0" w:line="240" w:lineRule="auto"/>
              <w:jc w:val="both"/>
              <w:rPr>
                <w:rFonts w:cs="Times New Roman"/>
                <w:noProof/>
              </w:rPr>
            </w:pPr>
            <w:r>
              <w:rPr>
                <w:noProof/>
              </w:rPr>
              <w:t xml:space="preserve">Dobrovoljni sabirni centri služe </w:t>
            </w:r>
            <w:r>
              <w:rPr>
                <w:noProof/>
              </w:rPr>
              <w:t xml:space="preserve">zajednicama s najviše 50000 stanovnika. </w:t>
            </w:r>
          </w:p>
          <w:p w14:paraId="5B9CC3C9" w14:textId="77777777" w:rsidR="003F46B9" w:rsidRDefault="0065662E">
            <w:pPr>
              <w:pStyle w:val="P68B1DB1-Normal5"/>
              <w:spacing w:after="0" w:line="240" w:lineRule="auto"/>
              <w:jc w:val="both"/>
              <w:rPr>
                <w:rFonts w:cs="Times New Roman"/>
                <w:noProof/>
              </w:rPr>
            </w:pPr>
            <w:r>
              <w:rPr>
                <w:noProof/>
              </w:rPr>
              <w:t>Centri osiguravaju odvojeno skupljanje otpada iz kućanstava koji se ne može skupljati u sustavu „od vrata do vrata”, odnosno otpada koji se može reciklirati i biootpad koji se ne može prikupiti u pojedinačnim kantim</w:t>
            </w:r>
            <w:r>
              <w:rPr>
                <w:noProof/>
              </w:rPr>
              <w:t xml:space="preserve">a, kao i posebnih tokova otpada (veliki otpad, otpadna električna i elektronička oprema, rabljene baterije, opasni otpad, građevinski otpad i otpad od rušenja). </w:t>
            </w:r>
          </w:p>
          <w:p w14:paraId="280FEA03" w14:textId="77777777" w:rsidR="003F46B9" w:rsidRDefault="0065662E">
            <w:pPr>
              <w:pStyle w:val="P68B1DB1-Normal5"/>
              <w:spacing w:after="0" w:line="240" w:lineRule="auto"/>
              <w:jc w:val="both"/>
              <w:rPr>
                <w:rFonts w:eastAsia="Times New Roman" w:cs="Times New Roman"/>
                <w:noProof/>
              </w:rPr>
            </w:pPr>
            <w:r>
              <w:rPr>
                <w:noProof/>
              </w:rPr>
              <w:t>Kako bi se osiguralo da je mjera u skladu s Tehničkim smjernicama o nenanošenju bitne štete (2</w:t>
            </w:r>
            <w:r>
              <w:rPr>
                <w:noProof/>
              </w:rPr>
              <w:t>021/C58/01), vozila kupljena u okviru te mjere moraju biti najbolja dostupna tehnologija sa stajališta okoliša.</w:t>
            </w:r>
          </w:p>
        </w:tc>
      </w:tr>
      <w:tr w:rsidR="003F46B9" w14:paraId="3DA94903"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DD68873" w14:textId="77777777" w:rsidR="003F46B9" w:rsidRDefault="0065662E">
            <w:pPr>
              <w:pStyle w:val="P68B1DB1-Normal5"/>
              <w:spacing w:after="0" w:line="240" w:lineRule="auto"/>
              <w:jc w:val="both"/>
              <w:rPr>
                <w:rFonts w:eastAsia="Times New Roman" w:cs="Times New Roman"/>
                <w:noProof/>
              </w:rPr>
            </w:pPr>
            <w:r>
              <w:rPr>
                <w:noProof/>
              </w:rPr>
              <w:t>49</w:t>
            </w:r>
          </w:p>
        </w:tc>
        <w:tc>
          <w:tcPr>
            <w:tcW w:w="1559" w:type="dxa"/>
            <w:tcBorders>
              <w:top w:val="nil"/>
              <w:left w:val="nil"/>
              <w:bottom w:val="single" w:sz="4" w:space="0" w:color="auto"/>
              <w:right w:val="single" w:sz="4" w:space="0" w:color="auto"/>
            </w:tcBorders>
            <w:shd w:val="clear" w:color="auto" w:fill="C6EFCE"/>
            <w:noWrap/>
            <w:hideMark/>
          </w:tcPr>
          <w:p w14:paraId="1A3D81AA" w14:textId="77777777" w:rsidR="003F46B9" w:rsidRDefault="0065662E">
            <w:pPr>
              <w:pStyle w:val="P68B1DB1-Normal5"/>
              <w:spacing w:after="0" w:line="240" w:lineRule="auto"/>
              <w:jc w:val="both"/>
              <w:rPr>
                <w:rFonts w:eastAsia="Times New Roman" w:cs="Times New Roman"/>
                <w:noProof/>
              </w:rPr>
            </w:pPr>
            <w:r>
              <w:rPr>
                <w:noProof/>
              </w:rPr>
              <w:t>Ulaganje 1.a Uspostava dobrovoljnih sabirnih centara</w:t>
            </w:r>
          </w:p>
        </w:tc>
        <w:tc>
          <w:tcPr>
            <w:tcW w:w="1276" w:type="dxa"/>
            <w:tcBorders>
              <w:top w:val="nil"/>
              <w:left w:val="nil"/>
              <w:bottom w:val="single" w:sz="4" w:space="0" w:color="auto"/>
              <w:right w:val="single" w:sz="4" w:space="0" w:color="auto"/>
            </w:tcBorders>
            <w:shd w:val="clear" w:color="auto" w:fill="C6EFCE"/>
            <w:noWrap/>
            <w:hideMark/>
          </w:tcPr>
          <w:p w14:paraId="44A42116"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67962A06" w14:textId="77777777" w:rsidR="003F46B9" w:rsidRDefault="0065662E">
            <w:pPr>
              <w:pStyle w:val="P68B1DB1-Normal5"/>
              <w:spacing w:after="0" w:line="240" w:lineRule="auto"/>
              <w:jc w:val="both"/>
              <w:rPr>
                <w:rFonts w:cs="Times New Roman"/>
                <w:noProof/>
              </w:rPr>
            </w:pPr>
            <w:r>
              <w:rPr>
                <w:noProof/>
              </w:rPr>
              <w:t>Uspostavljeni i operativni dobrovoljni sabirni centri</w:t>
            </w:r>
          </w:p>
          <w:p w14:paraId="06D70AA4" w14:textId="77777777" w:rsidR="003F46B9" w:rsidRDefault="003F46B9">
            <w:pPr>
              <w:spacing w:after="0" w:line="240" w:lineRule="auto"/>
              <w:jc w:val="both"/>
              <w:rPr>
                <w:rFonts w:ascii="Times New Roman" w:eastAsia="Times New Roman" w:hAnsi="Times New Roman" w:cs="Times New Roman"/>
                <w:noProof/>
                <w:sz w:val="24"/>
              </w:rPr>
            </w:pPr>
          </w:p>
        </w:tc>
        <w:tc>
          <w:tcPr>
            <w:tcW w:w="1701" w:type="dxa"/>
            <w:tcBorders>
              <w:top w:val="nil"/>
              <w:left w:val="nil"/>
              <w:bottom w:val="single" w:sz="4" w:space="0" w:color="auto"/>
              <w:right w:val="single" w:sz="4" w:space="0" w:color="auto"/>
            </w:tcBorders>
            <w:shd w:val="clear" w:color="auto" w:fill="C6EFCE"/>
            <w:noWrap/>
          </w:tcPr>
          <w:p w14:paraId="02BFDC9F"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157F653B"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35B3504" w14:textId="77777777" w:rsidR="003F46B9" w:rsidRDefault="0065662E">
            <w:pPr>
              <w:pStyle w:val="P68B1DB1-Normal5"/>
              <w:spacing w:after="0" w:line="240" w:lineRule="auto"/>
              <w:jc w:val="both"/>
              <w:rPr>
                <w:rFonts w:eastAsia="Times New Roman" w:cs="Times New Roman"/>
                <w:noProof/>
              </w:rPr>
            </w:pPr>
            <w:r>
              <w:rPr>
                <w:noProof/>
              </w:rPr>
              <w:t>250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D0DCE37" w14:textId="77777777" w:rsidR="003F46B9" w:rsidRDefault="0065662E">
            <w:pPr>
              <w:pStyle w:val="P68B1DB1-Normal5"/>
              <w:spacing w:after="0" w:line="240" w:lineRule="auto"/>
              <w:jc w:val="both"/>
              <w:rPr>
                <w:rFonts w:eastAsia="Times New Roman" w:cs="Times New Roman"/>
                <w:noProof/>
              </w:rPr>
            </w:pPr>
            <w:r>
              <w:rPr>
                <w:noProof/>
              </w:rPr>
              <w:t>565</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5AD062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9D298EF"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3F41BF39" w14:textId="77777777" w:rsidR="003F46B9" w:rsidRDefault="0065662E">
            <w:pPr>
              <w:pStyle w:val="P68B1DB1-Normal5"/>
              <w:spacing w:after="0" w:line="240" w:lineRule="auto"/>
              <w:jc w:val="both"/>
              <w:rPr>
                <w:rFonts w:cs="Times New Roman"/>
                <w:noProof/>
              </w:rPr>
            </w:pPr>
            <w:r>
              <w:rPr>
                <w:noProof/>
              </w:rPr>
              <w:t>565 dobrovoljnih sabirnih centara, uspostavljenih i operativnih, u skladu s Nacionalnim planom gospodarenja otpadom/planovima gospodarenja otpadom u zemlji i Planom gospodarenja otpadom Općine Bukurešt.</w:t>
            </w:r>
          </w:p>
          <w:p w14:paraId="5851C29A" w14:textId="68EF4255" w:rsidR="003F46B9" w:rsidRDefault="0065662E">
            <w:pPr>
              <w:pStyle w:val="P68B1DB1-Normal5"/>
              <w:spacing w:after="0" w:line="240" w:lineRule="auto"/>
              <w:jc w:val="both"/>
              <w:rPr>
                <w:rFonts w:cs="Times New Roman"/>
                <w:noProof/>
              </w:rPr>
            </w:pPr>
            <w:r>
              <w:rPr>
                <w:noProof/>
              </w:rPr>
              <w:t xml:space="preserve">Dobrovoljni sabirni centri služe zajednicama s </w:t>
            </w:r>
            <w:r>
              <w:rPr>
                <w:noProof/>
              </w:rPr>
              <w:t xml:space="preserve">najviše 50000 stanovnika. </w:t>
            </w:r>
          </w:p>
          <w:p w14:paraId="53A36011" w14:textId="77777777" w:rsidR="003F46B9" w:rsidRDefault="0065662E">
            <w:pPr>
              <w:pStyle w:val="P68B1DB1-Normal5"/>
              <w:spacing w:after="0" w:line="240" w:lineRule="auto"/>
              <w:jc w:val="both"/>
              <w:rPr>
                <w:rFonts w:eastAsia="Times New Roman" w:cs="Times New Roman"/>
                <w:noProof/>
              </w:rPr>
            </w:pPr>
            <w:r>
              <w:rPr>
                <w:noProof/>
              </w:rPr>
              <w:t>Centri osiguravaju odvojeno skupljanje otpada iz kućanstava koji se ne može skupljati u sustavu „od vrata do vrata”, odnosno otpada koji se može reciklirati i biootpad koji se ne može prikupiti u pojedinačnim kantima, kao i poseb</w:t>
            </w:r>
            <w:r>
              <w:rPr>
                <w:noProof/>
              </w:rPr>
              <w:t xml:space="preserve">nih tokova otpada (veliki otpad, otpadna električna i elektronička oprema, rabljene baterije, opasni otpad, građevinski otpad i otpad od rušenja). </w:t>
            </w:r>
          </w:p>
        </w:tc>
      </w:tr>
      <w:tr w:rsidR="003F46B9" w14:paraId="6DA8E6FA"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2262D3F4" w14:textId="77777777" w:rsidR="003F46B9" w:rsidRDefault="0065662E">
            <w:pPr>
              <w:pStyle w:val="P68B1DB1-Normal5"/>
              <w:spacing w:after="0" w:line="240" w:lineRule="auto"/>
              <w:jc w:val="both"/>
              <w:rPr>
                <w:rFonts w:eastAsia="Times New Roman" w:cs="Times New Roman"/>
                <w:noProof/>
              </w:rPr>
            </w:pPr>
            <w:r>
              <w:rPr>
                <w:noProof/>
              </w:rPr>
              <w:t>50</w:t>
            </w:r>
          </w:p>
        </w:tc>
        <w:tc>
          <w:tcPr>
            <w:tcW w:w="1559" w:type="dxa"/>
            <w:tcBorders>
              <w:top w:val="nil"/>
              <w:left w:val="nil"/>
              <w:bottom w:val="single" w:sz="4" w:space="0" w:color="auto"/>
              <w:right w:val="single" w:sz="4" w:space="0" w:color="auto"/>
            </w:tcBorders>
            <w:shd w:val="clear" w:color="auto" w:fill="C6EFCE"/>
            <w:noWrap/>
            <w:hideMark/>
          </w:tcPr>
          <w:p w14:paraId="446A05A4" w14:textId="77777777" w:rsidR="003F46B9" w:rsidRDefault="0065662E">
            <w:pPr>
              <w:pStyle w:val="P68B1DB1-Normal5"/>
              <w:spacing w:after="0" w:line="240" w:lineRule="auto"/>
              <w:jc w:val="both"/>
              <w:rPr>
                <w:rFonts w:eastAsia="Times New Roman" w:cs="Times New Roman"/>
                <w:noProof/>
              </w:rPr>
            </w:pPr>
            <w:r>
              <w:rPr>
                <w:noProof/>
              </w:rPr>
              <w:t>Ulaganje 1.b Izgradnja digitaliziranih ekoloških otoka za odvojeno prikupljanje otpada na lokalnoj razini</w:t>
            </w:r>
          </w:p>
        </w:tc>
        <w:tc>
          <w:tcPr>
            <w:tcW w:w="1276" w:type="dxa"/>
            <w:tcBorders>
              <w:top w:val="nil"/>
              <w:left w:val="nil"/>
              <w:bottom w:val="single" w:sz="4" w:space="0" w:color="auto"/>
              <w:right w:val="single" w:sz="4" w:space="0" w:color="auto"/>
            </w:tcBorders>
            <w:shd w:val="clear" w:color="auto" w:fill="C6EFCE"/>
            <w:noWrap/>
            <w:hideMark/>
          </w:tcPr>
          <w:p w14:paraId="326741CA"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3E53BAB9" w14:textId="77777777" w:rsidR="003F46B9" w:rsidRDefault="0065662E">
            <w:pPr>
              <w:pStyle w:val="P68B1DB1-Normal5"/>
              <w:spacing w:after="0" w:line="240" w:lineRule="auto"/>
              <w:jc w:val="both"/>
              <w:rPr>
                <w:rFonts w:eastAsia="Times New Roman" w:cs="Times New Roman"/>
                <w:noProof/>
              </w:rPr>
            </w:pPr>
            <w:r>
              <w:rPr>
                <w:noProof/>
              </w:rPr>
              <w:t>Di</w:t>
            </w:r>
            <w:r>
              <w:rPr>
                <w:noProof/>
              </w:rPr>
              <w:t>gitalizirani ekootoci za odvojeno skupljanje otpada, uspostavljeni i operativni</w:t>
            </w:r>
          </w:p>
        </w:tc>
        <w:tc>
          <w:tcPr>
            <w:tcW w:w="1701" w:type="dxa"/>
            <w:tcBorders>
              <w:top w:val="nil"/>
              <w:left w:val="nil"/>
              <w:bottom w:val="single" w:sz="4" w:space="0" w:color="auto"/>
              <w:right w:val="single" w:sz="4" w:space="0" w:color="auto"/>
            </w:tcBorders>
            <w:shd w:val="clear" w:color="auto" w:fill="C6EFCE"/>
            <w:noWrap/>
          </w:tcPr>
          <w:p w14:paraId="2D2F2AF8"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059024D2"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05E12CA9"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2A7B14DB" w14:textId="77777777" w:rsidR="003F46B9" w:rsidRDefault="0065662E">
            <w:pPr>
              <w:pStyle w:val="P68B1DB1-Normal5"/>
              <w:spacing w:after="0" w:line="240" w:lineRule="auto"/>
              <w:jc w:val="both"/>
              <w:rPr>
                <w:rFonts w:eastAsia="Times New Roman" w:cs="Times New Roman"/>
                <w:noProof/>
              </w:rPr>
            </w:pPr>
            <w:r>
              <w:rPr>
                <w:noProof/>
              </w:rPr>
              <w:t>7 000</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EDBD7A5"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62ECB6B9" w14:textId="77777777" w:rsidR="003F46B9" w:rsidRDefault="0065662E">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2E2AB29F" w14:textId="77777777" w:rsidR="003F46B9" w:rsidRDefault="0065662E">
            <w:pPr>
              <w:pStyle w:val="P68B1DB1-Normal5"/>
              <w:spacing w:after="0" w:line="240" w:lineRule="auto"/>
              <w:jc w:val="both"/>
              <w:rPr>
                <w:rFonts w:cs="Times New Roman"/>
                <w:noProof/>
              </w:rPr>
            </w:pPr>
            <w:r>
              <w:rPr>
                <w:noProof/>
              </w:rPr>
              <w:t xml:space="preserve">Najmanje 7000 digitaliziranih eko-otoka za odvojeno prikupljanje otpada, uspostavljeno i operativno, u skladu s Nacionalnim planom </w:t>
            </w:r>
            <w:r>
              <w:rPr>
                <w:noProof/>
              </w:rPr>
              <w:t>gospodarenja otpadom/planovima gospodarenja otpadom u zemlji i Planom gospodarenja otpadom Općine Bukurešt.</w:t>
            </w:r>
          </w:p>
          <w:p w14:paraId="37134851" w14:textId="77777777" w:rsidR="003F46B9" w:rsidRDefault="0065662E">
            <w:pPr>
              <w:pStyle w:val="P68B1DB1-Normal5"/>
              <w:spacing w:after="0" w:line="240" w:lineRule="auto"/>
              <w:jc w:val="both"/>
              <w:rPr>
                <w:rFonts w:cs="Times New Roman"/>
                <w:noProof/>
              </w:rPr>
            </w:pPr>
            <w:r>
              <w:rPr>
                <w:noProof/>
              </w:rPr>
              <w:t xml:space="preserve">Digitalizirani ekološki otoci upotrebljavaju se za opsluživanje područja stambenih blokova unutar lokaliteta. </w:t>
            </w:r>
          </w:p>
          <w:p w14:paraId="79CA1AFF" w14:textId="77777777" w:rsidR="003F46B9" w:rsidRDefault="0065662E">
            <w:pPr>
              <w:pStyle w:val="P68B1DB1-Normal5"/>
              <w:spacing w:after="0" w:line="240" w:lineRule="auto"/>
              <w:jc w:val="both"/>
              <w:rPr>
                <w:rFonts w:cs="Times New Roman"/>
                <w:noProof/>
              </w:rPr>
            </w:pPr>
            <w:r>
              <w:rPr>
                <w:noProof/>
              </w:rPr>
              <w:t>Prednost se daje zajednicama s najveć</w:t>
            </w:r>
            <w:r>
              <w:rPr>
                <w:noProof/>
              </w:rPr>
              <w:t>im potrebama u vezi s regionalnim planovima gospodarenja otpadom/nacionalnim planom gospodarenja otpadom i kao dopuna ulaganjima u okviru kohezijske politike na temelju sljedećih kriterija:</w:t>
            </w:r>
          </w:p>
          <w:p w14:paraId="597AA517"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kapacitet za stvaranje otpada u odnosu na veličinu lokaliteta (opć</w:t>
            </w:r>
            <w:r>
              <w:rPr>
                <w:noProof/>
              </w:rPr>
              <w:t>ine I., općine i gradovi II. stupnja);</w:t>
            </w:r>
          </w:p>
          <w:p w14:paraId="511C5851"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niska trenutačna razina odvojenog prikupljanja otpada;</w:t>
            </w:r>
          </w:p>
          <w:p w14:paraId="47750A05"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 xml:space="preserve">dostupnost postojećih postrojenja za obradu otpada. </w:t>
            </w:r>
          </w:p>
          <w:p w14:paraId="700E3F8D" w14:textId="77777777" w:rsidR="003F46B9" w:rsidRDefault="0065662E">
            <w:pPr>
              <w:pStyle w:val="P68B1DB1-Normal5"/>
              <w:spacing w:after="0" w:line="240" w:lineRule="auto"/>
              <w:jc w:val="both"/>
              <w:rPr>
                <w:rFonts w:eastAsia="Times New Roman" w:cs="Times New Roman"/>
                <w:noProof/>
              </w:rPr>
            </w:pPr>
            <w:r>
              <w:rPr>
                <w:noProof/>
              </w:rPr>
              <w:t xml:space="preserve">Digitalizirani ekološki otoci osiguravaju odvojeno prikupljanje otpada iz kućanstava, uglavnom u blokovima, </w:t>
            </w:r>
            <w:r>
              <w:rPr>
                <w:noProof/>
              </w:rPr>
              <w:t>za sljedeće tokove otpada koji se odvojeno prikupljaju: otpad od papira i kartona, plastični otpad, metalni otpad, stakleni otpad, biootpad, preostali otpad. Svaki ekootok mora opsluživati najmanje 200 stanovnika.</w:t>
            </w:r>
          </w:p>
        </w:tc>
      </w:tr>
      <w:tr w:rsidR="003F46B9" w14:paraId="1EE37445"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B1EE40" w14:textId="77777777" w:rsidR="003F46B9" w:rsidRDefault="0065662E">
            <w:pPr>
              <w:pStyle w:val="P68B1DB1-Normal5"/>
              <w:spacing w:after="0" w:line="240" w:lineRule="auto"/>
              <w:jc w:val="both"/>
              <w:rPr>
                <w:rFonts w:eastAsia="Times New Roman" w:cs="Times New Roman"/>
                <w:noProof/>
              </w:rPr>
            </w:pPr>
            <w:r>
              <w:rPr>
                <w:noProof/>
              </w:rPr>
              <w:t>51</w:t>
            </w:r>
          </w:p>
        </w:tc>
        <w:tc>
          <w:tcPr>
            <w:tcW w:w="1559" w:type="dxa"/>
            <w:tcBorders>
              <w:top w:val="nil"/>
              <w:left w:val="nil"/>
              <w:bottom w:val="single" w:sz="4" w:space="0" w:color="auto"/>
              <w:right w:val="single" w:sz="4" w:space="0" w:color="auto"/>
            </w:tcBorders>
            <w:shd w:val="clear" w:color="auto" w:fill="C6EFCE"/>
            <w:noWrap/>
            <w:hideMark/>
          </w:tcPr>
          <w:p w14:paraId="5C0DB03D" w14:textId="77777777" w:rsidR="003F46B9" w:rsidRDefault="0065662E">
            <w:pPr>
              <w:pStyle w:val="P68B1DB1-Normal5"/>
              <w:spacing w:after="0" w:line="240" w:lineRule="auto"/>
              <w:jc w:val="both"/>
              <w:rPr>
                <w:rFonts w:eastAsia="Times New Roman" w:cs="Times New Roman"/>
                <w:noProof/>
              </w:rPr>
            </w:pPr>
            <w:r>
              <w:rPr>
                <w:noProof/>
              </w:rPr>
              <w:t>Ulaganje 1.b Izgradnja digitaliziranih</w:t>
            </w:r>
            <w:r>
              <w:rPr>
                <w:noProof/>
              </w:rPr>
              <w:t xml:space="preserve"> ekoloških otoka za odvojeno prikupljanje otpada na lokalnoj razini</w:t>
            </w:r>
          </w:p>
        </w:tc>
        <w:tc>
          <w:tcPr>
            <w:tcW w:w="1276" w:type="dxa"/>
            <w:tcBorders>
              <w:top w:val="nil"/>
              <w:left w:val="nil"/>
              <w:bottom w:val="single" w:sz="4" w:space="0" w:color="auto"/>
              <w:right w:val="single" w:sz="4" w:space="0" w:color="auto"/>
            </w:tcBorders>
            <w:shd w:val="clear" w:color="auto" w:fill="C6EFCE"/>
            <w:noWrap/>
            <w:hideMark/>
          </w:tcPr>
          <w:p w14:paraId="142F0DB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6C2D30F7" w14:textId="77777777" w:rsidR="003F46B9" w:rsidRDefault="0065662E">
            <w:pPr>
              <w:pStyle w:val="P68B1DB1-Normal5"/>
              <w:spacing w:after="0" w:line="240" w:lineRule="auto"/>
              <w:jc w:val="both"/>
              <w:rPr>
                <w:rFonts w:eastAsia="Times New Roman" w:cs="Times New Roman"/>
                <w:noProof/>
              </w:rPr>
            </w:pPr>
            <w:r>
              <w:rPr>
                <w:noProof/>
              </w:rPr>
              <w:t>Digitalizirani ekootoci za odvojeno skupljanje otpada, uspostavljeni i operativni</w:t>
            </w:r>
          </w:p>
        </w:tc>
        <w:tc>
          <w:tcPr>
            <w:tcW w:w="1701" w:type="dxa"/>
            <w:tcBorders>
              <w:top w:val="nil"/>
              <w:left w:val="nil"/>
              <w:bottom w:val="single" w:sz="4" w:space="0" w:color="auto"/>
              <w:right w:val="single" w:sz="4" w:space="0" w:color="auto"/>
            </w:tcBorders>
            <w:shd w:val="clear" w:color="auto" w:fill="C6EFCE"/>
            <w:noWrap/>
          </w:tcPr>
          <w:p w14:paraId="1CBC62A0"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2206760"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302A79C9" w14:textId="77777777" w:rsidR="003F46B9" w:rsidRDefault="0065662E">
            <w:pPr>
              <w:pStyle w:val="P68B1DB1-Normal5"/>
              <w:spacing w:after="0" w:line="240" w:lineRule="auto"/>
              <w:jc w:val="both"/>
              <w:rPr>
                <w:rFonts w:eastAsia="Times New Roman" w:cs="Times New Roman"/>
                <w:noProof/>
              </w:rPr>
            </w:pPr>
            <w:r>
              <w:rPr>
                <w:noProof/>
              </w:rPr>
              <w:t>7 000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88ED86E" w14:textId="77777777" w:rsidR="003F46B9" w:rsidRDefault="0065662E">
            <w:pPr>
              <w:pStyle w:val="P68B1DB1-Normal5"/>
              <w:spacing w:after="0" w:line="240" w:lineRule="auto"/>
              <w:jc w:val="both"/>
              <w:rPr>
                <w:rFonts w:eastAsia="Times New Roman" w:cs="Times New Roman"/>
                <w:noProof/>
              </w:rPr>
            </w:pPr>
            <w:r>
              <w:rPr>
                <w:noProof/>
              </w:rPr>
              <w:t xml:space="preserve">13 752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B11DE9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794E62E"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764F2356" w14:textId="77777777" w:rsidR="003F46B9" w:rsidRDefault="0065662E">
            <w:pPr>
              <w:pStyle w:val="P68B1DB1-Normal5"/>
              <w:spacing w:after="0" w:line="240" w:lineRule="auto"/>
              <w:contextualSpacing/>
              <w:jc w:val="both"/>
              <w:rPr>
                <w:rFonts w:cs="Times New Roman"/>
                <w:noProof/>
              </w:rPr>
            </w:pPr>
            <w:r>
              <w:rPr>
                <w:noProof/>
              </w:rPr>
              <w:t>13752 digitaliziranih eko-otoka za odvojeno prikupljanje otpad</w:t>
            </w:r>
            <w:r>
              <w:rPr>
                <w:noProof/>
              </w:rPr>
              <w:t>a, uspostavljeno i operativno, u skladu s Nacionalnim planom gospodarenja otpadom/planovima gospodarenja otpadom u zemlji i Planom gospodarenja otpadom Općine Bukurešt.</w:t>
            </w:r>
          </w:p>
          <w:p w14:paraId="550B9606" w14:textId="77777777" w:rsidR="003F46B9" w:rsidRDefault="0065662E">
            <w:pPr>
              <w:pStyle w:val="P68B1DB1-Normal5"/>
              <w:spacing w:after="0" w:line="240" w:lineRule="auto"/>
              <w:contextualSpacing/>
              <w:jc w:val="both"/>
              <w:rPr>
                <w:rFonts w:cs="Times New Roman"/>
                <w:noProof/>
              </w:rPr>
            </w:pPr>
            <w:r>
              <w:rPr>
                <w:noProof/>
              </w:rPr>
              <w:t>Digitalizirani ekološki otoci upotrebljavaju se za opsluživanje područja stambenih blok</w:t>
            </w:r>
            <w:r>
              <w:rPr>
                <w:noProof/>
              </w:rPr>
              <w:t xml:space="preserve">ova unutar lokaliteta. </w:t>
            </w:r>
          </w:p>
          <w:p w14:paraId="388740B8" w14:textId="77777777" w:rsidR="003F46B9" w:rsidRDefault="0065662E">
            <w:pPr>
              <w:pStyle w:val="P68B1DB1-Normal5"/>
              <w:spacing w:after="0" w:line="240" w:lineRule="auto"/>
              <w:jc w:val="both"/>
              <w:rPr>
                <w:rFonts w:cs="Times New Roman"/>
                <w:noProof/>
              </w:rPr>
            </w:pPr>
            <w:r>
              <w:rPr>
                <w:noProof/>
              </w:rPr>
              <w:t>Prednost se daje zajednicama s najvećim potrebama u vezi s regionalnim planovima gospodarenja otpadom/nacionalnim planom gospodarenja otpadom i kao dopuna ulaganjima u okviru kohezijske politike na temelju sljedećih kriterija:</w:t>
            </w:r>
          </w:p>
          <w:p w14:paraId="37CA92D5"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kapac</w:t>
            </w:r>
            <w:r>
              <w:rPr>
                <w:noProof/>
              </w:rPr>
              <w:t>itet za stvaranje otpada u odnosu na veličinu lokaliteta (općine I., općine i gradovi II. stupnja);</w:t>
            </w:r>
          </w:p>
          <w:p w14:paraId="716FD3DC"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niska trenutačna razina odvojenog prikupljanja otpada;</w:t>
            </w:r>
          </w:p>
          <w:p w14:paraId="6A1FA0FF" w14:textId="77777777" w:rsidR="003F46B9" w:rsidRDefault="0065662E">
            <w:pPr>
              <w:pStyle w:val="P68B1DB1-ListParagraph13"/>
              <w:numPr>
                <w:ilvl w:val="0"/>
                <w:numId w:val="10"/>
              </w:numPr>
              <w:spacing w:after="0" w:line="240" w:lineRule="auto"/>
              <w:ind w:left="165" w:hanging="165"/>
              <w:jc w:val="both"/>
              <w:rPr>
                <w:rFonts w:cs="Times New Roman"/>
                <w:noProof/>
              </w:rPr>
            </w:pPr>
            <w:r>
              <w:rPr>
                <w:noProof/>
              </w:rPr>
              <w:t xml:space="preserve">dostupnost postojećih postrojenja za obradu otpada. </w:t>
            </w:r>
          </w:p>
          <w:p w14:paraId="5A703D10" w14:textId="77777777" w:rsidR="003F46B9" w:rsidRDefault="0065662E">
            <w:pPr>
              <w:pStyle w:val="P68B1DB1-Normal5"/>
              <w:spacing w:after="0" w:line="240" w:lineRule="auto"/>
              <w:contextualSpacing/>
              <w:jc w:val="both"/>
              <w:rPr>
                <w:rFonts w:eastAsia="Times New Roman" w:cs="Times New Roman"/>
                <w:noProof/>
              </w:rPr>
            </w:pPr>
            <w:r>
              <w:rPr>
                <w:noProof/>
              </w:rPr>
              <w:t>Digitalizirani ekološki otoci osiguravaju odvojeno prikupljanje otpada iz kućanstava, uglavnom u blokovima, za sljedeće tokove otpada koji se odvojeno prikupljaju: otpad od papira i kartona, plastični otpad, metalni otpad, stakleni otpad, biootpad, preosta</w:t>
            </w:r>
            <w:r>
              <w:rPr>
                <w:noProof/>
              </w:rPr>
              <w:t xml:space="preserve">li otpad. Svaki ekootok mora opsluživati najmanje 200 stanovnika. </w:t>
            </w:r>
          </w:p>
        </w:tc>
      </w:tr>
      <w:tr w:rsidR="003F46B9" w14:paraId="36AA7F65"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6F02C4C" w14:textId="77777777" w:rsidR="003F46B9" w:rsidRDefault="0065662E">
            <w:pPr>
              <w:pStyle w:val="P68B1DB1-Normal5"/>
              <w:spacing w:after="0" w:line="240" w:lineRule="auto"/>
              <w:jc w:val="both"/>
              <w:rPr>
                <w:rFonts w:eastAsia="Times New Roman" w:cs="Times New Roman"/>
                <w:noProof/>
              </w:rPr>
            </w:pPr>
            <w:r>
              <w:rPr>
                <w:noProof/>
              </w:rPr>
              <w:t>52</w:t>
            </w:r>
          </w:p>
        </w:tc>
        <w:tc>
          <w:tcPr>
            <w:tcW w:w="1559" w:type="dxa"/>
            <w:tcBorders>
              <w:top w:val="nil"/>
              <w:left w:val="nil"/>
              <w:bottom w:val="single" w:sz="4" w:space="0" w:color="auto"/>
              <w:right w:val="single" w:sz="4" w:space="0" w:color="auto"/>
            </w:tcBorders>
            <w:shd w:val="clear" w:color="auto" w:fill="C6EFCE"/>
            <w:noWrap/>
            <w:hideMark/>
          </w:tcPr>
          <w:p w14:paraId="16E0200D" w14:textId="77777777" w:rsidR="003F46B9" w:rsidRDefault="0065662E">
            <w:pPr>
              <w:pStyle w:val="P68B1DB1-Normal5"/>
              <w:spacing w:after="0" w:line="240" w:lineRule="auto"/>
              <w:jc w:val="both"/>
              <w:rPr>
                <w:rFonts w:eastAsia="Times New Roman" w:cs="Times New Roman"/>
                <w:noProof/>
              </w:rPr>
            </w:pPr>
            <w:r>
              <w:rPr>
                <w:noProof/>
              </w:rPr>
              <w:t>Ulaganje 1.c Integrirani centri za urbane aglomeracije koji se odnose na odvojeno prikupljanje</w:t>
            </w:r>
          </w:p>
        </w:tc>
        <w:tc>
          <w:tcPr>
            <w:tcW w:w="1276" w:type="dxa"/>
            <w:tcBorders>
              <w:top w:val="nil"/>
              <w:left w:val="nil"/>
              <w:bottom w:val="single" w:sz="4" w:space="0" w:color="auto"/>
              <w:right w:val="single" w:sz="4" w:space="0" w:color="auto"/>
            </w:tcBorders>
            <w:shd w:val="clear" w:color="auto" w:fill="C6EFCE"/>
            <w:noWrap/>
            <w:hideMark/>
          </w:tcPr>
          <w:p w14:paraId="2F3A4E4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6ADA563B" w14:textId="77777777" w:rsidR="003F46B9" w:rsidRDefault="0065662E">
            <w:pPr>
              <w:pStyle w:val="P68B1DB1-Normal5"/>
              <w:spacing w:after="0" w:line="240" w:lineRule="auto"/>
              <w:jc w:val="both"/>
              <w:rPr>
                <w:rFonts w:eastAsia="Times New Roman" w:cs="Times New Roman"/>
                <w:noProof/>
              </w:rPr>
            </w:pPr>
            <w:r>
              <w:rPr>
                <w:noProof/>
              </w:rPr>
              <w:t xml:space="preserve">Integrirani centri za prikupljanje otpada uspostavljeni i u funkciji u gradskim </w:t>
            </w:r>
            <w:r>
              <w:rPr>
                <w:noProof/>
              </w:rPr>
              <w:t>aglomeracijama</w:t>
            </w:r>
          </w:p>
        </w:tc>
        <w:tc>
          <w:tcPr>
            <w:tcW w:w="1701" w:type="dxa"/>
            <w:tcBorders>
              <w:top w:val="nil"/>
              <w:left w:val="nil"/>
              <w:bottom w:val="single" w:sz="4" w:space="0" w:color="auto"/>
              <w:right w:val="single" w:sz="4" w:space="0" w:color="auto"/>
            </w:tcBorders>
            <w:shd w:val="clear" w:color="auto" w:fill="C6EFCE"/>
            <w:noWrap/>
          </w:tcPr>
          <w:p w14:paraId="552AFE1C"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D634891"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14E3DF0F"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04F10A02" w14:textId="3DD093F1" w:rsidR="003F46B9" w:rsidRDefault="0065662E">
            <w:pPr>
              <w:pStyle w:val="P68B1DB1-Normal5"/>
              <w:spacing w:after="0" w:line="240" w:lineRule="auto"/>
              <w:jc w:val="both"/>
              <w:rPr>
                <w:rFonts w:eastAsia="Times New Roman" w:cs="Times New Roman"/>
                <w:noProof/>
              </w:rPr>
            </w:pPr>
            <w:r>
              <w:rPr>
                <w:noProof/>
              </w:rPr>
              <w:t>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2E19B41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2B1F77A8" w14:textId="77777777" w:rsidR="003F46B9" w:rsidRDefault="0065662E">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713E2791" w14:textId="05C84EF5" w:rsidR="003F46B9" w:rsidRDefault="0065662E">
            <w:pPr>
              <w:pStyle w:val="P68B1DB1-Normal5"/>
              <w:spacing w:after="0" w:line="240" w:lineRule="auto"/>
              <w:jc w:val="both"/>
              <w:rPr>
                <w:rFonts w:cs="Times New Roman"/>
                <w:noProof/>
              </w:rPr>
            </w:pPr>
            <w:r>
              <w:rPr>
                <w:noProof/>
              </w:rPr>
              <w:t>Najmanje šest integriranih centara za prikupljanje otpada koji su osnovani i djeluju u gradskim aglomeracijama, u skladu s Nacionalnim planom gospodarenja otpadom/planovima gospodarenja otpadom u zemlji i P</w:t>
            </w:r>
            <w:r>
              <w:rPr>
                <w:noProof/>
              </w:rPr>
              <w:t xml:space="preserve">lanom gospodarenja otpadom u općini Bukurešt. </w:t>
            </w:r>
          </w:p>
          <w:p w14:paraId="7880E713" w14:textId="77777777" w:rsidR="003F46B9" w:rsidRDefault="0065662E">
            <w:pPr>
              <w:pStyle w:val="P68B1DB1-Normal5"/>
              <w:spacing w:after="0" w:line="240" w:lineRule="auto"/>
              <w:jc w:val="both"/>
              <w:rPr>
                <w:rFonts w:cs="Times New Roman"/>
                <w:noProof/>
              </w:rPr>
            </w:pPr>
            <w:r>
              <w:rPr>
                <w:noProof/>
              </w:rPr>
              <w:t>Lokacije osiguravaju pokrivenost najnaseljenih regija kako slijedi:</w:t>
            </w:r>
          </w:p>
          <w:p w14:paraId="042DB86B"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Bukurešt (sjeverna strana) i povezana regija Ilfov;</w:t>
            </w:r>
          </w:p>
          <w:p w14:paraId="6908A5B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Bukurešt (Južna strana) i povezana regija Ilfov;</w:t>
            </w:r>
          </w:p>
          <w:p w14:paraId="0BCACE01"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Constanta;</w:t>
            </w:r>
          </w:p>
          <w:p w14:paraId="7E4DB262"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Galati i Braila;</w:t>
            </w:r>
          </w:p>
          <w:p w14:paraId="05C15862"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Iasi;</w:t>
            </w:r>
          </w:p>
          <w:p w14:paraId="716949B1"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Craiov</w:t>
            </w:r>
            <w:r>
              <w:rPr>
                <w:noProof/>
              </w:rPr>
              <w:t>a;</w:t>
            </w:r>
          </w:p>
          <w:p w14:paraId="6F3CF8C5"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Ploiesti;</w:t>
            </w:r>
          </w:p>
          <w:p w14:paraId="112085F2"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Temišvar;</w:t>
            </w:r>
          </w:p>
          <w:p w14:paraId="27BF4971"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Cluj-Napoca;</w:t>
            </w:r>
          </w:p>
          <w:p w14:paraId="70713430"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Sibiu;</w:t>
            </w:r>
          </w:p>
          <w:p w14:paraId="41EC01DC"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Brasov;</w:t>
            </w:r>
          </w:p>
          <w:p w14:paraId="16102878"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Baia Mare;</w:t>
            </w:r>
          </w:p>
          <w:p w14:paraId="04ED4B61"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Targu Mures;</w:t>
            </w:r>
          </w:p>
          <w:p w14:paraId="1E717C2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Buzau.</w:t>
            </w:r>
          </w:p>
          <w:p w14:paraId="02B52C61" w14:textId="77777777" w:rsidR="003F46B9" w:rsidRDefault="0065662E">
            <w:pPr>
              <w:pStyle w:val="P68B1DB1-Normal5"/>
              <w:spacing w:after="0" w:line="240" w:lineRule="auto"/>
              <w:jc w:val="both"/>
              <w:rPr>
                <w:rFonts w:cs="Times New Roman"/>
                <w:noProof/>
              </w:rPr>
            </w:pPr>
            <w:r>
              <w:rPr>
                <w:noProof/>
              </w:rPr>
              <w:t xml:space="preserve">Centri osiguravaju odvojeno skupljanje otpada iz kućanstava koji se ne može prikupiti u sustavu „od vrata do vrata”, odnosno otpada koji se može reciklirati i biootpad koji </w:t>
            </w:r>
            <w:r>
              <w:rPr>
                <w:noProof/>
              </w:rPr>
              <w:t>se ne može prikupiti u pojedinačnim kantima, kao i posebnih tokova otpada – glomaznog otpada, otpadne električne i elektroničke opreme, rabljenih baterija, opasnog otpada, građevinskog otpada i otpada od rušenja.</w:t>
            </w:r>
          </w:p>
          <w:p w14:paraId="7B7445E6" w14:textId="77777777" w:rsidR="003F46B9" w:rsidRDefault="0065662E">
            <w:pPr>
              <w:pStyle w:val="P68B1DB1-Normal5"/>
              <w:spacing w:after="0" w:line="240" w:lineRule="auto"/>
              <w:jc w:val="both"/>
              <w:rPr>
                <w:rFonts w:eastAsia="Times New Roman" w:cs="Times New Roman"/>
                <w:noProof/>
              </w:rPr>
            </w:pPr>
            <w:r>
              <w:rPr>
                <w:noProof/>
              </w:rPr>
              <w:t>Kako bi se osiguralo da je mjera u skladu s</w:t>
            </w:r>
            <w:r>
              <w:rPr>
                <w:noProof/>
              </w:rPr>
              <w:t xml:space="preserve"> Tehničkim smjernicama o nenanošenju bitne štete (2021/C58/01), vozila kupljena u okviru te mjere moraju biti najbolja dostupna tehnologija sa stajališta okoliša.</w:t>
            </w:r>
          </w:p>
        </w:tc>
      </w:tr>
      <w:tr w:rsidR="003F46B9" w14:paraId="27423E3A"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E61364" w14:textId="77777777" w:rsidR="003F46B9" w:rsidRDefault="0065662E">
            <w:pPr>
              <w:pStyle w:val="P68B1DB1-Normal5"/>
              <w:spacing w:after="0" w:line="240" w:lineRule="auto"/>
              <w:jc w:val="both"/>
              <w:rPr>
                <w:rFonts w:eastAsia="Times New Roman" w:cs="Times New Roman"/>
                <w:noProof/>
              </w:rPr>
            </w:pPr>
            <w:r>
              <w:rPr>
                <w:noProof/>
              </w:rPr>
              <w:t>53</w:t>
            </w:r>
          </w:p>
        </w:tc>
        <w:tc>
          <w:tcPr>
            <w:tcW w:w="1559" w:type="dxa"/>
            <w:tcBorders>
              <w:top w:val="nil"/>
              <w:left w:val="nil"/>
              <w:bottom w:val="single" w:sz="4" w:space="0" w:color="auto"/>
              <w:right w:val="single" w:sz="4" w:space="0" w:color="auto"/>
            </w:tcBorders>
            <w:shd w:val="clear" w:color="auto" w:fill="C6EFCE"/>
            <w:noWrap/>
            <w:hideMark/>
          </w:tcPr>
          <w:p w14:paraId="2682CB08" w14:textId="77777777" w:rsidR="003F46B9" w:rsidRDefault="0065662E">
            <w:pPr>
              <w:pStyle w:val="P68B1DB1-Normal5"/>
              <w:spacing w:after="0" w:line="240" w:lineRule="auto"/>
              <w:jc w:val="both"/>
              <w:rPr>
                <w:rFonts w:eastAsia="Times New Roman" w:cs="Times New Roman"/>
                <w:noProof/>
              </w:rPr>
            </w:pPr>
            <w:r>
              <w:rPr>
                <w:noProof/>
              </w:rPr>
              <w:t xml:space="preserve">Ulaganje 1.c Integrirani centri za urbane aglomeracije koji se odnose na odvojeno </w:t>
            </w:r>
            <w:r>
              <w:rPr>
                <w:noProof/>
              </w:rPr>
              <w:t>prikupljanje</w:t>
            </w:r>
          </w:p>
        </w:tc>
        <w:tc>
          <w:tcPr>
            <w:tcW w:w="1276" w:type="dxa"/>
            <w:tcBorders>
              <w:top w:val="nil"/>
              <w:left w:val="nil"/>
              <w:bottom w:val="single" w:sz="4" w:space="0" w:color="auto"/>
              <w:right w:val="single" w:sz="4" w:space="0" w:color="auto"/>
            </w:tcBorders>
            <w:shd w:val="clear" w:color="auto" w:fill="C6EFCE"/>
            <w:noWrap/>
            <w:hideMark/>
          </w:tcPr>
          <w:p w14:paraId="02B3B45F"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431B5869" w14:textId="38D94349" w:rsidR="003F46B9" w:rsidRDefault="0065662E">
            <w:pPr>
              <w:pStyle w:val="P68B1DB1-Normal5"/>
              <w:spacing w:after="0" w:line="240" w:lineRule="auto"/>
              <w:jc w:val="both"/>
              <w:rPr>
                <w:rFonts w:eastAsia="Times New Roman" w:cs="Times New Roman"/>
                <w:noProof/>
              </w:rPr>
            </w:pPr>
            <w:r>
              <w:rPr>
                <w:noProof/>
              </w:rPr>
              <w:t xml:space="preserve">Integrirani centri za prikupljanje otpada uspostavljeni i u funkciji u gradskim aglomeracijama </w:t>
            </w:r>
          </w:p>
        </w:tc>
        <w:tc>
          <w:tcPr>
            <w:tcW w:w="1701" w:type="dxa"/>
            <w:tcBorders>
              <w:top w:val="nil"/>
              <w:left w:val="nil"/>
              <w:bottom w:val="single" w:sz="4" w:space="0" w:color="auto"/>
              <w:right w:val="single" w:sz="4" w:space="0" w:color="auto"/>
            </w:tcBorders>
            <w:shd w:val="clear" w:color="auto" w:fill="C6EFCE"/>
            <w:noWrap/>
          </w:tcPr>
          <w:p w14:paraId="0B1B7AF5"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3848C612"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5AE37BCD" w14:textId="71C947E9" w:rsidR="003F46B9" w:rsidRDefault="0065662E">
            <w:pPr>
              <w:pStyle w:val="P68B1DB1-Normal5"/>
              <w:spacing w:after="0" w:line="240" w:lineRule="auto"/>
              <w:jc w:val="both"/>
              <w:rPr>
                <w:rFonts w:eastAsia="Times New Roman" w:cs="Times New Roman"/>
                <w:noProof/>
              </w:rPr>
            </w:pPr>
            <w:r>
              <w:rPr>
                <w:noProof/>
              </w:rPr>
              <w:t>6</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4114A73" w14:textId="51D8A9DC" w:rsidR="003F46B9" w:rsidRDefault="0065662E">
            <w:pPr>
              <w:pStyle w:val="P68B1DB1-Normal5"/>
              <w:spacing w:after="0" w:line="240" w:lineRule="auto"/>
              <w:jc w:val="both"/>
              <w:rPr>
                <w:rFonts w:eastAsia="Times New Roman" w:cs="Times New Roman"/>
                <w:noProof/>
              </w:rPr>
            </w:pPr>
            <w:r>
              <w:rPr>
                <w:noProof/>
              </w:rPr>
              <w:t>14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06621BF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CD75B58"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6CD83AE6" w14:textId="77777777" w:rsidR="003F46B9" w:rsidRDefault="0065662E">
            <w:pPr>
              <w:pStyle w:val="P68B1DB1-Normal5"/>
              <w:spacing w:after="0" w:line="240" w:lineRule="auto"/>
              <w:jc w:val="both"/>
              <w:rPr>
                <w:rFonts w:cs="Times New Roman"/>
                <w:noProof/>
              </w:rPr>
            </w:pPr>
            <w:r>
              <w:rPr>
                <w:noProof/>
              </w:rPr>
              <w:t>Uspostavlja se najmanje osam dodatnih integriranih centara za prikupljanje otpada koji djeluju u gradskim aglome</w:t>
            </w:r>
            <w:r>
              <w:rPr>
                <w:noProof/>
              </w:rPr>
              <w:t>racijama, u skladu s Nacionalnim planom gospodarenja otpadom/planovima gospodarenja otpadom u zemlji i Planom gospodarenja otpadom u općini Bukurešt.</w:t>
            </w:r>
          </w:p>
          <w:p w14:paraId="3E58742E" w14:textId="77777777" w:rsidR="003F46B9" w:rsidRDefault="0065662E">
            <w:pPr>
              <w:pStyle w:val="P68B1DB1-Normal5"/>
              <w:spacing w:after="0" w:line="240" w:lineRule="auto"/>
              <w:jc w:val="both"/>
              <w:rPr>
                <w:rFonts w:cs="Times New Roman"/>
                <w:noProof/>
              </w:rPr>
            </w:pPr>
            <w:r>
              <w:rPr>
                <w:noProof/>
              </w:rPr>
              <w:t>Lokacije osiguravaju pokrivenost najnaseljenih regija kako slijedi:</w:t>
            </w:r>
          </w:p>
          <w:p w14:paraId="626DCE78"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Bukurešt (sjeverna strana) i povezana </w:t>
            </w:r>
            <w:r>
              <w:rPr>
                <w:noProof/>
              </w:rPr>
              <w:t>regija Ilfov;</w:t>
            </w:r>
          </w:p>
          <w:p w14:paraId="2996AF8E"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Bukurešt (Južna strana) i povezana regija Ilfov;</w:t>
            </w:r>
          </w:p>
          <w:p w14:paraId="14D9ABE3"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Constanta;</w:t>
            </w:r>
          </w:p>
          <w:p w14:paraId="7DA3DA02"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Galati i Braila;</w:t>
            </w:r>
          </w:p>
          <w:p w14:paraId="11EF87EC"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Iasi;</w:t>
            </w:r>
          </w:p>
          <w:p w14:paraId="462B6E7E"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Craiova;</w:t>
            </w:r>
          </w:p>
          <w:p w14:paraId="0B3AA87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Ploiesti;</w:t>
            </w:r>
          </w:p>
          <w:p w14:paraId="645DF57C"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Temišvar;</w:t>
            </w:r>
          </w:p>
          <w:p w14:paraId="039F737D"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Cluj-Napoca;</w:t>
            </w:r>
          </w:p>
          <w:p w14:paraId="171E22EF"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Sibiu;</w:t>
            </w:r>
          </w:p>
          <w:p w14:paraId="7A2ED7D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Brasov;</w:t>
            </w:r>
          </w:p>
          <w:p w14:paraId="721BCCC4"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Baia Mare;</w:t>
            </w:r>
          </w:p>
          <w:p w14:paraId="2F8B5DBC"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Targu Mures;</w:t>
            </w:r>
          </w:p>
          <w:p w14:paraId="1097C9BF"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Buzau.</w:t>
            </w:r>
          </w:p>
          <w:p w14:paraId="2A234CB3" w14:textId="77777777" w:rsidR="003F46B9" w:rsidRDefault="0065662E">
            <w:pPr>
              <w:pStyle w:val="P68B1DB1-Normal5"/>
              <w:spacing w:after="0" w:line="240" w:lineRule="auto"/>
              <w:jc w:val="both"/>
              <w:rPr>
                <w:rFonts w:eastAsia="Times New Roman" w:cs="Times New Roman"/>
                <w:noProof/>
              </w:rPr>
            </w:pPr>
            <w:r>
              <w:rPr>
                <w:noProof/>
              </w:rPr>
              <w:t>Centri osiguravaju odvojeno skupljanje otpada iz kućanstava koji se ne može prikupiti u sustavu „od vrata do vrata”, odnosno otpada koji se može reciklirati i biootpad koji se ne može prikupiti u pojedinačnim kantima, kao i posebnih tokova otpada – glomazn</w:t>
            </w:r>
            <w:r>
              <w:rPr>
                <w:noProof/>
              </w:rPr>
              <w:t>og otpada, otpadne električne i elektroničke opreme, rabljenih baterija, opasnog otpada, građevinskog otpada i otpada od rušenja.</w:t>
            </w:r>
          </w:p>
        </w:tc>
      </w:tr>
      <w:tr w:rsidR="003F46B9" w14:paraId="61425303"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35A10B0" w14:textId="77777777" w:rsidR="003F46B9" w:rsidRDefault="0065662E">
            <w:pPr>
              <w:pStyle w:val="P68B1DB1-Normal5"/>
              <w:spacing w:after="0" w:line="240" w:lineRule="auto"/>
              <w:jc w:val="both"/>
              <w:rPr>
                <w:rFonts w:eastAsia="Times New Roman" w:cs="Times New Roman"/>
                <w:noProof/>
              </w:rPr>
            </w:pPr>
            <w:r>
              <w:rPr>
                <w:noProof/>
              </w:rPr>
              <w:t>54</w:t>
            </w:r>
          </w:p>
        </w:tc>
        <w:tc>
          <w:tcPr>
            <w:tcW w:w="1559" w:type="dxa"/>
            <w:tcBorders>
              <w:top w:val="nil"/>
              <w:left w:val="nil"/>
              <w:bottom w:val="single" w:sz="4" w:space="0" w:color="auto"/>
              <w:right w:val="single" w:sz="4" w:space="0" w:color="auto"/>
            </w:tcBorders>
            <w:shd w:val="clear" w:color="auto" w:fill="C6EFCE"/>
            <w:noWrap/>
            <w:hideMark/>
          </w:tcPr>
          <w:p w14:paraId="213EECB5" w14:textId="77777777" w:rsidR="003F46B9" w:rsidRDefault="0065662E">
            <w:pPr>
              <w:pStyle w:val="P68B1DB1-Normal5"/>
              <w:spacing w:after="0" w:line="240" w:lineRule="auto"/>
              <w:jc w:val="both"/>
              <w:rPr>
                <w:rFonts w:eastAsia="Times New Roman" w:cs="Times New Roman"/>
                <w:noProof/>
              </w:rPr>
            </w:pPr>
            <w:r>
              <w:rPr>
                <w:noProof/>
              </w:rPr>
              <w:t xml:space="preserve">Ulaganje 1.d Izgradnja postrojenja za recikliranje otpada kako bi se ispunili ciljevi za recikliranje iz paketa za kružno </w:t>
            </w:r>
            <w:r>
              <w:rPr>
                <w:noProof/>
              </w:rPr>
              <w:t>gospodarstvo</w:t>
            </w:r>
          </w:p>
        </w:tc>
        <w:tc>
          <w:tcPr>
            <w:tcW w:w="1276" w:type="dxa"/>
            <w:tcBorders>
              <w:top w:val="nil"/>
              <w:left w:val="nil"/>
              <w:bottom w:val="single" w:sz="4" w:space="0" w:color="auto"/>
              <w:right w:val="single" w:sz="4" w:space="0" w:color="auto"/>
            </w:tcBorders>
            <w:shd w:val="clear" w:color="auto" w:fill="C6EFCE"/>
            <w:noWrap/>
            <w:hideMark/>
          </w:tcPr>
          <w:p w14:paraId="060B9B26"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064BA78C" w14:textId="77777777" w:rsidR="003F46B9" w:rsidRDefault="0065662E">
            <w:pPr>
              <w:pStyle w:val="P68B1DB1-Normal5"/>
              <w:spacing w:after="0" w:line="240" w:lineRule="auto"/>
              <w:jc w:val="both"/>
              <w:rPr>
                <w:rFonts w:eastAsia="Times New Roman" w:cs="Times New Roman"/>
                <w:noProof/>
              </w:rPr>
            </w:pPr>
            <w:r>
              <w:rPr>
                <w:noProof/>
              </w:rPr>
              <w:t>Izgrađena i u pogonu postrojenja za recikliranje otpada</w:t>
            </w:r>
          </w:p>
        </w:tc>
        <w:tc>
          <w:tcPr>
            <w:tcW w:w="1701" w:type="dxa"/>
            <w:tcBorders>
              <w:top w:val="nil"/>
              <w:left w:val="nil"/>
              <w:bottom w:val="single" w:sz="4" w:space="0" w:color="auto"/>
              <w:right w:val="single" w:sz="4" w:space="0" w:color="auto"/>
            </w:tcBorders>
            <w:shd w:val="clear" w:color="auto" w:fill="C6EFCE"/>
            <w:noWrap/>
          </w:tcPr>
          <w:p w14:paraId="1F6755D1"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5A53EFFE"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612ABE89"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3FDC70C0" w14:textId="77777777" w:rsidR="003F46B9" w:rsidRDefault="0065662E">
            <w:pPr>
              <w:pStyle w:val="P68B1DB1-Normal5"/>
              <w:spacing w:after="0" w:line="240" w:lineRule="auto"/>
              <w:jc w:val="both"/>
              <w:rPr>
                <w:rFonts w:eastAsia="Times New Roman" w:cs="Times New Roman"/>
                <w:noProof/>
              </w:rPr>
            </w:pPr>
            <w:r>
              <w:rPr>
                <w:noProof/>
              </w:rPr>
              <w:t>26</w:t>
            </w:r>
          </w:p>
        </w:tc>
        <w:tc>
          <w:tcPr>
            <w:tcW w:w="1134" w:type="dxa"/>
            <w:tcBorders>
              <w:top w:val="single" w:sz="4" w:space="0" w:color="auto"/>
              <w:left w:val="nil"/>
              <w:bottom w:val="single" w:sz="4" w:space="0" w:color="auto"/>
              <w:right w:val="single" w:sz="4" w:space="0" w:color="auto"/>
            </w:tcBorders>
            <w:shd w:val="clear" w:color="auto" w:fill="C6EFCE"/>
            <w:noWrap/>
            <w:hideMark/>
          </w:tcPr>
          <w:p w14:paraId="06DE4D92"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19528906"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nil"/>
              <w:bottom w:val="single" w:sz="4" w:space="0" w:color="auto"/>
              <w:right w:val="single" w:sz="4" w:space="0" w:color="auto"/>
            </w:tcBorders>
            <w:shd w:val="clear" w:color="auto" w:fill="C6EFCE"/>
            <w:noWrap/>
            <w:hideMark/>
          </w:tcPr>
          <w:p w14:paraId="0E5F5A63" w14:textId="77777777" w:rsidR="003F46B9" w:rsidRDefault="0065662E">
            <w:pPr>
              <w:pStyle w:val="P68B1DB1-Normal5"/>
              <w:spacing w:after="0" w:line="240" w:lineRule="auto"/>
              <w:jc w:val="both"/>
              <w:rPr>
                <w:rFonts w:cs="Times New Roman"/>
                <w:noProof/>
              </w:rPr>
            </w:pPr>
            <w:r>
              <w:rPr>
                <w:noProof/>
              </w:rPr>
              <w:t>26 postrojenja za recikliranje otpada izgrađeno je i pušteno u rad kako bi se ispunili ciljevi za recikliranje iz Nacionalne strategije kružnog gospodar</w:t>
            </w:r>
            <w:r>
              <w:rPr>
                <w:noProof/>
              </w:rPr>
              <w:t>stva i u skladu s Nacionalnim planom gospodarenja otpadom/planovima gospodarenja otpadom u zemlji i Planom gospodarenja otpadom Općine Bukurešt. Potpora se pruža privatnim gospodarskim subjektima koji ulažu u odvojeno prikupljena postrojenja za recikliranj</w:t>
            </w:r>
            <w:r>
              <w:rPr>
                <w:noProof/>
              </w:rPr>
              <w:t>e otpada kako bi se smanjio utjecaj otpada na okoliš i stanovništvo, smanjila potrošnja resursa radi promicanja održivog gospodarskog razvoja u svim regijama i postizanja ciljeva recikliranja iz paketa za kružno gospodarstvo. Prednost se daje najsuvremenij</w:t>
            </w:r>
            <w:r>
              <w:rPr>
                <w:noProof/>
              </w:rPr>
              <w:t xml:space="preserve">im projektima, digitaliziranim dizajnom rada, praćenjem i intervencijom, kojima se smanjuje tehnološka potrošnja energije, prometa i održavanja tehnologije. </w:t>
            </w:r>
          </w:p>
          <w:p w14:paraId="7B1B4C12" w14:textId="77777777" w:rsidR="003F46B9" w:rsidRDefault="0065662E">
            <w:pPr>
              <w:pStyle w:val="P68B1DB1-Normal5"/>
              <w:spacing w:after="0" w:line="240" w:lineRule="auto"/>
              <w:jc w:val="both"/>
              <w:rPr>
                <w:rFonts w:eastAsia="Times New Roman" w:cs="Times New Roman"/>
                <w:noProof/>
              </w:rPr>
            </w:pPr>
            <w:r>
              <w:rPr>
                <w:noProof/>
              </w:rPr>
              <w:t>Kako bi se osiguralo da je mjera u skladu s Tehničkim smjernicama o nenanošenju bitne štete (2021/</w:t>
            </w:r>
            <w:r>
              <w:rPr>
                <w:noProof/>
              </w:rPr>
              <w:t>C58/01), vozila kupljena u okviru te mjere moraju biti najbolja dostupna tehnologija sa stajališta okoliša.</w:t>
            </w:r>
          </w:p>
        </w:tc>
      </w:tr>
      <w:tr w:rsidR="003F46B9" w14:paraId="06A80019"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777953" w14:textId="77777777" w:rsidR="003F46B9" w:rsidRDefault="0065662E">
            <w:pPr>
              <w:pStyle w:val="P68B1DB1-Normal5"/>
              <w:spacing w:after="0" w:line="240" w:lineRule="auto"/>
              <w:jc w:val="both"/>
              <w:rPr>
                <w:rFonts w:eastAsia="Times New Roman" w:cs="Times New Roman"/>
                <w:noProof/>
              </w:rPr>
            </w:pPr>
            <w:r>
              <w:rPr>
                <w:noProof/>
              </w:rPr>
              <w:t>55</w:t>
            </w:r>
          </w:p>
        </w:tc>
        <w:tc>
          <w:tcPr>
            <w:tcW w:w="1559" w:type="dxa"/>
            <w:tcBorders>
              <w:top w:val="nil"/>
              <w:left w:val="nil"/>
              <w:bottom w:val="single" w:sz="4" w:space="0" w:color="auto"/>
              <w:right w:val="single" w:sz="4" w:space="0" w:color="auto"/>
            </w:tcBorders>
            <w:shd w:val="clear" w:color="auto" w:fill="C6EFCE"/>
            <w:noWrap/>
            <w:hideMark/>
          </w:tcPr>
          <w:p w14:paraId="2A7639D3" w14:textId="77777777" w:rsidR="003F46B9" w:rsidRDefault="0065662E">
            <w:pPr>
              <w:pStyle w:val="P68B1DB1-Normal5"/>
              <w:spacing w:after="0" w:line="240" w:lineRule="auto"/>
              <w:jc w:val="both"/>
              <w:rPr>
                <w:rFonts w:eastAsia="Times New Roman" w:cs="Times New Roman"/>
                <w:noProof/>
              </w:rPr>
            </w:pPr>
            <w:r>
              <w:rPr>
                <w:noProof/>
              </w:rPr>
              <w:t>Ulaganje 2 Razvoj infrastrukture za gospodarenje stajskim gnojem i drugim poljoprivrednim otpadom koji se može kompostirati</w:t>
            </w:r>
          </w:p>
        </w:tc>
        <w:tc>
          <w:tcPr>
            <w:tcW w:w="1276" w:type="dxa"/>
            <w:tcBorders>
              <w:top w:val="nil"/>
              <w:left w:val="nil"/>
              <w:bottom w:val="single" w:sz="4" w:space="0" w:color="auto"/>
              <w:right w:val="single" w:sz="4" w:space="0" w:color="auto"/>
            </w:tcBorders>
            <w:shd w:val="clear" w:color="auto" w:fill="C6EFCE"/>
            <w:noWrap/>
            <w:hideMark/>
          </w:tcPr>
          <w:p w14:paraId="149510DF"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35B4FDD9" w14:textId="77777777" w:rsidR="003F46B9" w:rsidRDefault="0065662E">
            <w:pPr>
              <w:pStyle w:val="P68B1DB1-Normal5"/>
              <w:spacing w:after="0" w:line="240" w:lineRule="auto"/>
              <w:jc w:val="both"/>
              <w:rPr>
                <w:rFonts w:eastAsia="Times New Roman" w:cs="Times New Roman"/>
                <w:noProof/>
              </w:rPr>
            </w:pPr>
            <w:r>
              <w:rPr>
                <w:noProof/>
              </w:rPr>
              <w:t>Uspostavljeni</w:t>
            </w:r>
            <w:r>
              <w:rPr>
                <w:noProof/>
              </w:rPr>
              <w:t xml:space="preserve"> i operativni integrirani sustavi za prikupljanje poljoprivrednog otpada koji se može kompostirati.</w:t>
            </w:r>
          </w:p>
        </w:tc>
        <w:tc>
          <w:tcPr>
            <w:tcW w:w="1701" w:type="dxa"/>
            <w:tcBorders>
              <w:top w:val="nil"/>
              <w:left w:val="nil"/>
              <w:bottom w:val="single" w:sz="4" w:space="0" w:color="auto"/>
              <w:right w:val="single" w:sz="4" w:space="0" w:color="auto"/>
            </w:tcBorders>
            <w:shd w:val="clear" w:color="auto" w:fill="C6EFCE"/>
            <w:noWrap/>
          </w:tcPr>
          <w:p w14:paraId="7B7B4891"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39BE19B"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single" w:sz="4" w:space="0" w:color="auto"/>
              <w:bottom w:val="single" w:sz="4" w:space="0" w:color="auto"/>
              <w:right w:val="single" w:sz="4" w:space="0" w:color="auto"/>
            </w:tcBorders>
            <w:shd w:val="clear" w:color="auto" w:fill="C6EFCE"/>
            <w:noWrap/>
            <w:hideMark/>
          </w:tcPr>
          <w:p w14:paraId="4E2AC5C2"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59F18422" w14:textId="77777777" w:rsidR="003F46B9" w:rsidRDefault="0065662E">
            <w:pPr>
              <w:pStyle w:val="P68B1DB1-Normal5"/>
              <w:spacing w:after="0" w:line="240" w:lineRule="auto"/>
              <w:jc w:val="both"/>
              <w:rPr>
                <w:rFonts w:eastAsia="Times New Roman" w:cs="Times New Roman"/>
                <w:noProof/>
              </w:rPr>
            </w:pPr>
            <w:r>
              <w:rPr>
                <w:noProof/>
              </w:rPr>
              <w:t>254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2166F25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56B6287" w14:textId="77777777" w:rsidR="003F46B9" w:rsidRDefault="0065662E">
            <w:pPr>
              <w:pStyle w:val="P68B1DB1-Normal5"/>
              <w:spacing w:after="0" w:line="240" w:lineRule="auto"/>
              <w:jc w:val="both"/>
              <w:rPr>
                <w:rFonts w:eastAsia="Times New Roman" w:cs="Times New Roman"/>
                <w:noProof/>
              </w:rPr>
            </w:pPr>
            <w:r>
              <w:rPr>
                <w:noProof/>
              </w:rPr>
              <w:t>2026</w:t>
            </w:r>
          </w:p>
        </w:tc>
        <w:tc>
          <w:tcPr>
            <w:tcW w:w="3906" w:type="dxa"/>
            <w:tcBorders>
              <w:top w:val="nil"/>
              <w:left w:val="single" w:sz="4" w:space="0" w:color="auto"/>
              <w:bottom w:val="single" w:sz="4" w:space="0" w:color="auto"/>
              <w:right w:val="single" w:sz="4" w:space="0" w:color="auto"/>
            </w:tcBorders>
            <w:shd w:val="clear" w:color="auto" w:fill="C6EFCE"/>
            <w:noWrap/>
          </w:tcPr>
          <w:p w14:paraId="03AF78A3" w14:textId="77777777" w:rsidR="003F46B9" w:rsidRDefault="0065662E">
            <w:pPr>
              <w:pStyle w:val="P68B1DB1-Normal5"/>
              <w:spacing w:after="0" w:line="240" w:lineRule="auto"/>
              <w:jc w:val="both"/>
              <w:rPr>
                <w:rFonts w:cs="Times New Roman"/>
                <w:noProof/>
              </w:rPr>
            </w:pPr>
            <w:r>
              <w:rPr>
                <w:noProof/>
              </w:rPr>
              <w:t>Najmanje 254 integrirana sustava za prikupljanje poljoprivrednog otpada koji se može kompostirati moraju se uspostaviti i učini</w:t>
            </w:r>
            <w:r>
              <w:rPr>
                <w:noProof/>
              </w:rPr>
              <w:t>ti operativnima, u skladu s Nacionalnim planom gospodarenja otpadom, kako slijedi:</w:t>
            </w:r>
          </w:p>
          <w:p w14:paraId="7DB3C367"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150 Komunalnih integriranih sustava (komunalna platforma, pojedinačne platforme za male i srednje poljoprivrednike i prilagođena oprema za upravljanje kompostom);</w:t>
            </w:r>
          </w:p>
          <w:p w14:paraId="745C3D7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94 Komunal</w:t>
            </w:r>
            <w:r>
              <w:rPr>
                <w:noProof/>
              </w:rPr>
              <w:t>ni integrirani sustavi za zajednice s postojećom zajedničkom platformom (pojedinačne platforme za male i srednje poljoprivrednike i prilagođena oprema za upravljanje kompostom);</w:t>
            </w:r>
          </w:p>
          <w:p w14:paraId="11AF634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5 Sustavi kompostiranja za zajednice s velikim poljoprivrednim gospodarstvima </w:t>
            </w:r>
            <w:r>
              <w:rPr>
                <w:noProof/>
              </w:rPr>
              <w:t>(postaja za kompostiranje i prilagođena oprema za upravljanje kompostom);</w:t>
            </w:r>
          </w:p>
          <w:p w14:paraId="1080CC00" w14:textId="01D688C4" w:rsidR="003F46B9" w:rsidRDefault="0065662E">
            <w:pPr>
              <w:pStyle w:val="P68B1DB1-ListParagraph13"/>
              <w:numPr>
                <w:ilvl w:val="0"/>
                <w:numId w:val="7"/>
              </w:numPr>
              <w:spacing w:after="0" w:line="240" w:lineRule="auto"/>
              <w:ind w:left="165" w:hanging="165"/>
              <w:jc w:val="both"/>
              <w:rPr>
                <w:rFonts w:cs="Times New Roman"/>
                <w:noProof/>
              </w:rPr>
            </w:pPr>
            <w:r>
              <w:rPr>
                <w:noProof/>
              </w:rPr>
              <w:t>5 Bioplinski sustavi za zajednice s vrlo velikim poljoprivrednim gospodarstvima (s kapacitetom električne energije od najmanje 300 KW i toplinskim kapacitetom od najmanje 300 KW). Ti</w:t>
            </w:r>
            <w:r>
              <w:rPr>
                <w:noProof/>
              </w:rPr>
              <w:t xml:space="preserve"> objekti moraju biti u skladu s Tehničkim smjernicama o nenanošenju bitne štete (C(2023) 6454 final) tako što ispunjavaju kriterije održivosti i uštede emisija stakleničkih plinova utvrđene u člancima od 29. do 31. i pravila o biogorivima koja se proizvode</w:t>
            </w:r>
            <w:r>
              <w:rPr>
                <w:noProof/>
              </w:rPr>
              <w:t xml:space="preserve"> iz hrane i hrane za životinje iz članka 26. Direktive (EU) 2018/2001 (RED II) te povezanih provedbenih i delegiranih akata.</w:t>
            </w:r>
          </w:p>
          <w:p w14:paraId="381EE5BB" w14:textId="77777777" w:rsidR="003F46B9" w:rsidRDefault="0065662E">
            <w:pPr>
              <w:pStyle w:val="P68B1DB1-Normal5"/>
              <w:spacing w:after="0" w:line="240" w:lineRule="auto"/>
              <w:jc w:val="both"/>
              <w:rPr>
                <w:rFonts w:cs="Times New Roman"/>
                <w:noProof/>
              </w:rPr>
            </w:pPr>
            <w:r>
              <w:rPr>
                <w:noProof/>
              </w:rPr>
              <w:t xml:space="preserve">Velika poljoprivredna gospodarstva i zajednice poljoprivrednika (općine i gradovi) odabiru se uzimajući u obzir najbolji pozitivan </w:t>
            </w:r>
            <w:r>
              <w:rPr>
                <w:noProof/>
              </w:rPr>
              <w:t>učinak na okoliš u odnosu na javni trošak ulaganja, na temelju smjernica u kojima se jasno navode kriteriji odabira, uključujući:</w:t>
            </w:r>
          </w:p>
          <w:p w14:paraId="14600696"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broj životinja radi dokazivanja stvarnog (nepovijesnog) izvora onečišćenja;</w:t>
            </w:r>
          </w:p>
          <w:p w14:paraId="42E95F31"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koncentracija i trend nitrata u podzemnim vodama;</w:t>
            </w:r>
          </w:p>
          <w:p w14:paraId="0DF5A535"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dostupnost odgovarajuće lokacije za izgradnju;</w:t>
            </w:r>
          </w:p>
          <w:p w14:paraId="23CFA3E5"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pozitivna analiza troškova i koristi; dokazivanje dugoročne održivosti ulaganja, uključujući modele kružnog gospodarstva (s naglaskom na postajama za bioplin);</w:t>
            </w:r>
          </w:p>
          <w:p w14:paraId="6FCF4029"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dostupnost financijskih sredstava za </w:t>
            </w:r>
            <w:r>
              <w:rPr>
                <w:noProof/>
              </w:rPr>
              <w:t>sufinanciranje i daljnje djelovanje ulaganja;</w:t>
            </w:r>
          </w:p>
          <w:p w14:paraId="7CDD5908"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pozitivna javna savjetovanja za dokazivanje društvene prihvaćenosti ulaganja u području okoliša.</w:t>
            </w:r>
          </w:p>
          <w:p w14:paraId="52AD76B9" w14:textId="77777777" w:rsidR="003F46B9" w:rsidRDefault="0065662E">
            <w:pPr>
              <w:pStyle w:val="P68B1DB1-Normal5"/>
              <w:spacing w:after="0" w:line="240" w:lineRule="auto"/>
              <w:jc w:val="both"/>
              <w:rPr>
                <w:rFonts w:cs="Times New Roman"/>
                <w:noProof/>
              </w:rPr>
            </w:pPr>
            <w:r>
              <w:rPr>
                <w:noProof/>
              </w:rPr>
              <w:t>Mali i srednji poljoprivrednici koji imaju koristi od malih platformi žive u zajednicama u kojima su platforme za</w:t>
            </w:r>
            <w:r>
              <w:rPr>
                <w:noProof/>
              </w:rPr>
              <w:t xml:space="preserve"> gospodarenje stajskim gnojivom funkcionalne ili se moraju izgraditi nove platforme i moraju biti vlasnici životinja uzgojenih u tim zajednicama.</w:t>
            </w:r>
          </w:p>
          <w:p w14:paraId="63B089EC" w14:textId="77777777" w:rsidR="003F46B9" w:rsidRDefault="0065662E">
            <w:pPr>
              <w:pStyle w:val="P68B1DB1-Normal5"/>
              <w:spacing w:after="0" w:line="240" w:lineRule="auto"/>
              <w:jc w:val="both"/>
              <w:rPr>
                <w:rFonts w:eastAsia="Times New Roman" w:cs="Times New Roman"/>
                <w:noProof/>
              </w:rPr>
            </w:pPr>
            <w:r>
              <w:rPr>
                <w:noProof/>
              </w:rPr>
              <w:t>Kako bi se osiguralo da je mjera u skladu s Tehničkim smjernicama o nenanošenju bitne štete (2021/C58/01), voz</w:t>
            </w:r>
            <w:r>
              <w:rPr>
                <w:noProof/>
              </w:rPr>
              <w:t xml:space="preserve">ila kupljena u okviru te mjere moraju biti najbolja dostupna tehnologija sa stajališta okoliša. </w:t>
            </w:r>
          </w:p>
        </w:tc>
      </w:tr>
      <w:tr w:rsidR="003F46B9" w14:paraId="4D72CD31"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6187EFE" w14:textId="77777777" w:rsidR="003F46B9" w:rsidRDefault="0065662E">
            <w:pPr>
              <w:pStyle w:val="P68B1DB1-Normal5"/>
              <w:spacing w:after="0" w:line="240" w:lineRule="auto"/>
              <w:jc w:val="both"/>
              <w:rPr>
                <w:rFonts w:eastAsia="Times New Roman" w:cs="Times New Roman"/>
                <w:noProof/>
              </w:rPr>
            </w:pPr>
            <w:r>
              <w:rPr>
                <w:noProof/>
              </w:rPr>
              <w:t>56</w:t>
            </w:r>
          </w:p>
        </w:tc>
        <w:tc>
          <w:tcPr>
            <w:tcW w:w="1559" w:type="dxa"/>
            <w:tcBorders>
              <w:top w:val="nil"/>
              <w:left w:val="nil"/>
              <w:bottom w:val="single" w:sz="4" w:space="0" w:color="auto"/>
              <w:right w:val="single" w:sz="4" w:space="0" w:color="auto"/>
            </w:tcBorders>
            <w:shd w:val="clear" w:color="auto" w:fill="C6EFCE"/>
            <w:noWrap/>
            <w:hideMark/>
          </w:tcPr>
          <w:p w14:paraId="24CCD428" w14:textId="77777777" w:rsidR="003F46B9" w:rsidRDefault="0065662E">
            <w:pPr>
              <w:pStyle w:val="P68B1DB1-Normal5"/>
              <w:spacing w:after="0" w:line="240" w:lineRule="auto"/>
              <w:jc w:val="both"/>
              <w:rPr>
                <w:rFonts w:eastAsia="Times New Roman" w:cs="Times New Roman"/>
                <w:noProof/>
              </w:rPr>
            </w:pPr>
            <w:r>
              <w:rPr>
                <w:noProof/>
              </w:rPr>
              <w:t>Ulaganje 3.a Oprema za praćenje i kontrolu za nacionalnu službu za zaštitu okoliša</w:t>
            </w:r>
          </w:p>
        </w:tc>
        <w:tc>
          <w:tcPr>
            <w:tcW w:w="1276" w:type="dxa"/>
            <w:tcBorders>
              <w:top w:val="nil"/>
              <w:left w:val="nil"/>
              <w:bottom w:val="single" w:sz="4" w:space="0" w:color="auto"/>
              <w:right w:val="single" w:sz="4" w:space="0" w:color="auto"/>
            </w:tcBorders>
            <w:shd w:val="clear" w:color="auto" w:fill="C6EFCE"/>
            <w:noWrap/>
            <w:hideMark/>
          </w:tcPr>
          <w:p w14:paraId="60F3BC00"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0180320E" w14:textId="77777777" w:rsidR="003F46B9" w:rsidRDefault="0065662E">
            <w:pPr>
              <w:pStyle w:val="P68B1DB1-Normal5"/>
              <w:spacing w:after="0" w:line="240" w:lineRule="auto"/>
              <w:jc w:val="both"/>
              <w:rPr>
                <w:rFonts w:eastAsia="Times New Roman" w:cs="Times New Roman"/>
                <w:noProof/>
              </w:rPr>
            </w:pPr>
            <w:r>
              <w:rPr>
                <w:noProof/>
              </w:rPr>
              <w:t>Županijski povjerenici nacionalne garde za zaštitu okoliša opremljeni digita</w:t>
            </w:r>
            <w:r>
              <w:rPr>
                <w:noProof/>
              </w:rPr>
              <w:t>lnom opremom za aktivnosti praćenja i kontrole gospodarenja otpadom</w:t>
            </w:r>
          </w:p>
        </w:tc>
        <w:tc>
          <w:tcPr>
            <w:tcW w:w="1701" w:type="dxa"/>
            <w:tcBorders>
              <w:top w:val="nil"/>
              <w:left w:val="nil"/>
              <w:bottom w:val="single" w:sz="4" w:space="0" w:color="auto"/>
              <w:right w:val="single" w:sz="4" w:space="0" w:color="auto"/>
            </w:tcBorders>
            <w:shd w:val="clear" w:color="auto" w:fill="C6EFCE"/>
            <w:noWrap/>
          </w:tcPr>
          <w:p w14:paraId="2E0D05B3"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A069DD"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590A0D5A"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1AF118E" w14:textId="77777777" w:rsidR="003F46B9" w:rsidRDefault="0065662E">
            <w:pPr>
              <w:pStyle w:val="P68B1DB1-Normal5"/>
              <w:spacing w:after="0" w:line="240" w:lineRule="auto"/>
              <w:jc w:val="both"/>
              <w:rPr>
                <w:rFonts w:eastAsia="Times New Roman" w:cs="Times New Roman"/>
                <w:noProof/>
              </w:rPr>
            </w:pPr>
            <w:r>
              <w:rPr>
                <w:noProof/>
              </w:rPr>
              <w:t>43</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44168F3"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3C640F90" w14:textId="77777777" w:rsidR="003F46B9" w:rsidRDefault="0065662E">
            <w:pPr>
              <w:pStyle w:val="P68B1DB1-Normal5"/>
              <w:spacing w:after="0" w:line="240" w:lineRule="auto"/>
              <w:jc w:val="both"/>
              <w:rPr>
                <w:rFonts w:eastAsia="Times New Roman" w:cs="Times New Roman"/>
                <w:noProof/>
              </w:rPr>
            </w:pPr>
            <w:r>
              <w:rPr>
                <w:noProof/>
              </w:rPr>
              <w:t>2024</w:t>
            </w:r>
          </w:p>
        </w:tc>
        <w:tc>
          <w:tcPr>
            <w:tcW w:w="3906" w:type="dxa"/>
            <w:tcBorders>
              <w:top w:val="nil"/>
              <w:left w:val="nil"/>
              <w:bottom w:val="single" w:sz="4" w:space="0" w:color="auto"/>
              <w:right w:val="single" w:sz="4" w:space="0" w:color="auto"/>
            </w:tcBorders>
            <w:shd w:val="clear" w:color="auto" w:fill="C6EFCE"/>
            <w:noWrap/>
          </w:tcPr>
          <w:p w14:paraId="65B5E69F" w14:textId="77777777" w:rsidR="003F46B9" w:rsidRDefault="0065662E">
            <w:pPr>
              <w:pStyle w:val="P68B1DB1-Normal5"/>
              <w:spacing w:after="0" w:line="240" w:lineRule="auto"/>
              <w:jc w:val="both"/>
              <w:rPr>
                <w:rFonts w:eastAsia="Times New Roman" w:cs="Times New Roman"/>
                <w:noProof/>
              </w:rPr>
            </w:pPr>
            <w:r>
              <w:rPr>
                <w:noProof/>
              </w:rPr>
              <w:t>Operacionalizacija opreme za 43 povjerenika za zaštitu okoliša za aktivnosti praćenja i kontrole gospodarenja otpadom kako bi se povećala sljedivost otp</w:t>
            </w:r>
            <w:r>
              <w:rPr>
                <w:noProof/>
              </w:rPr>
              <w:t>ada, povećala vidljivost na stvarnim rutama pošiljaka otpada i time smanjile količine nezakonitog prijevoza otpada. Sljedeća se oprema kupuje:</w:t>
            </w:r>
          </w:p>
          <w:p w14:paraId="0E5D3D67"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1 integrirani sustav IKT-a za 43 povjerenika;</w:t>
            </w:r>
          </w:p>
          <w:p w14:paraId="2A095184"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8 sustava za skeniranje kamiona;</w:t>
            </w:r>
          </w:p>
          <w:p w14:paraId="4288F82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271 videokamera s crticama;</w:t>
            </w:r>
          </w:p>
          <w:p w14:paraId="1BA53A7A"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16 </w:t>
            </w:r>
            <w:r>
              <w:rPr>
                <w:noProof/>
              </w:rPr>
              <w:t>bespilotnih zračnih letjelica;</w:t>
            </w:r>
          </w:p>
          <w:p w14:paraId="2CC11E48"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8 komunalnih vozila opremljenih radijskom komunikacijom za prijevoz opreme za praćenje; </w:t>
            </w:r>
          </w:p>
          <w:p w14:paraId="07B38055" w14:textId="77777777" w:rsidR="003F46B9" w:rsidRDefault="0065662E">
            <w:pPr>
              <w:pStyle w:val="P68B1DB1-ListParagraph13"/>
              <w:numPr>
                <w:ilvl w:val="0"/>
                <w:numId w:val="7"/>
              </w:numPr>
              <w:spacing w:after="0" w:line="240" w:lineRule="auto"/>
              <w:ind w:left="165" w:hanging="165"/>
              <w:jc w:val="both"/>
              <w:rPr>
                <w:rFonts w:cs="Times New Roman"/>
                <w:noProof/>
              </w:rPr>
            </w:pPr>
            <w:r>
              <w:rPr>
                <w:noProof/>
              </w:rPr>
              <w:t xml:space="preserve">709 kamera koje nosi tijelo. </w:t>
            </w:r>
          </w:p>
          <w:p w14:paraId="0C4EFDFF" w14:textId="77777777" w:rsidR="003F46B9" w:rsidRDefault="0065662E">
            <w:pPr>
              <w:pStyle w:val="P68B1DB1-Normal5"/>
              <w:spacing w:after="0" w:line="240" w:lineRule="auto"/>
              <w:jc w:val="both"/>
              <w:rPr>
                <w:rFonts w:eastAsia="Times New Roman" w:cs="Times New Roman"/>
                <w:noProof/>
              </w:rPr>
            </w:pPr>
            <w:r>
              <w:rPr>
                <w:noProof/>
              </w:rPr>
              <w:t>Kako bi se osiguralo da je mjera u skladu s Tehničkim smjernicama o nenanošenju bitne štete (2021/C58/01),</w:t>
            </w:r>
            <w:r>
              <w:rPr>
                <w:noProof/>
              </w:rPr>
              <w:t xml:space="preserve"> vozila kupljena u okviru te mjere moraju biti najbolja dostupna tehnologija sa stajališta okoliša.</w:t>
            </w:r>
          </w:p>
        </w:tc>
      </w:tr>
      <w:tr w:rsidR="003F46B9" w14:paraId="6BA575EB"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836BB6C" w14:textId="77777777" w:rsidR="003F46B9" w:rsidRDefault="0065662E">
            <w:pPr>
              <w:pStyle w:val="P68B1DB1-Normal5"/>
              <w:spacing w:after="0" w:line="240" w:lineRule="auto"/>
              <w:jc w:val="both"/>
              <w:rPr>
                <w:rFonts w:eastAsia="Times New Roman" w:cs="Times New Roman"/>
                <w:noProof/>
              </w:rPr>
            </w:pPr>
            <w:r>
              <w:rPr>
                <w:noProof/>
              </w:rPr>
              <w:t>57</w:t>
            </w:r>
          </w:p>
        </w:tc>
        <w:tc>
          <w:tcPr>
            <w:tcW w:w="1559" w:type="dxa"/>
            <w:tcBorders>
              <w:top w:val="nil"/>
              <w:left w:val="nil"/>
              <w:bottom w:val="single" w:sz="4" w:space="0" w:color="auto"/>
              <w:right w:val="single" w:sz="4" w:space="0" w:color="auto"/>
            </w:tcBorders>
            <w:shd w:val="clear" w:color="auto" w:fill="C6EFCE"/>
            <w:noWrap/>
            <w:hideMark/>
          </w:tcPr>
          <w:p w14:paraId="76C10A47" w14:textId="77777777" w:rsidR="003F46B9" w:rsidRDefault="0065662E">
            <w:pPr>
              <w:pStyle w:val="P68B1DB1-Normal5"/>
              <w:spacing w:after="0" w:line="240" w:lineRule="auto"/>
              <w:jc w:val="both"/>
              <w:rPr>
                <w:rFonts w:eastAsia="Times New Roman" w:cs="Times New Roman"/>
                <w:noProof/>
              </w:rPr>
            </w:pPr>
            <w:r>
              <w:rPr>
                <w:noProof/>
              </w:rPr>
              <w:t>Ulaganje 3.a Oprema za praćenje i kontrolu za nacionalnu službu za zaštitu okoliša</w:t>
            </w:r>
          </w:p>
        </w:tc>
        <w:tc>
          <w:tcPr>
            <w:tcW w:w="1276" w:type="dxa"/>
            <w:tcBorders>
              <w:top w:val="nil"/>
              <w:left w:val="nil"/>
              <w:bottom w:val="single" w:sz="4" w:space="0" w:color="auto"/>
              <w:right w:val="single" w:sz="4" w:space="0" w:color="auto"/>
            </w:tcBorders>
            <w:shd w:val="clear" w:color="auto" w:fill="C6EFCE"/>
            <w:noWrap/>
            <w:hideMark/>
          </w:tcPr>
          <w:p w14:paraId="66B44325"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2C80DE4D" w14:textId="77777777" w:rsidR="003F46B9" w:rsidRDefault="0065662E">
            <w:pPr>
              <w:pStyle w:val="P68B1DB1-Normal5"/>
              <w:spacing w:after="0" w:line="240" w:lineRule="auto"/>
              <w:jc w:val="both"/>
              <w:rPr>
                <w:rFonts w:eastAsia="Times New Roman" w:cs="Times New Roman"/>
                <w:noProof/>
              </w:rPr>
            </w:pPr>
            <w:r>
              <w:rPr>
                <w:noProof/>
              </w:rPr>
              <w:t>400 kontrolnih misija s pomoću opreme za praćenje i kontrolu</w:t>
            </w:r>
          </w:p>
        </w:tc>
        <w:tc>
          <w:tcPr>
            <w:tcW w:w="1701" w:type="dxa"/>
            <w:tcBorders>
              <w:top w:val="nil"/>
              <w:left w:val="nil"/>
              <w:bottom w:val="single" w:sz="4" w:space="0" w:color="auto"/>
              <w:right w:val="single" w:sz="4" w:space="0" w:color="auto"/>
            </w:tcBorders>
            <w:shd w:val="clear" w:color="auto" w:fill="C6EFCE"/>
            <w:noWrap/>
          </w:tcPr>
          <w:p w14:paraId="66DCED1D"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448153C4"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0776510"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hideMark/>
          </w:tcPr>
          <w:p w14:paraId="6F6CEF00" w14:textId="77777777" w:rsidR="003F46B9" w:rsidRDefault="0065662E">
            <w:pPr>
              <w:pStyle w:val="P68B1DB1-Normal5"/>
              <w:spacing w:after="0" w:line="240" w:lineRule="auto"/>
              <w:jc w:val="both"/>
              <w:rPr>
                <w:rFonts w:eastAsia="Times New Roman" w:cs="Times New Roman"/>
                <w:noProof/>
              </w:rPr>
            </w:pPr>
            <w:r>
              <w:rPr>
                <w:noProof/>
              </w:rPr>
              <w:t>400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hideMark/>
          </w:tcPr>
          <w:p w14:paraId="4119CB2F"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1594B167" w14:textId="77777777" w:rsidR="003F46B9" w:rsidRDefault="0065662E">
            <w:pPr>
              <w:pStyle w:val="P68B1DB1-Normal5"/>
              <w:spacing w:after="0" w:line="240" w:lineRule="auto"/>
              <w:jc w:val="both"/>
              <w:rPr>
                <w:rFonts w:eastAsia="Times New Roman" w:cs="Times New Roman"/>
                <w:noProof/>
              </w:rPr>
            </w:pPr>
            <w:r>
              <w:rPr>
                <w:noProof/>
              </w:rPr>
              <w:t>2025</w:t>
            </w:r>
          </w:p>
        </w:tc>
        <w:tc>
          <w:tcPr>
            <w:tcW w:w="3906" w:type="dxa"/>
            <w:tcBorders>
              <w:top w:val="nil"/>
              <w:left w:val="single" w:sz="4" w:space="0" w:color="auto"/>
              <w:bottom w:val="single" w:sz="4" w:space="0" w:color="auto"/>
              <w:right w:val="single" w:sz="4" w:space="0" w:color="auto"/>
            </w:tcBorders>
            <w:shd w:val="clear" w:color="auto" w:fill="C6EFCE"/>
            <w:noWrap/>
          </w:tcPr>
          <w:p w14:paraId="04668268" w14:textId="77777777" w:rsidR="003F46B9" w:rsidRDefault="0065662E">
            <w:pPr>
              <w:pStyle w:val="P68B1DB1-Normal5"/>
              <w:spacing w:after="0" w:line="240" w:lineRule="auto"/>
              <w:jc w:val="both"/>
              <w:rPr>
                <w:rFonts w:eastAsia="Times New Roman" w:cs="Times New Roman"/>
                <w:noProof/>
              </w:rPr>
            </w:pPr>
            <w:r>
              <w:rPr>
                <w:noProof/>
              </w:rPr>
              <w:t xml:space="preserve">400 kontrolnih misija koje provode nacionalni povjerenici za zaštitu okoliša s pomoću digitalne opreme nabavljene u ključnoj etapi 56 za aktivnosti praćenja i kontrole. </w:t>
            </w:r>
          </w:p>
        </w:tc>
      </w:tr>
      <w:tr w:rsidR="003F46B9" w14:paraId="2D7FE312" w14:textId="77777777">
        <w:tblPrEx>
          <w:tblCellMar>
            <w:left w:w="28" w:type="dxa"/>
            <w:right w:w="28" w:type="dxa"/>
          </w:tblCellMar>
        </w:tblPrEx>
        <w:trPr>
          <w:gridBefore w:val="1"/>
          <w:wBefore w:w="14" w:type="dxa"/>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5A9A3AB" w14:textId="77777777" w:rsidR="003F46B9" w:rsidRDefault="0065662E">
            <w:pPr>
              <w:pStyle w:val="P68B1DB1-Normal5"/>
              <w:spacing w:after="0" w:line="240" w:lineRule="auto"/>
              <w:jc w:val="both"/>
              <w:rPr>
                <w:rFonts w:eastAsia="Times New Roman" w:cs="Times New Roman"/>
                <w:noProof/>
              </w:rPr>
            </w:pPr>
            <w:r>
              <w:rPr>
                <w:noProof/>
              </w:rPr>
              <w:t>58</w:t>
            </w:r>
          </w:p>
        </w:tc>
        <w:tc>
          <w:tcPr>
            <w:tcW w:w="1559" w:type="dxa"/>
            <w:tcBorders>
              <w:top w:val="nil"/>
              <w:left w:val="nil"/>
              <w:bottom w:val="single" w:sz="4" w:space="0" w:color="auto"/>
              <w:right w:val="single" w:sz="4" w:space="0" w:color="auto"/>
            </w:tcBorders>
            <w:shd w:val="clear" w:color="auto" w:fill="C6EFCE"/>
            <w:noWrap/>
            <w:hideMark/>
          </w:tcPr>
          <w:p w14:paraId="17F8B529" w14:textId="77777777" w:rsidR="003F46B9" w:rsidRDefault="0065662E">
            <w:pPr>
              <w:pStyle w:val="P68B1DB1-Normal5"/>
              <w:spacing w:after="0" w:line="240" w:lineRule="auto"/>
              <w:jc w:val="both"/>
              <w:rPr>
                <w:rFonts w:eastAsia="Times New Roman" w:cs="Times New Roman"/>
                <w:noProof/>
              </w:rPr>
            </w:pPr>
            <w:r>
              <w:rPr>
                <w:noProof/>
              </w:rPr>
              <w:t xml:space="preserve">Ulaganje 3.b Kvaliteta zraka, radioaktivnost i oprema za </w:t>
            </w:r>
            <w:r>
              <w:rPr>
                <w:noProof/>
              </w:rPr>
              <w:t>praćenje buke za Nacionalnu agenciju za zaštitu okoliša</w:t>
            </w:r>
          </w:p>
        </w:tc>
        <w:tc>
          <w:tcPr>
            <w:tcW w:w="1276" w:type="dxa"/>
            <w:tcBorders>
              <w:top w:val="nil"/>
              <w:left w:val="nil"/>
              <w:bottom w:val="single" w:sz="4" w:space="0" w:color="auto"/>
              <w:right w:val="single" w:sz="4" w:space="0" w:color="auto"/>
            </w:tcBorders>
            <w:shd w:val="clear" w:color="auto" w:fill="C6EFCE"/>
            <w:noWrap/>
            <w:hideMark/>
          </w:tcPr>
          <w:p w14:paraId="3B4A97CC"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hideMark/>
          </w:tcPr>
          <w:p w14:paraId="37AE45E6" w14:textId="77777777" w:rsidR="003F46B9" w:rsidRDefault="0065662E">
            <w:pPr>
              <w:pStyle w:val="P68B1DB1-Normal5"/>
              <w:spacing w:after="0" w:line="240" w:lineRule="auto"/>
              <w:jc w:val="both"/>
              <w:rPr>
                <w:rFonts w:eastAsia="Times New Roman" w:cs="Times New Roman"/>
                <w:noProof/>
              </w:rPr>
            </w:pPr>
            <w:r>
              <w:rPr>
                <w:noProof/>
              </w:rPr>
              <w:t>operacionalizacija opreme za kvalitetu zraka, radioaktivnost i nadzor buke</w:t>
            </w:r>
          </w:p>
        </w:tc>
        <w:tc>
          <w:tcPr>
            <w:tcW w:w="1701" w:type="dxa"/>
            <w:tcBorders>
              <w:top w:val="nil"/>
              <w:left w:val="nil"/>
              <w:bottom w:val="single" w:sz="4" w:space="0" w:color="auto"/>
              <w:right w:val="single" w:sz="4" w:space="0" w:color="auto"/>
            </w:tcBorders>
            <w:shd w:val="clear" w:color="auto" w:fill="C6EFCE"/>
            <w:noWrap/>
          </w:tcPr>
          <w:p w14:paraId="33BC6BC3"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E7EDE32" w14:textId="77777777" w:rsidR="003F46B9" w:rsidRDefault="0065662E">
            <w:pPr>
              <w:pStyle w:val="P68B1DB1-Normal5"/>
              <w:spacing w:after="0" w:line="240" w:lineRule="auto"/>
              <w:jc w:val="both"/>
              <w:rPr>
                <w:rFonts w:eastAsia="Times New Roman" w:cs="Times New Roman"/>
                <w:noProof/>
              </w:rPr>
            </w:pPr>
            <w:r>
              <w:rPr>
                <w:noProof/>
              </w:rPr>
              <w:t>Broj</w:t>
            </w:r>
          </w:p>
        </w:tc>
        <w:tc>
          <w:tcPr>
            <w:tcW w:w="1418" w:type="dxa"/>
            <w:tcBorders>
              <w:top w:val="nil"/>
              <w:left w:val="nil"/>
              <w:bottom w:val="single" w:sz="4" w:space="0" w:color="auto"/>
              <w:right w:val="single" w:sz="4" w:space="0" w:color="auto"/>
            </w:tcBorders>
            <w:shd w:val="clear" w:color="auto" w:fill="C6EFCE"/>
            <w:noWrap/>
            <w:hideMark/>
          </w:tcPr>
          <w:p w14:paraId="441F1382"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hideMark/>
          </w:tcPr>
          <w:p w14:paraId="773C38EA" w14:textId="1E498505" w:rsidR="003F46B9" w:rsidRDefault="0065662E">
            <w:pPr>
              <w:pStyle w:val="P68B1DB1-Normal5"/>
              <w:spacing w:after="0" w:line="240" w:lineRule="auto"/>
              <w:jc w:val="both"/>
              <w:rPr>
                <w:rFonts w:eastAsia="Times New Roman" w:cs="Times New Roman"/>
                <w:noProof/>
              </w:rPr>
            </w:pPr>
            <w:r>
              <w:rPr>
                <w:noProof/>
              </w:rPr>
              <w:t>384</w:t>
            </w:r>
          </w:p>
        </w:tc>
        <w:tc>
          <w:tcPr>
            <w:tcW w:w="1134" w:type="dxa"/>
            <w:tcBorders>
              <w:top w:val="single" w:sz="4" w:space="0" w:color="auto"/>
              <w:left w:val="nil"/>
              <w:bottom w:val="single" w:sz="4" w:space="0" w:color="auto"/>
              <w:right w:val="single" w:sz="4" w:space="0" w:color="auto"/>
            </w:tcBorders>
            <w:shd w:val="clear" w:color="auto" w:fill="C6EFCE"/>
            <w:noWrap/>
            <w:hideMark/>
          </w:tcPr>
          <w:p w14:paraId="5C606F4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single" w:sz="4" w:space="0" w:color="auto"/>
              <w:left w:val="nil"/>
              <w:bottom w:val="single" w:sz="4" w:space="0" w:color="auto"/>
              <w:right w:val="single" w:sz="4" w:space="0" w:color="auto"/>
            </w:tcBorders>
            <w:shd w:val="clear" w:color="auto" w:fill="C6EFCE"/>
            <w:noWrap/>
            <w:hideMark/>
          </w:tcPr>
          <w:p w14:paraId="7A99E3CF" w14:textId="77777777" w:rsidR="003F46B9" w:rsidRDefault="0065662E">
            <w:pPr>
              <w:pStyle w:val="P68B1DB1-Normal5"/>
              <w:spacing w:after="0" w:line="240" w:lineRule="auto"/>
              <w:jc w:val="both"/>
              <w:rPr>
                <w:rFonts w:eastAsia="Times New Roman" w:cs="Times New Roman"/>
                <w:noProof/>
              </w:rPr>
            </w:pPr>
            <w:r>
              <w:rPr>
                <w:noProof/>
              </w:rPr>
              <w:t>2025</w:t>
            </w:r>
          </w:p>
        </w:tc>
        <w:tc>
          <w:tcPr>
            <w:tcW w:w="3906" w:type="dxa"/>
            <w:tcBorders>
              <w:top w:val="nil"/>
              <w:left w:val="nil"/>
              <w:bottom w:val="single" w:sz="4" w:space="0" w:color="auto"/>
              <w:right w:val="single" w:sz="4" w:space="0" w:color="auto"/>
            </w:tcBorders>
            <w:shd w:val="clear" w:color="auto" w:fill="C6EFCE"/>
            <w:noWrap/>
          </w:tcPr>
          <w:p w14:paraId="7CC5876A" w14:textId="77777777" w:rsidR="003F46B9" w:rsidRDefault="0065662E">
            <w:pPr>
              <w:pStyle w:val="P68B1DB1-Normal5"/>
              <w:spacing w:after="0" w:line="240" w:lineRule="auto"/>
              <w:jc w:val="both"/>
              <w:rPr>
                <w:rFonts w:cs="Times New Roman"/>
                <w:noProof/>
              </w:rPr>
            </w:pPr>
            <w:r>
              <w:rPr>
                <w:noProof/>
              </w:rPr>
              <w:t xml:space="preserve">Oprema za kvalitetu zraka, radioaktivnost i praćenje buke nabavlja se i stavlja u rad. </w:t>
            </w:r>
          </w:p>
          <w:p w14:paraId="40E8DA3B" w14:textId="01AD8DC0" w:rsidR="003F46B9" w:rsidRDefault="0065662E">
            <w:pPr>
              <w:pStyle w:val="P68B1DB1-Normal5"/>
              <w:spacing w:after="0" w:line="240" w:lineRule="auto"/>
              <w:jc w:val="both"/>
              <w:rPr>
                <w:rFonts w:cs="Times New Roman"/>
                <w:noProof/>
              </w:rPr>
            </w:pPr>
            <w:r>
              <w:rPr>
                <w:noProof/>
              </w:rPr>
              <w:t xml:space="preserve">Oprema mora osigurati prikupljanje, prijenos i pohranu podataka o koncentracijama onečišćujućih tvari u okolišu te omogućiti izvješćivanje o njima. </w:t>
            </w:r>
          </w:p>
          <w:p w14:paraId="4008D27D" w14:textId="0580E50B" w:rsidR="003F46B9" w:rsidRDefault="0065662E">
            <w:pPr>
              <w:pStyle w:val="P68B1DB1-Normal5"/>
              <w:spacing w:after="0" w:line="240" w:lineRule="auto"/>
              <w:jc w:val="both"/>
              <w:rPr>
                <w:rFonts w:cs="Times New Roman"/>
                <w:noProof/>
              </w:rPr>
            </w:pPr>
            <w:r>
              <w:rPr>
                <w:noProof/>
              </w:rPr>
              <w:t>Oprema za praćenje kvalitete zraka kupuje se tek nakon donošenja nacionalnog programa kontrole zraka (dio k</w:t>
            </w:r>
            <w:r>
              <w:rPr>
                <w:noProof/>
              </w:rPr>
              <w:t xml:space="preserve">omponente održivog prometa u nacionalnom planu za oporavak i otpornost, čije se donošenje procjenjuje u lipnju 2022.) na temelju potreba predviđenih programom. </w:t>
            </w:r>
          </w:p>
        </w:tc>
      </w:tr>
    </w:tbl>
    <w:p w14:paraId="1E370554"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72"/>
          <w:headerReference w:type="default" r:id="rId73"/>
          <w:footerReference w:type="even" r:id="rId74"/>
          <w:footerReference w:type="default" r:id="rId75"/>
          <w:headerReference w:type="first" r:id="rId76"/>
          <w:footerReference w:type="first" r:id="rId77"/>
          <w:pgSz w:w="16839" w:h="11907" w:orient="landscape"/>
          <w:pgMar w:top="1417" w:right="1134" w:bottom="1417" w:left="1134" w:header="709" w:footer="709" w:gutter="0"/>
          <w:cols w:space="720"/>
          <w:docGrid w:linePitch="360"/>
        </w:sectPr>
      </w:pPr>
    </w:p>
    <w:p w14:paraId="37108325"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4: Održivi promet</w:t>
      </w:r>
    </w:p>
    <w:p w14:paraId="0F83EB80" w14:textId="77777777" w:rsidR="003F46B9" w:rsidRDefault="0065662E">
      <w:pPr>
        <w:pStyle w:val="P68B1DB1-Normal5"/>
        <w:spacing w:before="100" w:beforeAutospacing="1" w:after="100" w:afterAutospacing="1" w:line="240" w:lineRule="auto"/>
        <w:jc w:val="both"/>
        <w:rPr>
          <w:rFonts w:eastAsia="Times New Roman" w:cs="Times New Roman"/>
          <w:noProof/>
        </w:rPr>
      </w:pPr>
      <w:r>
        <w:rPr>
          <w:noProof/>
        </w:rPr>
        <w:t xml:space="preserve">Ta </w:t>
      </w:r>
      <w:r>
        <w:rPr>
          <w:noProof/>
        </w:rPr>
        <w:t>komponenta plana za oporavak i otpornost usmjerena je na nekoliko izazova povezanih s održivim prometom kako bi se promicala pametna, sigurna i uključiva mobilnost u Rumunjskoj. Trebalo bi ga promatrati u vezi sa sastavnicom 10 „Lokalni fond”, koja uključu</w:t>
      </w:r>
      <w:r>
        <w:rPr>
          <w:noProof/>
        </w:rPr>
        <w:t>je dopunske mjere za održivu mobilnost u gradskim područjima.</w:t>
      </w:r>
    </w:p>
    <w:p w14:paraId="52EE44CC" w14:textId="77777777" w:rsidR="003F46B9" w:rsidRDefault="0065662E">
      <w:pPr>
        <w:pStyle w:val="P68B1DB1-Normal5"/>
        <w:spacing w:before="100" w:beforeAutospacing="1" w:after="100" w:afterAutospacing="1" w:line="240" w:lineRule="auto"/>
        <w:jc w:val="both"/>
        <w:rPr>
          <w:rFonts w:eastAsia="Times New Roman" w:cs="Times New Roman"/>
          <w:noProof/>
        </w:rPr>
      </w:pPr>
      <w:r>
        <w:rPr>
          <w:noProof/>
        </w:rPr>
        <w:t>Cilj je te komponente povećati održivost rumunjskog prometnog sektora podupiranjem njegove zelene i digitalne tranzicije. Reforme kojima se podupiru ulaganja uključuju regulatorne promjene za po</w:t>
      </w:r>
      <w:r>
        <w:rPr>
          <w:noProof/>
        </w:rPr>
        <w:t>ticanje cestovnog prometa s nultom stopom emisija, poboljšanje upravljanja poduzećima u državnom vlasništvu u prometnom sektoru, poboljšanje sigurnosti na cestama, promicanje čistog javnog prijevoza, promicanje modalnog prelaska na željeznice i unutarnje p</w:t>
      </w:r>
      <w:r>
        <w:rPr>
          <w:noProof/>
        </w:rPr>
        <w:t>lovne putove.</w:t>
      </w:r>
    </w:p>
    <w:p w14:paraId="19D221E6" w14:textId="77777777" w:rsidR="003F46B9" w:rsidRDefault="0065662E">
      <w:pPr>
        <w:pStyle w:val="P68B1DB1-Normal5"/>
        <w:spacing w:before="100" w:beforeAutospacing="1" w:after="100" w:afterAutospacing="1" w:line="240" w:lineRule="auto"/>
        <w:jc w:val="both"/>
        <w:rPr>
          <w:rFonts w:eastAsia="Times New Roman" w:cs="Times New Roman"/>
          <w:noProof/>
        </w:rPr>
      </w:pPr>
      <w:r>
        <w:rPr>
          <w:noProof/>
        </w:rPr>
        <w:t>Reformama i ulaganjima pridonosi se ispunjavanju preporuka za Rumunjsku iz 2019. i 2020. o potrebi da: i. „poticanje unaprijed razrađenih projekata javnih ulaganja i promicanje privatnih ulaganja za poticanje gospodarskog oporavka” i „usmjere</w:t>
      </w:r>
      <w:r>
        <w:rPr>
          <w:noProof/>
        </w:rPr>
        <w:t xml:space="preserve"> ulaganja na zelenu i digitalnu tranziciju, posebno na održivi promet” (3. preporuka za pojedinu zemlju iz 2020.), „uzimajući u obzir regionalne razlike” (4. preporuka za pojedinu zemlju, 2019.); ii. „poboljšati pripremu i određivanje prioriteta velikih pr</w:t>
      </w:r>
      <w:r>
        <w:rPr>
          <w:noProof/>
        </w:rPr>
        <w:t>ojekata te ubrzati njihovu provedbu (4. preporuka po državama članicama, 2019.).</w:t>
      </w:r>
    </w:p>
    <w:p w14:paraId="2D6B3B97" w14:textId="77777777" w:rsidR="003F46B9" w:rsidRDefault="0065662E">
      <w:pPr>
        <w:pStyle w:val="P68B1DB1-Normal5"/>
        <w:spacing w:before="100" w:beforeAutospacing="1" w:after="100" w:afterAutospacing="1" w:line="240" w:lineRule="auto"/>
        <w:jc w:val="both"/>
        <w:rPr>
          <w:rFonts w:eastAsia="Times New Roman" w:cs="Times New Roman"/>
          <w:noProof/>
        </w:rPr>
      </w:pPr>
      <w:r>
        <w:rPr>
          <w:noProof/>
        </w:rPr>
        <w:t>Očekuje se da se nijednom mjerom u ovoj komponenti ne nanosi znatna šteta okolišnim ciljevima u smislu članka 17. Uredbe (EU) 2020/852, uzimajući u obzir opis mjera i korake u</w:t>
      </w:r>
      <w:r>
        <w:rPr>
          <w:noProof/>
        </w:rPr>
        <w:t>blažavanja utvrđene u planu za oporavak i otpornost u skladu s Tehničkim smjernicama DNSH-a (2021/C58/01). Ulaganja u cestovnu infrastrukturu usmjerena su na osnovnu mrežu TEN-T, doprinose gospodarskoj i socijalnoj koheziji te su popraćena znatnim reformam</w:t>
      </w:r>
      <w:r>
        <w:rPr>
          <w:noProof/>
        </w:rPr>
        <w:t>a za dekarbonizaciju cestovnog prometa, razvoj infrastrukture za alternativna goriva, poboljšanje sigurnosti na cestama te promicanje čistog javnog prijevoza i promjene načina prijevoza.</w:t>
      </w:r>
    </w:p>
    <w:p w14:paraId="05D9CAD4" w14:textId="77777777" w:rsidR="003F46B9" w:rsidRDefault="0065662E">
      <w:pPr>
        <w:keepNext/>
        <w:spacing w:before="120" w:after="120" w:line="240" w:lineRule="auto"/>
        <w:jc w:val="both"/>
        <w:outlineLvl w:val="1"/>
        <w:rPr>
          <w:rFonts w:ascii="Times New Roman" w:eastAsiaTheme="majorEastAsia" w:hAnsi="Times New Roman" w:cs="Times New Roman"/>
          <w:i/>
          <w:noProof/>
          <w:sz w:val="24"/>
        </w:rPr>
      </w:pPr>
      <w:r>
        <w:rPr>
          <w:rFonts w:ascii="Times New Roman" w:hAnsi="Times New Roman"/>
          <w:b/>
          <w:noProof/>
          <w:sz w:val="24"/>
        </w:rPr>
        <w:t xml:space="preserve">D.1. </w:t>
      </w:r>
      <w:r>
        <w:rPr>
          <w:noProof/>
        </w:rPr>
        <w:tab/>
      </w:r>
      <w:r>
        <w:rPr>
          <w:rFonts w:ascii="Times New Roman" w:hAnsi="Times New Roman"/>
          <w:b/>
          <w:noProof/>
          <w:sz w:val="24"/>
        </w:rPr>
        <w:t>Opis reformi i ulaganja za programe bespovratne financijske pot</w:t>
      </w:r>
      <w:r>
        <w:rPr>
          <w:rFonts w:ascii="Times New Roman" w:hAnsi="Times New Roman"/>
          <w:b/>
          <w:noProof/>
          <w:sz w:val="24"/>
        </w:rPr>
        <w:t>pore</w:t>
      </w:r>
    </w:p>
    <w:p w14:paraId="0F46D89F"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 Održivi promet, dekarbonizacija i sigurnost na cestama</w:t>
      </w:r>
    </w:p>
    <w:p w14:paraId="2BF108AE" w14:textId="77777777" w:rsidR="003F46B9" w:rsidRDefault="0065662E">
      <w:pPr>
        <w:pStyle w:val="P68B1DB1-Normal5"/>
        <w:spacing w:before="120" w:after="120" w:line="240" w:lineRule="auto"/>
        <w:jc w:val="both"/>
        <w:rPr>
          <w:rFonts w:eastAsia="Calibri" w:cs="Times New Roman"/>
          <w:noProof/>
        </w:rPr>
      </w:pPr>
      <w:r>
        <w:rPr>
          <w:noProof/>
        </w:rPr>
        <w:t xml:space="preserve">Reformom se nastoji poduprijeti prijelaz na održivu i pametnu mobilnost razvojem i poboljšanjem strateškog, pravnog i operativnog okvira prometnog sustava u Rumunjskoj. Predložena </w:t>
      </w:r>
      <w:r>
        <w:rPr>
          <w:noProof/>
        </w:rPr>
        <w:t>reforma povezana je s mjerama za održivu gradsku mobilnost uključenima u komponentu „Lokalni fond” kako bi se osigurala komplementarnost i sinergija s mjerama poduzetima na lokalnoj razini.</w:t>
      </w:r>
    </w:p>
    <w:p w14:paraId="58E6C889" w14:textId="77777777" w:rsidR="003F46B9" w:rsidRDefault="0065662E">
      <w:pPr>
        <w:pStyle w:val="P68B1DB1-Normal5"/>
        <w:suppressAutoHyphens/>
        <w:autoSpaceDN w:val="0"/>
        <w:spacing w:after="0"/>
        <w:jc w:val="both"/>
        <w:textAlignment w:val="baseline"/>
        <w:rPr>
          <w:rFonts w:eastAsia="Calibri" w:cs="Times New Roman"/>
          <w:noProof/>
        </w:rPr>
      </w:pPr>
      <w:r>
        <w:rPr>
          <w:noProof/>
        </w:rPr>
        <w:t>Reforma uključuje:</w:t>
      </w:r>
    </w:p>
    <w:p w14:paraId="28A81AFE"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 xml:space="preserve">1.1 Dekarbonizacija cesta u skladu s načelom </w:t>
      </w:r>
      <w:r>
        <w:rPr>
          <w:noProof/>
        </w:rPr>
        <w:t>„onečišćivač plaća”</w:t>
      </w:r>
    </w:p>
    <w:p w14:paraId="54205957" w14:textId="77777777" w:rsidR="003F46B9" w:rsidRDefault="0065662E">
      <w:pPr>
        <w:pStyle w:val="P68B1DB1-Normal5"/>
        <w:spacing w:before="120" w:after="120" w:line="240" w:lineRule="auto"/>
        <w:jc w:val="both"/>
        <w:rPr>
          <w:rFonts w:eastAsia="Calibri" w:cs="Times New Roman"/>
          <w:noProof/>
        </w:rPr>
      </w:pPr>
      <w:r>
        <w:rPr>
          <w:noProof/>
        </w:rPr>
        <w:t xml:space="preserve">Zakonodavnim paketom provodi se novi sustav oporezivanja u skladu s načelom „onečišćivač plaća” i drugim načelima ekološkog oporezivanja. Paket uključuje i. naplatu na temelju </w:t>
      </w:r>
      <w:bookmarkStart w:id="2" w:name="_heading=h.um529hne8n3e"/>
      <w:bookmarkEnd w:id="2"/>
      <w:r>
        <w:rPr>
          <w:noProof/>
        </w:rPr>
        <w:t>udaljenosti za teška teretna vozila (kamioni i druge vrste k</w:t>
      </w:r>
      <w:r>
        <w:rPr>
          <w:noProof/>
        </w:rPr>
        <w:t xml:space="preserve">amiona) i ii. programe </w:t>
      </w:r>
      <w:bookmarkStart w:id="3" w:name="_heading=h.a0s3zsloix7z"/>
      <w:bookmarkEnd w:id="3"/>
      <w:r>
        <w:rPr>
          <w:noProof/>
        </w:rPr>
        <w:t>poticaja za obnovu voznog parka (posebno malih automobila/autobusa/autobusa) putem programa odlaganja, u kombinaciji s mjerama oporezivanja za vlasništvo nad putničkim vozilima koja najviše onečišćuju. Novi sustav naplate primjenjuje</w:t>
      </w:r>
      <w:r>
        <w:rPr>
          <w:noProof/>
        </w:rPr>
        <w:t xml:space="preserve"> se na nediskriminirajući način.</w:t>
      </w:r>
    </w:p>
    <w:p w14:paraId="78103AFD" w14:textId="77777777" w:rsidR="003F46B9" w:rsidRDefault="0065662E">
      <w:pPr>
        <w:pStyle w:val="P68B1DB1-Normal5"/>
        <w:spacing w:before="120" w:after="120" w:line="240" w:lineRule="auto"/>
        <w:jc w:val="both"/>
        <w:rPr>
          <w:rFonts w:eastAsia="Calibri" w:cs="Times New Roman"/>
          <w:noProof/>
        </w:rPr>
      </w:pPr>
      <w:r>
        <w:rPr>
          <w:noProof/>
        </w:rPr>
        <w:t>Ministarstvo prometa i infrastrukture provodi analizu kako bi pobliže odredilo razinu naplate, posebno za teški promet, s posebnim poticajima za električna/hibridna vozila, uključujući laka vozila, vremenski okvir za postup</w:t>
      </w:r>
      <w:r>
        <w:rPr>
          <w:noProof/>
        </w:rPr>
        <w:t>no uvođenje takvih naknada, kategorije vozila koje treba uključiti u sustav naplate cestarine, razinu onečišćenja osobnih vozila, kategorije cesta i razinu pokrivenosti integrirane nacionalne cestovne mreže u Rumunjskoj. Dodatni ostvareni prihodi trebali b</w:t>
      </w:r>
      <w:r>
        <w:rPr>
          <w:noProof/>
        </w:rPr>
        <w:t>i se upotrijebiti za održavanje cestovne mreže i za nova ulaganja u održivi promet.</w:t>
      </w:r>
    </w:p>
    <w:p w14:paraId="21B3FAB1" w14:textId="77777777" w:rsidR="003F46B9" w:rsidRDefault="0065662E">
      <w:pPr>
        <w:pStyle w:val="P68B1DB1-Normal5"/>
        <w:spacing w:before="120" w:after="120" w:line="240" w:lineRule="auto"/>
        <w:jc w:val="both"/>
        <w:rPr>
          <w:rFonts w:eastAsia="Calibri" w:cs="Times New Roman"/>
          <w:noProof/>
        </w:rPr>
      </w:pPr>
      <w:r>
        <w:rPr>
          <w:noProof/>
        </w:rPr>
        <w:t>Reformom se također nastoje premašiti minimalni ciljevi javne nabave za čista javna vozila utvrđeni u Direktivi EU-a o čistim vozilima za najmanje 3 postotna boda.</w:t>
      </w:r>
    </w:p>
    <w:p w14:paraId="10A518AB" w14:textId="77777777" w:rsidR="003F46B9" w:rsidRDefault="0065662E">
      <w:pPr>
        <w:pStyle w:val="P68B1DB1-Normal5"/>
        <w:spacing w:before="120" w:after="120" w:line="240" w:lineRule="auto"/>
        <w:jc w:val="both"/>
        <w:rPr>
          <w:rFonts w:eastAsia="Calibri" w:cs="Times New Roman"/>
          <w:noProof/>
        </w:rPr>
      </w:pPr>
      <w:r>
        <w:rPr>
          <w:noProof/>
        </w:rPr>
        <w:t>Zakonoda</w:t>
      </w:r>
      <w:r>
        <w:rPr>
          <w:noProof/>
        </w:rPr>
        <w:t>vni paket uključuje mjere za poticanje upotrebe vozila s nultim emisijama i programa obnove voznog parka od strane pojedinaca, privatnih poduzeća i javnih institucija, čime se doprinosi povećanju broja vozila s nultim emisijama registriranih u Rumunjskoj z</w:t>
      </w:r>
      <w:r>
        <w:rPr>
          <w:noProof/>
        </w:rPr>
        <w:t>a najmanje 100 % u odnosu na početnu vrijednost 2020. te uništavanju 250000 vozila koja onečišćuju okoliš (EURO 3 ili manje) do 30. lipnja 2026.</w:t>
      </w:r>
    </w:p>
    <w:p w14:paraId="28B00CB9" w14:textId="77777777" w:rsidR="003F46B9" w:rsidRDefault="0065662E">
      <w:pPr>
        <w:pStyle w:val="P68B1DB1-Normal17"/>
        <w:spacing w:before="120" w:after="120" w:line="240" w:lineRule="auto"/>
        <w:jc w:val="both"/>
        <w:rPr>
          <w:rFonts w:ascii="Times New Roman" w:eastAsia="Calibri" w:hAnsi="Times New Roman" w:cs="Times New Roman"/>
          <w:noProof/>
        </w:rPr>
      </w:pPr>
      <w:r>
        <w:rPr>
          <w:rFonts w:ascii="Times New Roman" w:hAnsi="Times New Roman"/>
          <w:noProof/>
        </w:rPr>
        <w:t>Nacionalni program kontrole onečišćenja zraka (NAPCP) važan je element koji doprinosi održivosti prometa, poseb</w:t>
      </w:r>
      <w:r>
        <w:rPr>
          <w:rFonts w:ascii="Times New Roman" w:hAnsi="Times New Roman"/>
          <w:noProof/>
        </w:rPr>
        <w:t>no u pogledu smanjenja onečišćenja zraka u urbanim područjima i na nacionalnoj razini, koji je trebao biti podnesen Komisiji do travnja 2019. u skladu s Direktivom (EU) 2016/2284 i za koji su rumunjska tijela navela da će biti odobren do 30. lipnja 2022</w:t>
      </w:r>
      <w:bookmarkStart w:id="4" w:name="_Ref82526087"/>
      <w:r>
        <w:rPr>
          <w:rFonts w:ascii="Times New Roman" w:eastAsia="Calibri" w:hAnsi="Times New Roman" w:cs="Times New Roman"/>
          <w:noProof/>
        </w:rPr>
        <w:footnoteReference w:id="2"/>
      </w:r>
      <w:bookmarkEnd w:id="4"/>
      <w:r>
        <w:rPr>
          <w:rFonts w:ascii="Times New Roman" w:hAnsi="Times New Roman"/>
          <w:noProof/>
        </w:rPr>
        <w:t>.</w:t>
      </w:r>
    </w:p>
    <w:p w14:paraId="04E4DC51" w14:textId="77777777" w:rsidR="003F46B9" w:rsidRDefault="0065662E">
      <w:pPr>
        <w:pStyle w:val="P68B1DB1-Normal5"/>
        <w:spacing w:before="120" w:after="120" w:line="240" w:lineRule="auto"/>
        <w:jc w:val="both"/>
        <w:rPr>
          <w:rFonts w:eastAsia="Calibri" w:cs="Times New Roman"/>
          <w:noProof/>
        </w:rPr>
      </w:pPr>
      <w:r>
        <w:rPr>
          <w:noProof/>
        </w:rPr>
        <w:t>Zakonodavni paket koji je odobrio rumunjski parlament stupa na snagu do 30. lipnja 2024., a potpuna operacionalizacija sustava naplate naknada do 30. lipnja 2026.</w:t>
      </w:r>
    </w:p>
    <w:p w14:paraId="5AE4D15D"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1.2. Infrastruktura za alternativna goriva</w:t>
      </w:r>
    </w:p>
    <w:p w14:paraId="1740B0A2" w14:textId="158FD7B0" w:rsidR="003F46B9" w:rsidRDefault="0065662E">
      <w:pPr>
        <w:pStyle w:val="P68B1DB1-Normal5"/>
        <w:spacing w:before="120" w:after="120" w:line="240" w:lineRule="auto"/>
        <w:jc w:val="both"/>
        <w:rPr>
          <w:rFonts w:eastAsia="Calibri" w:cs="Times New Roman"/>
          <w:noProof/>
        </w:rPr>
      </w:pPr>
      <w:r>
        <w:rPr>
          <w:noProof/>
        </w:rPr>
        <w:t>Cilj je te reforme razviti infrastrukturu za alter</w:t>
      </w:r>
      <w:r>
        <w:rPr>
          <w:noProof/>
        </w:rPr>
        <w:t xml:space="preserve">nativna goriva za cestovna vozila, a posebno će se postaviti dodatne stanice za punjenje električnom energijom kako bi se do 30. lipnja 2026. doseglo najmanje 22415 mjesta za punjenje. </w:t>
      </w:r>
    </w:p>
    <w:p w14:paraId="27C4F425" w14:textId="61525D12" w:rsidR="003F46B9" w:rsidRDefault="0065662E">
      <w:pPr>
        <w:pStyle w:val="P68B1DB1-Normal5"/>
        <w:spacing w:before="120" w:after="120" w:line="240" w:lineRule="auto"/>
        <w:jc w:val="both"/>
        <w:rPr>
          <w:rFonts w:eastAsia="Calibri" w:cs="Times New Roman"/>
          <w:noProof/>
        </w:rPr>
      </w:pPr>
      <w:r>
        <w:rPr>
          <w:noProof/>
        </w:rPr>
        <w:t>Ulaganje koje se podupire Mehanizmom za oporavak i otpornost sastoji s</w:t>
      </w:r>
      <w:r>
        <w:rPr>
          <w:noProof/>
        </w:rPr>
        <w:t xml:space="preserve">e od financiranja najmanje 7683 mjesta za punjenje električnom energijom, od čega su 6600 mjesta za punjenje visoke snage (koje omogućuju prijenos električne energije na električno vozilo snage veće od 22 kW), a 1083 mjesta su za punjenje male snage (koje </w:t>
      </w:r>
      <w:r>
        <w:rPr>
          <w:noProof/>
        </w:rPr>
        <w:t>omogućuju prijenos električne energije na električno vozilo snage manje ili jednake 22 kW, isključujući uređaje snage manje od ili jednake 3,7 kW).</w:t>
      </w:r>
    </w:p>
    <w:p w14:paraId="49D6F93F" w14:textId="5C332102" w:rsidR="003F46B9" w:rsidRDefault="0065662E">
      <w:pPr>
        <w:pStyle w:val="P68B1DB1-Normal5"/>
        <w:spacing w:before="120" w:after="120" w:line="240" w:lineRule="auto"/>
        <w:jc w:val="both"/>
        <w:rPr>
          <w:rFonts w:eastAsia="Calibri" w:cs="Times New Roman"/>
          <w:noProof/>
        </w:rPr>
      </w:pPr>
      <w:r>
        <w:rPr>
          <w:noProof/>
        </w:rPr>
        <w:t xml:space="preserve">Kad je riječ o javnoj pristupačnosti, 5600 mjesta za punjenje električnom energijom uključenih u komponentu </w:t>
      </w:r>
      <w:r>
        <w:rPr>
          <w:noProof/>
        </w:rPr>
        <w:t>lokalnog fonda javno je dostupno, u skladu s člankom 2. točkom 7. Direktive 2014/94/EU, a 2083 mjesta (83 mjesta u komponenti lokalnog fonda i 2000 mjesta u komponenti Val obnove) su polujavna/privatna mjesta za punjenje.</w:t>
      </w:r>
    </w:p>
    <w:p w14:paraId="5724BC81" w14:textId="77777777" w:rsidR="003F46B9" w:rsidRDefault="0065662E">
      <w:pPr>
        <w:pStyle w:val="P68B1DB1-Normal5"/>
        <w:spacing w:before="120" w:after="120" w:line="240" w:lineRule="auto"/>
        <w:jc w:val="both"/>
        <w:rPr>
          <w:rFonts w:eastAsia="Calibri" w:cs="Times New Roman"/>
          <w:noProof/>
        </w:rPr>
      </w:pPr>
      <w:r>
        <w:rPr>
          <w:noProof/>
        </w:rPr>
        <w:t>Provedba reforme mora biti dovršen</w:t>
      </w:r>
      <w:r>
        <w:rPr>
          <w:noProof/>
        </w:rPr>
        <w:t>a do 30. lipnja 2026.</w:t>
      </w:r>
    </w:p>
    <w:p w14:paraId="376079CE"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 xml:space="preserve">1.3. Sigurnost na cestama </w:t>
      </w:r>
    </w:p>
    <w:p w14:paraId="0B2D9E9E" w14:textId="77777777" w:rsidR="003F46B9" w:rsidRDefault="0065662E">
      <w:pPr>
        <w:pStyle w:val="P68B1DB1-Normal5"/>
        <w:spacing w:before="120" w:after="120" w:line="240" w:lineRule="auto"/>
        <w:jc w:val="both"/>
        <w:rPr>
          <w:rFonts w:eastAsia="Calibri" w:cs="Times New Roman"/>
          <w:noProof/>
        </w:rPr>
      </w:pPr>
      <w:r>
        <w:rPr>
          <w:noProof/>
        </w:rPr>
        <w:t>Reforma se sastoji od nacionalne strategije za sigurnost cestovnog prometa koja uključuje sljedeće nove mjere:</w:t>
      </w:r>
    </w:p>
    <w:p w14:paraId="702AD183" w14:textId="77777777" w:rsidR="003F46B9" w:rsidRDefault="0065662E">
      <w:pPr>
        <w:pStyle w:val="P68B1DB1-Normal5"/>
        <w:spacing w:before="120" w:after="120" w:line="240" w:lineRule="auto"/>
        <w:jc w:val="both"/>
        <w:rPr>
          <w:rFonts w:eastAsia="Calibri" w:cs="Times New Roman"/>
          <w:noProof/>
        </w:rPr>
      </w:pPr>
      <w:r>
        <w:rPr>
          <w:noProof/>
        </w:rPr>
        <w:t xml:space="preserve">1. Sigurnosna inspekcija: optimizira se tehnička procjena za utvrđivanje sigurnosti na cestama; </w:t>
      </w:r>
      <w:r>
        <w:rPr>
          <w:noProof/>
        </w:rPr>
        <w:t>provedba i razvoj rada tehničkog stručnog znanja o motornim vozilima; uspostavljanje istraživačkih i stručnih laboratorija koji obuhvaćaju metodologije za praćenje, pregled i ispitivanje vozila tijekom njihova životnog vijeka;</w:t>
      </w:r>
    </w:p>
    <w:p w14:paraId="35B47EAF" w14:textId="77777777" w:rsidR="003F46B9" w:rsidRDefault="0065662E">
      <w:pPr>
        <w:pStyle w:val="P68B1DB1-Normal5"/>
        <w:spacing w:before="120" w:after="120" w:line="240" w:lineRule="auto"/>
        <w:jc w:val="both"/>
        <w:rPr>
          <w:rFonts w:eastAsia="Calibri" w:cs="Times New Roman"/>
          <w:noProof/>
        </w:rPr>
      </w:pPr>
      <w:r>
        <w:rPr>
          <w:noProof/>
        </w:rPr>
        <w:t>2. Razvoj baza podataka o zna</w:t>
      </w:r>
      <w:r>
        <w:rPr>
          <w:noProof/>
        </w:rPr>
        <w:t>čajkama sigurnosti na cestama na stanicama za ispitivanje i jedinicama za popravak vozila; razvoj metodologije za prikupljanje podataka i primarne baze podataka za analizu ključnih pokazatelja uspješnosti u području sigurnosti na cestama;</w:t>
      </w:r>
    </w:p>
    <w:p w14:paraId="686CCF39" w14:textId="77777777" w:rsidR="003F46B9" w:rsidRDefault="0065662E">
      <w:pPr>
        <w:pStyle w:val="P68B1DB1-Normal5"/>
        <w:spacing w:before="120" w:after="120" w:line="240" w:lineRule="auto"/>
        <w:jc w:val="both"/>
        <w:rPr>
          <w:rFonts w:eastAsia="Calibri" w:cs="Times New Roman"/>
          <w:noProof/>
        </w:rPr>
      </w:pPr>
      <w:r>
        <w:rPr>
          <w:noProof/>
        </w:rPr>
        <w:t>3. Uvođenje strož</w:t>
      </w:r>
      <w:r>
        <w:rPr>
          <w:noProof/>
        </w:rPr>
        <w:t>ih ograničenja brzine na opasnim dijelovima i povećanje izvršenja kazni za prekršaje;</w:t>
      </w:r>
    </w:p>
    <w:p w14:paraId="31569AC5" w14:textId="77777777" w:rsidR="003F46B9" w:rsidRDefault="0065662E">
      <w:pPr>
        <w:pStyle w:val="P68B1DB1-Normal5"/>
        <w:spacing w:before="120" w:after="120" w:line="240" w:lineRule="auto"/>
        <w:jc w:val="both"/>
        <w:rPr>
          <w:rFonts w:eastAsia="Calibri" w:cs="Times New Roman"/>
          <w:noProof/>
        </w:rPr>
      </w:pPr>
      <w:r>
        <w:rPr>
          <w:noProof/>
        </w:rPr>
        <w:t xml:space="preserve">4. Strategija za uklanjanje crnih točaka (žarišnih točaka) na mreži nacionalnih cesta i autocesta. Do 2030. uklonit će se 267 sigurnosnih crnih točaka (žarišnih točaka), </w:t>
      </w:r>
      <w:r>
        <w:rPr>
          <w:noProof/>
        </w:rPr>
        <w:t>od čega 129 podržano planom do 30. lipnja 2026.</w:t>
      </w:r>
    </w:p>
    <w:p w14:paraId="627C41F8" w14:textId="77777777" w:rsidR="003F46B9" w:rsidRDefault="0065662E">
      <w:pPr>
        <w:pStyle w:val="P68B1DB1-Normal5"/>
        <w:spacing w:before="120" w:after="120" w:line="240" w:lineRule="auto"/>
        <w:jc w:val="both"/>
        <w:rPr>
          <w:rFonts w:eastAsia="Calibri" w:cs="Times New Roman"/>
          <w:noProof/>
        </w:rPr>
      </w:pPr>
      <w:r>
        <w:rPr>
          <w:noProof/>
        </w:rPr>
        <w:t>Ta se reforma provodi sekundarnim zakonodavstvom i povezanim stupanjem na snagu provedbenih mjera. Te su mjere dopuna mjerama za sigurnost na cestama u gradskim područjima uključenima u komponentu „Lokalni fo</w:t>
      </w:r>
      <w:r>
        <w:rPr>
          <w:noProof/>
        </w:rPr>
        <w:t>nd”.</w:t>
      </w:r>
    </w:p>
    <w:p w14:paraId="53FBAF18" w14:textId="77777777" w:rsidR="003F46B9" w:rsidRDefault="0065662E">
      <w:pPr>
        <w:pStyle w:val="P68B1DB1-Normal5"/>
        <w:spacing w:before="120" w:after="120" w:line="240" w:lineRule="auto"/>
        <w:jc w:val="both"/>
        <w:rPr>
          <w:rFonts w:eastAsia="Calibri" w:cs="Times New Roman"/>
          <w:noProof/>
        </w:rPr>
      </w:pPr>
      <w:r>
        <w:rPr>
          <w:noProof/>
        </w:rPr>
        <w:t>Provedba reforme mora biti dovršena do 31. prosinca 2022.</w:t>
      </w:r>
    </w:p>
    <w:p w14:paraId="79790A0D"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1.4 Strategija i zakonodavni paket za inteligentne prometne sustave (ITS)</w:t>
      </w:r>
    </w:p>
    <w:p w14:paraId="338388DD" w14:textId="77777777" w:rsidR="003F46B9" w:rsidRDefault="0065662E">
      <w:pPr>
        <w:pStyle w:val="P68B1DB1-Normal5"/>
        <w:spacing w:before="120" w:after="120" w:line="240" w:lineRule="auto"/>
        <w:jc w:val="both"/>
        <w:rPr>
          <w:rFonts w:eastAsia="Calibri" w:cs="Times New Roman"/>
          <w:noProof/>
        </w:rPr>
      </w:pPr>
      <w:r>
        <w:rPr>
          <w:noProof/>
        </w:rPr>
        <w:t>Cilj je te reforme razviti inteligentni prometni sustav kako bi se povećala učinkovitost i sigurnost prometa zahvaljuju</w:t>
      </w:r>
      <w:r>
        <w:rPr>
          <w:noProof/>
        </w:rPr>
        <w:t>ći digitalizaciji prometnih informacija.</w:t>
      </w:r>
    </w:p>
    <w:p w14:paraId="58264EBD" w14:textId="77777777" w:rsidR="003F46B9" w:rsidRDefault="0065662E">
      <w:pPr>
        <w:pStyle w:val="P68B1DB1-Normal5"/>
        <w:spacing w:before="120" w:after="120" w:line="240" w:lineRule="auto"/>
        <w:jc w:val="both"/>
        <w:rPr>
          <w:rFonts w:eastAsia="Calibri" w:cs="Times New Roman"/>
          <w:noProof/>
        </w:rPr>
      </w:pPr>
      <w:r>
        <w:rPr>
          <w:noProof/>
        </w:rPr>
        <w:t>Reforma se provodi izradom strateškog dokumenta za inteligentne prometne sustave (ITS) koji odobrava rumunjska vlada. Strategija ITS-a razvija se zajedno s intermodalnim prometnim politikama kako bi se zadovoljile p</w:t>
      </w:r>
      <w:r>
        <w:rPr>
          <w:noProof/>
        </w:rPr>
        <w:t xml:space="preserve">otrebe za učinkovitim radom u multimodalnim čvorovima. </w:t>
      </w:r>
    </w:p>
    <w:p w14:paraId="50A79B4D" w14:textId="77777777" w:rsidR="003F46B9" w:rsidRDefault="0065662E">
      <w:pPr>
        <w:pStyle w:val="P68B1DB1-Normal5"/>
        <w:spacing w:before="120" w:after="120" w:line="240" w:lineRule="auto"/>
        <w:jc w:val="both"/>
        <w:rPr>
          <w:rFonts w:eastAsia="Calibri" w:cs="Times New Roman"/>
          <w:noProof/>
        </w:rPr>
      </w:pPr>
      <w:r>
        <w:rPr>
          <w:noProof/>
        </w:rPr>
        <w:t>Provedba reforme mora biti dovršena do 30. lipnja 2022.</w:t>
      </w:r>
    </w:p>
    <w:p w14:paraId="48FDAF5D"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1,5 Razvoj željezničke infrastrukture i upravljanje željezničkim prometom</w:t>
      </w:r>
    </w:p>
    <w:p w14:paraId="473D6D2F" w14:textId="77777777" w:rsidR="003F46B9" w:rsidRDefault="0065662E">
      <w:pPr>
        <w:pStyle w:val="P68B1DB1-Normal5"/>
        <w:spacing w:before="120" w:after="120" w:line="240" w:lineRule="auto"/>
        <w:jc w:val="both"/>
        <w:rPr>
          <w:rFonts w:eastAsia="Calibri" w:cs="Times New Roman"/>
          <w:noProof/>
        </w:rPr>
      </w:pPr>
      <w:r>
        <w:rPr>
          <w:noProof/>
        </w:rPr>
        <w:t xml:space="preserve">Cilj je te reforme ojačati učinkovitost i konkurentnost željeznica u Rumunjskoj. </w:t>
      </w:r>
    </w:p>
    <w:p w14:paraId="1A927B38" w14:textId="77777777" w:rsidR="003F46B9" w:rsidRDefault="0065662E">
      <w:pPr>
        <w:pStyle w:val="P68B1DB1-Normal5"/>
        <w:spacing w:before="120" w:after="120" w:line="240" w:lineRule="auto"/>
        <w:jc w:val="both"/>
        <w:rPr>
          <w:rFonts w:eastAsia="Calibri" w:cs="Times New Roman"/>
          <w:noProof/>
        </w:rPr>
      </w:pPr>
      <w:r>
        <w:rPr>
          <w:noProof/>
        </w:rPr>
        <w:t>Strategija uključuje ciljeve modernizacije i razvoja potrebne za ispunjavanje trenutačnih i budućih potreba za mobilnošću ljudi i robe, kao i utvrđene zahtjeve za povećanje k</w:t>
      </w:r>
      <w:r>
        <w:rPr>
          <w:noProof/>
        </w:rPr>
        <w:t>onkurentnosti željezničkog prijevoza. Istodobno se planiraju mjere za modernizaciju rada željezničke infrastrukture kako bi se povećala učinkovitost željezničkog prometa i kako bi se njegov rad učinio učinkovitijim kako bi se ograničili troškovi željezničk</w:t>
      </w:r>
      <w:r>
        <w:rPr>
          <w:noProof/>
        </w:rPr>
        <w:t>og prijevoza.</w:t>
      </w:r>
    </w:p>
    <w:p w14:paraId="008DD057" w14:textId="77777777" w:rsidR="003F46B9" w:rsidRDefault="0065662E">
      <w:pPr>
        <w:pStyle w:val="P68B1DB1-Normal5"/>
        <w:spacing w:before="120" w:after="120" w:line="240" w:lineRule="auto"/>
        <w:jc w:val="both"/>
        <w:rPr>
          <w:rFonts w:eastAsia="Calibri" w:cs="Times New Roman"/>
          <w:noProof/>
        </w:rPr>
      </w:pPr>
      <w:r>
        <w:rPr>
          <w:noProof/>
        </w:rPr>
        <w:t>Reforma uključuje „Strategiju za razvoj željezničke infrastrukture za razdoblje 2021. – 2025.”, odobrenu krajem 2020. To uključuje sve održavanje, popravke i obnove potrebne za obnovu postojeće infrastrukture i njezino održavanje s parametrim</w:t>
      </w:r>
      <w:r>
        <w:rPr>
          <w:noProof/>
        </w:rPr>
        <w:t xml:space="preserve">a učinkovitosti potrebnima za potporu konkurentnom željezničkom prijevozu na nacionalnoj razini. </w:t>
      </w:r>
    </w:p>
    <w:p w14:paraId="5B7E4789" w14:textId="77777777" w:rsidR="003F46B9" w:rsidRDefault="0065662E">
      <w:pPr>
        <w:pStyle w:val="P68B1DB1-Normal5"/>
        <w:spacing w:before="120" w:after="120" w:line="240" w:lineRule="auto"/>
        <w:jc w:val="both"/>
        <w:rPr>
          <w:rFonts w:eastAsia="Calibri" w:cs="Times New Roman"/>
          <w:noProof/>
        </w:rPr>
      </w:pPr>
      <w:r>
        <w:rPr>
          <w:noProof/>
        </w:rPr>
        <w:t>Mjera uključuje Plan ulaganja za razdoblje 2020. – 2030., u kojem se prednost daje ulaganjima u željeznicu u provedbi mreže TEN-T i Europskog sustava upravlja</w:t>
      </w:r>
      <w:r>
        <w:rPr>
          <w:noProof/>
        </w:rPr>
        <w:t>nja željezničkim prometom (ERTMS), s mehanizmom s jasnim pokazateljima i kriterijima za davanje prednosti ulaganjima u željezničku infrastrukturu, kao i institucionalnim aranžmanima potrebnima za provedbu tog mehanizma i pripremu projekata ulaganja.</w:t>
      </w:r>
    </w:p>
    <w:p w14:paraId="168B39E0" w14:textId="77777777" w:rsidR="003F46B9" w:rsidRDefault="0065662E">
      <w:pPr>
        <w:pStyle w:val="P68B1DB1-Normal5"/>
        <w:spacing w:before="120" w:after="120" w:line="240" w:lineRule="auto"/>
        <w:jc w:val="both"/>
        <w:rPr>
          <w:rFonts w:eastAsia="Calibri" w:cs="Times New Roman"/>
          <w:noProof/>
        </w:rPr>
      </w:pPr>
      <w:r>
        <w:rPr>
          <w:noProof/>
        </w:rPr>
        <w:t xml:space="preserve">Mjera </w:t>
      </w:r>
      <w:r>
        <w:rPr>
          <w:noProof/>
        </w:rPr>
        <w:t>uključuje i strategiju i akcijski plan za uvođenje ERTMS-a u razdoblju 2025. – 2030., uključujući: jasne mjere za uvođenje i certifikaciju ERTMS-a za osnovnu mrežu TEN-T u srednjoročnom i dugoročnom razdoblju (fondovi 2030.); odgovorni subjekti; projekcije</w:t>
      </w:r>
      <w:r>
        <w:rPr>
          <w:noProof/>
        </w:rPr>
        <w:t xml:space="preserve"> proračuna; mjere administrativnog kapaciteta na nacionalnoj razini kako bi nadležna tijela u potpunosti upravljala postupkom certificiranja za sve sektore koji se razmatraju tijekom njihove izgradnje kako bi se osigurala potpuna operacionalizacija.</w:t>
      </w:r>
    </w:p>
    <w:p w14:paraId="763802EA" w14:textId="77777777" w:rsidR="003F46B9" w:rsidRDefault="0065662E">
      <w:pPr>
        <w:pStyle w:val="P68B1DB1-Normal5"/>
        <w:spacing w:before="120" w:after="120" w:line="240" w:lineRule="auto"/>
        <w:jc w:val="both"/>
        <w:rPr>
          <w:rFonts w:eastAsia="Calibri" w:cs="Times New Roman"/>
          <w:noProof/>
        </w:rPr>
      </w:pPr>
      <w:r>
        <w:rPr>
          <w:noProof/>
        </w:rPr>
        <w:t>Proved</w:t>
      </w:r>
      <w:r>
        <w:rPr>
          <w:noProof/>
        </w:rPr>
        <w:t>ba reforme mora biti dovršena do 31. prosinca 2025.</w:t>
      </w:r>
    </w:p>
    <w:p w14:paraId="5DD4C238" w14:textId="77777777" w:rsidR="003F46B9" w:rsidRDefault="0065662E">
      <w:pPr>
        <w:pStyle w:val="P68B1DB1-Normal16"/>
        <w:suppressAutoHyphens/>
        <w:autoSpaceDN w:val="0"/>
        <w:spacing w:before="240" w:after="0"/>
        <w:jc w:val="both"/>
        <w:textAlignment w:val="baseline"/>
        <w:rPr>
          <w:rFonts w:eastAsia="NSimSun" w:cs="Times New Roman"/>
          <w:noProof/>
          <w:kern w:val="3"/>
        </w:rPr>
      </w:pPr>
      <w:r>
        <w:rPr>
          <w:noProof/>
        </w:rPr>
        <w:t>1.6. Pomorska strategija i integracija s drugim vrstama prijevoza</w:t>
      </w:r>
    </w:p>
    <w:p w14:paraId="462BB7E2" w14:textId="77777777" w:rsidR="003F46B9" w:rsidRDefault="0065662E">
      <w:pPr>
        <w:pStyle w:val="P68B1DB1-Normal5"/>
        <w:spacing w:before="120" w:after="120" w:line="240" w:lineRule="auto"/>
        <w:jc w:val="both"/>
        <w:rPr>
          <w:rFonts w:eastAsia="Calibri" w:cs="Times New Roman"/>
          <w:noProof/>
        </w:rPr>
      </w:pPr>
      <w:r>
        <w:rPr>
          <w:noProof/>
        </w:rPr>
        <w:t xml:space="preserve">Cilj je te reforme daljnji razvoj vodnog prometa (unutarnjih plovnih putova i luka) u Rumunjskoj, u skladu sa Strategijom EU-a za održivu </w:t>
      </w:r>
      <w:r>
        <w:rPr>
          <w:noProof/>
        </w:rPr>
        <w:t>i pametnu mobilnost.</w:t>
      </w:r>
    </w:p>
    <w:p w14:paraId="163A3544" w14:textId="77777777" w:rsidR="003F46B9" w:rsidRDefault="0065662E">
      <w:pPr>
        <w:pStyle w:val="P68B1DB1-Normal5"/>
        <w:spacing w:before="120" w:after="120" w:line="240" w:lineRule="auto"/>
        <w:jc w:val="both"/>
        <w:rPr>
          <w:rFonts w:eastAsia="Calibri" w:cs="Times New Roman"/>
          <w:noProof/>
        </w:rPr>
      </w:pPr>
      <w:r>
        <w:rPr>
          <w:noProof/>
        </w:rPr>
        <w:t>Mjera uključuje donošenje strategije pomorskog prometa i planiranje interventnih mjera za razvoj sektora, integriranih s drugim vrstama prijevoza, kao i izradu i odobravanje akcijskog plana za provedbu strategije.</w:t>
      </w:r>
    </w:p>
    <w:p w14:paraId="521A3536" w14:textId="77777777" w:rsidR="003F46B9" w:rsidRDefault="0065662E">
      <w:pPr>
        <w:pStyle w:val="P68B1DB1-Normal5"/>
        <w:spacing w:before="120" w:after="120" w:line="240" w:lineRule="auto"/>
        <w:jc w:val="both"/>
        <w:rPr>
          <w:rFonts w:eastAsia="Calibri" w:cs="Times New Roman"/>
          <w:noProof/>
        </w:rPr>
      </w:pPr>
      <w:r>
        <w:rPr>
          <w:noProof/>
        </w:rPr>
        <w:t>Provodi se analiza tr</w:t>
      </w:r>
      <w:r>
        <w:rPr>
          <w:noProof/>
        </w:rPr>
        <w:t>enutačnog stanja rumunjskih plovnih putova (unutarnjih i pomorskih) i trenutačne situacije u rumunjskim lukama u pogledu infrastrukture, s naglaskom na tome kako poboljšati ekološku učinkovitost brodova i luka, uzimajući u obzir zahtjeve na razini EU-a kao</w:t>
      </w:r>
      <w:r>
        <w:rPr>
          <w:noProof/>
        </w:rPr>
        <w:t xml:space="preserve"> što je Direktiva 2014/94/EU o uspostavi infrastrukture za alternativna goriva. U strategiji bi trebalo razmotriti mjere za ekologizaciju svih lučkih djelatnosti (emisije, buka, onečišćenje). Kako bi se na održiv način promicala plovnost Dunava, razvija se</w:t>
      </w:r>
      <w:r>
        <w:rPr>
          <w:noProof/>
        </w:rPr>
        <w:t xml:space="preserve"> pristup kojim se kombiniraju održiva infrastruktura, alternativna goriva i digitalizacija, uzimajući u obzir ekološku osjetljivost Dunava. Predlažu se izmjene pravnog i institucionalnog okvira za upravljanje vodnom infrastrukturom s ciljevima: integriranj</w:t>
      </w:r>
      <w:r>
        <w:rPr>
          <w:noProof/>
        </w:rPr>
        <w:t>e vodnog prometa s drugim vrstama prijevoza, smanjenje utjecaja luka (pomorske i unutarnje plovidbe) na okoliš, izrada planova za razvoj intermodalnih luka i povećanje prijevoza tereta na Dunavu za 15 % do 2026. na održiv način.</w:t>
      </w:r>
    </w:p>
    <w:p w14:paraId="52784BB5" w14:textId="77777777" w:rsidR="003F46B9" w:rsidRDefault="0065662E">
      <w:pPr>
        <w:pStyle w:val="P68B1DB1-Normal5"/>
        <w:spacing w:before="120" w:after="120" w:line="240" w:lineRule="auto"/>
        <w:jc w:val="both"/>
        <w:rPr>
          <w:rFonts w:eastAsia="Calibri" w:cs="Times New Roman"/>
          <w:noProof/>
        </w:rPr>
      </w:pPr>
      <w:r>
        <w:rPr>
          <w:noProof/>
        </w:rPr>
        <w:t xml:space="preserve">Provedba reforme mora biti </w:t>
      </w:r>
      <w:r>
        <w:rPr>
          <w:noProof/>
        </w:rPr>
        <w:t>dovršena do 30. lipnja 2023.</w:t>
      </w:r>
    </w:p>
    <w:p w14:paraId="6BFD389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Modernizacija i obnova željezničke infrastrukture</w:t>
      </w:r>
    </w:p>
    <w:p w14:paraId="6C70F0E3" w14:textId="48BDE99E" w:rsidR="003F46B9" w:rsidRDefault="0065662E">
      <w:pPr>
        <w:pStyle w:val="P68B1DB1-Normal5"/>
        <w:spacing w:before="120" w:after="120" w:line="240" w:lineRule="auto"/>
        <w:jc w:val="both"/>
        <w:rPr>
          <w:rFonts w:eastAsia="Calibri" w:cs="Times New Roman"/>
          <w:noProof/>
        </w:rPr>
      </w:pPr>
      <w:r>
        <w:rPr>
          <w:noProof/>
        </w:rPr>
        <w:t>Cilj je ovog ulaganja „modernizirati” željezničke pruge (uključujući zamjenu tračnica, prag, supstrat, elektrifikaciju, konsolidaciju/izgradnju mostova/mostova, razi</w:t>
      </w:r>
      <w:r>
        <w:rPr>
          <w:noProof/>
        </w:rPr>
        <w:t>nu 2. ERTMS-a) u skladu sa standardima TEN-T-a i „obnova” (zamjena željeznice, poprečnog, lomljenog kamena, čime se pruga dovodi do konstruktivne brzine) i elektrificirati određene dionice željezničkih pruga. Osim toga, predviđeno je jedanaest ulaganja s b</w:t>
      </w:r>
      <w:r>
        <w:rPr>
          <w:noProof/>
        </w:rPr>
        <w:t>rzim pobjedom kako bi se uklonila ograničenja brzine željeznica, povećala brzina vlaka i povećala sigurnost željeznice. Projekti „brze dobiti” provode se kako bi se osigurala održivost željezničkog prometa duž koridora TEN-T do njihove nadogradnje. Ulaganj</w:t>
      </w:r>
      <w:r>
        <w:rPr>
          <w:noProof/>
        </w:rPr>
        <w:t>em se osigurava ukupno 315 km moderniziranih željezničkih pruga s povećanjem kapaciteta od 30 % i ugrađenim sustavom ERTMS 2; 2 426 km (2 163 km projekata s jednom prugom „brza osvoji” + 263 km obnove pruga) obnovljenih željeznica s povećanom brzinom od 15</w:t>
      </w:r>
      <w:r>
        <w:rPr>
          <w:noProof/>
        </w:rPr>
        <w:t> % (čime se postiže prosječna brzina od najmanje 100 km/h).</w:t>
      </w:r>
    </w:p>
    <w:p w14:paraId="43D6345E" w14:textId="77777777" w:rsidR="003F46B9" w:rsidRDefault="0065662E">
      <w:pPr>
        <w:pStyle w:val="P68B1DB1-Normal5"/>
        <w:spacing w:before="120" w:after="120" w:line="240" w:lineRule="auto"/>
        <w:jc w:val="both"/>
        <w:rPr>
          <w:rFonts w:eastAsia="Calibri" w:cs="Times New Roman"/>
          <w:noProof/>
        </w:rPr>
      </w:pPr>
      <w:r>
        <w:rPr>
          <w:noProof/>
        </w:rPr>
        <w:t>Ulaganje uključuje i portfelj od 17 projekata elektroničke centralizacije koji će se provesti u okviru nacionalnog plana za oporavak i otpornost, a koji imaju uravnoteženu prostornu raspodjelu u R</w:t>
      </w:r>
      <w:r>
        <w:rPr>
          <w:noProof/>
        </w:rPr>
        <w:t xml:space="preserve">umunjskoj i predstavljaju stvarne željezničke dionice na kojima se opskrbljuju koridori mreže TEN-T. 17 projekata elektroničke centralizacije rješava probleme povezane s kapacitetom za 111 željezničkih postaja ukupne duljine veće od 973 km. Kao posljedica </w:t>
      </w:r>
      <w:r>
        <w:rPr>
          <w:noProof/>
        </w:rPr>
        <w:t>toga, procjenjuje se da će se količina prometa povećati za 10 – 15 %. Osim toga, predloženim projektima elektroničke centralizacije uklanjaju se uska grla cesta s željezničko-cestovnih prijelaza znatnim skraćivanjem vremena čekanja.</w:t>
      </w:r>
    </w:p>
    <w:p w14:paraId="0BA3D664" w14:textId="77777777" w:rsidR="003F46B9" w:rsidRDefault="0065662E">
      <w:pPr>
        <w:pStyle w:val="P68B1DB1-Normal5"/>
        <w:spacing w:before="120" w:after="120" w:line="240" w:lineRule="auto"/>
        <w:jc w:val="both"/>
        <w:rPr>
          <w:rFonts w:eastAsia="Calibri" w:cs="Times New Roman"/>
          <w:noProof/>
        </w:rPr>
      </w:pPr>
      <w:r>
        <w:rPr>
          <w:noProof/>
        </w:rPr>
        <w:t>Očekuje se da se tom mj</w:t>
      </w:r>
      <w:r>
        <w:rPr>
          <w:noProof/>
        </w:rPr>
        <w:t>erom ne nanosi znatna šteta okolišnim ciljevima u smislu članka 17. Uredbe (EU) 2020/852, uzimajući u obzir opis mjere i korake ublažavanja utvrđene u planu za oporavak i otpornost u skladu s Tehničkim smjernicama DNSH-a (2021/C58/01). Projektima se posebn</w:t>
      </w:r>
      <w:r>
        <w:rPr>
          <w:noProof/>
        </w:rPr>
        <w:t>o u potpunosti poštuju rezultati i uvjeti utvrđeni procjenom utjecaja na okoliš koja će se dovršiti u skladu s Direktivom 2011/92/EU, kao i relevantne procjene u kontekstu Direktive 2000/60/EZ i Direktive Vijeća 92/43/EEZ, uključujući provedbu potrebnih mj</w:t>
      </w:r>
      <w:r>
        <w:rPr>
          <w:noProof/>
        </w:rPr>
        <w:t>era ublažavanja. Time se osigurava da ulaganje ne utječe znatno ili nepovratno na zahvaćena vodna tijela i da ne uzrokuje znatne negativne učinke na zaštićena staništa i vrste.</w:t>
      </w:r>
    </w:p>
    <w:p w14:paraId="27645E72"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2026., pri čemu je 50 % rado</w:t>
      </w:r>
      <w:r>
        <w:rPr>
          <w:noProof/>
        </w:rPr>
        <w:t>va dovršeno do 31. prosinca 2024.</w:t>
      </w:r>
    </w:p>
    <w:p w14:paraId="50880405"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Željeznička vozila</w:t>
      </w:r>
    </w:p>
    <w:p w14:paraId="0D0F0E09" w14:textId="77777777" w:rsidR="003F46B9" w:rsidRDefault="0065662E">
      <w:pPr>
        <w:pStyle w:val="P68B1DB1-Normal5"/>
        <w:spacing w:before="120" w:after="120" w:line="240" w:lineRule="auto"/>
        <w:jc w:val="both"/>
        <w:rPr>
          <w:rFonts w:eastAsia="Calibri" w:cs="Times New Roman"/>
          <w:noProof/>
        </w:rPr>
      </w:pPr>
      <w:r>
        <w:rPr>
          <w:noProof/>
        </w:rPr>
        <w:t xml:space="preserve">Cilj je ovog ulaganja u nova željeznička vozila s nultim emisijama i modernizirana željeznička vozila povećati kvalitetu usluga javnog željezničkog prijevoza putnika i time povećati upotrebu </w:t>
      </w:r>
      <w:r>
        <w:rPr>
          <w:noProof/>
        </w:rPr>
        <w:t>te vrste održivog prijevoza u cestovnom prometu promjenom načina prijevoza.</w:t>
      </w:r>
    </w:p>
    <w:p w14:paraId="159A170F" w14:textId="77777777" w:rsidR="003F46B9" w:rsidRDefault="0065662E">
      <w:pPr>
        <w:pStyle w:val="P68B1DB1-Normal5"/>
        <w:spacing w:before="120" w:after="120" w:line="240" w:lineRule="auto"/>
        <w:jc w:val="both"/>
        <w:rPr>
          <w:rFonts w:eastAsia="Calibri" w:cs="Times New Roman"/>
          <w:noProof/>
        </w:rPr>
      </w:pPr>
      <w:r>
        <w:rPr>
          <w:noProof/>
        </w:rPr>
        <w:t>Nova željeznička vozila besplatno se stavljaju na raspolaganje operaterima željezničkog prijevoza putnika na temelju ugovora o obavljanju javnih usluga sklopljenih u potpunosti u s</w:t>
      </w:r>
      <w:r>
        <w:rPr>
          <w:noProof/>
        </w:rPr>
        <w:t>kladu s Uredbom (EZ) br. 1370/2007.</w:t>
      </w:r>
    </w:p>
    <w:p w14:paraId="53735F3C"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2026.</w:t>
      </w:r>
    </w:p>
    <w:p w14:paraId="0C1950E6" w14:textId="77777777" w:rsidR="003F46B9" w:rsidRDefault="0065662E">
      <w:pPr>
        <w:rPr>
          <w:rFonts w:ascii="Times New Roman" w:hAnsi="Times New Roman" w:cs="Times New Roman"/>
          <w:b/>
          <w:noProof/>
          <w:sz w:val="24"/>
          <w:u w:val="single"/>
        </w:rPr>
      </w:pPr>
      <w:r>
        <w:rPr>
          <w:noProof/>
        </w:rPr>
        <w:br w:type="page"/>
      </w:r>
    </w:p>
    <w:p w14:paraId="424141B3" w14:textId="77777777" w:rsidR="003F46B9" w:rsidRDefault="003F46B9">
      <w:pPr>
        <w:spacing w:before="120" w:after="120" w:line="240" w:lineRule="auto"/>
        <w:jc w:val="both"/>
        <w:rPr>
          <w:rFonts w:ascii="Times New Roman" w:hAnsi="Times New Roman" w:cs="Times New Roman"/>
          <w:b/>
          <w:noProof/>
          <w:sz w:val="24"/>
          <w:u w:val="single"/>
        </w:rPr>
        <w:sectPr w:rsidR="003F46B9" w:rsidSect="00ED6412">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pPr>
    </w:p>
    <w:p w14:paraId="5C824811"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D.2. </w:t>
      </w:r>
      <w:r>
        <w:rPr>
          <w:noProof/>
        </w:rPr>
        <w:tab/>
      </w:r>
      <w:r>
        <w:rPr>
          <w:rFonts w:ascii="Times New Roman" w:hAnsi="Times New Roman"/>
          <w:b/>
          <w:noProof/>
          <w:sz w:val="24"/>
        </w:rPr>
        <w:t xml:space="preserve">Ključne etape, ciljne vrijednosti i vremenski raspored za praćenje i provedbu programa bespovratne </w:t>
      </w:r>
      <w:r>
        <w:rPr>
          <w:rFonts w:ascii="Times New Roman" w:hAnsi="Times New Roman"/>
          <w:b/>
          <w:noProof/>
          <w:sz w:val="24"/>
        </w:rPr>
        <w:t>financijske potpore</w:t>
      </w:r>
    </w:p>
    <w:tbl>
      <w:tblPr>
        <w:tblW w:w="15310" w:type="dxa"/>
        <w:jc w:val="center"/>
        <w:tblLayout w:type="fixed"/>
        <w:tblCellMar>
          <w:left w:w="28" w:type="dxa"/>
          <w:right w:w="28" w:type="dxa"/>
        </w:tblCellMar>
        <w:tblLook w:val="04A0" w:firstRow="1" w:lastRow="0" w:firstColumn="1" w:lastColumn="0" w:noHBand="0" w:noVBand="1"/>
      </w:tblPr>
      <w:tblGrid>
        <w:gridCol w:w="674"/>
        <w:gridCol w:w="2013"/>
        <w:gridCol w:w="1075"/>
        <w:gridCol w:w="1744"/>
        <w:gridCol w:w="1745"/>
        <w:gridCol w:w="941"/>
        <w:gridCol w:w="1159"/>
        <w:gridCol w:w="725"/>
        <w:gridCol w:w="941"/>
        <w:gridCol w:w="602"/>
        <w:gridCol w:w="3691"/>
      </w:tblGrid>
      <w:tr w:rsidR="003F46B9" w14:paraId="24DB79B4" w14:textId="77777777">
        <w:trPr>
          <w:trHeight w:val="302"/>
          <w:tblHeader/>
          <w:jc w:val="center"/>
        </w:trPr>
        <w:tc>
          <w:tcPr>
            <w:tcW w:w="6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D139E6D"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20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B184CD"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409811"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7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16BE15" w14:textId="77777777" w:rsidR="003F46B9" w:rsidRDefault="0065662E">
            <w:pPr>
              <w:pStyle w:val="P68B1DB1-Normal1"/>
              <w:spacing w:after="0" w:line="240" w:lineRule="auto"/>
              <w:jc w:val="center"/>
              <w:rPr>
                <w:rFonts w:eastAsia="Times New Roman" w:cs="Times New Roman"/>
                <w:noProof/>
              </w:rPr>
            </w:pPr>
            <w:r>
              <w:rPr>
                <w:noProof/>
              </w:rPr>
              <w:t>Ime</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8719C5" w14:textId="77777777" w:rsidR="003F46B9" w:rsidRDefault="0065662E">
            <w:pPr>
              <w:pStyle w:val="P68B1DB1-Normal1"/>
              <w:spacing w:after="0" w:line="240" w:lineRule="auto"/>
              <w:jc w:val="center"/>
              <w:rPr>
                <w:rFonts w:eastAsia="Times New Roman" w:cs="Times New Roman"/>
                <w:noProof/>
              </w:rPr>
            </w:pPr>
            <w:r>
              <w:rPr>
                <w:noProof/>
              </w:rPr>
              <w:t>Kvalitativna</w:t>
            </w:r>
          </w:p>
          <w:p w14:paraId="4EF49B5E"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2825"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8F94848" w14:textId="77777777" w:rsidR="003F46B9" w:rsidRDefault="0065662E">
            <w:pPr>
              <w:pStyle w:val="P68B1DB1-Normal1"/>
              <w:spacing w:after="0" w:line="240" w:lineRule="auto"/>
              <w:jc w:val="center"/>
              <w:rPr>
                <w:rFonts w:eastAsia="Times New Roman" w:cs="Times New Roman"/>
                <w:noProof/>
              </w:rPr>
            </w:pPr>
            <w:r>
              <w:rPr>
                <w:noProof/>
              </w:rPr>
              <w:t>Kvantitativne</w:t>
            </w:r>
          </w:p>
          <w:p w14:paraId="2E56B18C" w14:textId="0BB13B68"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543" w:type="dxa"/>
            <w:gridSpan w:val="2"/>
            <w:tcBorders>
              <w:top w:val="single" w:sz="4" w:space="0" w:color="auto"/>
              <w:left w:val="nil"/>
              <w:bottom w:val="single" w:sz="4" w:space="0" w:color="auto"/>
              <w:right w:val="single" w:sz="4" w:space="0" w:color="auto"/>
            </w:tcBorders>
            <w:shd w:val="clear" w:color="auto" w:fill="BDD7EE"/>
            <w:vAlign w:val="center"/>
            <w:hideMark/>
          </w:tcPr>
          <w:p w14:paraId="4EE614F6"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6BBEF7AF" w14:textId="77777777" w:rsidR="003F46B9" w:rsidRDefault="0065662E">
            <w:pPr>
              <w:pStyle w:val="P68B1DB1-Normal1"/>
              <w:spacing w:after="0" w:line="240" w:lineRule="auto"/>
              <w:jc w:val="center"/>
              <w:rPr>
                <w:rFonts w:eastAsia="Times New Roman" w:cs="Times New Roman"/>
                <w:noProof/>
              </w:rPr>
            </w:pPr>
            <w:r>
              <w:rPr>
                <w:noProof/>
              </w:rPr>
              <w:t xml:space="preserve">za završetak </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30D802" w14:textId="77777777" w:rsidR="003F46B9" w:rsidRDefault="0065662E">
            <w:pPr>
              <w:pStyle w:val="P68B1DB1-Normal1"/>
              <w:spacing w:after="0" w:line="240" w:lineRule="auto"/>
              <w:jc w:val="center"/>
              <w:rPr>
                <w:rFonts w:eastAsia="Times New Roman" w:cs="Times New Roman"/>
                <w:noProof/>
              </w:rPr>
            </w:pPr>
            <w:r>
              <w:rPr>
                <w:noProof/>
              </w:rPr>
              <w:t>Opis svake ključne etap</w:t>
            </w:r>
            <w:r>
              <w:rPr>
                <w:noProof/>
              </w:rPr>
              <w:t>e i ciljne vrijednosti</w:t>
            </w:r>
          </w:p>
        </w:tc>
      </w:tr>
      <w:tr w:rsidR="003F46B9" w14:paraId="2CB0513E" w14:textId="77777777">
        <w:trPr>
          <w:trHeight w:val="456"/>
          <w:tblHeader/>
          <w:jc w:val="center"/>
        </w:trPr>
        <w:tc>
          <w:tcPr>
            <w:tcW w:w="674" w:type="dxa"/>
            <w:vMerge/>
            <w:tcBorders>
              <w:top w:val="single" w:sz="4" w:space="0" w:color="auto"/>
              <w:left w:val="single" w:sz="4" w:space="0" w:color="auto"/>
              <w:bottom w:val="single" w:sz="4" w:space="0" w:color="auto"/>
              <w:right w:val="single" w:sz="4" w:space="0" w:color="auto"/>
            </w:tcBorders>
            <w:hideMark/>
          </w:tcPr>
          <w:p w14:paraId="12D8B1FB" w14:textId="77777777" w:rsidR="003F46B9" w:rsidRDefault="003F46B9">
            <w:pPr>
              <w:spacing w:after="0" w:line="240" w:lineRule="auto"/>
              <w:jc w:val="center"/>
              <w:rPr>
                <w:rFonts w:ascii="Times New Roman" w:eastAsia="Times New Roman" w:hAnsi="Times New Roman" w:cs="Times New Roman"/>
                <w:b/>
                <w:noProof/>
                <w:sz w:val="24"/>
              </w:rPr>
            </w:pPr>
          </w:p>
        </w:tc>
        <w:tc>
          <w:tcPr>
            <w:tcW w:w="2013" w:type="dxa"/>
            <w:vMerge/>
            <w:tcBorders>
              <w:top w:val="single" w:sz="4" w:space="0" w:color="auto"/>
              <w:left w:val="single" w:sz="4" w:space="0" w:color="auto"/>
              <w:bottom w:val="single" w:sz="4" w:space="0" w:color="auto"/>
              <w:right w:val="single" w:sz="4" w:space="0" w:color="auto"/>
            </w:tcBorders>
            <w:hideMark/>
          </w:tcPr>
          <w:p w14:paraId="1E309785" w14:textId="77777777" w:rsidR="003F46B9" w:rsidRDefault="003F46B9">
            <w:pPr>
              <w:spacing w:after="0" w:line="240" w:lineRule="auto"/>
              <w:jc w:val="both"/>
              <w:rPr>
                <w:rFonts w:ascii="Times New Roman" w:eastAsia="Times New Roman" w:hAnsi="Times New Roman" w:cs="Times New Roman"/>
                <w:b/>
                <w:noProof/>
                <w:sz w:val="24"/>
              </w:rPr>
            </w:pPr>
          </w:p>
        </w:tc>
        <w:tc>
          <w:tcPr>
            <w:tcW w:w="1075" w:type="dxa"/>
            <w:vMerge/>
            <w:tcBorders>
              <w:top w:val="single" w:sz="4" w:space="0" w:color="auto"/>
              <w:left w:val="single" w:sz="4" w:space="0" w:color="auto"/>
              <w:bottom w:val="single" w:sz="4" w:space="0" w:color="auto"/>
              <w:right w:val="single" w:sz="4" w:space="0" w:color="auto"/>
            </w:tcBorders>
            <w:hideMark/>
          </w:tcPr>
          <w:p w14:paraId="493178AC" w14:textId="77777777" w:rsidR="003F46B9" w:rsidRDefault="003F46B9">
            <w:pPr>
              <w:spacing w:after="0" w:line="240" w:lineRule="auto"/>
              <w:jc w:val="center"/>
              <w:rPr>
                <w:rFonts w:ascii="Times New Roman" w:eastAsia="Times New Roman" w:hAnsi="Times New Roman" w:cs="Times New Roman"/>
                <w:b/>
                <w:noProof/>
                <w:sz w:val="24"/>
              </w:rPr>
            </w:pPr>
          </w:p>
        </w:tc>
        <w:tc>
          <w:tcPr>
            <w:tcW w:w="1744" w:type="dxa"/>
            <w:vMerge/>
            <w:tcBorders>
              <w:top w:val="single" w:sz="4" w:space="0" w:color="auto"/>
              <w:left w:val="single" w:sz="4" w:space="0" w:color="auto"/>
              <w:bottom w:val="single" w:sz="4" w:space="0" w:color="auto"/>
              <w:right w:val="single" w:sz="4" w:space="0" w:color="auto"/>
            </w:tcBorders>
            <w:hideMark/>
          </w:tcPr>
          <w:p w14:paraId="09EF3089" w14:textId="77777777" w:rsidR="003F46B9" w:rsidRDefault="003F46B9">
            <w:pPr>
              <w:spacing w:after="0" w:line="240" w:lineRule="auto"/>
              <w:jc w:val="both"/>
              <w:rPr>
                <w:rFonts w:ascii="Times New Roman" w:eastAsia="Times New Roman" w:hAnsi="Times New Roman" w:cs="Times New Roman"/>
                <w:b/>
                <w:noProof/>
                <w:sz w:val="24"/>
              </w:rPr>
            </w:pPr>
          </w:p>
        </w:tc>
        <w:tc>
          <w:tcPr>
            <w:tcW w:w="1745" w:type="dxa"/>
            <w:vMerge/>
            <w:tcBorders>
              <w:top w:val="single" w:sz="4" w:space="0" w:color="auto"/>
              <w:left w:val="single" w:sz="4" w:space="0" w:color="auto"/>
              <w:bottom w:val="single" w:sz="4" w:space="0" w:color="auto"/>
              <w:right w:val="single" w:sz="4" w:space="0" w:color="auto"/>
            </w:tcBorders>
            <w:hideMark/>
          </w:tcPr>
          <w:p w14:paraId="3825A746" w14:textId="77777777" w:rsidR="003F46B9" w:rsidRDefault="003F46B9">
            <w:pPr>
              <w:spacing w:after="0" w:line="240" w:lineRule="auto"/>
              <w:jc w:val="both"/>
              <w:rPr>
                <w:rFonts w:ascii="Times New Roman" w:eastAsia="Times New Roman" w:hAnsi="Times New Roman" w:cs="Times New Roman"/>
                <w:b/>
                <w:noProof/>
                <w:sz w:val="24"/>
              </w:rPr>
            </w:pPr>
          </w:p>
        </w:tc>
        <w:tc>
          <w:tcPr>
            <w:tcW w:w="941" w:type="dxa"/>
            <w:tcBorders>
              <w:top w:val="nil"/>
              <w:left w:val="single" w:sz="4" w:space="0" w:color="auto"/>
              <w:bottom w:val="single" w:sz="4" w:space="0" w:color="auto"/>
              <w:right w:val="single" w:sz="4" w:space="0" w:color="auto"/>
            </w:tcBorders>
            <w:shd w:val="clear" w:color="auto" w:fill="BDD7EE"/>
            <w:vAlign w:val="center"/>
            <w:hideMark/>
          </w:tcPr>
          <w:p w14:paraId="178F086A" w14:textId="77777777" w:rsidR="003F46B9" w:rsidRDefault="0065662E">
            <w:pPr>
              <w:pStyle w:val="P68B1DB1-Normal1"/>
              <w:spacing w:after="0" w:line="240" w:lineRule="auto"/>
              <w:jc w:val="center"/>
              <w:rPr>
                <w:rFonts w:eastAsia="Times New Roman" w:cs="Times New Roman"/>
                <w:noProof/>
              </w:rPr>
            </w:pPr>
            <w:r>
              <w:rPr>
                <w:noProof/>
              </w:rPr>
              <w:t>Odjel</w:t>
            </w:r>
          </w:p>
          <w:p w14:paraId="65429822" w14:textId="77777777" w:rsidR="003F46B9" w:rsidRDefault="0065662E">
            <w:pPr>
              <w:pStyle w:val="P68B1DB1-Normal1"/>
              <w:spacing w:after="0" w:line="240" w:lineRule="auto"/>
              <w:jc w:val="center"/>
              <w:rPr>
                <w:rFonts w:eastAsia="Times New Roman" w:cs="Times New Roman"/>
                <w:noProof/>
              </w:rPr>
            </w:pPr>
            <w:r>
              <w:rPr>
                <w:noProof/>
              </w:rPr>
              <w:t>od</w:t>
            </w:r>
          </w:p>
          <w:p w14:paraId="46D33115"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159" w:type="dxa"/>
            <w:tcBorders>
              <w:top w:val="nil"/>
              <w:left w:val="nil"/>
              <w:bottom w:val="single" w:sz="4" w:space="0" w:color="auto"/>
              <w:right w:val="single" w:sz="4" w:space="0" w:color="auto"/>
            </w:tcBorders>
            <w:shd w:val="clear" w:color="auto" w:fill="BDD7EE"/>
            <w:vAlign w:val="center"/>
            <w:hideMark/>
          </w:tcPr>
          <w:p w14:paraId="68A3E849" w14:textId="37E8E923" w:rsidR="003F46B9" w:rsidRDefault="0065662E">
            <w:pPr>
              <w:pStyle w:val="P68B1DB1-Normal1"/>
              <w:spacing w:after="0" w:line="240" w:lineRule="auto"/>
              <w:jc w:val="center"/>
              <w:rPr>
                <w:rFonts w:eastAsia="Times New Roman" w:cs="Times New Roman"/>
                <w:noProof/>
              </w:rPr>
            </w:pPr>
            <w:r>
              <w:rPr>
                <w:noProof/>
              </w:rPr>
              <w:t>Osnovna vrijednost</w:t>
            </w:r>
          </w:p>
        </w:tc>
        <w:tc>
          <w:tcPr>
            <w:tcW w:w="725" w:type="dxa"/>
            <w:tcBorders>
              <w:top w:val="nil"/>
              <w:left w:val="nil"/>
              <w:bottom w:val="single" w:sz="4" w:space="0" w:color="auto"/>
              <w:right w:val="single" w:sz="4" w:space="0" w:color="auto"/>
            </w:tcBorders>
            <w:shd w:val="clear" w:color="auto" w:fill="BDD7EE"/>
            <w:vAlign w:val="center"/>
            <w:hideMark/>
          </w:tcPr>
          <w:p w14:paraId="73132935" w14:textId="77777777" w:rsidR="003F46B9" w:rsidRDefault="0065662E">
            <w:pPr>
              <w:pStyle w:val="P68B1DB1-Normal1"/>
              <w:spacing w:after="0" w:line="240" w:lineRule="auto"/>
              <w:jc w:val="both"/>
              <w:rPr>
                <w:rFonts w:eastAsia="Times New Roman" w:cs="Times New Roman"/>
                <w:noProof/>
              </w:rPr>
            </w:pPr>
            <w:r>
              <w:rPr>
                <w:noProof/>
              </w:rPr>
              <w:t xml:space="preserve">Cilj </w:t>
            </w:r>
          </w:p>
        </w:tc>
        <w:tc>
          <w:tcPr>
            <w:tcW w:w="941" w:type="dxa"/>
            <w:tcBorders>
              <w:top w:val="nil"/>
              <w:left w:val="nil"/>
              <w:bottom w:val="single" w:sz="4" w:space="0" w:color="auto"/>
              <w:right w:val="single" w:sz="4" w:space="0" w:color="auto"/>
            </w:tcBorders>
            <w:shd w:val="clear" w:color="auto" w:fill="BDD7EE"/>
            <w:vAlign w:val="center"/>
            <w:hideMark/>
          </w:tcPr>
          <w:p w14:paraId="4120DDA6"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602" w:type="dxa"/>
            <w:tcBorders>
              <w:top w:val="nil"/>
              <w:left w:val="nil"/>
              <w:bottom w:val="single" w:sz="4" w:space="0" w:color="auto"/>
              <w:right w:val="single" w:sz="4" w:space="0" w:color="auto"/>
            </w:tcBorders>
            <w:shd w:val="clear" w:color="auto" w:fill="BDD7EE"/>
            <w:vAlign w:val="center"/>
            <w:hideMark/>
          </w:tcPr>
          <w:p w14:paraId="24E40BD6"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691" w:type="dxa"/>
            <w:vMerge/>
            <w:tcBorders>
              <w:top w:val="single" w:sz="4" w:space="0" w:color="auto"/>
              <w:bottom w:val="single" w:sz="4" w:space="0" w:color="auto"/>
              <w:right w:val="single" w:sz="4" w:space="0" w:color="auto"/>
            </w:tcBorders>
            <w:hideMark/>
          </w:tcPr>
          <w:p w14:paraId="5BA6E51C"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41FE9AC4"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3298AD9" w14:textId="77777777" w:rsidR="003F46B9" w:rsidRDefault="0065662E">
            <w:pPr>
              <w:pStyle w:val="P68B1DB1-Normal5"/>
              <w:spacing w:after="0" w:line="240" w:lineRule="auto"/>
              <w:jc w:val="center"/>
              <w:rPr>
                <w:rFonts w:eastAsia="Times New Roman" w:cs="Times New Roman"/>
                <w:noProof/>
              </w:rPr>
            </w:pPr>
            <w:r>
              <w:rPr>
                <w:noProof/>
              </w:rPr>
              <w:t>59</w:t>
            </w:r>
          </w:p>
        </w:tc>
        <w:tc>
          <w:tcPr>
            <w:tcW w:w="2013" w:type="dxa"/>
            <w:tcBorders>
              <w:top w:val="single" w:sz="4" w:space="0" w:color="auto"/>
              <w:left w:val="nil"/>
              <w:bottom w:val="single" w:sz="4" w:space="0" w:color="auto"/>
              <w:right w:val="single" w:sz="4" w:space="0" w:color="auto"/>
            </w:tcBorders>
            <w:shd w:val="clear" w:color="auto" w:fill="C6EFCE"/>
            <w:noWrap/>
          </w:tcPr>
          <w:p w14:paraId="6BC059B5"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4D3E5B68" w14:textId="77777777" w:rsidR="003F46B9" w:rsidRDefault="0065662E">
            <w:pPr>
              <w:pStyle w:val="P68B1DB1-Normal5"/>
              <w:spacing w:after="0" w:line="240" w:lineRule="auto"/>
              <w:jc w:val="both"/>
              <w:rPr>
                <w:rFonts w:eastAsia="Times New Roman" w:cs="Times New Roman"/>
                <w:noProof/>
              </w:rPr>
            </w:pPr>
            <w:r>
              <w:rPr>
                <w:noProof/>
              </w:rPr>
              <w:t>Dekarbonizacija cesta u skladu s načelom „onečišćivač plaća”</w:t>
            </w:r>
          </w:p>
        </w:tc>
        <w:tc>
          <w:tcPr>
            <w:tcW w:w="1075" w:type="dxa"/>
            <w:tcBorders>
              <w:top w:val="single" w:sz="4" w:space="0" w:color="auto"/>
              <w:left w:val="nil"/>
              <w:bottom w:val="single" w:sz="4" w:space="0" w:color="auto"/>
              <w:right w:val="single" w:sz="4" w:space="0" w:color="auto"/>
            </w:tcBorders>
            <w:shd w:val="clear" w:color="auto" w:fill="C6EFCE"/>
            <w:noWrap/>
          </w:tcPr>
          <w:p w14:paraId="6C458FDA"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43AC8DB0" w14:textId="43385BB2" w:rsidR="003F46B9" w:rsidRDefault="0065662E">
            <w:pPr>
              <w:pStyle w:val="P68B1DB1-Normal5"/>
              <w:spacing w:after="0" w:line="240" w:lineRule="auto"/>
              <w:jc w:val="both"/>
              <w:rPr>
                <w:rFonts w:eastAsia="Times New Roman" w:cs="Times New Roman"/>
                <w:noProof/>
              </w:rPr>
            </w:pPr>
            <w:r>
              <w:rPr>
                <w:noProof/>
              </w:rPr>
              <w:t xml:space="preserve">Stupanje na snagu </w:t>
            </w:r>
            <w:r>
              <w:rPr>
                <w:noProof/>
              </w:rPr>
              <w:t>zakonodavstva za provedbu novog sustava naplate na temelju udaljenosti za teška vozila (kamioni) i viših poreza na vlasništvo za putnička vozila koja najviše onečišćuju (automobili/autobusi/putnički autobusi) koji se temelje na načelu „onečišćivač plaća” i</w:t>
            </w:r>
            <w:r>
              <w:rPr>
                <w:noProof/>
              </w:rPr>
              <w:t xml:space="preserve"> načelu zelenog oporezivanja</w:t>
            </w:r>
          </w:p>
        </w:tc>
        <w:tc>
          <w:tcPr>
            <w:tcW w:w="1745" w:type="dxa"/>
            <w:tcBorders>
              <w:top w:val="single" w:sz="4" w:space="0" w:color="auto"/>
              <w:left w:val="nil"/>
              <w:bottom w:val="single" w:sz="4" w:space="0" w:color="auto"/>
              <w:right w:val="single" w:sz="4" w:space="0" w:color="auto"/>
            </w:tcBorders>
            <w:shd w:val="clear" w:color="auto" w:fill="C6EFCE"/>
            <w:noWrap/>
          </w:tcPr>
          <w:p w14:paraId="4DC47D91" w14:textId="1ECE1C07" w:rsidR="003F46B9" w:rsidRDefault="0065662E">
            <w:pPr>
              <w:pStyle w:val="P68B1DB1-Normal5"/>
              <w:spacing w:after="0" w:line="240" w:lineRule="auto"/>
              <w:jc w:val="both"/>
              <w:rPr>
                <w:rFonts w:eastAsia="Times New Roman" w:cs="Times New Roman"/>
                <w:noProof/>
              </w:rPr>
            </w:pPr>
            <w:r>
              <w:rPr>
                <w:noProof/>
              </w:rPr>
              <w:t xml:space="preserve">Odredba u zakonodavstvu u kojoj se navodi stupanje zakonodavstva na snagu </w:t>
            </w:r>
          </w:p>
        </w:tc>
        <w:tc>
          <w:tcPr>
            <w:tcW w:w="941" w:type="dxa"/>
            <w:tcBorders>
              <w:top w:val="single" w:sz="4" w:space="0" w:color="auto"/>
              <w:left w:val="nil"/>
              <w:bottom w:val="single" w:sz="4" w:space="0" w:color="auto"/>
              <w:right w:val="single" w:sz="4" w:space="0" w:color="auto"/>
            </w:tcBorders>
            <w:shd w:val="clear" w:color="auto" w:fill="C6EFCE"/>
            <w:noWrap/>
          </w:tcPr>
          <w:p w14:paraId="0611FB59"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7AE4265F"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DA10EB0"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6BD394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644BFDC3" w14:textId="77777777" w:rsidR="003F46B9" w:rsidRDefault="0065662E">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525303EC" w14:textId="77777777" w:rsidR="003F46B9" w:rsidRDefault="0065662E">
            <w:pPr>
              <w:pStyle w:val="P68B1DB1-Normal5"/>
              <w:spacing w:after="0" w:line="240" w:lineRule="auto"/>
              <w:jc w:val="both"/>
              <w:rPr>
                <w:rFonts w:eastAsia="Times New Roman" w:cs="Times New Roman"/>
                <w:noProof/>
              </w:rPr>
            </w:pPr>
            <w:r>
              <w:rPr>
                <w:noProof/>
              </w:rPr>
              <w:t>Zakonodavni paket za provedbu novog sustava naplate na temelju udaljenosti za teška vozila (kamioni) i viših poreza na vlasništvo za</w:t>
            </w:r>
            <w:r>
              <w:rPr>
                <w:noProof/>
              </w:rPr>
              <w:t xml:space="preserve"> putnička vozila koja najviše onečišćuju (automobili/autobusi/autobusi/autobusi/autobusi) na temelju načela „onečišćivač plaća” i načela zelenog oporezivanja.</w:t>
            </w:r>
          </w:p>
          <w:p w14:paraId="55CA45A8" w14:textId="77777777" w:rsidR="003F46B9" w:rsidRDefault="0065662E">
            <w:pPr>
              <w:pStyle w:val="P68B1DB1-Normal5"/>
              <w:spacing w:after="0" w:line="240" w:lineRule="auto"/>
              <w:jc w:val="both"/>
              <w:rPr>
                <w:rFonts w:eastAsia="Times New Roman" w:cs="Times New Roman"/>
                <w:noProof/>
              </w:rPr>
            </w:pPr>
            <w:r>
              <w:rPr>
                <w:noProof/>
              </w:rPr>
              <w:t>Novi sustav punjenja vozila uključuje:</w:t>
            </w:r>
          </w:p>
          <w:p w14:paraId="4BDF1E77"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posebna razina naknada na temelju udaljenosti i jasni krit</w:t>
            </w:r>
            <w:r>
              <w:rPr>
                <w:noProof/>
              </w:rPr>
              <w:t>eriji za naplatu pristojbi za teška vozila u skladu s načelom „onečišćivač plaća”;</w:t>
            </w:r>
          </w:p>
          <w:p w14:paraId="49A08C4D"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poticaji za čista vozila i vrste prijevoza s niskom razinom emisija;</w:t>
            </w:r>
          </w:p>
          <w:p w14:paraId="2F335458"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sustav odvraćanja od upotrebe vozila koja najviše onečišćuju, uključujući putem fiskalnih/financijskih m</w:t>
            </w:r>
            <w:r>
              <w:rPr>
                <w:noProof/>
              </w:rPr>
              <w:t>jera putem razina poreza na vlasništvo za privatna osobna vozila;</w:t>
            </w:r>
          </w:p>
          <w:p w14:paraId="5F377CCC"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korištenje prihoda za potporu održavanju cesta i novim ulaganjima u održivi promet;</w:t>
            </w:r>
          </w:p>
          <w:p w14:paraId="6EBB8D3A"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preusmjeravanje 10 % cestovnog prometa (putnika i robe) na željeznički promet u razdoblju od 2020. do 2026</w:t>
            </w:r>
            <w:r>
              <w:rPr>
                <w:noProof/>
              </w:rPr>
              <w:t>.;</w:t>
            </w:r>
          </w:p>
          <w:p w14:paraId="2C25D239"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raspored za potpunu operacionalizaciju sustava naplate do drugog tromjesečja 2026.</w:t>
            </w:r>
          </w:p>
        </w:tc>
      </w:tr>
      <w:tr w:rsidR="003F46B9" w14:paraId="79495FC7"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F8424AC" w14:textId="77777777" w:rsidR="003F46B9" w:rsidRDefault="0065662E">
            <w:pPr>
              <w:pStyle w:val="P68B1DB1-Normal5"/>
              <w:spacing w:after="0" w:line="240" w:lineRule="auto"/>
              <w:jc w:val="center"/>
              <w:rPr>
                <w:rFonts w:eastAsia="Times New Roman" w:cs="Times New Roman"/>
                <w:noProof/>
              </w:rPr>
            </w:pPr>
            <w:r>
              <w:rPr>
                <w:noProof/>
              </w:rPr>
              <w:t>60</w:t>
            </w:r>
          </w:p>
        </w:tc>
        <w:tc>
          <w:tcPr>
            <w:tcW w:w="2013" w:type="dxa"/>
            <w:tcBorders>
              <w:top w:val="single" w:sz="4" w:space="0" w:color="auto"/>
              <w:left w:val="nil"/>
              <w:bottom w:val="single" w:sz="4" w:space="0" w:color="auto"/>
              <w:right w:val="single" w:sz="4" w:space="0" w:color="auto"/>
            </w:tcBorders>
            <w:shd w:val="clear" w:color="auto" w:fill="C6EFCE"/>
            <w:noWrap/>
          </w:tcPr>
          <w:p w14:paraId="6B7FC1A9"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1F354ECE" w14:textId="77777777" w:rsidR="003F46B9" w:rsidRDefault="0065662E">
            <w:pPr>
              <w:pStyle w:val="P68B1DB1-Normal5"/>
              <w:spacing w:after="0" w:line="240" w:lineRule="auto"/>
              <w:jc w:val="both"/>
              <w:rPr>
                <w:rFonts w:eastAsia="Times New Roman" w:cs="Times New Roman"/>
                <w:noProof/>
              </w:rPr>
            </w:pPr>
            <w:r>
              <w:rPr>
                <w:noProof/>
              </w:rPr>
              <w:t>Dekarbonizacija cesta u skladu s načelom „onečišćivač plaća”</w:t>
            </w:r>
          </w:p>
        </w:tc>
        <w:tc>
          <w:tcPr>
            <w:tcW w:w="1075" w:type="dxa"/>
            <w:tcBorders>
              <w:top w:val="single" w:sz="4" w:space="0" w:color="auto"/>
              <w:left w:val="nil"/>
              <w:bottom w:val="single" w:sz="4" w:space="0" w:color="auto"/>
              <w:right w:val="single" w:sz="4" w:space="0" w:color="auto"/>
            </w:tcBorders>
            <w:shd w:val="clear" w:color="auto" w:fill="C6EFCE"/>
            <w:noWrap/>
          </w:tcPr>
          <w:p w14:paraId="5B1D099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04055D51" w14:textId="6415FC6D" w:rsidR="003F46B9" w:rsidRDefault="0065662E">
            <w:pPr>
              <w:pStyle w:val="P68B1DB1-Normal5"/>
              <w:spacing w:after="0" w:line="240" w:lineRule="auto"/>
              <w:jc w:val="both"/>
              <w:rPr>
                <w:rFonts w:eastAsia="Times New Roman" w:cs="Times New Roman"/>
                <w:noProof/>
              </w:rPr>
            </w:pPr>
            <w:r>
              <w:rPr>
                <w:noProof/>
              </w:rPr>
              <w:t xml:space="preserve">Stupanje na snagu </w:t>
            </w:r>
            <w:r>
              <w:rPr>
                <w:noProof/>
              </w:rPr>
              <w:t>zakonodavstva za poticanje upotrebe čistih vozila i programa obnove voznog parka za domaće korisnike, privatna poduzeća i javne institucije</w:t>
            </w:r>
          </w:p>
        </w:tc>
        <w:tc>
          <w:tcPr>
            <w:tcW w:w="1745" w:type="dxa"/>
            <w:tcBorders>
              <w:top w:val="single" w:sz="4" w:space="0" w:color="auto"/>
              <w:left w:val="nil"/>
              <w:bottom w:val="single" w:sz="4" w:space="0" w:color="auto"/>
              <w:right w:val="single" w:sz="4" w:space="0" w:color="auto"/>
            </w:tcBorders>
            <w:shd w:val="clear" w:color="auto" w:fill="C6EFCE"/>
            <w:noWrap/>
          </w:tcPr>
          <w:p w14:paraId="5CD9AB24" w14:textId="214223DB" w:rsidR="003F46B9" w:rsidRDefault="0065662E">
            <w:pPr>
              <w:pStyle w:val="P68B1DB1-Normal5"/>
              <w:spacing w:after="0" w:line="240" w:lineRule="auto"/>
              <w:jc w:val="both"/>
              <w:rPr>
                <w:rFonts w:eastAsia="Times New Roman" w:cs="Times New Roman"/>
                <w:noProof/>
              </w:rPr>
            </w:pPr>
            <w:r>
              <w:rPr>
                <w:noProof/>
              </w:rPr>
              <w:t>Odredba u zakonodavstvu o stupanju na snagu zakonodavstva za poticanje upotrebe čistih vozila i programa obnove vozn</w:t>
            </w:r>
            <w:r>
              <w:rPr>
                <w:noProof/>
              </w:rPr>
              <w:t>og parka</w:t>
            </w:r>
          </w:p>
        </w:tc>
        <w:tc>
          <w:tcPr>
            <w:tcW w:w="941" w:type="dxa"/>
            <w:tcBorders>
              <w:top w:val="single" w:sz="4" w:space="0" w:color="auto"/>
              <w:left w:val="nil"/>
              <w:bottom w:val="single" w:sz="4" w:space="0" w:color="auto"/>
              <w:right w:val="single" w:sz="4" w:space="0" w:color="auto"/>
            </w:tcBorders>
            <w:shd w:val="clear" w:color="auto" w:fill="C6EFCE"/>
            <w:noWrap/>
          </w:tcPr>
          <w:p w14:paraId="25875F31"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55BAFD8"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975D187"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7F3FCA2"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662FD5D3" w14:textId="77777777" w:rsidR="003F46B9" w:rsidRDefault="0065662E">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542AECF9" w14:textId="01665C1C" w:rsidR="003F46B9" w:rsidRDefault="0065662E">
            <w:pPr>
              <w:pStyle w:val="P68B1DB1-Normal5"/>
              <w:spacing w:after="0" w:line="240" w:lineRule="auto"/>
              <w:jc w:val="both"/>
              <w:rPr>
                <w:rFonts w:eastAsia="Times New Roman" w:cs="Times New Roman"/>
                <w:noProof/>
              </w:rPr>
            </w:pPr>
            <w:r>
              <w:rPr>
                <w:noProof/>
              </w:rPr>
              <w:t>Zakonodavstvo uključuje financijske i fiskalne poticaje za:</w:t>
            </w:r>
          </w:p>
          <w:p w14:paraId="0DD1E6D3"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povećati broj vozila s nultim emisijama za najmanje 100 % do 2025. u odnosu na početnu vrijednost 2020.;</w:t>
            </w:r>
          </w:p>
          <w:p w14:paraId="4890E260" w14:textId="77777777" w:rsidR="003F46B9" w:rsidRDefault="0065662E">
            <w:pPr>
              <w:pStyle w:val="P68B1DB1-ListParagraph13"/>
              <w:numPr>
                <w:ilvl w:val="0"/>
                <w:numId w:val="8"/>
              </w:numPr>
              <w:spacing w:after="0" w:line="240" w:lineRule="auto"/>
              <w:ind w:left="165" w:hanging="141"/>
              <w:jc w:val="both"/>
              <w:rPr>
                <w:rFonts w:eastAsia="Times New Roman" w:cs="Times New Roman"/>
                <w:noProof/>
              </w:rPr>
            </w:pPr>
            <w:r>
              <w:rPr>
                <w:noProof/>
              </w:rPr>
              <w:t>otpad od najmanje 250000 vozila koja onečišćuju okoliš (EURO 3</w:t>
            </w:r>
            <w:r>
              <w:rPr>
                <w:noProof/>
              </w:rPr>
              <w:t xml:space="preserve"> ili manje) u razdoblju od 2022. do drugog tromjesečja 2026.</w:t>
            </w:r>
          </w:p>
        </w:tc>
      </w:tr>
      <w:tr w:rsidR="003F46B9" w14:paraId="6B6994A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0EEC4C82" w14:textId="77777777" w:rsidR="003F46B9" w:rsidRDefault="0065662E">
            <w:pPr>
              <w:pStyle w:val="P68B1DB1-Normal5"/>
              <w:spacing w:after="0" w:line="240" w:lineRule="auto"/>
              <w:jc w:val="center"/>
              <w:rPr>
                <w:rFonts w:eastAsia="Times New Roman" w:cs="Times New Roman"/>
                <w:noProof/>
              </w:rPr>
            </w:pPr>
            <w:r>
              <w:rPr>
                <w:noProof/>
              </w:rPr>
              <w:t>61</w:t>
            </w:r>
          </w:p>
        </w:tc>
        <w:tc>
          <w:tcPr>
            <w:tcW w:w="2013" w:type="dxa"/>
            <w:tcBorders>
              <w:top w:val="single" w:sz="4" w:space="0" w:color="auto"/>
              <w:left w:val="nil"/>
              <w:bottom w:val="single" w:sz="4" w:space="0" w:color="auto"/>
              <w:right w:val="single" w:sz="4" w:space="0" w:color="auto"/>
            </w:tcBorders>
            <w:shd w:val="clear" w:color="auto" w:fill="C6EFCE"/>
            <w:noWrap/>
          </w:tcPr>
          <w:p w14:paraId="1A3FCA68"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1C44AD95" w14:textId="77777777" w:rsidR="003F46B9" w:rsidRDefault="0065662E">
            <w:pPr>
              <w:pStyle w:val="P68B1DB1-Normal5"/>
              <w:spacing w:after="0" w:line="240" w:lineRule="auto"/>
              <w:jc w:val="both"/>
              <w:rPr>
                <w:rFonts w:eastAsia="Times New Roman" w:cs="Times New Roman"/>
                <w:noProof/>
              </w:rPr>
            </w:pPr>
            <w:r>
              <w:rPr>
                <w:noProof/>
              </w:rPr>
              <w:t>Dekarbonizacija cesta u skladu s načelom „onečišćivač plaća”</w:t>
            </w:r>
          </w:p>
        </w:tc>
        <w:tc>
          <w:tcPr>
            <w:tcW w:w="1075" w:type="dxa"/>
            <w:tcBorders>
              <w:top w:val="single" w:sz="4" w:space="0" w:color="auto"/>
              <w:left w:val="nil"/>
              <w:bottom w:val="single" w:sz="4" w:space="0" w:color="auto"/>
              <w:right w:val="single" w:sz="4" w:space="0" w:color="auto"/>
            </w:tcBorders>
            <w:shd w:val="clear" w:color="auto" w:fill="C6EFCE"/>
            <w:noWrap/>
          </w:tcPr>
          <w:p w14:paraId="11C3F0A4"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24F3904F" w14:textId="77777777" w:rsidR="003F46B9" w:rsidRDefault="0065662E">
            <w:pPr>
              <w:pStyle w:val="P68B1DB1-Normal5"/>
              <w:spacing w:after="0" w:line="240" w:lineRule="auto"/>
              <w:jc w:val="both"/>
              <w:rPr>
                <w:rFonts w:eastAsia="Times New Roman" w:cs="Times New Roman"/>
                <w:noProof/>
              </w:rPr>
            </w:pPr>
            <w:r>
              <w:rPr>
                <w:noProof/>
              </w:rPr>
              <w:t>Nova čista vozila koja nabavljaju javna tijela, najmanje</w:t>
            </w:r>
            <w:r>
              <w:rPr>
                <w:noProof/>
              </w:rPr>
              <w:t xml:space="preserve"> 3 % iznad pragova iz Direktive o čistim vozilima</w:t>
            </w:r>
          </w:p>
        </w:tc>
        <w:tc>
          <w:tcPr>
            <w:tcW w:w="1745" w:type="dxa"/>
            <w:tcBorders>
              <w:top w:val="single" w:sz="4" w:space="0" w:color="auto"/>
              <w:left w:val="nil"/>
              <w:bottom w:val="single" w:sz="4" w:space="0" w:color="auto"/>
              <w:right w:val="single" w:sz="4" w:space="0" w:color="auto"/>
            </w:tcBorders>
            <w:shd w:val="clear" w:color="auto" w:fill="C6EFCE"/>
            <w:noWrap/>
          </w:tcPr>
          <w:p w14:paraId="2EF3DA2D"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C05C205" w14:textId="77777777" w:rsidR="003F46B9" w:rsidRDefault="0065662E">
            <w:pPr>
              <w:pStyle w:val="P68B1DB1-Normal5"/>
              <w:spacing w:after="0" w:line="240" w:lineRule="auto"/>
              <w:rPr>
                <w:rFonts w:eastAsia="Times New Roman" w:cs="Times New Roman"/>
                <w:noProof/>
              </w:rPr>
            </w:pPr>
            <w:r>
              <w:rPr>
                <w:noProof/>
              </w:rPr>
              <w:t>Postotak (%)</w:t>
            </w:r>
          </w:p>
          <w:p w14:paraId="63F11334"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27AA67B"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6518870" w14:textId="77777777" w:rsidR="003F46B9" w:rsidRDefault="0065662E">
            <w:pPr>
              <w:pStyle w:val="P68B1DB1-Normal5"/>
              <w:spacing w:after="0" w:line="240" w:lineRule="auto"/>
              <w:jc w:val="both"/>
              <w:rPr>
                <w:rFonts w:eastAsia="Times New Roman" w:cs="Times New Roman"/>
                <w:noProof/>
              </w:rPr>
            </w:pPr>
            <w:r>
              <w:rPr>
                <w:noProof/>
              </w:rPr>
              <w:t>3</w:t>
            </w:r>
          </w:p>
        </w:tc>
        <w:tc>
          <w:tcPr>
            <w:tcW w:w="941" w:type="dxa"/>
            <w:tcBorders>
              <w:top w:val="single" w:sz="4" w:space="0" w:color="auto"/>
              <w:left w:val="nil"/>
              <w:bottom w:val="single" w:sz="4" w:space="0" w:color="auto"/>
              <w:right w:val="single" w:sz="4" w:space="0" w:color="auto"/>
            </w:tcBorders>
            <w:shd w:val="clear" w:color="auto" w:fill="C6EFCE"/>
            <w:noWrap/>
          </w:tcPr>
          <w:p w14:paraId="20EBFCA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1848E6A5" w14:textId="77777777" w:rsidR="003F46B9" w:rsidRDefault="0065662E">
            <w:pPr>
              <w:pStyle w:val="P68B1DB1-Normal5"/>
              <w:spacing w:after="0" w:line="240" w:lineRule="auto"/>
              <w:jc w:val="both"/>
              <w:rPr>
                <w:rFonts w:eastAsia="Times New Roman" w:cs="Times New Roman"/>
                <w:noProof/>
              </w:rPr>
            </w:pPr>
            <w:r>
              <w:rPr>
                <w:noProof/>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3FC4F619" w14:textId="77777777" w:rsidR="003F46B9" w:rsidRDefault="0065662E">
            <w:pPr>
              <w:pStyle w:val="P68B1DB1-Normal5"/>
              <w:spacing w:after="0" w:line="240" w:lineRule="auto"/>
              <w:jc w:val="both"/>
              <w:rPr>
                <w:rFonts w:eastAsia="Times New Roman" w:cs="Times New Roman"/>
                <w:noProof/>
              </w:rPr>
            </w:pPr>
            <w:r>
              <w:rPr>
                <w:noProof/>
              </w:rPr>
              <w:t>Cilj se odnosi na postotak čistih vozila od ukupnog broja vozila koja su kupile javne institucije. Cilj je premašiti za najmanje 3 postotna boda minimalne ciljeve</w:t>
            </w:r>
            <w:r>
              <w:rPr>
                <w:noProof/>
              </w:rPr>
              <w:t xml:space="preserve"> javne nabave za udio čistih vozila u ukupnom broju vozila po kategoriji utvrđenih u Direktivi o čistim vozilima (Direktiva (EU) 2019/1161 Europskog parlamenta i Vijeća od 20. lipnja 2019. o izmjeni Direktive 2009/33/EZ) u razdoblju 2021. – 2025. </w:t>
            </w:r>
          </w:p>
          <w:p w14:paraId="0221F2BB" w14:textId="77777777" w:rsidR="003F46B9" w:rsidRDefault="0065662E">
            <w:pPr>
              <w:pStyle w:val="P68B1DB1-Normal5"/>
              <w:spacing w:after="0" w:line="240" w:lineRule="auto"/>
              <w:jc w:val="both"/>
              <w:rPr>
                <w:rFonts w:eastAsia="Times New Roman" w:cs="Times New Roman"/>
                <w:noProof/>
              </w:rPr>
            </w:pPr>
            <w:r>
              <w:rPr>
                <w:noProof/>
              </w:rPr>
              <w:t>Radi jas</w:t>
            </w:r>
            <w:r>
              <w:rPr>
                <w:noProof/>
              </w:rPr>
              <w:t>noće to bi značilo cilj od najmanje 21,7 % za laka vozila, 9 % za teška vozila i 27 % za autobuse, s obzirom na to da su minimalni ciljevi javne nabave utvrđeni za Rumunjsku u Direktivi o čistim vozilima sljedeći: 18,7 % za laka vozila, 6 % za teška vozila</w:t>
            </w:r>
            <w:r>
              <w:rPr>
                <w:noProof/>
              </w:rPr>
              <w:t>, 24 % za autobuse.</w:t>
            </w:r>
          </w:p>
        </w:tc>
      </w:tr>
      <w:tr w:rsidR="003F46B9" w14:paraId="0CCD035D"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C787E4C" w14:textId="77777777" w:rsidR="003F46B9" w:rsidRDefault="0065662E">
            <w:pPr>
              <w:pStyle w:val="P68B1DB1-Normal5"/>
              <w:spacing w:after="0" w:line="240" w:lineRule="auto"/>
              <w:jc w:val="center"/>
              <w:rPr>
                <w:rFonts w:eastAsia="Times New Roman" w:cs="Times New Roman"/>
                <w:noProof/>
              </w:rPr>
            </w:pPr>
            <w:r>
              <w:rPr>
                <w:noProof/>
              </w:rPr>
              <w:t>62</w:t>
            </w:r>
          </w:p>
        </w:tc>
        <w:tc>
          <w:tcPr>
            <w:tcW w:w="2013" w:type="dxa"/>
            <w:tcBorders>
              <w:top w:val="single" w:sz="4" w:space="0" w:color="auto"/>
              <w:left w:val="nil"/>
              <w:bottom w:val="single" w:sz="4" w:space="0" w:color="auto"/>
              <w:right w:val="single" w:sz="4" w:space="0" w:color="auto"/>
            </w:tcBorders>
            <w:shd w:val="clear" w:color="auto" w:fill="C6EFCE"/>
            <w:noWrap/>
          </w:tcPr>
          <w:p w14:paraId="4591F9DC"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0C2B3502" w14:textId="77777777" w:rsidR="003F46B9" w:rsidRDefault="0065662E">
            <w:pPr>
              <w:pStyle w:val="P68B1DB1-Normal5"/>
              <w:spacing w:after="0" w:line="240" w:lineRule="auto"/>
              <w:jc w:val="both"/>
              <w:rPr>
                <w:rFonts w:eastAsia="Times New Roman" w:cs="Times New Roman"/>
                <w:noProof/>
              </w:rPr>
            </w:pPr>
            <w:r>
              <w:rPr>
                <w:noProof/>
              </w:rPr>
              <w:t>Dekarbonizacija cesta u skladu s načelom „onečišćivač plaća”</w:t>
            </w:r>
          </w:p>
        </w:tc>
        <w:tc>
          <w:tcPr>
            <w:tcW w:w="1075" w:type="dxa"/>
            <w:tcBorders>
              <w:top w:val="single" w:sz="4" w:space="0" w:color="auto"/>
              <w:left w:val="nil"/>
              <w:bottom w:val="single" w:sz="4" w:space="0" w:color="auto"/>
              <w:right w:val="single" w:sz="4" w:space="0" w:color="auto"/>
            </w:tcBorders>
            <w:shd w:val="clear" w:color="auto" w:fill="C6EFCE"/>
            <w:noWrap/>
          </w:tcPr>
          <w:p w14:paraId="709D372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5A5A0AE4" w14:textId="77777777" w:rsidR="003F46B9" w:rsidRDefault="0065662E">
            <w:pPr>
              <w:pStyle w:val="P68B1DB1-Normal5"/>
              <w:spacing w:after="0" w:line="240" w:lineRule="auto"/>
              <w:jc w:val="both"/>
              <w:rPr>
                <w:rFonts w:eastAsia="Times New Roman" w:cs="Times New Roman"/>
                <w:noProof/>
              </w:rPr>
            </w:pPr>
            <w:r>
              <w:rPr>
                <w:noProof/>
              </w:rPr>
              <w:t>Otpadna motorna vozila koja onečišćuju okoliš (EURO 3 ili niže)</w:t>
            </w:r>
          </w:p>
        </w:tc>
        <w:tc>
          <w:tcPr>
            <w:tcW w:w="1745" w:type="dxa"/>
            <w:tcBorders>
              <w:top w:val="single" w:sz="4" w:space="0" w:color="auto"/>
              <w:left w:val="nil"/>
              <w:bottom w:val="single" w:sz="4" w:space="0" w:color="auto"/>
              <w:right w:val="single" w:sz="4" w:space="0" w:color="auto"/>
            </w:tcBorders>
            <w:shd w:val="clear" w:color="auto" w:fill="C6EFCE"/>
            <w:noWrap/>
          </w:tcPr>
          <w:p w14:paraId="4B60B55A"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81A2672" w14:textId="77777777" w:rsidR="003F46B9" w:rsidRDefault="0065662E">
            <w:pPr>
              <w:pStyle w:val="P68B1DB1-Normal5"/>
              <w:spacing w:after="0" w:line="240" w:lineRule="auto"/>
              <w:jc w:val="both"/>
              <w:rPr>
                <w:rFonts w:eastAsia="Times New Roman" w:cs="Times New Roman"/>
                <w:noProof/>
              </w:rPr>
            </w:pPr>
            <w:r>
              <w:rPr>
                <w:noProof/>
              </w:rPr>
              <w:t>Broj</w:t>
            </w:r>
          </w:p>
        </w:tc>
        <w:tc>
          <w:tcPr>
            <w:tcW w:w="1159" w:type="dxa"/>
            <w:tcBorders>
              <w:top w:val="single" w:sz="4" w:space="0" w:color="auto"/>
              <w:left w:val="nil"/>
              <w:bottom w:val="single" w:sz="4" w:space="0" w:color="auto"/>
              <w:right w:val="single" w:sz="4" w:space="0" w:color="auto"/>
            </w:tcBorders>
            <w:shd w:val="clear" w:color="auto" w:fill="C6EFCE"/>
            <w:noWrap/>
          </w:tcPr>
          <w:p w14:paraId="7E41BAB4"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AA47CAF" w14:textId="77777777" w:rsidR="003F46B9" w:rsidRDefault="0065662E">
            <w:pPr>
              <w:pStyle w:val="P68B1DB1-Normal5"/>
              <w:spacing w:after="0" w:line="240" w:lineRule="auto"/>
              <w:jc w:val="both"/>
              <w:rPr>
                <w:rFonts w:eastAsia="Times New Roman" w:cs="Times New Roman"/>
                <w:noProof/>
              </w:rPr>
            </w:pPr>
            <w:r>
              <w:rPr>
                <w:noProof/>
              </w:rPr>
              <w:t>250 000</w:t>
            </w:r>
          </w:p>
        </w:tc>
        <w:tc>
          <w:tcPr>
            <w:tcW w:w="941" w:type="dxa"/>
            <w:tcBorders>
              <w:top w:val="single" w:sz="4" w:space="0" w:color="auto"/>
              <w:left w:val="nil"/>
              <w:bottom w:val="single" w:sz="4" w:space="0" w:color="auto"/>
              <w:right w:val="single" w:sz="4" w:space="0" w:color="auto"/>
            </w:tcBorders>
            <w:shd w:val="clear" w:color="auto" w:fill="C6EFCE"/>
            <w:noWrap/>
          </w:tcPr>
          <w:p w14:paraId="535011A0"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41C10EFA"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26685D38" w14:textId="77777777" w:rsidR="003F46B9" w:rsidRDefault="0065662E">
            <w:pPr>
              <w:pStyle w:val="P68B1DB1-Normal5"/>
              <w:spacing w:after="0" w:line="240" w:lineRule="auto"/>
              <w:jc w:val="both"/>
              <w:rPr>
                <w:rFonts w:eastAsia="Times New Roman" w:cs="Times New Roman"/>
                <w:noProof/>
              </w:rPr>
            </w:pPr>
            <w:r>
              <w:rPr>
                <w:noProof/>
              </w:rPr>
              <w:t>Od 2022. do sredine 2026. mora se ukloniti najmanje 250000 vozila koja onečišćuju okoliš (s emisijskim normama EURO 3 ili nižima) starija od 15 godina.</w:t>
            </w:r>
          </w:p>
        </w:tc>
      </w:tr>
      <w:tr w:rsidR="003F46B9" w14:paraId="414E733D"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06CE58" w14:textId="77777777" w:rsidR="003F46B9" w:rsidRDefault="0065662E">
            <w:pPr>
              <w:pStyle w:val="P68B1DB1-Normal5"/>
              <w:spacing w:after="0" w:line="240" w:lineRule="auto"/>
              <w:jc w:val="center"/>
              <w:rPr>
                <w:rFonts w:eastAsia="Times New Roman" w:cs="Times New Roman"/>
                <w:noProof/>
              </w:rPr>
            </w:pPr>
            <w:r>
              <w:rPr>
                <w:noProof/>
              </w:rPr>
              <w:t>63</w:t>
            </w:r>
          </w:p>
        </w:tc>
        <w:tc>
          <w:tcPr>
            <w:tcW w:w="2013" w:type="dxa"/>
            <w:tcBorders>
              <w:top w:val="single" w:sz="4" w:space="0" w:color="auto"/>
              <w:left w:val="nil"/>
              <w:bottom w:val="single" w:sz="4" w:space="0" w:color="auto"/>
              <w:right w:val="single" w:sz="4" w:space="0" w:color="auto"/>
            </w:tcBorders>
            <w:shd w:val="clear" w:color="auto" w:fill="C6EFCE"/>
            <w:noWrap/>
          </w:tcPr>
          <w:p w14:paraId="1026CB5B"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3B541D2D" w14:textId="77777777" w:rsidR="003F46B9" w:rsidRDefault="0065662E">
            <w:pPr>
              <w:pStyle w:val="P68B1DB1-Normal5"/>
              <w:spacing w:after="0" w:line="240" w:lineRule="auto"/>
              <w:jc w:val="both"/>
              <w:rPr>
                <w:rFonts w:eastAsia="Times New Roman" w:cs="Times New Roman"/>
                <w:noProof/>
              </w:rPr>
            </w:pPr>
            <w:r>
              <w:rPr>
                <w:noProof/>
              </w:rPr>
              <w:t xml:space="preserve">Dekarbonizacija cesta u skladu s </w:t>
            </w:r>
            <w:r>
              <w:rPr>
                <w:noProof/>
              </w:rPr>
              <w:t>načelom „onečišćivač plaća”</w:t>
            </w:r>
          </w:p>
        </w:tc>
        <w:tc>
          <w:tcPr>
            <w:tcW w:w="1075" w:type="dxa"/>
            <w:tcBorders>
              <w:top w:val="single" w:sz="4" w:space="0" w:color="auto"/>
              <w:left w:val="nil"/>
              <w:bottom w:val="single" w:sz="4" w:space="0" w:color="auto"/>
              <w:right w:val="single" w:sz="4" w:space="0" w:color="auto"/>
            </w:tcBorders>
            <w:shd w:val="clear" w:color="auto" w:fill="C6EFCE"/>
            <w:noWrap/>
          </w:tcPr>
          <w:p w14:paraId="24F02D41"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2D04CB4A" w14:textId="77777777" w:rsidR="003F46B9" w:rsidRDefault="0065662E">
            <w:pPr>
              <w:pStyle w:val="P68B1DB1-Normal5"/>
              <w:spacing w:after="0" w:line="240" w:lineRule="auto"/>
              <w:jc w:val="both"/>
              <w:rPr>
                <w:rFonts w:eastAsia="Times New Roman" w:cs="Times New Roman"/>
                <w:noProof/>
              </w:rPr>
            </w:pPr>
            <w:r>
              <w:rPr>
                <w:noProof/>
              </w:rPr>
              <w:t xml:space="preserve">Povećanje broja vozila s nultim emisijama </w:t>
            </w:r>
          </w:p>
        </w:tc>
        <w:tc>
          <w:tcPr>
            <w:tcW w:w="1745" w:type="dxa"/>
            <w:tcBorders>
              <w:top w:val="single" w:sz="4" w:space="0" w:color="auto"/>
              <w:left w:val="nil"/>
              <w:bottom w:val="single" w:sz="4" w:space="0" w:color="auto"/>
              <w:right w:val="single" w:sz="4" w:space="0" w:color="auto"/>
            </w:tcBorders>
            <w:shd w:val="clear" w:color="auto" w:fill="C6EFCE"/>
            <w:noWrap/>
          </w:tcPr>
          <w:p w14:paraId="2BF7A3F6"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659D22F" w14:textId="77777777" w:rsidR="003F46B9" w:rsidRDefault="0065662E">
            <w:pPr>
              <w:pStyle w:val="P68B1DB1-Normal5"/>
              <w:spacing w:after="0" w:line="240" w:lineRule="auto"/>
              <w:rPr>
                <w:rFonts w:eastAsia="Times New Roman" w:cs="Times New Roman"/>
                <w:noProof/>
              </w:rPr>
            </w:pPr>
            <w:r>
              <w:rPr>
                <w:noProof/>
              </w:rPr>
              <w:t>Broj</w:t>
            </w:r>
          </w:p>
          <w:p w14:paraId="4EE1294B"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2EFA0261"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83A1ECD" w14:textId="77777777" w:rsidR="003F46B9" w:rsidRDefault="0065662E">
            <w:pPr>
              <w:pStyle w:val="P68B1DB1-Normal5"/>
              <w:spacing w:after="0" w:line="240" w:lineRule="auto"/>
              <w:jc w:val="both"/>
              <w:rPr>
                <w:rFonts w:eastAsia="Times New Roman" w:cs="Times New Roman"/>
                <w:noProof/>
              </w:rPr>
            </w:pPr>
            <w:r>
              <w:rPr>
                <w:noProof/>
              </w:rPr>
              <w:t>29 500</w:t>
            </w:r>
          </w:p>
        </w:tc>
        <w:tc>
          <w:tcPr>
            <w:tcW w:w="941" w:type="dxa"/>
            <w:tcBorders>
              <w:top w:val="single" w:sz="4" w:space="0" w:color="auto"/>
              <w:left w:val="nil"/>
              <w:bottom w:val="single" w:sz="4" w:space="0" w:color="auto"/>
              <w:right w:val="single" w:sz="4" w:space="0" w:color="auto"/>
            </w:tcBorders>
            <w:shd w:val="clear" w:color="auto" w:fill="C6EFCE"/>
            <w:noWrap/>
          </w:tcPr>
          <w:p w14:paraId="78BC76F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712CA90F"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595EA1A7" w14:textId="77777777" w:rsidR="003F46B9" w:rsidRDefault="0065662E">
            <w:pPr>
              <w:pStyle w:val="P68B1DB1-Normal5"/>
              <w:spacing w:after="0" w:line="240" w:lineRule="auto"/>
              <w:jc w:val="both"/>
              <w:rPr>
                <w:rFonts w:eastAsia="Times New Roman" w:cs="Times New Roman"/>
                <w:noProof/>
              </w:rPr>
            </w:pPr>
            <w:r>
              <w:rPr>
                <w:noProof/>
              </w:rPr>
              <w:t>Cilj se odnosi na povećanje broja vozila s nultim emisijama (električni i vodik, kako je definirano u Direktivi 2014/94/EU o infrastrukturi za al</w:t>
            </w:r>
            <w:r>
              <w:rPr>
                <w:noProof/>
              </w:rPr>
              <w:t>ternativna goriva) (M1 – osobni automobili, N1 – laka gospodarska vozila; N2 i N3 – teška vozila, na temelju standarda UNECE-a), registrirana u Rumunjskoj od kraja 2020. do kraja 2025. Nacionalni zavod za statistiku do kraja prvog tromjesečja 2026. dostavl</w:t>
            </w:r>
            <w:r>
              <w:rPr>
                <w:noProof/>
              </w:rPr>
              <w:t>ja službene podatke za kraj 2025. Europskom opservatoriju za alternativna goriva za potrebe praćenja.</w:t>
            </w:r>
          </w:p>
          <w:p w14:paraId="1E6C7197"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254DA8A8"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9A7CCA3" w14:textId="77777777" w:rsidR="003F46B9" w:rsidRDefault="0065662E">
            <w:pPr>
              <w:pStyle w:val="P68B1DB1-Normal5"/>
              <w:spacing w:after="0" w:line="240" w:lineRule="auto"/>
              <w:jc w:val="center"/>
              <w:rPr>
                <w:rFonts w:eastAsia="Times New Roman" w:cs="Times New Roman"/>
                <w:noProof/>
              </w:rPr>
            </w:pPr>
            <w:r>
              <w:rPr>
                <w:noProof/>
              </w:rPr>
              <w:t>64</w:t>
            </w:r>
          </w:p>
        </w:tc>
        <w:tc>
          <w:tcPr>
            <w:tcW w:w="2013" w:type="dxa"/>
            <w:tcBorders>
              <w:top w:val="single" w:sz="4" w:space="0" w:color="auto"/>
              <w:left w:val="nil"/>
              <w:bottom w:val="single" w:sz="4" w:space="0" w:color="auto"/>
              <w:right w:val="single" w:sz="4" w:space="0" w:color="auto"/>
            </w:tcBorders>
            <w:shd w:val="clear" w:color="auto" w:fill="C6EFCE"/>
            <w:noWrap/>
          </w:tcPr>
          <w:p w14:paraId="3562957B"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cestovna sigurnost/infrastruktura za alternativna goriva</w:t>
            </w:r>
          </w:p>
        </w:tc>
        <w:tc>
          <w:tcPr>
            <w:tcW w:w="1075" w:type="dxa"/>
            <w:tcBorders>
              <w:top w:val="single" w:sz="4" w:space="0" w:color="auto"/>
              <w:left w:val="nil"/>
              <w:bottom w:val="single" w:sz="4" w:space="0" w:color="auto"/>
              <w:right w:val="single" w:sz="4" w:space="0" w:color="auto"/>
            </w:tcBorders>
            <w:shd w:val="clear" w:color="auto" w:fill="C6EFCE"/>
            <w:noWrap/>
          </w:tcPr>
          <w:p w14:paraId="220D6AB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77C40947" w14:textId="77777777" w:rsidR="003F46B9" w:rsidRDefault="0065662E">
            <w:pPr>
              <w:pStyle w:val="P68B1DB1-Normal5"/>
              <w:spacing w:after="0" w:line="240" w:lineRule="auto"/>
              <w:jc w:val="both"/>
              <w:rPr>
                <w:rFonts w:eastAsia="Times New Roman" w:cs="Times New Roman"/>
                <w:noProof/>
              </w:rPr>
            </w:pPr>
            <w:r>
              <w:rPr>
                <w:noProof/>
              </w:rPr>
              <w:t xml:space="preserve">Stanice za punjenje električnom </w:t>
            </w:r>
            <w:r>
              <w:rPr>
                <w:noProof/>
              </w:rPr>
              <w:t>energijom postavljene na nacionalnoj razini</w:t>
            </w:r>
          </w:p>
        </w:tc>
        <w:tc>
          <w:tcPr>
            <w:tcW w:w="1745" w:type="dxa"/>
            <w:tcBorders>
              <w:top w:val="single" w:sz="4" w:space="0" w:color="auto"/>
              <w:left w:val="nil"/>
              <w:bottom w:val="single" w:sz="4" w:space="0" w:color="auto"/>
              <w:right w:val="single" w:sz="4" w:space="0" w:color="auto"/>
            </w:tcBorders>
            <w:shd w:val="clear" w:color="auto" w:fill="C6EFCE"/>
            <w:noWrap/>
          </w:tcPr>
          <w:p w14:paraId="36A4F356"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117FE89" w14:textId="77777777" w:rsidR="003F46B9" w:rsidRDefault="0065662E">
            <w:pPr>
              <w:pStyle w:val="P68B1DB1-Normal5"/>
              <w:spacing w:after="0" w:line="240" w:lineRule="auto"/>
              <w:jc w:val="both"/>
              <w:rPr>
                <w:rFonts w:eastAsia="Times New Roman" w:cs="Times New Roman"/>
                <w:noProof/>
              </w:rPr>
            </w:pPr>
            <w:r>
              <w:rPr>
                <w:noProof/>
              </w:rPr>
              <w:t>Broj</w:t>
            </w:r>
          </w:p>
        </w:tc>
        <w:tc>
          <w:tcPr>
            <w:tcW w:w="1159" w:type="dxa"/>
            <w:tcBorders>
              <w:top w:val="single" w:sz="4" w:space="0" w:color="auto"/>
              <w:left w:val="nil"/>
              <w:bottom w:val="single" w:sz="4" w:space="0" w:color="auto"/>
              <w:right w:val="single" w:sz="4" w:space="0" w:color="auto"/>
            </w:tcBorders>
            <w:shd w:val="clear" w:color="auto" w:fill="C6EFCE"/>
            <w:noWrap/>
          </w:tcPr>
          <w:p w14:paraId="408CB4DF" w14:textId="77777777" w:rsidR="003F46B9" w:rsidRDefault="0065662E">
            <w:pPr>
              <w:pStyle w:val="P68B1DB1-Normal5"/>
              <w:spacing w:after="0" w:line="240" w:lineRule="auto"/>
              <w:jc w:val="both"/>
              <w:rPr>
                <w:rFonts w:eastAsia="Times New Roman" w:cs="Times New Roman"/>
                <w:noProof/>
              </w:rPr>
            </w:pPr>
            <w:r>
              <w:rPr>
                <w:noProof/>
              </w:rPr>
              <w:t>1 836</w:t>
            </w:r>
          </w:p>
        </w:tc>
        <w:tc>
          <w:tcPr>
            <w:tcW w:w="725" w:type="dxa"/>
            <w:tcBorders>
              <w:top w:val="single" w:sz="4" w:space="0" w:color="auto"/>
              <w:left w:val="nil"/>
              <w:bottom w:val="single" w:sz="4" w:space="0" w:color="auto"/>
              <w:right w:val="single" w:sz="4" w:space="0" w:color="auto"/>
            </w:tcBorders>
            <w:shd w:val="clear" w:color="auto" w:fill="C6EFCE"/>
            <w:noWrap/>
          </w:tcPr>
          <w:p w14:paraId="7103A673" w14:textId="4EE83F97" w:rsidR="003F46B9" w:rsidRDefault="0065662E">
            <w:pPr>
              <w:pStyle w:val="P68B1DB1-Normal5"/>
              <w:spacing w:after="0" w:line="240" w:lineRule="auto"/>
              <w:jc w:val="both"/>
              <w:rPr>
                <w:rFonts w:eastAsia="Times New Roman" w:cs="Times New Roman"/>
                <w:noProof/>
              </w:rPr>
            </w:pPr>
            <w:r>
              <w:rPr>
                <w:noProof/>
              </w:rPr>
              <w:t>22 415</w:t>
            </w:r>
          </w:p>
        </w:tc>
        <w:tc>
          <w:tcPr>
            <w:tcW w:w="941" w:type="dxa"/>
            <w:tcBorders>
              <w:top w:val="single" w:sz="4" w:space="0" w:color="auto"/>
              <w:left w:val="nil"/>
              <w:bottom w:val="single" w:sz="4" w:space="0" w:color="auto"/>
              <w:right w:val="single" w:sz="4" w:space="0" w:color="auto"/>
            </w:tcBorders>
            <w:shd w:val="clear" w:color="auto" w:fill="C6EFCE"/>
            <w:noWrap/>
          </w:tcPr>
          <w:p w14:paraId="34158902"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3935D5B0"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153911C" w14:textId="77777777" w:rsidR="003F46B9" w:rsidRDefault="0065662E">
            <w:pPr>
              <w:pStyle w:val="P68B1DB1-Normal5"/>
              <w:spacing w:after="0" w:line="240" w:lineRule="auto"/>
              <w:jc w:val="both"/>
              <w:rPr>
                <w:rFonts w:eastAsia="Times New Roman" w:cs="Times New Roman"/>
                <w:noProof/>
              </w:rPr>
            </w:pPr>
            <w:r>
              <w:rPr>
                <w:noProof/>
              </w:rPr>
              <w:t>Nacionalni cilj za mjesta za punjenje električnom energijom za cestovna vozila s nultim emisijama sastoji se od:</w:t>
            </w:r>
          </w:p>
          <w:p w14:paraId="5DF2C6A5" w14:textId="77777777" w:rsidR="003F46B9" w:rsidRDefault="0065662E">
            <w:pPr>
              <w:pStyle w:val="P68B1DB1-ListParagraph13"/>
              <w:numPr>
                <w:ilvl w:val="0"/>
                <w:numId w:val="37"/>
              </w:numPr>
              <w:spacing w:after="0" w:line="240" w:lineRule="auto"/>
              <w:ind w:left="250" w:hanging="250"/>
              <w:jc w:val="both"/>
              <w:rPr>
                <w:rFonts w:eastAsia="Times New Roman" w:cs="Times New Roman"/>
                <w:noProof/>
              </w:rPr>
            </w:pPr>
            <w:r>
              <w:rPr>
                <w:noProof/>
              </w:rPr>
              <w:t>1836 već postojećih mjesta za punjenje</w:t>
            </w:r>
          </w:p>
          <w:p w14:paraId="45BBA239" w14:textId="77777777" w:rsidR="003F46B9" w:rsidRDefault="0065662E">
            <w:pPr>
              <w:pStyle w:val="P68B1DB1-ListParagraph13"/>
              <w:numPr>
                <w:ilvl w:val="0"/>
                <w:numId w:val="37"/>
              </w:numPr>
              <w:spacing w:after="0" w:line="240" w:lineRule="auto"/>
              <w:ind w:left="250" w:hanging="250"/>
              <w:jc w:val="both"/>
              <w:rPr>
                <w:rFonts w:eastAsia="Times New Roman" w:cs="Times New Roman"/>
                <w:noProof/>
              </w:rPr>
            </w:pPr>
            <w:r>
              <w:rPr>
                <w:noProof/>
              </w:rPr>
              <w:t xml:space="preserve">Do 2030. na mreži </w:t>
            </w:r>
            <w:r>
              <w:rPr>
                <w:noProof/>
              </w:rPr>
              <w:t>nacionalnih cesta/autocesta u skladu sa strategijom C.N.A.I.R. za ugradnju postaja za punjenje električnih vozila na mreži TEN-T u Rumunjskoj bit će ugrađeno 2896 mjesta za punjenje visoke snage (najmanje 50 kW) (od čega su 264 mjesta za punjenje električn</w:t>
            </w:r>
            <w:r>
              <w:rPr>
                <w:noProof/>
              </w:rPr>
              <w:t>ih vozila predložena u okviru projekata razvoja mreže TEN-T koji se financiraju iz Mehanizma za oporavak i otpornost).</w:t>
            </w:r>
          </w:p>
          <w:p w14:paraId="4A4B4F54" w14:textId="5C55C75E" w:rsidR="003F46B9" w:rsidRDefault="0065662E">
            <w:pPr>
              <w:pStyle w:val="P68B1DB1-ListParagraph13"/>
              <w:numPr>
                <w:ilvl w:val="0"/>
                <w:numId w:val="37"/>
              </w:numPr>
              <w:spacing w:after="0" w:line="240" w:lineRule="auto"/>
              <w:ind w:left="250" w:hanging="250"/>
              <w:jc w:val="both"/>
              <w:rPr>
                <w:rFonts w:eastAsia="Times New Roman" w:cs="Times New Roman"/>
                <w:noProof/>
              </w:rPr>
            </w:pPr>
            <w:r>
              <w:rPr>
                <w:noProof/>
              </w:rPr>
              <w:t xml:space="preserve">5683 mjesta za punjenje koja se financiraju iz komponente „Lokalni fond” Ministarstva razvoja (5600 mjesta za punjenje visoke snage i 83 </w:t>
            </w:r>
            <w:r>
              <w:rPr>
                <w:noProof/>
              </w:rPr>
              <w:t>mjesta za punjenje male snage), raščlanjena kako slijedi:</w:t>
            </w:r>
          </w:p>
          <w:p w14:paraId="462F3590" w14:textId="41CAB5C9" w:rsidR="003F46B9" w:rsidRDefault="0065662E">
            <w:pPr>
              <w:pStyle w:val="P68B1DB1-ListParagraph13"/>
              <w:numPr>
                <w:ilvl w:val="0"/>
                <w:numId w:val="36"/>
              </w:numPr>
              <w:spacing w:after="0" w:line="240" w:lineRule="auto"/>
              <w:ind w:left="392" w:hanging="250"/>
              <w:jc w:val="both"/>
              <w:rPr>
                <w:noProof/>
              </w:rPr>
            </w:pPr>
            <w:r>
              <w:rPr>
                <w:noProof/>
              </w:rPr>
              <w:t>mjesta za punjenje u općinama okruga: 1 697;</w:t>
            </w:r>
          </w:p>
          <w:p w14:paraId="1C26AC4F" w14:textId="088D4C52" w:rsidR="003F46B9" w:rsidRDefault="0065662E">
            <w:pPr>
              <w:pStyle w:val="P68B1DB1-ListParagraph13"/>
              <w:numPr>
                <w:ilvl w:val="0"/>
                <w:numId w:val="36"/>
              </w:numPr>
              <w:spacing w:after="0" w:line="240" w:lineRule="auto"/>
              <w:ind w:left="392" w:hanging="250"/>
              <w:jc w:val="both"/>
              <w:rPr>
                <w:noProof/>
              </w:rPr>
            </w:pPr>
            <w:r>
              <w:rPr>
                <w:noProof/>
              </w:rPr>
              <w:t>mjesta za punjenje u drugim općinama: 796;</w:t>
            </w:r>
          </w:p>
          <w:p w14:paraId="12AD01C2" w14:textId="2FB59020" w:rsidR="003F46B9" w:rsidRDefault="0065662E">
            <w:pPr>
              <w:pStyle w:val="P68B1DB1-ListParagraph13"/>
              <w:numPr>
                <w:ilvl w:val="0"/>
                <w:numId w:val="36"/>
              </w:numPr>
              <w:spacing w:after="0" w:line="240" w:lineRule="auto"/>
              <w:ind w:left="392" w:hanging="250"/>
              <w:jc w:val="both"/>
              <w:rPr>
                <w:noProof/>
              </w:rPr>
            </w:pPr>
            <w:r>
              <w:rPr>
                <w:noProof/>
              </w:rPr>
              <w:t xml:space="preserve">mjesta za punjenje u gradovima: 679; </w:t>
            </w:r>
          </w:p>
          <w:p w14:paraId="122925A7" w14:textId="36AAAFDA" w:rsidR="003F46B9" w:rsidRDefault="0065662E">
            <w:pPr>
              <w:pStyle w:val="P68B1DB1-ListParagraph13"/>
              <w:numPr>
                <w:ilvl w:val="0"/>
                <w:numId w:val="36"/>
              </w:numPr>
              <w:spacing w:after="0" w:line="240" w:lineRule="auto"/>
              <w:ind w:left="392" w:hanging="250"/>
              <w:jc w:val="both"/>
              <w:rPr>
                <w:noProof/>
              </w:rPr>
            </w:pPr>
            <w:r>
              <w:rPr>
                <w:noProof/>
              </w:rPr>
              <w:t>mjesta za punjenje u ruralnim područjima: 2 428.</w:t>
            </w:r>
          </w:p>
          <w:p w14:paraId="4F9637A8" w14:textId="77777777" w:rsidR="003F46B9" w:rsidRDefault="0065662E">
            <w:pPr>
              <w:pStyle w:val="P68B1DB1-ListParagraph13"/>
              <w:numPr>
                <w:ilvl w:val="0"/>
                <w:numId w:val="37"/>
              </w:numPr>
              <w:spacing w:after="0" w:line="240" w:lineRule="auto"/>
              <w:ind w:left="250" w:hanging="250"/>
              <w:jc w:val="both"/>
              <w:rPr>
                <w:rFonts w:eastAsia="Times New Roman" w:cs="Times New Roman"/>
                <w:noProof/>
              </w:rPr>
            </w:pPr>
            <w:r>
              <w:rPr>
                <w:noProof/>
              </w:rPr>
              <w:t>2000 mjesta za punjenje</w:t>
            </w:r>
            <w:r>
              <w:rPr>
                <w:noProof/>
              </w:rPr>
              <w:t xml:space="preserve"> koja se financiraju iz komponente „Val obnove” Ministarstva razvoja (1000 mjesta visoke snage i 1000 mjesta male snage);</w:t>
            </w:r>
          </w:p>
          <w:p w14:paraId="50E20684" w14:textId="77777777" w:rsidR="003F46B9" w:rsidRDefault="0065662E">
            <w:pPr>
              <w:pStyle w:val="P68B1DB1-ListParagraph13"/>
              <w:numPr>
                <w:ilvl w:val="0"/>
                <w:numId w:val="37"/>
              </w:numPr>
              <w:spacing w:after="0" w:line="240" w:lineRule="auto"/>
              <w:ind w:left="250" w:hanging="250"/>
              <w:jc w:val="both"/>
              <w:rPr>
                <w:rFonts w:eastAsia="Times New Roman" w:cs="Times New Roman"/>
                <w:noProof/>
              </w:rPr>
            </w:pPr>
            <w:r>
              <w:rPr>
                <w:noProof/>
              </w:rPr>
              <w:t xml:space="preserve">najmanje 10000 drugih mjesta za punjenje visoke i male snage koja se financiraju iz nacionalnih izvora, drugih financijskih sredstava </w:t>
            </w:r>
            <w:r>
              <w:rPr>
                <w:noProof/>
              </w:rPr>
              <w:t>EU-a (uključujući kohezijsku politiku) i/ili privatnih izvora (među ostalim putem koncesija).</w:t>
            </w:r>
          </w:p>
          <w:p w14:paraId="0A20D1AB" w14:textId="77777777" w:rsidR="003F46B9" w:rsidRDefault="0065662E">
            <w:pPr>
              <w:pStyle w:val="P68B1DB1-Normal5"/>
              <w:spacing w:after="0" w:line="240" w:lineRule="auto"/>
              <w:jc w:val="both"/>
              <w:rPr>
                <w:rFonts w:eastAsia="Times New Roman" w:cs="Times New Roman"/>
                <w:noProof/>
              </w:rPr>
            </w:pPr>
            <w:r>
              <w:rPr>
                <w:noProof/>
              </w:rPr>
              <w:t>Lokacija tih mjesta za punjenje nalazi se na područjima utvrđenima u općim urbanim planovima/planovima održive gradske mobilnosti kao na stambenim/mješovitim podr</w:t>
            </w:r>
            <w:r>
              <w:rPr>
                <w:noProof/>
              </w:rPr>
              <w:t>učjima/uslužnim područjima/komercijalnim područjima/prometnim područjima (što je moguće bliže stanovnicima – kako bi se ograničile potrebe za putovanjem). Ta mjesta za punjenje također se nalaze na multimodalnim mjestima kako bi se osobe koje putuju na pos</w:t>
            </w:r>
            <w:r>
              <w:rPr>
                <w:noProof/>
              </w:rPr>
              <w:t>ao potaknulo da se koriste javnim prijevozom.</w:t>
            </w:r>
          </w:p>
          <w:p w14:paraId="28184D30" w14:textId="77777777" w:rsidR="003F46B9" w:rsidRDefault="0065662E">
            <w:pPr>
              <w:pStyle w:val="P68B1DB1-Normal5"/>
              <w:spacing w:after="0" w:line="240" w:lineRule="auto"/>
              <w:jc w:val="both"/>
              <w:rPr>
                <w:rFonts w:eastAsia="Times New Roman" w:cs="Times New Roman"/>
                <w:noProof/>
              </w:rPr>
            </w:pPr>
            <w:r>
              <w:rPr>
                <w:noProof/>
              </w:rPr>
              <w:t>Mjesta za punjenje postavljaju se:</w:t>
            </w:r>
          </w:p>
          <w:p w14:paraId="4755E987" w14:textId="77777777" w:rsidR="003F46B9" w:rsidRDefault="0065662E">
            <w:pPr>
              <w:pStyle w:val="P68B1DB1-Normal5"/>
              <w:spacing w:after="0" w:line="240" w:lineRule="auto"/>
              <w:jc w:val="both"/>
              <w:rPr>
                <w:rFonts w:eastAsia="Times New Roman" w:cs="Times New Roman"/>
                <w:noProof/>
              </w:rPr>
            </w:pPr>
            <w:r>
              <w:rPr>
                <w:noProof/>
              </w:rPr>
              <w:t>85 – 95 % u javno dostupnim/polujavnim područjima;</w:t>
            </w:r>
          </w:p>
          <w:p w14:paraId="45ECB7A2" w14:textId="77777777" w:rsidR="003F46B9" w:rsidRDefault="0065662E">
            <w:pPr>
              <w:pStyle w:val="P68B1DB1-Normal5"/>
              <w:spacing w:after="0" w:line="240" w:lineRule="auto"/>
              <w:jc w:val="both"/>
              <w:rPr>
                <w:rFonts w:eastAsia="Times New Roman" w:cs="Times New Roman"/>
                <w:noProof/>
              </w:rPr>
            </w:pPr>
            <w:r>
              <w:rPr>
                <w:noProof/>
              </w:rPr>
              <w:t>5 – 15 % u privatnim zgradama.</w:t>
            </w:r>
          </w:p>
        </w:tc>
      </w:tr>
      <w:tr w:rsidR="003F46B9" w14:paraId="72326C74"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F4BF09A" w14:textId="77777777" w:rsidR="003F46B9" w:rsidRDefault="0065662E">
            <w:pPr>
              <w:pStyle w:val="P68B1DB1-Normal5"/>
              <w:spacing w:after="0" w:line="240" w:lineRule="auto"/>
              <w:jc w:val="center"/>
              <w:rPr>
                <w:rFonts w:eastAsia="Times New Roman" w:cs="Times New Roman"/>
                <w:noProof/>
              </w:rPr>
            </w:pPr>
            <w:r>
              <w:rPr>
                <w:noProof/>
              </w:rPr>
              <w:t>65</w:t>
            </w:r>
          </w:p>
        </w:tc>
        <w:tc>
          <w:tcPr>
            <w:tcW w:w="2013" w:type="dxa"/>
            <w:tcBorders>
              <w:top w:val="single" w:sz="4" w:space="0" w:color="auto"/>
              <w:left w:val="nil"/>
              <w:bottom w:val="single" w:sz="4" w:space="0" w:color="auto"/>
              <w:right w:val="single" w:sz="4" w:space="0" w:color="auto"/>
            </w:tcBorders>
            <w:shd w:val="clear" w:color="auto" w:fill="C6EFCE"/>
            <w:noWrap/>
          </w:tcPr>
          <w:p w14:paraId="0F5A06EF"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0BC8C124" w14:textId="77777777" w:rsidR="003F46B9" w:rsidRDefault="0065662E">
            <w:pPr>
              <w:pStyle w:val="P68B1DB1-Normal5"/>
              <w:spacing w:after="0" w:line="240" w:lineRule="auto"/>
              <w:jc w:val="both"/>
              <w:rPr>
                <w:rFonts w:eastAsia="Times New Roman" w:cs="Times New Roman"/>
                <w:noProof/>
              </w:rPr>
            </w:pPr>
            <w:r>
              <w:rPr>
                <w:noProof/>
              </w:rPr>
              <w:t xml:space="preserve">Sigurnost u cestovnom </w:t>
            </w:r>
            <w:r>
              <w:rPr>
                <w:noProof/>
              </w:rPr>
              <w:t>prometu</w:t>
            </w:r>
          </w:p>
        </w:tc>
        <w:tc>
          <w:tcPr>
            <w:tcW w:w="1075" w:type="dxa"/>
            <w:tcBorders>
              <w:top w:val="single" w:sz="4" w:space="0" w:color="auto"/>
              <w:left w:val="nil"/>
              <w:bottom w:val="single" w:sz="4" w:space="0" w:color="auto"/>
              <w:right w:val="single" w:sz="4" w:space="0" w:color="auto"/>
            </w:tcBorders>
            <w:shd w:val="clear" w:color="auto" w:fill="C6EFCE"/>
            <w:noWrap/>
          </w:tcPr>
          <w:p w14:paraId="2FA62C0A"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14F44AAF" w14:textId="77777777" w:rsidR="003F46B9" w:rsidRDefault="0065662E">
            <w:pPr>
              <w:pStyle w:val="P68B1DB1-Normal5"/>
              <w:spacing w:after="0" w:line="240" w:lineRule="auto"/>
              <w:jc w:val="both"/>
              <w:rPr>
                <w:rFonts w:eastAsia="Times New Roman" w:cs="Times New Roman"/>
                <w:noProof/>
              </w:rPr>
            </w:pPr>
            <w:r>
              <w:rPr>
                <w:noProof/>
              </w:rPr>
              <w:t>Donošenje nacionalne strategije za sigurnost cestovnog prometa</w:t>
            </w:r>
          </w:p>
        </w:tc>
        <w:tc>
          <w:tcPr>
            <w:tcW w:w="1745" w:type="dxa"/>
            <w:tcBorders>
              <w:top w:val="single" w:sz="4" w:space="0" w:color="auto"/>
              <w:left w:val="nil"/>
              <w:bottom w:val="single" w:sz="4" w:space="0" w:color="auto"/>
              <w:right w:val="single" w:sz="4" w:space="0" w:color="auto"/>
            </w:tcBorders>
            <w:shd w:val="clear" w:color="auto" w:fill="C6EFCE"/>
            <w:noWrap/>
          </w:tcPr>
          <w:p w14:paraId="7AE1E740" w14:textId="77777777" w:rsidR="003F46B9" w:rsidRDefault="0065662E">
            <w:pPr>
              <w:pStyle w:val="P68B1DB1-Normal5"/>
              <w:spacing w:after="0" w:line="240" w:lineRule="auto"/>
              <w:jc w:val="both"/>
              <w:rPr>
                <w:rFonts w:eastAsia="Times New Roman" w:cs="Times New Roman"/>
                <w:noProof/>
              </w:rPr>
            </w:pPr>
            <w:r>
              <w:rPr>
                <w:noProof/>
              </w:rPr>
              <w:t>Donošenje strategije odlukom Vlade (sekundarno zakonodavstvo) i početak njezine provedbe</w:t>
            </w:r>
          </w:p>
        </w:tc>
        <w:tc>
          <w:tcPr>
            <w:tcW w:w="941" w:type="dxa"/>
            <w:tcBorders>
              <w:top w:val="single" w:sz="4" w:space="0" w:color="auto"/>
              <w:left w:val="nil"/>
              <w:bottom w:val="single" w:sz="4" w:space="0" w:color="auto"/>
              <w:right w:val="single" w:sz="4" w:space="0" w:color="auto"/>
            </w:tcBorders>
            <w:shd w:val="clear" w:color="auto" w:fill="C6EFCE"/>
            <w:noWrap/>
          </w:tcPr>
          <w:p w14:paraId="47716D9F"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658751D7"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5B8039"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852B96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589EEB06" w14:textId="77777777" w:rsidR="003F46B9" w:rsidRDefault="0065662E">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63AB19C6" w14:textId="77777777" w:rsidR="003F46B9" w:rsidRDefault="0065662E">
            <w:pPr>
              <w:pStyle w:val="P68B1DB1-Normal5"/>
              <w:spacing w:after="0" w:line="240" w:lineRule="auto"/>
              <w:jc w:val="both"/>
              <w:rPr>
                <w:rFonts w:eastAsia="Times New Roman" w:cs="Times New Roman"/>
                <w:noProof/>
              </w:rPr>
            </w:pPr>
            <w:r>
              <w:rPr>
                <w:noProof/>
              </w:rPr>
              <w:t>Nacionalnom strategijom sigurnosti na cestama za razdoblje 2021.</w:t>
            </w:r>
            <w:r>
              <w:rPr>
                <w:noProof/>
              </w:rPr>
              <w:t xml:space="preserve"> – 2030. provode se pravila i smjernice EU-a kako su utvrđeni u Okviru politike EU-a za sigurnost na cestama za razdoblje 2021. – 2030. i „Vizija nula” s ciljem smanjenja broja smrtnih slučajeva na cestama do 2050. na gotovo nulu. Kao prijelazni cilj Rumun</w:t>
            </w:r>
            <w:r>
              <w:rPr>
                <w:noProof/>
              </w:rPr>
              <w:t>jska preuzima cilj EU-a da se broj žrtava (smrtnih i teško ozlijeđenih) smanji za 50 % od polazne vrijednosti iz 2019. do 2030.</w:t>
            </w:r>
          </w:p>
          <w:p w14:paraId="36089D8B" w14:textId="77777777" w:rsidR="003F46B9" w:rsidRDefault="0065662E">
            <w:pPr>
              <w:pStyle w:val="P68B1DB1-Normal5"/>
              <w:spacing w:after="0" w:line="240" w:lineRule="auto"/>
              <w:jc w:val="both"/>
              <w:rPr>
                <w:rFonts w:eastAsia="Times New Roman" w:cs="Times New Roman"/>
                <w:noProof/>
              </w:rPr>
            </w:pPr>
            <w:r>
              <w:rPr>
                <w:noProof/>
              </w:rPr>
              <w:t>Strategija se na integriran i multidisciplinaran način obraća svim sudionicima uključenima u sigurnost na cestama i uključuje:</w:t>
            </w:r>
          </w:p>
          <w:p w14:paraId="0390A475"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p</w:t>
            </w:r>
            <w:r>
              <w:rPr>
                <w:noProof/>
              </w:rPr>
              <w:t>rovedba pravila kojima se uređuje usklađenost, više kazne za kršenje zakona;</w:t>
            </w:r>
          </w:p>
          <w:p w14:paraId="5F01D081"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smanjenje ograničenja brzine u određenim područjima ili cestama ovisno o podacima o nesrećama/analizama rizika i najboljim praksama na razini EU-a, uvođenje sustava upravljanja br</w:t>
            </w:r>
            <w:r>
              <w:rPr>
                <w:noProof/>
              </w:rPr>
              <w:t xml:space="preserve">zinom i obveznih sigurnosnih značajki, revizija prometnih pravila, uključujući prioritet za ranjive korisnike, </w:t>
            </w:r>
          </w:p>
          <w:p w14:paraId="63A8C0F3"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smanjenje broja crnih/žarišnih točaka u gradskom i međugradskom okruženju, uključujući poseban akcijski plan ulaganja za smanjenje broja crnih/ž</w:t>
            </w:r>
            <w:r>
              <w:rPr>
                <w:noProof/>
              </w:rPr>
              <w:t>arišnih točaka za 129 do drugog tromjesečja 2026. u usporedbi s početnim 267 crnih/žarišnih točaka 2021.;</w:t>
            </w:r>
          </w:p>
          <w:p w14:paraId="5BFF0D2E"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postupno ukidanje iz nacionalnog registra starih/nedostatnih vozila, povećani sigurnosni pregledi i provjere;</w:t>
            </w:r>
          </w:p>
          <w:p w14:paraId="62A994EC"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obrazovanje i osposobljavanje, informati</w:t>
            </w:r>
            <w:r>
              <w:rPr>
                <w:noProof/>
              </w:rPr>
              <w:t>vne kampanje;</w:t>
            </w:r>
          </w:p>
          <w:p w14:paraId="1EC2FB33"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integracija zakonodavnog sustava i reforma inteligentnih prometnih sustava (ITS).</w:t>
            </w:r>
          </w:p>
          <w:p w14:paraId="392BA8B9" w14:textId="77777777" w:rsidR="003F46B9" w:rsidRDefault="0065662E">
            <w:pPr>
              <w:pStyle w:val="P68B1DB1-Normal5"/>
              <w:suppressAutoHyphens/>
              <w:autoSpaceDN w:val="0"/>
              <w:spacing w:after="0" w:line="240" w:lineRule="auto"/>
              <w:jc w:val="both"/>
              <w:textAlignment w:val="baseline"/>
              <w:rPr>
                <w:rFonts w:ascii="Liberation Serif" w:eastAsia="Times New Roman" w:hAnsi="Liberation Serif" w:cs="Arial"/>
                <w:noProof/>
                <w:kern w:val="3"/>
              </w:rPr>
            </w:pPr>
            <w:r>
              <w:rPr>
                <w:noProof/>
              </w:rPr>
              <w:t xml:space="preserve">Strateški dokument za inteligentne prometne sustave (ITS) odobrava rumunjska vlada. Strategija ITS-a razvija se zajedno s intermodalnim prometnim politikama kako bi se zadovoljile potrebe za učinkovitim radom u multimodalnim čvorovima. </w:t>
            </w:r>
          </w:p>
          <w:p w14:paraId="5AF488D6" w14:textId="77777777" w:rsidR="003F46B9" w:rsidRDefault="0065662E">
            <w:pPr>
              <w:pStyle w:val="P68B1DB1-Normal5"/>
              <w:spacing w:after="0" w:line="240" w:lineRule="auto"/>
              <w:jc w:val="both"/>
              <w:rPr>
                <w:rFonts w:eastAsia="Times New Roman" w:cs="Times New Roman"/>
                <w:noProof/>
              </w:rPr>
            </w:pPr>
            <w:r>
              <w:rPr>
                <w:noProof/>
              </w:rPr>
              <w:t>Subjekt odgovoran z</w:t>
            </w:r>
            <w:r>
              <w:rPr>
                <w:noProof/>
              </w:rPr>
              <w:t>a praćenje provedbe strategije sigurnosti na cestama i ključnih pokazatelja uspješnosti mora biti jasno definiran i operacionaliziran.</w:t>
            </w:r>
          </w:p>
        </w:tc>
      </w:tr>
      <w:tr w:rsidR="003F46B9" w14:paraId="05ACF4E3"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1377A1DE" w14:textId="77777777" w:rsidR="003F46B9" w:rsidRDefault="0065662E">
            <w:pPr>
              <w:pStyle w:val="P68B1DB1-Normal5"/>
              <w:spacing w:after="0" w:line="240" w:lineRule="auto"/>
              <w:jc w:val="center"/>
              <w:rPr>
                <w:rFonts w:eastAsia="Times New Roman" w:cs="Times New Roman"/>
                <w:noProof/>
              </w:rPr>
            </w:pPr>
            <w:r>
              <w:rPr>
                <w:noProof/>
              </w:rPr>
              <w:t>66</w:t>
            </w:r>
          </w:p>
        </w:tc>
        <w:tc>
          <w:tcPr>
            <w:tcW w:w="2013" w:type="dxa"/>
            <w:tcBorders>
              <w:top w:val="single" w:sz="4" w:space="0" w:color="auto"/>
              <w:left w:val="nil"/>
              <w:bottom w:val="single" w:sz="4" w:space="0" w:color="auto"/>
              <w:right w:val="single" w:sz="4" w:space="0" w:color="auto"/>
            </w:tcBorders>
            <w:shd w:val="clear" w:color="auto" w:fill="C6EFCE"/>
            <w:noWrap/>
          </w:tcPr>
          <w:p w14:paraId="6F8981B6"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09420893" w14:textId="77777777" w:rsidR="003F46B9" w:rsidRDefault="0065662E">
            <w:pPr>
              <w:pStyle w:val="P68B1DB1-Normal5"/>
              <w:spacing w:after="0" w:line="240" w:lineRule="auto"/>
              <w:jc w:val="both"/>
              <w:rPr>
                <w:rFonts w:eastAsia="Times New Roman" w:cs="Times New Roman"/>
                <w:noProof/>
              </w:rPr>
            </w:pPr>
            <w:r>
              <w:rPr>
                <w:noProof/>
              </w:rPr>
              <w:t>Sigurnost u cestovnom prometu</w:t>
            </w:r>
          </w:p>
        </w:tc>
        <w:tc>
          <w:tcPr>
            <w:tcW w:w="1075" w:type="dxa"/>
            <w:tcBorders>
              <w:top w:val="single" w:sz="4" w:space="0" w:color="auto"/>
              <w:left w:val="nil"/>
              <w:bottom w:val="single" w:sz="4" w:space="0" w:color="auto"/>
              <w:right w:val="single" w:sz="4" w:space="0" w:color="auto"/>
            </w:tcBorders>
            <w:shd w:val="clear" w:color="auto" w:fill="C6EFCE"/>
            <w:noWrap/>
          </w:tcPr>
          <w:p w14:paraId="454FA0C8"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1AD7E709" w14:textId="328D91CA" w:rsidR="003F46B9" w:rsidRDefault="0065662E">
            <w:pPr>
              <w:pStyle w:val="P68B1DB1-Normal5"/>
              <w:spacing w:after="0" w:line="240" w:lineRule="auto"/>
              <w:jc w:val="both"/>
              <w:rPr>
                <w:rFonts w:eastAsia="Times New Roman" w:cs="Times New Roman"/>
                <w:noProof/>
              </w:rPr>
            </w:pPr>
            <w:r>
              <w:rPr>
                <w:noProof/>
              </w:rPr>
              <w:t>Stupanje na snagu zakonodavstva o sigurnosti na cestama – zakonodavstvo o praćenju, provedbi i sankcijama za prekršaje u području sigurnosti prometa na cestama</w:t>
            </w:r>
          </w:p>
        </w:tc>
        <w:tc>
          <w:tcPr>
            <w:tcW w:w="1745" w:type="dxa"/>
            <w:tcBorders>
              <w:top w:val="single" w:sz="4" w:space="0" w:color="auto"/>
              <w:left w:val="nil"/>
              <w:bottom w:val="single" w:sz="4" w:space="0" w:color="auto"/>
              <w:right w:val="single" w:sz="4" w:space="0" w:color="auto"/>
            </w:tcBorders>
            <w:shd w:val="clear" w:color="auto" w:fill="C6EFCE"/>
            <w:noWrap/>
          </w:tcPr>
          <w:p w14:paraId="67C6F798" w14:textId="548AA61D" w:rsidR="003F46B9" w:rsidRDefault="0065662E">
            <w:pPr>
              <w:pStyle w:val="P68B1DB1-Normal5"/>
              <w:spacing w:after="0" w:line="240" w:lineRule="auto"/>
              <w:jc w:val="both"/>
              <w:rPr>
                <w:rFonts w:eastAsia="Times New Roman" w:cs="Times New Roman"/>
                <w:noProof/>
              </w:rPr>
            </w:pPr>
            <w:r>
              <w:rPr>
                <w:noProof/>
              </w:rPr>
              <w:t>Odredba u zakonodavstvu o stupanju na snagu zakonodavstva o sigurnosti na cestama</w:t>
            </w:r>
          </w:p>
        </w:tc>
        <w:tc>
          <w:tcPr>
            <w:tcW w:w="941" w:type="dxa"/>
            <w:tcBorders>
              <w:top w:val="single" w:sz="4" w:space="0" w:color="auto"/>
              <w:left w:val="nil"/>
              <w:bottom w:val="single" w:sz="4" w:space="0" w:color="auto"/>
              <w:right w:val="single" w:sz="4" w:space="0" w:color="auto"/>
            </w:tcBorders>
            <w:shd w:val="clear" w:color="auto" w:fill="C6EFCE"/>
            <w:noWrap/>
          </w:tcPr>
          <w:p w14:paraId="57156C51"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6BE9410E"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E71A9EC"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1990BC0C" w14:textId="77777777" w:rsidR="003F46B9" w:rsidRDefault="0065662E">
            <w:pPr>
              <w:pStyle w:val="P68B1DB1-Normal5"/>
              <w:spacing w:after="0" w:line="240" w:lineRule="auto"/>
              <w:jc w:val="both"/>
              <w:rPr>
                <w:rFonts w:eastAsia="Times New Roman" w:cs="Times New Roman"/>
                <w:noProof/>
              </w:rPr>
            </w:pPr>
            <w:r>
              <w:rPr>
                <w:noProof/>
              </w:rPr>
              <w:t>ČETVRTO TRO</w:t>
            </w:r>
            <w:r>
              <w:rPr>
                <w:noProof/>
              </w:rPr>
              <w:t>MJESEČJE</w:t>
            </w:r>
          </w:p>
        </w:tc>
        <w:tc>
          <w:tcPr>
            <w:tcW w:w="602" w:type="dxa"/>
            <w:tcBorders>
              <w:top w:val="single" w:sz="4" w:space="0" w:color="auto"/>
              <w:left w:val="nil"/>
              <w:bottom w:val="single" w:sz="4" w:space="0" w:color="auto"/>
              <w:right w:val="single" w:sz="4" w:space="0" w:color="auto"/>
            </w:tcBorders>
            <w:shd w:val="clear" w:color="auto" w:fill="C6EFCE"/>
            <w:noWrap/>
          </w:tcPr>
          <w:p w14:paraId="608ACED5" w14:textId="77777777" w:rsidR="003F46B9" w:rsidRDefault="0065662E">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482D9D3E" w14:textId="77777777" w:rsidR="003F46B9" w:rsidRDefault="0065662E">
            <w:pPr>
              <w:pStyle w:val="P68B1DB1-Normal18"/>
              <w:spacing w:after="0" w:line="240" w:lineRule="auto"/>
              <w:jc w:val="both"/>
              <w:rPr>
                <w:rFonts w:cs="Times New Roman"/>
                <w:noProof/>
              </w:rPr>
            </w:pPr>
            <w:r>
              <w:rPr>
                <w:noProof/>
              </w:rPr>
              <w:t xml:space="preserve">Uvode se sljedeće zakonodavne promjene kojima se promiče sigurnost na cestama: </w:t>
            </w:r>
          </w:p>
          <w:p w14:paraId="18F62187"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provedba pravila kojima se uređuje usklađenost, više kazne za kršenje zakona;</w:t>
            </w:r>
          </w:p>
          <w:p w14:paraId="3570EEE4"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nadzor prekršaja na cestama s pomoću automatske opreme (video kamere, senzori);</w:t>
            </w:r>
          </w:p>
          <w:p w14:paraId="4889792B"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smanjenje ograničenja brzine u određenim područjima ili cestama ovisno o podacima o nesrećama/analizama rizika i najboljim praksama na razini EU-a, uvođenje sustava upravljanja brzinom i obveznih sigurnosnih značajki, revizija prometnih pravila, uključujuć</w:t>
            </w:r>
            <w:r>
              <w:rPr>
                <w:noProof/>
              </w:rPr>
              <w:t>i prioritet za ranjive korisnike;</w:t>
            </w:r>
          </w:p>
          <w:p w14:paraId="5CFA4661" w14:textId="77777777" w:rsidR="003F46B9" w:rsidRDefault="0065662E">
            <w:pPr>
              <w:pStyle w:val="P68B1DB1-ListParagraph13"/>
              <w:numPr>
                <w:ilvl w:val="0"/>
                <w:numId w:val="33"/>
              </w:numPr>
              <w:spacing w:after="0" w:line="240" w:lineRule="auto"/>
              <w:ind w:left="250" w:hanging="218"/>
              <w:jc w:val="both"/>
              <w:rPr>
                <w:rFonts w:cs="Times New Roman"/>
                <w:noProof/>
              </w:rPr>
            </w:pPr>
            <w:r>
              <w:rPr>
                <w:noProof/>
              </w:rPr>
              <w:t>postupno ukidanje iz nacionalnog registra starih/nedostatnih vozila, povećani sigurnosni pregledi i provjere</w:t>
            </w:r>
            <w:r>
              <w:rPr>
                <w:noProof/>
                <w:shd w:val="clear" w:color="auto" w:fill="C6EFCE"/>
              </w:rPr>
              <w:t>.</w:t>
            </w:r>
          </w:p>
          <w:p w14:paraId="086AD653" w14:textId="77777777" w:rsidR="003F46B9" w:rsidRDefault="0065662E">
            <w:pPr>
              <w:pStyle w:val="P68B1DB1-Normal18"/>
              <w:spacing w:after="0" w:line="240" w:lineRule="auto"/>
              <w:jc w:val="both"/>
              <w:rPr>
                <w:rFonts w:eastAsia="Times New Roman" w:cs="Times New Roman"/>
                <w:noProof/>
              </w:rPr>
            </w:pPr>
            <w:r>
              <w:rPr>
                <w:noProof/>
              </w:rPr>
              <w:t xml:space="preserve"> Opći cilj sigurnosti na cestama bit će smanjenje broja smrtnih slučajeva u prometnim nesrećama za 50 % do 2030.</w:t>
            </w:r>
            <w:r>
              <w:rPr>
                <w:noProof/>
              </w:rPr>
              <w:t xml:space="preserve"> u odnosu na 2019., u skladu s Okvirom politike EU-a za sigurnost na cestama za razdoblje 2021. 2030.</w:t>
            </w:r>
          </w:p>
        </w:tc>
      </w:tr>
      <w:tr w:rsidR="003F46B9" w14:paraId="61CF9BA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573B6DEC" w14:textId="77777777" w:rsidR="003F46B9" w:rsidRDefault="0065662E">
            <w:pPr>
              <w:pStyle w:val="P68B1DB1-Normal5"/>
              <w:spacing w:after="0" w:line="240" w:lineRule="auto"/>
              <w:jc w:val="center"/>
              <w:rPr>
                <w:rFonts w:eastAsia="Times New Roman" w:cs="Times New Roman"/>
                <w:noProof/>
              </w:rPr>
            </w:pPr>
            <w:r>
              <w:rPr>
                <w:noProof/>
              </w:rPr>
              <w:t>67</w:t>
            </w:r>
          </w:p>
        </w:tc>
        <w:tc>
          <w:tcPr>
            <w:tcW w:w="2013" w:type="dxa"/>
            <w:tcBorders>
              <w:top w:val="single" w:sz="4" w:space="0" w:color="auto"/>
              <w:left w:val="nil"/>
              <w:bottom w:val="single" w:sz="4" w:space="0" w:color="auto"/>
              <w:right w:val="single" w:sz="4" w:space="0" w:color="auto"/>
            </w:tcBorders>
            <w:shd w:val="clear" w:color="auto" w:fill="C6EFCE"/>
            <w:noWrap/>
          </w:tcPr>
          <w:p w14:paraId="1DF4DF30"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cestama/sigurnost na cestama</w:t>
            </w:r>
          </w:p>
        </w:tc>
        <w:tc>
          <w:tcPr>
            <w:tcW w:w="1075" w:type="dxa"/>
            <w:tcBorders>
              <w:top w:val="single" w:sz="4" w:space="0" w:color="auto"/>
              <w:left w:val="nil"/>
              <w:bottom w:val="single" w:sz="4" w:space="0" w:color="auto"/>
              <w:right w:val="single" w:sz="4" w:space="0" w:color="auto"/>
            </w:tcBorders>
            <w:shd w:val="clear" w:color="auto" w:fill="C6EFCE"/>
            <w:noWrap/>
          </w:tcPr>
          <w:p w14:paraId="5622EFD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15587FF9" w14:textId="77777777" w:rsidR="003F46B9" w:rsidRDefault="0065662E">
            <w:pPr>
              <w:pStyle w:val="P68B1DB1-Normal5"/>
              <w:spacing w:after="0" w:line="240" w:lineRule="auto"/>
              <w:jc w:val="both"/>
              <w:rPr>
                <w:rFonts w:eastAsia="Times New Roman" w:cs="Times New Roman"/>
                <w:noProof/>
              </w:rPr>
            </w:pPr>
            <w:r>
              <w:rPr>
                <w:noProof/>
              </w:rPr>
              <w:t xml:space="preserve">Ugrađena i funkcionalna oprema za povećanje provedbe </w:t>
            </w:r>
            <w:r>
              <w:rPr>
                <w:noProof/>
              </w:rPr>
              <w:t>brzine i usklađenosti s pravilima o sigurnosti na cestama</w:t>
            </w:r>
          </w:p>
        </w:tc>
        <w:tc>
          <w:tcPr>
            <w:tcW w:w="1745" w:type="dxa"/>
            <w:tcBorders>
              <w:top w:val="single" w:sz="4" w:space="0" w:color="auto"/>
              <w:left w:val="nil"/>
              <w:bottom w:val="single" w:sz="4" w:space="0" w:color="auto"/>
              <w:right w:val="single" w:sz="4" w:space="0" w:color="auto"/>
            </w:tcBorders>
            <w:shd w:val="clear" w:color="auto" w:fill="C6EFCE"/>
            <w:noWrap/>
          </w:tcPr>
          <w:p w14:paraId="7F323E02"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581C8AA" w14:textId="77777777" w:rsidR="003F46B9" w:rsidRDefault="0065662E">
            <w:pPr>
              <w:pStyle w:val="P68B1DB1-Normal5"/>
              <w:spacing w:after="0" w:line="240" w:lineRule="auto"/>
              <w:jc w:val="both"/>
              <w:rPr>
                <w:rFonts w:eastAsia="Times New Roman" w:cs="Times New Roman"/>
                <w:noProof/>
              </w:rPr>
            </w:pPr>
            <w:r>
              <w:rPr>
                <w:noProof/>
              </w:rPr>
              <w:t>Broj</w:t>
            </w:r>
          </w:p>
        </w:tc>
        <w:tc>
          <w:tcPr>
            <w:tcW w:w="1159" w:type="dxa"/>
            <w:tcBorders>
              <w:top w:val="single" w:sz="4" w:space="0" w:color="auto"/>
              <w:left w:val="nil"/>
              <w:bottom w:val="single" w:sz="4" w:space="0" w:color="auto"/>
              <w:right w:val="single" w:sz="4" w:space="0" w:color="auto"/>
            </w:tcBorders>
            <w:shd w:val="clear" w:color="auto" w:fill="C6EFCE"/>
            <w:noWrap/>
          </w:tcPr>
          <w:p w14:paraId="1EFBF801"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365F476" w14:textId="77777777" w:rsidR="003F46B9" w:rsidRDefault="0065662E">
            <w:pPr>
              <w:pStyle w:val="P68B1DB1-Normal5"/>
              <w:spacing w:after="0" w:line="240" w:lineRule="auto"/>
              <w:jc w:val="both"/>
              <w:rPr>
                <w:rFonts w:eastAsia="Times New Roman" w:cs="Times New Roman"/>
                <w:noProof/>
              </w:rPr>
            </w:pPr>
            <w:r>
              <w:rPr>
                <w:noProof/>
              </w:rPr>
              <w:t>1 800</w:t>
            </w:r>
          </w:p>
        </w:tc>
        <w:tc>
          <w:tcPr>
            <w:tcW w:w="941" w:type="dxa"/>
            <w:tcBorders>
              <w:top w:val="single" w:sz="4" w:space="0" w:color="auto"/>
              <w:left w:val="nil"/>
              <w:bottom w:val="single" w:sz="4" w:space="0" w:color="auto"/>
              <w:right w:val="single" w:sz="4" w:space="0" w:color="auto"/>
            </w:tcBorders>
            <w:shd w:val="clear" w:color="auto" w:fill="C6EFCE"/>
            <w:noWrap/>
          </w:tcPr>
          <w:p w14:paraId="3960324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3A74A3DB" w14:textId="77777777" w:rsidR="003F46B9" w:rsidRDefault="0065662E">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27BEE3E6" w14:textId="77777777" w:rsidR="003F46B9" w:rsidRDefault="0065662E">
            <w:pPr>
              <w:pStyle w:val="P68B1DB1-Normal5"/>
              <w:spacing w:after="0" w:line="240" w:lineRule="auto"/>
              <w:jc w:val="both"/>
              <w:rPr>
                <w:rFonts w:eastAsia="Times New Roman" w:cs="Times New Roman"/>
                <w:noProof/>
              </w:rPr>
            </w:pPr>
            <w:r>
              <w:rPr>
                <w:noProof/>
              </w:rPr>
              <w:t>Ugrađeno je i funkcionalno 1000 sustava za provjeru brzine, 300 mobilnih radara i 500 kamera.</w:t>
            </w:r>
          </w:p>
          <w:p w14:paraId="6139B223" w14:textId="77777777" w:rsidR="003F46B9" w:rsidRDefault="0065662E">
            <w:pPr>
              <w:pStyle w:val="P68B1DB1-Normal5"/>
              <w:spacing w:after="0" w:line="240" w:lineRule="auto"/>
              <w:jc w:val="both"/>
              <w:rPr>
                <w:rFonts w:eastAsia="Times New Roman" w:cs="Times New Roman"/>
                <w:noProof/>
              </w:rPr>
            </w:pPr>
            <w:r>
              <w:rPr>
                <w:noProof/>
              </w:rPr>
              <w:t xml:space="preserve"> Sustavi za provjeru brzine infrastruktura su za sigurnost na ces</w:t>
            </w:r>
            <w:r>
              <w:rPr>
                <w:noProof/>
              </w:rPr>
              <w:t xml:space="preserve">tama koja se sastoji od konstrukcija ograničenja brzine vozila. Cestovna policija upotrebljava mobilne radare ovisno o sektorima s najvećim brojem zabilježenih povreda brzine, a kamere služe kao automatsko snimanje prekršaja u cestovnom prometu. </w:t>
            </w:r>
          </w:p>
          <w:p w14:paraId="7D73E2C5" w14:textId="77777777" w:rsidR="003F46B9" w:rsidRDefault="0065662E">
            <w:pPr>
              <w:pStyle w:val="P68B1DB1-Normal5"/>
              <w:spacing w:after="0" w:line="240" w:lineRule="auto"/>
              <w:jc w:val="both"/>
              <w:rPr>
                <w:rFonts w:eastAsia="Times New Roman" w:cs="Times New Roman"/>
                <w:noProof/>
              </w:rPr>
            </w:pPr>
            <w:r>
              <w:rPr>
                <w:noProof/>
              </w:rPr>
              <w:t xml:space="preserve">Prednost </w:t>
            </w:r>
            <w:r>
              <w:rPr>
                <w:noProof/>
              </w:rPr>
              <w:t>se daje u utvrđenim 267 crnih točaka/žarišnih točaka.</w:t>
            </w:r>
          </w:p>
        </w:tc>
      </w:tr>
      <w:tr w:rsidR="003F46B9" w14:paraId="7502404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4930159" w14:textId="77777777" w:rsidR="003F46B9" w:rsidRDefault="0065662E">
            <w:pPr>
              <w:pStyle w:val="P68B1DB1-Normal5"/>
              <w:spacing w:after="0" w:line="240" w:lineRule="auto"/>
              <w:jc w:val="center"/>
              <w:rPr>
                <w:rFonts w:eastAsia="Times New Roman" w:cs="Times New Roman"/>
                <w:noProof/>
              </w:rPr>
            </w:pPr>
            <w:r>
              <w:rPr>
                <w:noProof/>
              </w:rPr>
              <w:t>68</w:t>
            </w:r>
          </w:p>
        </w:tc>
        <w:tc>
          <w:tcPr>
            <w:tcW w:w="2013" w:type="dxa"/>
            <w:tcBorders>
              <w:top w:val="single" w:sz="4" w:space="0" w:color="auto"/>
              <w:left w:val="nil"/>
              <w:bottom w:val="single" w:sz="4" w:space="0" w:color="auto"/>
              <w:right w:val="single" w:sz="4" w:space="0" w:color="auto"/>
            </w:tcBorders>
            <w:shd w:val="clear" w:color="auto" w:fill="C6EFCE"/>
            <w:noWrap/>
          </w:tcPr>
          <w:p w14:paraId="46A7AF90"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Reforma 1. Održivi promet, dekarbonizacija i sigurnost na cestama/</w:t>
            </w:r>
            <w:r>
              <w:rPr>
                <w:noProof/>
              </w:rPr>
              <w:t xml:space="preserve"> </w:t>
            </w:r>
            <w:r>
              <w:rPr>
                <w:noProof/>
              </w:rPr>
              <w:br/>
            </w:r>
            <w:r>
              <w:rPr>
                <w:rFonts w:ascii="Times New Roman" w:hAnsi="Times New Roman"/>
                <w:noProof/>
                <w:sz w:val="24"/>
              </w:rPr>
              <w:t>Sigurnost u cestovnom prometu</w:t>
            </w:r>
          </w:p>
        </w:tc>
        <w:tc>
          <w:tcPr>
            <w:tcW w:w="1075" w:type="dxa"/>
            <w:tcBorders>
              <w:top w:val="single" w:sz="4" w:space="0" w:color="auto"/>
              <w:left w:val="nil"/>
              <w:bottom w:val="single" w:sz="4" w:space="0" w:color="auto"/>
              <w:right w:val="single" w:sz="4" w:space="0" w:color="auto"/>
            </w:tcBorders>
            <w:shd w:val="clear" w:color="auto" w:fill="C6EFCE"/>
            <w:noWrap/>
          </w:tcPr>
          <w:p w14:paraId="2A07077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6AB57BF9" w14:textId="77777777" w:rsidR="003F46B9" w:rsidRDefault="0065662E">
            <w:pPr>
              <w:pStyle w:val="P68B1DB1-Normal5"/>
              <w:spacing w:after="0" w:line="240" w:lineRule="auto"/>
              <w:jc w:val="both"/>
              <w:rPr>
                <w:rFonts w:eastAsia="Times New Roman" w:cs="Times New Roman"/>
                <w:noProof/>
              </w:rPr>
            </w:pPr>
            <w:r>
              <w:rPr>
                <w:noProof/>
              </w:rPr>
              <w:t>Smanjenje broja žrtava prometnih nesreća (teško ozlijeđenih i preminulih osoba) za 25 % u odnosu na polaznu vrijednost iz 2019.</w:t>
            </w:r>
          </w:p>
        </w:tc>
        <w:tc>
          <w:tcPr>
            <w:tcW w:w="1745" w:type="dxa"/>
            <w:tcBorders>
              <w:top w:val="single" w:sz="4" w:space="0" w:color="auto"/>
              <w:left w:val="nil"/>
              <w:bottom w:val="single" w:sz="4" w:space="0" w:color="auto"/>
              <w:right w:val="single" w:sz="4" w:space="0" w:color="auto"/>
            </w:tcBorders>
            <w:shd w:val="clear" w:color="auto" w:fill="C6EFCE"/>
            <w:noWrap/>
          </w:tcPr>
          <w:p w14:paraId="4F61FE4F"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D660A64" w14:textId="77777777" w:rsidR="003F46B9" w:rsidRDefault="0065662E">
            <w:pPr>
              <w:pStyle w:val="P68B1DB1-Normal5"/>
              <w:spacing w:after="0" w:line="240" w:lineRule="auto"/>
              <w:rPr>
                <w:rFonts w:eastAsia="Times New Roman" w:cs="Times New Roman"/>
                <w:noProof/>
              </w:rPr>
            </w:pPr>
            <w:r>
              <w:rPr>
                <w:noProof/>
              </w:rPr>
              <w:t>Postotak (%)</w:t>
            </w:r>
          </w:p>
          <w:p w14:paraId="4EA99B88"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BC09E53" w14:textId="77777777" w:rsidR="003F46B9" w:rsidRDefault="0065662E">
            <w:pPr>
              <w:pStyle w:val="P68B1DB1-Normal5"/>
              <w:spacing w:after="0" w:line="240" w:lineRule="auto"/>
              <w:jc w:val="both"/>
              <w:rPr>
                <w:rFonts w:eastAsia="Times New Roman" w:cs="Times New Roman"/>
                <w:noProof/>
              </w:rPr>
            </w:pPr>
            <w:r>
              <w:rPr>
                <w:noProof/>
              </w:rPr>
              <w:t>100</w:t>
            </w:r>
          </w:p>
        </w:tc>
        <w:tc>
          <w:tcPr>
            <w:tcW w:w="725" w:type="dxa"/>
            <w:tcBorders>
              <w:top w:val="single" w:sz="4" w:space="0" w:color="auto"/>
              <w:left w:val="nil"/>
              <w:bottom w:val="single" w:sz="4" w:space="0" w:color="auto"/>
              <w:right w:val="single" w:sz="4" w:space="0" w:color="auto"/>
            </w:tcBorders>
            <w:shd w:val="clear" w:color="auto" w:fill="C6EFCE"/>
            <w:noWrap/>
          </w:tcPr>
          <w:p w14:paraId="0786C1E7" w14:textId="77777777" w:rsidR="003F46B9" w:rsidRDefault="0065662E">
            <w:pPr>
              <w:pStyle w:val="P68B1DB1-Normal5"/>
              <w:spacing w:after="0" w:line="240" w:lineRule="auto"/>
              <w:jc w:val="both"/>
              <w:rPr>
                <w:rFonts w:eastAsia="Times New Roman" w:cs="Times New Roman"/>
                <w:noProof/>
              </w:rPr>
            </w:pPr>
            <w:r>
              <w:rPr>
                <w:noProof/>
              </w:rPr>
              <w:t>75</w:t>
            </w:r>
          </w:p>
        </w:tc>
        <w:tc>
          <w:tcPr>
            <w:tcW w:w="941" w:type="dxa"/>
            <w:tcBorders>
              <w:top w:val="single" w:sz="4" w:space="0" w:color="auto"/>
              <w:left w:val="nil"/>
              <w:bottom w:val="single" w:sz="4" w:space="0" w:color="auto"/>
              <w:right w:val="single" w:sz="4" w:space="0" w:color="auto"/>
            </w:tcBorders>
            <w:shd w:val="clear" w:color="auto" w:fill="C6EFCE"/>
            <w:noWrap/>
          </w:tcPr>
          <w:p w14:paraId="57C9760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66C21D2C"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3FE5FC06" w14:textId="77777777" w:rsidR="003F46B9" w:rsidRDefault="0065662E">
            <w:pPr>
              <w:pStyle w:val="P68B1DB1-Normal5"/>
              <w:spacing w:after="0" w:line="240" w:lineRule="auto"/>
              <w:jc w:val="both"/>
              <w:rPr>
                <w:rFonts w:eastAsia="Times New Roman" w:cs="Times New Roman"/>
                <w:noProof/>
              </w:rPr>
            </w:pPr>
            <w:r>
              <w:rPr>
                <w:noProof/>
              </w:rPr>
              <w:t>Cilj se odnosi na najmanje 25 %-tno smanjenje godišnjeg broja žrtava (teško ozlijeđenih i</w:t>
            </w:r>
            <w:r>
              <w:rPr>
                <w:noProof/>
              </w:rPr>
              <w:t xml:space="preserve"> preminulih osoba) 2025. u odnosu na polaznu vrijednost iz 2019. u prometnim nesrećama diljem zemlje zahvaljujući reformi sigurnosti na cestama, sveobuhvatnom akcijskom planu i ulaganjima u sigurnost na cestama koja se podupiru u okviru rumunjskog plana za</w:t>
            </w:r>
            <w:r>
              <w:rPr>
                <w:noProof/>
              </w:rPr>
              <w:t xml:space="preserve"> oporavak i otpornost. Nacionalni zavod za statistiku dostavlja službene podatke za kraj 2025. do kraja prvog tromjesečja 2026.</w:t>
            </w:r>
          </w:p>
        </w:tc>
      </w:tr>
      <w:tr w:rsidR="003F46B9" w14:paraId="013C3612"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267E1CA" w14:textId="77777777" w:rsidR="003F46B9" w:rsidRDefault="0065662E">
            <w:pPr>
              <w:pStyle w:val="P68B1DB1-Normal5"/>
              <w:spacing w:after="0" w:line="240" w:lineRule="auto"/>
              <w:jc w:val="center"/>
              <w:rPr>
                <w:rFonts w:eastAsia="Times New Roman" w:cs="Times New Roman"/>
                <w:noProof/>
              </w:rPr>
            </w:pPr>
            <w:r>
              <w:rPr>
                <w:noProof/>
              </w:rPr>
              <w:t>69</w:t>
            </w:r>
          </w:p>
        </w:tc>
        <w:tc>
          <w:tcPr>
            <w:tcW w:w="2013" w:type="dxa"/>
            <w:tcBorders>
              <w:top w:val="single" w:sz="4" w:space="0" w:color="auto"/>
              <w:left w:val="nil"/>
              <w:bottom w:val="single" w:sz="4" w:space="0" w:color="auto"/>
              <w:right w:val="single" w:sz="4" w:space="0" w:color="auto"/>
            </w:tcBorders>
            <w:shd w:val="clear" w:color="auto" w:fill="C6EFCE"/>
            <w:noWrap/>
          </w:tcPr>
          <w:p w14:paraId="164DFD0B"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Reforma 1. Održivi promet, dekarbonizacija i sigurnost na cestama/</w:t>
            </w:r>
            <w:r>
              <w:rPr>
                <w:noProof/>
              </w:rPr>
              <w:t xml:space="preserve"> </w:t>
            </w:r>
            <w:r>
              <w:rPr>
                <w:noProof/>
              </w:rPr>
              <w:br/>
            </w:r>
            <w:r>
              <w:rPr>
                <w:rFonts w:ascii="Times New Roman" w:hAnsi="Times New Roman"/>
                <w:noProof/>
                <w:sz w:val="24"/>
              </w:rPr>
              <w:t xml:space="preserve">Razvoj željezničke infrastrukture i upravljanje </w:t>
            </w:r>
            <w:r>
              <w:rPr>
                <w:rFonts w:ascii="Times New Roman" w:hAnsi="Times New Roman"/>
                <w:noProof/>
                <w:sz w:val="24"/>
              </w:rPr>
              <w:t>željezničkim prometom</w:t>
            </w:r>
          </w:p>
        </w:tc>
        <w:tc>
          <w:tcPr>
            <w:tcW w:w="1075" w:type="dxa"/>
            <w:tcBorders>
              <w:top w:val="single" w:sz="4" w:space="0" w:color="auto"/>
              <w:left w:val="nil"/>
              <w:bottom w:val="single" w:sz="4" w:space="0" w:color="auto"/>
              <w:right w:val="single" w:sz="4" w:space="0" w:color="auto"/>
            </w:tcBorders>
            <w:shd w:val="clear" w:color="auto" w:fill="C6EFCE"/>
            <w:noWrap/>
          </w:tcPr>
          <w:p w14:paraId="48F14FC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6C8F969B" w14:textId="77777777" w:rsidR="003F46B9" w:rsidRDefault="0065662E">
            <w:pPr>
              <w:pStyle w:val="P68B1DB1-Normal5"/>
              <w:spacing w:after="0" w:line="240" w:lineRule="auto"/>
              <w:jc w:val="both"/>
              <w:rPr>
                <w:rFonts w:eastAsia="Times New Roman" w:cs="Times New Roman"/>
                <w:noProof/>
              </w:rPr>
            </w:pPr>
            <w:r>
              <w:rPr>
                <w:noProof/>
              </w:rPr>
              <w:t>Donošenje strategije za razvoj željezničke infrastrukture za razdoblje 2021. 2025. i primjena akcijskog plana</w:t>
            </w:r>
          </w:p>
        </w:tc>
        <w:tc>
          <w:tcPr>
            <w:tcW w:w="1745" w:type="dxa"/>
            <w:tcBorders>
              <w:top w:val="single" w:sz="4" w:space="0" w:color="auto"/>
              <w:left w:val="nil"/>
              <w:bottom w:val="single" w:sz="4" w:space="0" w:color="auto"/>
              <w:right w:val="single" w:sz="4" w:space="0" w:color="auto"/>
            </w:tcBorders>
            <w:shd w:val="clear" w:color="auto" w:fill="C6EFCE"/>
            <w:noWrap/>
          </w:tcPr>
          <w:p w14:paraId="5B91B36A" w14:textId="41405E67" w:rsidR="003F46B9" w:rsidRDefault="0065662E">
            <w:pPr>
              <w:pStyle w:val="P68B1DB1-Normal5"/>
              <w:spacing w:after="0" w:line="240" w:lineRule="auto"/>
              <w:jc w:val="both"/>
              <w:rPr>
                <w:rFonts w:eastAsia="Times New Roman" w:cs="Times New Roman"/>
                <w:noProof/>
              </w:rPr>
            </w:pPr>
            <w:r>
              <w:rPr>
                <w:noProof/>
              </w:rPr>
              <w:t>Donošenje strategije za razvoj željezničke infrastrukture Odlukom Vlade br. 985/2020 (sekundarno zakonodavstvo),</w:t>
            </w:r>
            <w:r>
              <w:rPr>
                <w:noProof/>
              </w:rPr>
              <w:t xml:space="preserve"> donošenje akcijskog plana i početak provedbe</w:t>
            </w:r>
          </w:p>
        </w:tc>
        <w:tc>
          <w:tcPr>
            <w:tcW w:w="941" w:type="dxa"/>
            <w:tcBorders>
              <w:top w:val="single" w:sz="4" w:space="0" w:color="auto"/>
              <w:left w:val="nil"/>
              <w:bottom w:val="single" w:sz="4" w:space="0" w:color="auto"/>
              <w:right w:val="single" w:sz="4" w:space="0" w:color="auto"/>
            </w:tcBorders>
            <w:shd w:val="clear" w:color="auto" w:fill="C6EFCE"/>
            <w:noWrap/>
          </w:tcPr>
          <w:p w14:paraId="7F9CD421"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E82E209"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E264A69"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E01817F"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7AD1DFCB" w14:textId="77777777" w:rsidR="003F46B9" w:rsidRDefault="0065662E">
            <w:pPr>
              <w:pStyle w:val="P68B1DB1-Normal5"/>
              <w:spacing w:after="0" w:line="240" w:lineRule="auto"/>
              <w:jc w:val="both"/>
              <w:rPr>
                <w:rFonts w:eastAsia="Times New Roman" w:cs="Times New Roman"/>
                <w:noProof/>
              </w:rPr>
            </w:pPr>
            <w:r>
              <w:rPr>
                <w:noProof/>
              </w:rPr>
              <w:t>2021</w:t>
            </w:r>
          </w:p>
        </w:tc>
        <w:tc>
          <w:tcPr>
            <w:tcW w:w="3691" w:type="dxa"/>
            <w:tcBorders>
              <w:top w:val="single" w:sz="4" w:space="0" w:color="auto"/>
              <w:left w:val="nil"/>
              <w:bottom w:val="single" w:sz="4" w:space="0" w:color="auto"/>
              <w:right w:val="single" w:sz="4" w:space="0" w:color="auto"/>
            </w:tcBorders>
            <w:shd w:val="clear" w:color="auto" w:fill="C6EFCE"/>
            <w:noWrap/>
          </w:tcPr>
          <w:p w14:paraId="608355D9" w14:textId="77777777" w:rsidR="003F46B9" w:rsidRDefault="0065662E">
            <w:pPr>
              <w:pStyle w:val="P68B1DB1-Normal5"/>
              <w:spacing w:after="0" w:line="240" w:lineRule="auto"/>
              <w:jc w:val="both"/>
              <w:rPr>
                <w:rFonts w:eastAsia="Times New Roman" w:cs="Times New Roman"/>
                <w:noProof/>
              </w:rPr>
            </w:pPr>
            <w:r>
              <w:rPr>
                <w:noProof/>
              </w:rPr>
              <w:t>U odobrenoj strategiji i akcijskom planu utvrđuju se nadležna tijela/aktori, rokovi za provedbu, dodjela financijskih sredstava i pokazatelji. Istodobno, ministar prometa i infrastru</w:t>
            </w:r>
            <w:r>
              <w:rPr>
                <w:noProof/>
              </w:rPr>
              <w:t>kture zajedno s C.N.C.F. C.F.R. SA-om utvrđuje mehanizam s jasnim pokazateljima i kriterijima za davanje prednosti ulaganjima u željezničku infrastrukturu, kao i institucijske aranžmane potrebne za provedbu tog mehanizma i pripremu projekata ulaganja.</w:t>
            </w:r>
          </w:p>
          <w:p w14:paraId="29813D46" w14:textId="77777777" w:rsidR="003F46B9" w:rsidRDefault="0065662E">
            <w:pPr>
              <w:pStyle w:val="P68B1DB1-Normal5"/>
              <w:spacing w:after="0" w:line="240" w:lineRule="auto"/>
              <w:jc w:val="both"/>
              <w:rPr>
                <w:rFonts w:eastAsia="Times New Roman" w:cs="Times New Roman"/>
                <w:noProof/>
              </w:rPr>
            </w:pPr>
            <w:r>
              <w:rPr>
                <w:noProof/>
              </w:rPr>
              <w:t>Dono</w:t>
            </w:r>
            <w:r>
              <w:rPr>
                <w:noProof/>
              </w:rPr>
              <w:t>šenje akcijskog plana za razvoj željezničke infrastrukture za razdoblje 2021. 2025. koji uključuje:</w:t>
            </w:r>
          </w:p>
          <w:p w14:paraId="5E187F4B"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sustav s pokazateljima za određivanje prioriteta ulaganja;</w:t>
            </w:r>
          </w:p>
          <w:p w14:paraId="6CD84A6B"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strukturu odgovornu za pripremu projekta;</w:t>
            </w:r>
          </w:p>
          <w:p w14:paraId="40ABD379"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 xml:space="preserve">mjere za povećanje željezničkog teretnog prometa za </w:t>
            </w:r>
            <w:r>
              <w:rPr>
                <w:noProof/>
              </w:rPr>
              <w:t>najmanje 25 % 2026. u odnosu na 2020.;</w:t>
            </w:r>
          </w:p>
          <w:p w14:paraId="1ADC9250" w14:textId="77777777" w:rsidR="003F46B9" w:rsidRDefault="0065662E">
            <w:pPr>
              <w:pStyle w:val="P68B1DB1-ListParagraph13"/>
              <w:numPr>
                <w:ilvl w:val="0"/>
                <w:numId w:val="33"/>
              </w:numPr>
              <w:spacing w:after="0" w:line="240" w:lineRule="auto"/>
              <w:ind w:left="250" w:hanging="218"/>
              <w:jc w:val="both"/>
              <w:rPr>
                <w:rFonts w:cs="Times New Roman"/>
                <w:noProof/>
              </w:rPr>
            </w:pPr>
            <w:r>
              <w:rPr>
                <w:noProof/>
              </w:rPr>
              <w:t>namjenske mjere s ciljem postizanja cilja povećanja broja putnika u željezničkom prometu za prosječno 25 % u odnosu na polaznu vrijednost iz 2021.;</w:t>
            </w:r>
          </w:p>
          <w:p w14:paraId="1AE5DA3C"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mjere za povećanje korištenja novostečenih željezničkih vozila;</w:t>
            </w:r>
          </w:p>
          <w:p w14:paraId="7EF1FB19"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mjere</w:t>
            </w:r>
            <w:r>
              <w:rPr>
                <w:noProof/>
              </w:rPr>
              <w:t xml:space="preserve"> za preusmjeravanje putnika s autobusa/minibusa na željeznice na autobusnim linijama.</w:t>
            </w:r>
          </w:p>
          <w:p w14:paraId="243ADCFA" w14:textId="77777777" w:rsidR="003F46B9" w:rsidRDefault="0065662E">
            <w:pPr>
              <w:pStyle w:val="P68B1DB1-Normal5"/>
              <w:spacing w:after="0" w:line="240" w:lineRule="auto"/>
              <w:jc w:val="both"/>
              <w:rPr>
                <w:rFonts w:eastAsia="Times New Roman" w:cs="Times New Roman"/>
                <w:noProof/>
              </w:rPr>
            </w:pPr>
            <w:r>
              <w:rPr>
                <w:noProof/>
              </w:rPr>
              <w:t>Ministarstvo prometa i infrastrukture također odobrava Plan ulaganja za razvoj prometne infrastrukture za razdoblje 2020. – 2030., u kojem se prednost daje ulaganjima u ž</w:t>
            </w:r>
            <w:r>
              <w:rPr>
                <w:noProof/>
              </w:rPr>
              <w:t>eljeznicu i operacionalizaciji ERTMS-a u skladu s Planom za oporavak i otpornost, čime se ažurira strategija razvoja željezničke infrastrukture s obzirom na sve dostupne izvore financiranja.</w:t>
            </w:r>
          </w:p>
        </w:tc>
      </w:tr>
      <w:tr w:rsidR="003F46B9" w14:paraId="7F6111C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7DF2FC72" w14:textId="77777777" w:rsidR="003F46B9" w:rsidRDefault="0065662E">
            <w:pPr>
              <w:pStyle w:val="P68B1DB1-Normal5"/>
              <w:spacing w:after="0" w:line="240" w:lineRule="auto"/>
              <w:jc w:val="center"/>
              <w:rPr>
                <w:rFonts w:eastAsia="Times New Roman" w:cs="Times New Roman"/>
                <w:noProof/>
              </w:rPr>
            </w:pPr>
            <w:r>
              <w:rPr>
                <w:noProof/>
              </w:rPr>
              <w:t>70</w:t>
            </w:r>
          </w:p>
        </w:tc>
        <w:tc>
          <w:tcPr>
            <w:tcW w:w="2013" w:type="dxa"/>
            <w:tcBorders>
              <w:top w:val="single" w:sz="4" w:space="0" w:color="auto"/>
              <w:left w:val="nil"/>
              <w:bottom w:val="single" w:sz="4" w:space="0" w:color="auto"/>
              <w:right w:val="single" w:sz="4" w:space="0" w:color="auto"/>
            </w:tcBorders>
            <w:shd w:val="clear" w:color="auto" w:fill="C6EFCE"/>
            <w:noWrap/>
          </w:tcPr>
          <w:p w14:paraId="6DCB8C30"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Reforma 1. Održivi promet, dekarbonizacija i sigurnost na </w:t>
            </w:r>
            <w:r>
              <w:rPr>
                <w:rFonts w:ascii="Times New Roman" w:hAnsi="Times New Roman"/>
                <w:noProof/>
                <w:sz w:val="24"/>
              </w:rPr>
              <w:t>cestama/</w:t>
            </w:r>
            <w:r>
              <w:rPr>
                <w:noProof/>
              </w:rPr>
              <w:t xml:space="preserve"> </w:t>
            </w:r>
            <w:r>
              <w:rPr>
                <w:noProof/>
              </w:rPr>
              <w:br/>
            </w:r>
            <w:r>
              <w:rPr>
                <w:rFonts w:ascii="Times New Roman" w:hAnsi="Times New Roman"/>
                <w:noProof/>
                <w:sz w:val="24"/>
              </w:rPr>
              <w:t>Razvoj željezničke infrastrukture i upravljanje željezničkim prometom</w:t>
            </w:r>
          </w:p>
        </w:tc>
        <w:tc>
          <w:tcPr>
            <w:tcW w:w="1075" w:type="dxa"/>
            <w:tcBorders>
              <w:top w:val="single" w:sz="4" w:space="0" w:color="auto"/>
              <w:left w:val="nil"/>
              <w:bottom w:val="single" w:sz="4" w:space="0" w:color="auto"/>
              <w:right w:val="single" w:sz="4" w:space="0" w:color="auto"/>
            </w:tcBorders>
            <w:shd w:val="clear" w:color="auto" w:fill="C6EFCE"/>
            <w:noWrap/>
          </w:tcPr>
          <w:p w14:paraId="34CDECAC"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5AFD573A" w14:textId="77777777" w:rsidR="003F46B9" w:rsidRDefault="0065662E">
            <w:pPr>
              <w:pStyle w:val="P68B1DB1-Normal5"/>
              <w:spacing w:after="0" w:line="240" w:lineRule="auto"/>
              <w:jc w:val="both"/>
              <w:rPr>
                <w:rFonts w:eastAsia="Times New Roman" w:cs="Times New Roman"/>
                <w:noProof/>
              </w:rPr>
            </w:pPr>
            <w:r>
              <w:rPr>
                <w:noProof/>
              </w:rPr>
              <w:t>Objava i provedba nacionalnog akcijskog plana Europskog sustava upravljanja željezničkim prometom (ERTMS)</w:t>
            </w:r>
          </w:p>
        </w:tc>
        <w:tc>
          <w:tcPr>
            <w:tcW w:w="1745" w:type="dxa"/>
            <w:tcBorders>
              <w:top w:val="single" w:sz="4" w:space="0" w:color="auto"/>
              <w:left w:val="nil"/>
              <w:bottom w:val="single" w:sz="4" w:space="0" w:color="auto"/>
              <w:right w:val="single" w:sz="4" w:space="0" w:color="auto"/>
            </w:tcBorders>
            <w:shd w:val="clear" w:color="auto" w:fill="C6EFCE"/>
            <w:noWrap/>
          </w:tcPr>
          <w:p w14:paraId="4408369E" w14:textId="77777777" w:rsidR="003F46B9" w:rsidRDefault="0065662E">
            <w:pPr>
              <w:pStyle w:val="P68B1DB1-Normal5"/>
              <w:spacing w:after="0" w:line="240" w:lineRule="auto"/>
              <w:jc w:val="both"/>
              <w:rPr>
                <w:rFonts w:eastAsia="Times New Roman" w:cs="Times New Roman"/>
                <w:noProof/>
              </w:rPr>
            </w:pPr>
            <w:r>
              <w:rPr>
                <w:noProof/>
              </w:rPr>
              <w:t>Donošenje i provedba akcijskog plana</w:t>
            </w:r>
          </w:p>
        </w:tc>
        <w:tc>
          <w:tcPr>
            <w:tcW w:w="941" w:type="dxa"/>
            <w:tcBorders>
              <w:top w:val="single" w:sz="4" w:space="0" w:color="auto"/>
              <w:left w:val="nil"/>
              <w:bottom w:val="single" w:sz="4" w:space="0" w:color="auto"/>
              <w:right w:val="single" w:sz="4" w:space="0" w:color="auto"/>
            </w:tcBorders>
            <w:shd w:val="clear" w:color="auto" w:fill="C6EFCE"/>
            <w:noWrap/>
          </w:tcPr>
          <w:p w14:paraId="0A24307B"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2964936F"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278DE5F"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1F79C35" w14:textId="77777777" w:rsidR="003F46B9" w:rsidRDefault="0065662E">
            <w:pPr>
              <w:pStyle w:val="P68B1DB1-Normal5"/>
              <w:spacing w:after="0" w:line="240" w:lineRule="auto"/>
              <w:jc w:val="both"/>
              <w:rPr>
                <w:rFonts w:eastAsia="Times New Roman" w:cs="Times New Roman"/>
                <w:noProof/>
              </w:rPr>
            </w:pPr>
            <w:r>
              <w:rPr>
                <w:noProof/>
              </w:rPr>
              <w:t xml:space="preserve">ČETVRTO </w:t>
            </w: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533071D9" w14:textId="77777777" w:rsidR="003F46B9" w:rsidRDefault="0065662E">
            <w:pPr>
              <w:pStyle w:val="P68B1DB1-Normal5"/>
              <w:spacing w:after="0" w:line="240" w:lineRule="auto"/>
              <w:jc w:val="both"/>
              <w:rPr>
                <w:rFonts w:eastAsia="Times New Roman" w:cs="Times New Roman"/>
                <w:noProof/>
              </w:rPr>
            </w:pPr>
            <w:r>
              <w:rPr>
                <w:noProof/>
              </w:rPr>
              <w:t>2025</w:t>
            </w:r>
          </w:p>
        </w:tc>
        <w:tc>
          <w:tcPr>
            <w:tcW w:w="3691" w:type="dxa"/>
            <w:tcBorders>
              <w:top w:val="single" w:sz="4" w:space="0" w:color="auto"/>
              <w:left w:val="nil"/>
              <w:bottom w:val="single" w:sz="4" w:space="0" w:color="auto"/>
              <w:right w:val="single" w:sz="4" w:space="0" w:color="auto"/>
            </w:tcBorders>
            <w:shd w:val="clear" w:color="auto" w:fill="C6EFCE"/>
            <w:noWrap/>
          </w:tcPr>
          <w:p w14:paraId="048C6E73" w14:textId="77777777" w:rsidR="003F46B9" w:rsidRDefault="0065662E">
            <w:pPr>
              <w:pStyle w:val="P68B1DB1-Normal5"/>
              <w:spacing w:after="0" w:line="240" w:lineRule="auto"/>
              <w:jc w:val="both"/>
              <w:rPr>
                <w:rFonts w:eastAsia="Times New Roman" w:cs="Times New Roman"/>
                <w:noProof/>
              </w:rPr>
            </w:pPr>
            <w:r>
              <w:rPr>
                <w:noProof/>
              </w:rPr>
              <w:t xml:space="preserve">Ključna etapa odnosi se na provedbu novog akcijskog plana za ERTMS do 2025. </w:t>
            </w:r>
          </w:p>
          <w:p w14:paraId="1A75D260" w14:textId="77777777" w:rsidR="003F46B9" w:rsidRDefault="0065662E">
            <w:pPr>
              <w:pStyle w:val="P68B1DB1-Normal5"/>
              <w:spacing w:after="0" w:line="240" w:lineRule="auto"/>
              <w:jc w:val="both"/>
              <w:rPr>
                <w:rFonts w:eastAsia="Times New Roman" w:cs="Times New Roman"/>
                <w:noProof/>
              </w:rPr>
            </w:pPr>
            <w:r>
              <w:rPr>
                <w:noProof/>
              </w:rPr>
              <w:t>Akcijski plan uključuje:</w:t>
            </w:r>
          </w:p>
          <w:p w14:paraId="351460E0" w14:textId="77777777" w:rsidR="003F46B9" w:rsidRDefault="0065662E">
            <w:pPr>
              <w:pStyle w:val="P68B1DB1-ListParagraph13"/>
              <w:numPr>
                <w:ilvl w:val="0"/>
                <w:numId w:val="34"/>
              </w:numPr>
              <w:spacing w:after="0" w:line="240" w:lineRule="auto"/>
              <w:ind w:left="250" w:hanging="218"/>
              <w:jc w:val="both"/>
              <w:rPr>
                <w:rFonts w:eastAsia="Times New Roman" w:cs="Times New Roman"/>
                <w:noProof/>
              </w:rPr>
            </w:pPr>
            <w:r>
              <w:rPr>
                <w:noProof/>
              </w:rPr>
              <w:t>jasni koraci za uvođenje i certifikaciju ERTMS-a za osnovnu mrežu TEN-T u srednjoročnom (2025.) i dugoročnom razdoblju (svizon 2030.);</w:t>
            </w:r>
          </w:p>
          <w:p w14:paraId="69D54D76" w14:textId="77777777" w:rsidR="003F46B9" w:rsidRDefault="0065662E">
            <w:pPr>
              <w:pStyle w:val="P68B1DB1-ListParagraph13"/>
              <w:numPr>
                <w:ilvl w:val="0"/>
                <w:numId w:val="34"/>
              </w:numPr>
              <w:spacing w:after="0" w:line="240" w:lineRule="auto"/>
              <w:ind w:left="250" w:hanging="218"/>
              <w:jc w:val="both"/>
              <w:rPr>
                <w:rFonts w:eastAsia="Times New Roman" w:cs="Times New Roman"/>
                <w:noProof/>
              </w:rPr>
            </w:pPr>
            <w:r>
              <w:rPr>
                <w:noProof/>
              </w:rPr>
              <w:t>od</w:t>
            </w:r>
            <w:r>
              <w:rPr>
                <w:noProof/>
              </w:rPr>
              <w:t>govorni subjekti;</w:t>
            </w:r>
          </w:p>
          <w:p w14:paraId="37098AC6" w14:textId="77777777" w:rsidR="003F46B9" w:rsidRDefault="0065662E">
            <w:pPr>
              <w:pStyle w:val="P68B1DB1-ListParagraph13"/>
              <w:numPr>
                <w:ilvl w:val="0"/>
                <w:numId w:val="34"/>
              </w:numPr>
              <w:spacing w:after="0" w:line="240" w:lineRule="auto"/>
              <w:ind w:left="250" w:hanging="218"/>
              <w:jc w:val="both"/>
              <w:rPr>
                <w:rFonts w:eastAsia="Times New Roman" w:cs="Times New Roman"/>
                <w:noProof/>
              </w:rPr>
            </w:pPr>
            <w:r>
              <w:rPr>
                <w:noProof/>
              </w:rPr>
              <w:t>proračunske procjene;</w:t>
            </w:r>
          </w:p>
          <w:p w14:paraId="041D9EC8" w14:textId="77777777" w:rsidR="003F46B9" w:rsidRDefault="0065662E">
            <w:pPr>
              <w:pStyle w:val="P68B1DB1-ListParagraph13"/>
              <w:numPr>
                <w:ilvl w:val="0"/>
                <w:numId w:val="34"/>
              </w:numPr>
              <w:spacing w:after="0" w:line="240" w:lineRule="auto"/>
              <w:ind w:left="250" w:hanging="218"/>
              <w:jc w:val="both"/>
              <w:rPr>
                <w:rFonts w:eastAsia="Times New Roman" w:cs="Times New Roman"/>
                <w:noProof/>
              </w:rPr>
            </w:pPr>
            <w:r>
              <w:rPr>
                <w:noProof/>
              </w:rPr>
              <w:t>mjere administrativnog kapaciteta na nacionalnoj razini za prijavljena tijela kako bi se u potpunosti upravljalo postupkom certifikacije ERTMS-a za sve predviđene sektore u vremenskom okviru njihove izgradnje kako bi</w:t>
            </w:r>
            <w:r>
              <w:rPr>
                <w:noProof/>
              </w:rPr>
              <w:t xml:space="preserve"> se osigurala potpuna operacionalizacija.</w:t>
            </w:r>
          </w:p>
        </w:tc>
      </w:tr>
      <w:tr w:rsidR="003F46B9" w14:paraId="505B9FC1"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49F314AB" w14:textId="77777777" w:rsidR="003F46B9" w:rsidRDefault="0065662E">
            <w:pPr>
              <w:pStyle w:val="P68B1DB1-Normal5"/>
              <w:spacing w:after="0" w:line="240" w:lineRule="auto"/>
              <w:jc w:val="center"/>
              <w:rPr>
                <w:rFonts w:eastAsia="Times New Roman" w:cs="Times New Roman"/>
                <w:noProof/>
              </w:rPr>
            </w:pPr>
            <w:r>
              <w:rPr>
                <w:noProof/>
              </w:rPr>
              <w:t>71</w:t>
            </w:r>
          </w:p>
        </w:tc>
        <w:tc>
          <w:tcPr>
            <w:tcW w:w="2013" w:type="dxa"/>
            <w:tcBorders>
              <w:top w:val="single" w:sz="4" w:space="0" w:color="auto"/>
              <w:left w:val="nil"/>
              <w:bottom w:val="single" w:sz="4" w:space="0" w:color="auto"/>
              <w:right w:val="single" w:sz="4" w:space="0" w:color="auto"/>
            </w:tcBorders>
            <w:shd w:val="clear" w:color="auto" w:fill="C6EFCE"/>
            <w:noWrap/>
          </w:tcPr>
          <w:p w14:paraId="0D6CD232" w14:textId="77777777" w:rsidR="003F46B9" w:rsidRDefault="0065662E">
            <w:pPr>
              <w:pStyle w:val="P68B1DB1-Normal5"/>
              <w:spacing w:after="0" w:line="240" w:lineRule="auto"/>
              <w:jc w:val="both"/>
              <w:rPr>
                <w:rFonts w:eastAsia="Times New Roman" w:cs="Times New Roman"/>
                <w:noProof/>
              </w:rPr>
            </w:pPr>
            <w:r>
              <w:rPr>
                <w:noProof/>
              </w:rPr>
              <w:t>Reforma 1. Održivi promet, dekarbonizacija i sigurnost na cestama/</w:t>
            </w:r>
          </w:p>
          <w:p w14:paraId="22C87520" w14:textId="77777777" w:rsidR="003F46B9" w:rsidRDefault="0065662E">
            <w:pPr>
              <w:pStyle w:val="P68B1DB1-Normal5"/>
              <w:spacing w:after="0" w:line="240" w:lineRule="auto"/>
              <w:jc w:val="both"/>
              <w:rPr>
                <w:rFonts w:eastAsia="Times New Roman" w:cs="Times New Roman"/>
                <w:noProof/>
              </w:rPr>
            </w:pPr>
            <w:r>
              <w:rPr>
                <w:noProof/>
              </w:rPr>
              <w:t>Strategija pomorskog prometa</w:t>
            </w:r>
          </w:p>
        </w:tc>
        <w:tc>
          <w:tcPr>
            <w:tcW w:w="1075" w:type="dxa"/>
            <w:tcBorders>
              <w:top w:val="single" w:sz="4" w:space="0" w:color="auto"/>
              <w:left w:val="nil"/>
              <w:bottom w:val="single" w:sz="4" w:space="0" w:color="auto"/>
              <w:right w:val="single" w:sz="4" w:space="0" w:color="auto"/>
            </w:tcBorders>
            <w:shd w:val="clear" w:color="auto" w:fill="C6EFCE"/>
            <w:noWrap/>
          </w:tcPr>
          <w:p w14:paraId="7F41FF7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21F3B827" w14:textId="07AAA51B" w:rsidR="003F46B9" w:rsidRDefault="0065662E">
            <w:pPr>
              <w:pStyle w:val="P68B1DB1-Normal5"/>
              <w:spacing w:after="0" w:line="240" w:lineRule="auto"/>
              <w:jc w:val="both"/>
              <w:rPr>
                <w:rFonts w:eastAsia="Times New Roman" w:cs="Times New Roman"/>
                <w:noProof/>
              </w:rPr>
            </w:pPr>
            <w:r>
              <w:rPr>
                <w:noProof/>
              </w:rPr>
              <w:t>Donošenje strategije za pomorski promet</w:t>
            </w:r>
          </w:p>
        </w:tc>
        <w:tc>
          <w:tcPr>
            <w:tcW w:w="1745" w:type="dxa"/>
            <w:tcBorders>
              <w:top w:val="single" w:sz="4" w:space="0" w:color="auto"/>
              <w:left w:val="nil"/>
              <w:bottom w:val="single" w:sz="4" w:space="0" w:color="auto"/>
              <w:right w:val="single" w:sz="4" w:space="0" w:color="auto"/>
            </w:tcBorders>
            <w:shd w:val="clear" w:color="auto" w:fill="C6EFCE"/>
            <w:noWrap/>
          </w:tcPr>
          <w:p w14:paraId="1DEC8451" w14:textId="77777777" w:rsidR="003F46B9" w:rsidRDefault="0065662E">
            <w:pPr>
              <w:pStyle w:val="P68B1DB1-Normal5"/>
              <w:spacing w:after="0" w:line="240" w:lineRule="auto"/>
              <w:jc w:val="both"/>
              <w:rPr>
                <w:rFonts w:eastAsia="Times New Roman" w:cs="Times New Roman"/>
                <w:noProof/>
              </w:rPr>
            </w:pPr>
            <w:r>
              <w:rPr>
                <w:noProof/>
              </w:rPr>
              <w:t>Vlada donosi pomorsku strategiju</w:t>
            </w:r>
          </w:p>
        </w:tc>
        <w:tc>
          <w:tcPr>
            <w:tcW w:w="941" w:type="dxa"/>
            <w:tcBorders>
              <w:top w:val="single" w:sz="4" w:space="0" w:color="auto"/>
              <w:left w:val="nil"/>
              <w:bottom w:val="single" w:sz="4" w:space="0" w:color="auto"/>
              <w:right w:val="single" w:sz="4" w:space="0" w:color="auto"/>
            </w:tcBorders>
            <w:shd w:val="clear" w:color="auto" w:fill="C6EFCE"/>
            <w:noWrap/>
          </w:tcPr>
          <w:p w14:paraId="159CCA3B"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3B06F2C1"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49BAE3B"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377D84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17B153F8" w14:textId="77777777" w:rsidR="003F46B9" w:rsidRDefault="0065662E">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8EF16B5" w14:textId="77777777" w:rsidR="003F46B9" w:rsidRDefault="0065662E">
            <w:pPr>
              <w:pStyle w:val="P68B1DB1-Normal5"/>
              <w:spacing w:after="0" w:line="240" w:lineRule="auto"/>
              <w:jc w:val="both"/>
              <w:rPr>
                <w:rFonts w:cs="Times New Roman"/>
                <w:noProof/>
              </w:rPr>
            </w:pPr>
            <w:r>
              <w:rPr>
                <w:noProof/>
              </w:rPr>
              <w:t xml:space="preserve">Razvoj i </w:t>
            </w:r>
            <w:r>
              <w:rPr>
                <w:noProof/>
              </w:rPr>
              <w:t>odobravanje pomorske strategije.</w:t>
            </w:r>
          </w:p>
          <w:p w14:paraId="5746C76A" w14:textId="77777777" w:rsidR="003F46B9" w:rsidRDefault="0065662E">
            <w:pPr>
              <w:pStyle w:val="P68B1DB1-Normal5"/>
              <w:spacing w:after="0" w:line="240" w:lineRule="auto"/>
              <w:jc w:val="both"/>
              <w:rPr>
                <w:rFonts w:cs="Times New Roman"/>
                <w:noProof/>
              </w:rPr>
            </w:pPr>
            <w:r>
              <w:rPr>
                <w:noProof/>
              </w:rPr>
              <w:t xml:space="preserve">Izrada i odobravanje akcijskog plana za provedbu strategije pomorskog prometa. </w:t>
            </w:r>
          </w:p>
          <w:p w14:paraId="515D070C" w14:textId="77777777" w:rsidR="003F46B9" w:rsidRDefault="0065662E">
            <w:pPr>
              <w:pStyle w:val="P68B1DB1-Normal5"/>
              <w:spacing w:after="0" w:line="240" w:lineRule="auto"/>
              <w:jc w:val="both"/>
              <w:rPr>
                <w:rFonts w:cs="Times New Roman"/>
                <w:noProof/>
              </w:rPr>
            </w:pPr>
            <w:r>
              <w:rPr>
                <w:noProof/>
              </w:rPr>
              <w:t>Izrada i odobravanje Prioritetnog vodiča za ulaganje u plovila.</w:t>
            </w:r>
          </w:p>
          <w:p w14:paraId="78E43385" w14:textId="77777777" w:rsidR="003F46B9" w:rsidRDefault="0065662E">
            <w:pPr>
              <w:pStyle w:val="P68B1DB1-Normal5"/>
              <w:spacing w:after="0" w:line="240" w:lineRule="auto"/>
              <w:jc w:val="both"/>
              <w:rPr>
                <w:rFonts w:cs="Times New Roman"/>
                <w:noProof/>
              </w:rPr>
            </w:pPr>
            <w:r>
              <w:rPr>
                <w:noProof/>
              </w:rPr>
              <w:t>Pomorska strategija uključuje:</w:t>
            </w:r>
          </w:p>
          <w:p w14:paraId="65995F30" w14:textId="77777777" w:rsidR="003F46B9" w:rsidRDefault="0065662E">
            <w:pPr>
              <w:pStyle w:val="P68B1DB1-Normal5"/>
              <w:spacing w:after="0" w:line="240" w:lineRule="auto"/>
              <w:jc w:val="both"/>
              <w:rPr>
                <w:rFonts w:cs="Times New Roman"/>
                <w:noProof/>
              </w:rPr>
            </w:pPr>
            <w:r>
              <w:rPr>
                <w:noProof/>
              </w:rPr>
              <w:t>analiza trenutačnog stanja rumunjskih plovnih pu</w:t>
            </w:r>
            <w:r>
              <w:rPr>
                <w:noProof/>
              </w:rPr>
              <w:t>tova (unutarnje vodene putove i pomorski promet) i trenutačno stanje rumunjskih luka u pogledu infrastrukture; analiza projekata u rumunjskom sektoru pomorskog prometa; analiza budućih trendova i scenarija za 2027., 2030., 2035. i 2050.; Analiza je usmjere</w:t>
            </w:r>
            <w:r>
              <w:rPr>
                <w:noProof/>
              </w:rPr>
              <w:t>na na način poboljšanja ekološke učinkovitosti plovila i luka, uzimajući u obzir zahtjeve na razini EU-a, kao što je Direktiva 2014/94/EU o uspostavi infrastrukture za alternativna goriva; iako bi važnost trebalo pridati opskrbi plovila zelenim gorivima (p</w:t>
            </w:r>
            <w:r>
              <w:rPr>
                <w:noProof/>
              </w:rPr>
              <w:t>osebno putem opskrbe električnom energijom na kopnu), u strategiji se razmatraju mjere za ekologizaciju svih lučkih djelatnosti (emisije, buka, onečišćenje). Kako bi se na održiv način poticala plovnost Dunava, potreban je pristup kojim se kombiniraju održ</w:t>
            </w:r>
            <w:r>
              <w:rPr>
                <w:noProof/>
              </w:rPr>
              <w:t xml:space="preserve">iva infrastruktura, alternativna goriva i digitalizacija, uzimajući u obzir ekološku osjetljivost Dunava. </w:t>
            </w:r>
          </w:p>
          <w:p w14:paraId="47E5A79A" w14:textId="77777777" w:rsidR="003F46B9" w:rsidRDefault="0065662E">
            <w:pPr>
              <w:pStyle w:val="P68B1DB1-Normal5"/>
              <w:spacing w:after="0" w:line="240" w:lineRule="auto"/>
              <w:jc w:val="both"/>
              <w:rPr>
                <w:rFonts w:eastAsia="Times New Roman" w:cs="Times New Roman"/>
                <w:noProof/>
              </w:rPr>
            </w:pPr>
            <w:r>
              <w:rPr>
                <w:noProof/>
              </w:rPr>
              <w:t xml:space="preserve">Predlažu se izmjene pravnog i institucionalnog okvira za upravljanje pomorskom infrastrukturom s ciljem: integrirati vodni prijevoz s drugim vrstama </w:t>
            </w:r>
            <w:r>
              <w:rPr>
                <w:noProof/>
              </w:rPr>
              <w:t>prijevoza, pripremiti planove razvoja intermodalnih luka i na održiv način povećati prijevoz tereta na Dunavu za 15 % od kraja 2022. do kraja 2026.</w:t>
            </w:r>
          </w:p>
        </w:tc>
      </w:tr>
      <w:tr w:rsidR="003F46B9" w14:paraId="7F530EF3"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60C7CA9" w14:textId="77777777" w:rsidR="003F46B9" w:rsidRDefault="0065662E">
            <w:pPr>
              <w:pStyle w:val="P68B1DB1-Normal5"/>
              <w:spacing w:after="0" w:line="240" w:lineRule="auto"/>
              <w:jc w:val="center"/>
              <w:rPr>
                <w:rFonts w:eastAsia="Times New Roman" w:cs="Times New Roman"/>
                <w:noProof/>
              </w:rPr>
            </w:pPr>
            <w:r>
              <w:rPr>
                <w:noProof/>
              </w:rPr>
              <w:t>72</w:t>
            </w:r>
          </w:p>
        </w:tc>
        <w:tc>
          <w:tcPr>
            <w:tcW w:w="2013" w:type="dxa"/>
            <w:tcBorders>
              <w:top w:val="single" w:sz="4" w:space="0" w:color="auto"/>
              <w:left w:val="nil"/>
              <w:bottom w:val="single" w:sz="4" w:space="0" w:color="auto"/>
              <w:right w:val="single" w:sz="4" w:space="0" w:color="auto"/>
            </w:tcBorders>
            <w:shd w:val="clear" w:color="auto" w:fill="C6EFCE"/>
            <w:noWrap/>
          </w:tcPr>
          <w:p w14:paraId="08175F87" w14:textId="77777777" w:rsidR="003F46B9" w:rsidRDefault="0065662E">
            <w:pPr>
              <w:pStyle w:val="P68B1DB1-Normal5"/>
              <w:spacing w:after="0" w:line="240" w:lineRule="auto"/>
              <w:jc w:val="both"/>
              <w:rPr>
                <w:rFonts w:eastAsia="Times New Roman" w:cs="Times New Roman"/>
                <w:noProof/>
              </w:rPr>
            </w:pPr>
            <w:r>
              <w:rPr>
                <w:noProof/>
              </w:rPr>
              <w:t xml:space="preserve">Ulaganje 1. Modernizacija i obnova željezničke infrastrukture </w:t>
            </w:r>
          </w:p>
        </w:tc>
        <w:tc>
          <w:tcPr>
            <w:tcW w:w="1075" w:type="dxa"/>
            <w:tcBorders>
              <w:top w:val="single" w:sz="4" w:space="0" w:color="auto"/>
              <w:left w:val="nil"/>
              <w:bottom w:val="single" w:sz="4" w:space="0" w:color="auto"/>
              <w:right w:val="single" w:sz="4" w:space="0" w:color="auto"/>
            </w:tcBorders>
            <w:shd w:val="clear" w:color="auto" w:fill="C6EFCE"/>
            <w:noWrap/>
          </w:tcPr>
          <w:p w14:paraId="03B86263"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53A3271C" w14:textId="77777777" w:rsidR="003F46B9" w:rsidRDefault="0065662E">
            <w:pPr>
              <w:pStyle w:val="P68B1DB1-Normal5"/>
              <w:spacing w:after="0" w:line="240" w:lineRule="auto"/>
              <w:jc w:val="both"/>
              <w:rPr>
                <w:rFonts w:cs="Times New Roman"/>
                <w:noProof/>
              </w:rPr>
            </w:pPr>
            <w:r>
              <w:rPr>
                <w:noProof/>
              </w:rPr>
              <w:t>Potpisivanje ugovora za 50 % radova povezanih s modernizacijom, modernizacijom i obnovom željezničke infrastrukture</w:t>
            </w:r>
          </w:p>
          <w:p w14:paraId="3520516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745" w:type="dxa"/>
            <w:tcBorders>
              <w:top w:val="single" w:sz="4" w:space="0" w:color="auto"/>
              <w:left w:val="nil"/>
              <w:bottom w:val="single" w:sz="4" w:space="0" w:color="auto"/>
              <w:right w:val="single" w:sz="4" w:space="0" w:color="auto"/>
            </w:tcBorders>
            <w:shd w:val="clear" w:color="auto" w:fill="C6EFCE"/>
            <w:noWrap/>
          </w:tcPr>
          <w:p w14:paraId="33DF123D"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941" w:type="dxa"/>
            <w:tcBorders>
              <w:top w:val="single" w:sz="4" w:space="0" w:color="auto"/>
              <w:left w:val="nil"/>
              <w:bottom w:val="single" w:sz="4" w:space="0" w:color="auto"/>
              <w:right w:val="single" w:sz="4" w:space="0" w:color="auto"/>
            </w:tcBorders>
            <w:shd w:val="clear" w:color="auto" w:fill="C6EFCE"/>
            <w:noWrap/>
          </w:tcPr>
          <w:p w14:paraId="0FCB8EBF"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0F2FEE09"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CCB8F09"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683B15D9"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3DC20DE8" w14:textId="77777777" w:rsidR="003F46B9" w:rsidRDefault="0065662E">
            <w:pPr>
              <w:pStyle w:val="P68B1DB1-Normal5"/>
              <w:spacing w:after="0" w:line="240" w:lineRule="auto"/>
              <w:jc w:val="both"/>
              <w:rPr>
                <w:rFonts w:eastAsia="Times New Roman" w:cs="Times New Roman"/>
                <w:noProof/>
              </w:rPr>
            </w:pPr>
            <w:r>
              <w:rPr>
                <w:noProof/>
              </w:rPr>
              <w:t>2022</w:t>
            </w:r>
          </w:p>
        </w:tc>
        <w:tc>
          <w:tcPr>
            <w:tcW w:w="3691" w:type="dxa"/>
            <w:tcBorders>
              <w:top w:val="single" w:sz="4" w:space="0" w:color="auto"/>
              <w:left w:val="nil"/>
              <w:bottom w:val="single" w:sz="4" w:space="0" w:color="auto"/>
              <w:right w:val="single" w:sz="4" w:space="0" w:color="auto"/>
            </w:tcBorders>
            <w:shd w:val="clear" w:color="auto" w:fill="C6EFCE"/>
            <w:noWrap/>
          </w:tcPr>
          <w:p w14:paraId="589C6295" w14:textId="77777777" w:rsidR="003F46B9" w:rsidRDefault="0065662E">
            <w:pPr>
              <w:pStyle w:val="P68B1DB1-Normal5"/>
              <w:spacing w:after="0" w:line="240" w:lineRule="auto"/>
              <w:jc w:val="both"/>
              <w:rPr>
                <w:rFonts w:eastAsia="Times New Roman" w:cs="Times New Roman"/>
                <w:noProof/>
              </w:rPr>
            </w:pPr>
            <w:r>
              <w:rPr>
                <w:noProof/>
              </w:rPr>
              <w:t xml:space="preserve">Cilj se odnosi na dodjelu ugovora s pobjedničkim poduzećima u iznosu od 50 % radova na izgradnji i nadzoru željeznica kako slijedi: </w:t>
            </w:r>
          </w:p>
          <w:p w14:paraId="027EDE27"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Modernizacija, elektrifikacija željezničkih pruga, ERTMS na dionici Arad-Timișoara – Caransebe;</w:t>
            </w:r>
          </w:p>
          <w:p w14:paraId="581D207C" w14:textId="661380D2"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Nadogradnja, elektrifikacij</w:t>
            </w:r>
            <w:r>
              <w:rPr>
                <w:noProof/>
              </w:rPr>
              <w:t>a željezničkih pruga, ERTMS na dionici Cluj-Napoca – Episcopia Bihor.</w:t>
            </w:r>
          </w:p>
          <w:p w14:paraId="3085B678" w14:textId="77777777" w:rsidR="003F46B9" w:rsidRDefault="0065662E">
            <w:pPr>
              <w:pStyle w:val="P68B1DB1-Normal5"/>
              <w:spacing w:after="0" w:line="240" w:lineRule="auto"/>
              <w:jc w:val="both"/>
              <w:rPr>
                <w:rFonts w:eastAsia="Times New Roman" w:cs="Times New Roman"/>
                <w:noProof/>
              </w:rPr>
            </w:pPr>
            <w:r>
              <w:rPr>
                <w:noProof/>
              </w:rPr>
              <w:t>Ulaganja u obnovu obuhvaćaju sljedeće linije:</w:t>
            </w:r>
          </w:p>
          <w:p w14:paraId="14B5D5C4"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Pitești – TEN-T – Sveobuhvatna mreža TEN-T;</w:t>
            </w:r>
          </w:p>
          <w:p w14:paraId="1ED66E36"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poveznica s osnovnim koridorom TEN-T.</w:t>
            </w:r>
          </w:p>
          <w:p w14:paraId="234ED553" w14:textId="77777777" w:rsidR="003F46B9" w:rsidRDefault="0065662E">
            <w:pPr>
              <w:pStyle w:val="P68B1DB1-Normal5"/>
              <w:spacing w:after="0" w:line="240" w:lineRule="auto"/>
              <w:jc w:val="both"/>
              <w:rPr>
                <w:rFonts w:eastAsia="Times New Roman" w:cs="Times New Roman"/>
                <w:noProof/>
              </w:rPr>
            </w:pPr>
            <w:r>
              <w:rPr>
                <w:noProof/>
              </w:rPr>
              <w:t xml:space="preserve">Ulaganje uključuje i niz </w:t>
            </w:r>
            <w:r>
              <w:rPr>
                <w:noProof/>
              </w:rPr>
              <w:t>projekata „Quick Wins” za uklanjanje ograničenja brzine i ograničenja brzine u sljedećim odjeljcima:</w:t>
            </w:r>
          </w:p>
          <w:p w14:paraId="225AA47A"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Craiova;</w:t>
            </w:r>
          </w:p>
          <w:p w14:paraId="0A648F33"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4ED657D1"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FF3C0EC"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153CE8F7"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Apahida – Dej – Baia Mare – Satu Mare;</w:t>
            </w:r>
          </w:p>
          <w:p w14:paraId="5CC20D4B"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1B84CD9D"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 xml:space="preserve">Adjud </w:t>
            </w:r>
            <w:r>
              <w:rPr>
                <w:noProof/>
              </w:rPr>
              <w:t>– Siculeni;</w:t>
            </w:r>
          </w:p>
          <w:p w14:paraId="50D0D1EE"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Filiași – Tg.Jiu – Petroșani – Simeria;</w:t>
            </w:r>
          </w:p>
          <w:p w14:paraId="761285C1"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3FA22557"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4A7F478E"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Tecuci – Bârlad – Vaslui – Iași.</w:t>
            </w:r>
          </w:p>
          <w:p w14:paraId="0FE90155" w14:textId="77777777" w:rsidR="003F46B9" w:rsidRDefault="0065662E">
            <w:pPr>
              <w:pStyle w:val="P68B1DB1-Normal5"/>
              <w:spacing w:after="0" w:line="240" w:lineRule="auto"/>
              <w:jc w:val="both"/>
              <w:rPr>
                <w:rFonts w:cs="Times New Roman"/>
                <w:noProof/>
              </w:rPr>
            </w:pPr>
            <w:r>
              <w:rPr>
                <w:noProof/>
              </w:rPr>
              <w:t>Natječajni postupak provodi se u skladu s L98/2016 i njegovim naknadnim izmjenama, kojima je prenesena relevan</w:t>
            </w:r>
            <w:r>
              <w:rPr>
                <w:noProof/>
              </w:rPr>
              <w:t xml:space="preserve">tna europska Direktiva 2014/24/EU. </w:t>
            </w:r>
          </w:p>
          <w:p w14:paraId="78E4DF2F" w14:textId="77777777" w:rsidR="003F46B9" w:rsidRDefault="0065662E">
            <w:pPr>
              <w:pStyle w:val="P68B1DB1-Normal5"/>
              <w:spacing w:after="0" w:line="240" w:lineRule="auto"/>
              <w:jc w:val="both"/>
              <w:rPr>
                <w:rFonts w:cs="Times New Roman"/>
                <w:noProof/>
              </w:rPr>
            </w:pPr>
            <w:r>
              <w:rPr>
                <w:noProof/>
              </w:rPr>
              <w:t>Dodjela ugovora temelji se na otvorenim i konkurentnim natječajima i odobrenju relevantnih dozvola, uz procjenu utjecaja na okoliš (uključujući procjene potrebne u skladu s Okvirnom direktivom o vodama) i mišljenja o odg</w:t>
            </w:r>
            <w:r>
              <w:rPr>
                <w:noProof/>
              </w:rPr>
              <w:t>ovarajućoj procjeni (dio Direktive o staništima) koja su izdana i uključena u osmišljavanje ulaganja te se osigurava usklađenost s Tehničkim smjernicama o nenanošenju bitne štete (2021/C58/01).</w:t>
            </w:r>
          </w:p>
        </w:tc>
      </w:tr>
      <w:tr w:rsidR="003F46B9" w14:paraId="1ECAF93C"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0716A4D" w14:textId="77777777" w:rsidR="003F46B9" w:rsidRDefault="0065662E">
            <w:pPr>
              <w:pStyle w:val="P68B1DB1-Normal5"/>
              <w:spacing w:after="0" w:line="240" w:lineRule="auto"/>
              <w:jc w:val="center"/>
              <w:rPr>
                <w:rFonts w:eastAsia="Times New Roman" w:cs="Times New Roman"/>
                <w:noProof/>
              </w:rPr>
            </w:pPr>
            <w:r>
              <w:rPr>
                <w:noProof/>
              </w:rPr>
              <w:t>73</w:t>
            </w:r>
          </w:p>
        </w:tc>
        <w:tc>
          <w:tcPr>
            <w:tcW w:w="2013" w:type="dxa"/>
            <w:tcBorders>
              <w:top w:val="single" w:sz="4" w:space="0" w:color="auto"/>
              <w:left w:val="nil"/>
              <w:bottom w:val="single" w:sz="4" w:space="0" w:color="auto"/>
              <w:right w:val="single" w:sz="4" w:space="0" w:color="auto"/>
            </w:tcBorders>
            <w:shd w:val="clear" w:color="auto" w:fill="C6EFCE"/>
            <w:noWrap/>
          </w:tcPr>
          <w:p w14:paraId="0A07E6B7" w14:textId="77777777" w:rsidR="003F46B9" w:rsidRDefault="0065662E">
            <w:pPr>
              <w:pStyle w:val="P68B1DB1-Normal5"/>
              <w:spacing w:after="0" w:line="240" w:lineRule="auto"/>
              <w:jc w:val="both"/>
              <w:rPr>
                <w:rFonts w:eastAsia="Times New Roman" w:cs="Times New Roman"/>
                <w:noProof/>
              </w:rPr>
            </w:pPr>
            <w:r>
              <w:rPr>
                <w:noProof/>
              </w:rPr>
              <w:t xml:space="preserve">Ulaganje 1. Modernizacija i obnova željezničke infrastrukture </w:t>
            </w:r>
          </w:p>
        </w:tc>
        <w:tc>
          <w:tcPr>
            <w:tcW w:w="1075" w:type="dxa"/>
            <w:tcBorders>
              <w:top w:val="single" w:sz="4" w:space="0" w:color="auto"/>
              <w:left w:val="nil"/>
              <w:bottom w:val="single" w:sz="4" w:space="0" w:color="auto"/>
              <w:right w:val="single" w:sz="4" w:space="0" w:color="auto"/>
            </w:tcBorders>
            <w:shd w:val="clear" w:color="auto" w:fill="C6EFCE"/>
            <w:noWrap/>
          </w:tcPr>
          <w:p w14:paraId="6C2AACAE"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3C2F83E0" w14:textId="77777777" w:rsidR="003F46B9" w:rsidRDefault="0065662E">
            <w:pPr>
              <w:pStyle w:val="P68B1DB1-Normal5"/>
              <w:spacing w:after="0" w:line="240" w:lineRule="auto"/>
              <w:jc w:val="both"/>
              <w:rPr>
                <w:rFonts w:cs="Times New Roman"/>
                <w:noProof/>
              </w:rPr>
            </w:pPr>
            <w:r>
              <w:rPr>
                <w:noProof/>
              </w:rPr>
              <w:t>Potpisivanje ugovora za 100 % radova povezanih s modernizacijom, modernizacijom i obnovom željezničke infrastrukture</w:t>
            </w:r>
          </w:p>
        </w:tc>
        <w:tc>
          <w:tcPr>
            <w:tcW w:w="1745" w:type="dxa"/>
            <w:tcBorders>
              <w:top w:val="single" w:sz="4" w:space="0" w:color="auto"/>
              <w:left w:val="nil"/>
              <w:bottom w:val="single" w:sz="4" w:space="0" w:color="auto"/>
              <w:right w:val="single" w:sz="4" w:space="0" w:color="auto"/>
            </w:tcBorders>
            <w:shd w:val="clear" w:color="auto" w:fill="C6EFCE"/>
            <w:noWrap/>
          </w:tcPr>
          <w:p w14:paraId="05E2FB2D"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941" w:type="dxa"/>
            <w:tcBorders>
              <w:top w:val="single" w:sz="4" w:space="0" w:color="auto"/>
              <w:left w:val="nil"/>
              <w:bottom w:val="single" w:sz="4" w:space="0" w:color="auto"/>
              <w:right w:val="single" w:sz="4" w:space="0" w:color="auto"/>
            </w:tcBorders>
            <w:shd w:val="clear" w:color="auto" w:fill="C6EFCE"/>
            <w:noWrap/>
          </w:tcPr>
          <w:p w14:paraId="6FCA95CE"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49E20356"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EA6CBB0"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5FE109C9"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57413EC2" w14:textId="77777777" w:rsidR="003F46B9" w:rsidRDefault="0065662E">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7D11710A" w14:textId="77777777" w:rsidR="003F46B9" w:rsidRDefault="0065662E">
            <w:pPr>
              <w:pStyle w:val="P68B1DB1-Normal5"/>
              <w:spacing w:after="0" w:line="240" w:lineRule="auto"/>
              <w:jc w:val="both"/>
              <w:rPr>
                <w:rFonts w:eastAsia="Times New Roman" w:cs="Times New Roman"/>
                <w:noProof/>
              </w:rPr>
            </w:pPr>
            <w:r>
              <w:rPr>
                <w:noProof/>
              </w:rPr>
              <w:t xml:space="preserve">Ciljna vrijednost odnosi se na potpisivanje ugovora s pobjedničkim poduzećima za: </w:t>
            </w:r>
          </w:p>
          <w:p w14:paraId="212A814C"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Modernizacija, elektrifikacija željezničkih pruga, ERTMS na dionici Arad-Timișoara – Caransebe;</w:t>
            </w:r>
          </w:p>
          <w:p w14:paraId="35884B9B" w14:textId="0355DF66"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Nadogradnja, elektrifikacija željezničkih pruga, ERTMS na dionici Cluj-Napoca</w:t>
            </w:r>
            <w:r>
              <w:rPr>
                <w:noProof/>
              </w:rPr>
              <w:t xml:space="preserve"> – Episcopia Bihor.</w:t>
            </w:r>
          </w:p>
          <w:p w14:paraId="48C95672" w14:textId="77777777" w:rsidR="003F46B9" w:rsidRDefault="0065662E">
            <w:pPr>
              <w:pStyle w:val="P68B1DB1-Normal5"/>
              <w:spacing w:after="0" w:line="240" w:lineRule="auto"/>
              <w:jc w:val="both"/>
              <w:rPr>
                <w:rFonts w:eastAsia="Times New Roman" w:cs="Times New Roman"/>
                <w:noProof/>
              </w:rPr>
            </w:pPr>
            <w:r>
              <w:rPr>
                <w:noProof/>
              </w:rPr>
              <w:t>Ulaganja u obnovu obuhvaćaju sljedeće linije:</w:t>
            </w:r>
          </w:p>
          <w:p w14:paraId="6F0624C9"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Pitești – TEN-T – Sveobuhvatna mreža TEN-T;</w:t>
            </w:r>
          </w:p>
          <w:p w14:paraId="59BE16E6"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poveznica s osnovnim koridorom TEN-T.</w:t>
            </w:r>
          </w:p>
          <w:p w14:paraId="6C815456" w14:textId="77777777" w:rsidR="003F46B9" w:rsidRDefault="0065662E">
            <w:pPr>
              <w:pStyle w:val="P68B1DB1-Normal5"/>
              <w:spacing w:after="0" w:line="240" w:lineRule="auto"/>
              <w:jc w:val="both"/>
              <w:rPr>
                <w:rFonts w:eastAsia="Times New Roman" w:cs="Times New Roman"/>
                <w:noProof/>
              </w:rPr>
            </w:pPr>
            <w:r>
              <w:rPr>
                <w:noProof/>
              </w:rPr>
              <w:t xml:space="preserve">Ulaganje uključuje i projekte „Quick Wins” za uklanjanje ograničenja brzine i </w:t>
            </w:r>
            <w:r>
              <w:rPr>
                <w:noProof/>
              </w:rPr>
              <w:t>ograničenja brzine u sljedećim odjeljcima:</w:t>
            </w:r>
          </w:p>
          <w:p w14:paraId="388D5ED4"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Craiova;</w:t>
            </w:r>
          </w:p>
          <w:p w14:paraId="227BC0F6"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00A65DF6"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96F4983"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0D63E157"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Apahida – Dej – Baia Mare – Satu Mare;</w:t>
            </w:r>
          </w:p>
          <w:p w14:paraId="4BC86ECE"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634FACC3"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Adjud – Siculeni;</w:t>
            </w:r>
          </w:p>
          <w:p w14:paraId="02A3A7C9"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Filiași – Tg.Jiu – Petroșani – Simeria;</w:t>
            </w:r>
          </w:p>
          <w:p w14:paraId="5B686F8F"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508C9ADD"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3D1DFFEE" w14:textId="77777777" w:rsidR="003F46B9" w:rsidRDefault="0065662E">
            <w:pPr>
              <w:pStyle w:val="P68B1DB1-ListParagraph13"/>
              <w:numPr>
                <w:ilvl w:val="0"/>
                <w:numId w:val="35"/>
              </w:numPr>
              <w:spacing w:after="0" w:line="240" w:lineRule="auto"/>
              <w:ind w:left="250" w:hanging="218"/>
              <w:jc w:val="both"/>
              <w:rPr>
                <w:rFonts w:eastAsia="Times New Roman"/>
                <w:noProof/>
              </w:rPr>
            </w:pPr>
            <w:r>
              <w:rPr>
                <w:noProof/>
              </w:rPr>
              <w:t>Tecuci – Bârlad – Vaslui – Iași.</w:t>
            </w:r>
          </w:p>
          <w:p w14:paraId="42F019AA" w14:textId="77777777" w:rsidR="003F46B9" w:rsidRDefault="0065662E">
            <w:pPr>
              <w:pStyle w:val="P68B1DB1-Normal5"/>
              <w:spacing w:after="0" w:line="240" w:lineRule="auto"/>
              <w:jc w:val="both"/>
              <w:rPr>
                <w:rFonts w:eastAsia="Times New Roman" w:cs="Times New Roman"/>
                <w:noProof/>
              </w:rPr>
            </w:pPr>
            <w:r>
              <w:rPr>
                <w:noProof/>
              </w:rPr>
              <w:t xml:space="preserve">Natječajni postupak provodi se u skladu s L98/2016 i njegovim naknadnim izmjenama, kojima je prenesena relevantna europska Direktiva 2014/24/EU. </w:t>
            </w:r>
          </w:p>
          <w:p w14:paraId="10155E2F" w14:textId="77777777" w:rsidR="003F46B9" w:rsidRDefault="0065662E">
            <w:pPr>
              <w:pStyle w:val="P68B1DB1-Normal5"/>
              <w:spacing w:after="0" w:line="240" w:lineRule="auto"/>
              <w:jc w:val="both"/>
              <w:rPr>
                <w:rFonts w:eastAsia="Times New Roman" w:cs="Times New Roman"/>
                <w:noProof/>
              </w:rPr>
            </w:pPr>
            <w:r>
              <w:rPr>
                <w:noProof/>
              </w:rPr>
              <w:t xml:space="preserve">Dodjela ugovora </w:t>
            </w:r>
            <w:r>
              <w:rPr>
                <w:noProof/>
              </w:rPr>
              <w:t>temelji se na otvorenim i konkurentnim natječajima i odobrenju relevantnih dozvola, uz procjenu utjecaja na okoliš (uključujući procjene potrebne u skladu s Okvirnom direktivom o vodama) i mišljenja o odgovarajućoj procjeni (dio Direktive o staništima) koj</w:t>
            </w:r>
            <w:r>
              <w:rPr>
                <w:noProof/>
              </w:rPr>
              <w:t>a su izdana i uključena u osmišljavanje ulaganja te se osigurava usklađenost s Tehničkim smjernicama o nenanošenju bitne štete (2021/C58/01).</w:t>
            </w:r>
          </w:p>
        </w:tc>
      </w:tr>
      <w:tr w:rsidR="003F46B9" w14:paraId="246E33AA"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6BC82333" w14:textId="77777777" w:rsidR="003F46B9" w:rsidRDefault="0065662E">
            <w:pPr>
              <w:pStyle w:val="P68B1DB1-Normal5"/>
              <w:spacing w:after="0" w:line="240" w:lineRule="auto"/>
              <w:jc w:val="center"/>
              <w:rPr>
                <w:rFonts w:eastAsia="Times New Roman" w:cs="Times New Roman"/>
                <w:noProof/>
              </w:rPr>
            </w:pPr>
            <w:r>
              <w:rPr>
                <w:noProof/>
              </w:rPr>
              <w:t>74</w:t>
            </w:r>
          </w:p>
        </w:tc>
        <w:tc>
          <w:tcPr>
            <w:tcW w:w="2013" w:type="dxa"/>
            <w:tcBorders>
              <w:top w:val="single" w:sz="4" w:space="0" w:color="auto"/>
              <w:left w:val="nil"/>
              <w:bottom w:val="single" w:sz="4" w:space="0" w:color="auto"/>
              <w:right w:val="single" w:sz="4" w:space="0" w:color="auto"/>
            </w:tcBorders>
            <w:shd w:val="clear" w:color="auto" w:fill="C6EFCE"/>
            <w:noWrap/>
          </w:tcPr>
          <w:p w14:paraId="77FB4267" w14:textId="77777777" w:rsidR="003F46B9" w:rsidRDefault="0065662E">
            <w:pPr>
              <w:pStyle w:val="P68B1DB1-Normal5"/>
              <w:spacing w:after="0" w:line="240" w:lineRule="auto"/>
              <w:jc w:val="both"/>
              <w:rPr>
                <w:rFonts w:eastAsia="Times New Roman" w:cs="Times New Roman"/>
                <w:noProof/>
              </w:rPr>
            </w:pPr>
            <w:r>
              <w:rPr>
                <w:noProof/>
              </w:rPr>
              <w:t xml:space="preserve">Ulaganje 1. Modernizacija i obnova željezničke infrastrukture </w:t>
            </w:r>
          </w:p>
        </w:tc>
        <w:tc>
          <w:tcPr>
            <w:tcW w:w="1075" w:type="dxa"/>
            <w:tcBorders>
              <w:top w:val="single" w:sz="4" w:space="0" w:color="auto"/>
              <w:left w:val="nil"/>
              <w:bottom w:val="single" w:sz="4" w:space="0" w:color="auto"/>
              <w:right w:val="single" w:sz="4" w:space="0" w:color="auto"/>
            </w:tcBorders>
            <w:shd w:val="clear" w:color="auto" w:fill="C6EFCE"/>
            <w:noWrap/>
          </w:tcPr>
          <w:p w14:paraId="7D2F5264"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1B78B29A" w14:textId="77777777" w:rsidR="003F46B9" w:rsidRDefault="0065662E">
            <w:pPr>
              <w:pStyle w:val="P68B1DB1-Normal5"/>
              <w:spacing w:after="0" w:line="240" w:lineRule="auto"/>
              <w:jc w:val="both"/>
              <w:rPr>
                <w:rFonts w:cs="Times New Roman"/>
                <w:noProof/>
              </w:rPr>
            </w:pPr>
            <w:r>
              <w:rPr>
                <w:noProof/>
              </w:rPr>
              <w:t xml:space="preserve">Dovršetak radova za najmanje 50 % </w:t>
            </w:r>
            <w:r>
              <w:rPr>
                <w:noProof/>
              </w:rPr>
              <w:t>ukupnih ulaganja u željezničku infrastrukturu.</w:t>
            </w:r>
          </w:p>
        </w:tc>
        <w:tc>
          <w:tcPr>
            <w:tcW w:w="1745" w:type="dxa"/>
            <w:tcBorders>
              <w:top w:val="single" w:sz="4" w:space="0" w:color="auto"/>
              <w:left w:val="nil"/>
              <w:bottom w:val="single" w:sz="4" w:space="0" w:color="auto"/>
              <w:right w:val="single" w:sz="4" w:space="0" w:color="auto"/>
            </w:tcBorders>
            <w:shd w:val="clear" w:color="auto" w:fill="C6EFCE"/>
            <w:noWrap/>
          </w:tcPr>
          <w:p w14:paraId="0068838F"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448BAE9C" w14:textId="77777777" w:rsidR="003F46B9" w:rsidRDefault="0065662E">
            <w:pPr>
              <w:pStyle w:val="P68B1DB1-Normal5"/>
              <w:spacing w:after="0" w:line="240" w:lineRule="auto"/>
              <w:rPr>
                <w:rFonts w:eastAsia="Times New Roman" w:cs="Times New Roman"/>
                <w:noProof/>
              </w:rPr>
            </w:pPr>
            <w:r>
              <w:rPr>
                <w:noProof/>
              </w:rPr>
              <w:t>Postotak (%)</w:t>
            </w:r>
          </w:p>
          <w:p w14:paraId="3DB6703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59" w:type="dxa"/>
            <w:tcBorders>
              <w:top w:val="single" w:sz="4" w:space="0" w:color="auto"/>
              <w:left w:val="nil"/>
              <w:bottom w:val="single" w:sz="4" w:space="0" w:color="auto"/>
              <w:right w:val="single" w:sz="4" w:space="0" w:color="auto"/>
            </w:tcBorders>
            <w:shd w:val="clear" w:color="auto" w:fill="C6EFCE"/>
            <w:noWrap/>
          </w:tcPr>
          <w:p w14:paraId="1AFBB22B"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4EEDA56" w14:textId="77777777" w:rsidR="003F46B9" w:rsidRDefault="0065662E">
            <w:pPr>
              <w:pStyle w:val="P68B1DB1-Normal5"/>
              <w:spacing w:after="0" w:line="240" w:lineRule="auto"/>
              <w:jc w:val="both"/>
              <w:rPr>
                <w:rFonts w:eastAsia="Times New Roman" w:cs="Times New Roman"/>
                <w:noProof/>
              </w:rPr>
            </w:pPr>
            <w:r>
              <w:rPr>
                <w:noProof/>
              </w:rPr>
              <w:t>50</w:t>
            </w:r>
          </w:p>
        </w:tc>
        <w:tc>
          <w:tcPr>
            <w:tcW w:w="941" w:type="dxa"/>
            <w:tcBorders>
              <w:top w:val="single" w:sz="4" w:space="0" w:color="auto"/>
              <w:left w:val="nil"/>
              <w:bottom w:val="single" w:sz="4" w:space="0" w:color="auto"/>
              <w:right w:val="single" w:sz="4" w:space="0" w:color="auto"/>
            </w:tcBorders>
            <w:shd w:val="clear" w:color="auto" w:fill="C6EFCE"/>
            <w:noWrap/>
          </w:tcPr>
          <w:p w14:paraId="1A3AF05C"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6223A81A" w14:textId="77777777" w:rsidR="003F46B9" w:rsidRDefault="0065662E">
            <w:pPr>
              <w:pStyle w:val="P68B1DB1-Normal5"/>
              <w:spacing w:after="0" w:line="240" w:lineRule="auto"/>
              <w:jc w:val="both"/>
              <w:rPr>
                <w:rFonts w:eastAsia="Times New Roman" w:cs="Times New Roman"/>
                <w:noProof/>
              </w:rPr>
            </w:pPr>
            <w:r>
              <w:rPr>
                <w:noProof/>
              </w:rPr>
              <w:t>2024</w:t>
            </w:r>
          </w:p>
        </w:tc>
        <w:tc>
          <w:tcPr>
            <w:tcW w:w="3691" w:type="dxa"/>
            <w:tcBorders>
              <w:top w:val="single" w:sz="4" w:space="0" w:color="auto"/>
              <w:left w:val="nil"/>
              <w:bottom w:val="single" w:sz="4" w:space="0" w:color="auto"/>
              <w:right w:val="single" w:sz="4" w:space="0" w:color="auto"/>
            </w:tcBorders>
            <w:shd w:val="clear" w:color="auto" w:fill="C6EFCE"/>
            <w:noWrap/>
          </w:tcPr>
          <w:p w14:paraId="0CF4CD82" w14:textId="77777777" w:rsidR="003F46B9" w:rsidRDefault="0065662E">
            <w:pPr>
              <w:pStyle w:val="P68B1DB1-Normal5"/>
              <w:spacing w:after="0" w:line="240" w:lineRule="auto"/>
              <w:jc w:val="both"/>
              <w:rPr>
                <w:rFonts w:eastAsia="Times New Roman" w:cs="Times New Roman"/>
                <w:noProof/>
              </w:rPr>
            </w:pPr>
            <w:r>
              <w:rPr>
                <w:noProof/>
              </w:rPr>
              <w:t>Cilj se odnosi na prijelazni dovršetak 50 % radova za ulaganja u željezničku infrastrukturu, mjereno u postotku dovršenih radova (potvrđeno izvješćem o nadzoru) za</w:t>
            </w:r>
            <w:r>
              <w:rPr>
                <w:noProof/>
              </w:rPr>
              <w:t>:</w:t>
            </w:r>
          </w:p>
          <w:p w14:paraId="267CA276" w14:textId="77777777"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Modernizacija, elektrifikacija, ERTMS na dionici Arad-Timișoara-Caransebe;</w:t>
            </w:r>
          </w:p>
          <w:p w14:paraId="118F28DC" w14:textId="6B7933C9" w:rsidR="003F46B9" w:rsidRDefault="0065662E">
            <w:pPr>
              <w:pStyle w:val="P68B1DB1-ListParagraph13"/>
              <w:numPr>
                <w:ilvl w:val="0"/>
                <w:numId w:val="33"/>
              </w:numPr>
              <w:spacing w:after="0" w:line="240" w:lineRule="auto"/>
              <w:ind w:left="250" w:hanging="218"/>
              <w:jc w:val="both"/>
              <w:rPr>
                <w:rFonts w:eastAsia="Times New Roman" w:cs="Times New Roman"/>
                <w:noProof/>
              </w:rPr>
            </w:pPr>
            <w:r>
              <w:rPr>
                <w:noProof/>
              </w:rPr>
              <w:t>Nadogradnja, elektrifikacija, ERTMS na dionici Cluj-Napoca – Episcopia Bihor.</w:t>
            </w:r>
          </w:p>
          <w:p w14:paraId="3C1F33EC" w14:textId="77777777" w:rsidR="003F46B9" w:rsidRDefault="0065662E">
            <w:pPr>
              <w:pStyle w:val="P68B1DB1-Normal5"/>
              <w:spacing w:after="0" w:line="240" w:lineRule="auto"/>
              <w:jc w:val="both"/>
              <w:rPr>
                <w:rFonts w:eastAsia="Times New Roman" w:cs="Times New Roman"/>
                <w:noProof/>
              </w:rPr>
            </w:pPr>
            <w:r>
              <w:rPr>
                <w:noProof/>
              </w:rPr>
              <w:t>Ulaganja u obnovu obuhvaćaju sljedeće linije:</w:t>
            </w:r>
          </w:p>
          <w:p w14:paraId="1417C0D3"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Pitești – TEN-T – Sveobuhvatna mreža TEN-T;</w:t>
            </w:r>
          </w:p>
          <w:p w14:paraId="6E4D1B31"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Reșița – Voiteni – poveznica s osnovnim koridorom TEN-T.</w:t>
            </w:r>
          </w:p>
          <w:p w14:paraId="1F191E04" w14:textId="77777777" w:rsidR="003F46B9" w:rsidRDefault="0065662E">
            <w:pPr>
              <w:pStyle w:val="P68B1DB1-Normal5"/>
              <w:spacing w:after="0" w:line="240" w:lineRule="auto"/>
              <w:jc w:val="both"/>
              <w:rPr>
                <w:rFonts w:eastAsia="Times New Roman" w:cs="Times New Roman"/>
                <w:noProof/>
              </w:rPr>
            </w:pPr>
            <w:r>
              <w:rPr>
                <w:noProof/>
              </w:rPr>
              <w:t>Ulaganje uključuje i projekte „Quick Wins” za uklanjanje ograničenja i ograničenja brzine u sljedećim odjeljcima:</w:t>
            </w:r>
          </w:p>
          <w:p w14:paraId="21A132A2"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Bukurešt – Craiova;</w:t>
            </w:r>
          </w:p>
          <w:p w14:paraId="402026A7"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Arad – Oradea;</w:t>
            </w:r>
          </w:p>
          <w:p w14:paraId="2C77982E"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Sibiu – Copșa Mică;</w:t>
            </w:r>
          </w:p>
          <w:p w14:paraId="0315E971"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Oradea – Satu Mare – Halmeu;</w:t>
            </w:r>
          </w:p>
          <w:p w14:paraId="7AA94786"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w:t>
            </w:r>
            <w:r>
              <w:rPr>
                <w:noProof/>
              </w:rPr>
              <w:t>pahida – Dej – Baia Mare – Satu Mare;</w:t>
            </w:r>
          </w:p>
          <w:p w14:paraId="4B29D7B8"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Dej – Beclean – Ilva Mica;</w:t>
            </w:r>
          </w:p>
          <w:p w14:paraId="1F4577F3"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Adjud – Siculeni;</w:t>
            </w:r>
          </w:p>
          <w:p w14:paraId="47177168"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Filiași – Tg.Jiu – Petroșani – Simeria;</w:t>
            </w:r>
          </w:p>
          <w:p w14:paraId="69666B3C"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Pitești – Slatina – Craiova;</w:t>
            </w:r>
          </w:p>
          <w:p w14:paraId="192CCF71" w14:textId="77777777" w:rsidR="003F46B9" w:rsidRDefault="0065662E">
            <w:pPr>
              <w:pStyle w:val="P68B1DB1-ListParagraph13"/>
              <w:numPr>
                <w:ilvl w:val="0"/>
                <w:numId w:val="35"/>
              </w:numPr>
              <w:spacing w:after="0" w:line="240" w:lineRule="auto"/>
              <w:ind w:left="250" w:hanging="218"/>
              <w:jc w:val="both"/>
              <w:rPr>
                <w:rFonts w:eastAsia="Times New Roman" w:cs="Times New Roman"/>
                <w:noProof/>
              </w:rPr>
            </w:pPr>
            <w:r>
              <w:rPr>
                <w:noProof/>
              </w:rPr>
              <w:t>Coșlariu – Teiuș – Cluj-Napoca;</w:t>
            </w:r>
          </w:p>
          <w:p w14:paraId="671ED214" w14:textId="77777777" w:rsidR="003F46B9" w:rsidRDefault="0065662E">
            <w:pPr>
              <w:pStyle w:val="P68B1DB1-ListParagraph13"/>
              <w:numPr>
                <w:ilvl w:val="0"/>
                <w:numId w:val="35"/>
              </w:numPr>
              <w:spacing w:after="0" w:line="240" w:lineRule="auto"/>
              <w:ind w:left="250" w:hanging="218"/>
              <w:jc w:val="both"/>
              <w:rPr>
                <w:rFonts w:eastAsia="Times New Roman"/>
                <w:noProof/>
              </w:rPr>
            </w:pPr>
            <w:r>
              <w:rPr>
                <w:noProof/>
              </w:rPr>
              <w:t>Tecuci – Bârlad – Vaslui – Iași.</w:t>
            </w:r>
          </w:p>
        </w:tc>
      </w:tr>
      <w:tr w:rsidR="003F46B9" w14:paraId="0179EAA6"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2C0D7E7" w14:textId="77777777" w:rsidR="003F46B9" w:rsidRDefault="0065662E">
            <w:pPr>
              <w:pStyle w:val="P68B1DB1-Normal5"/>
              <w:spacing w:after="0" w:line="240" w:lineRule="auto"/>
              <w:jc w:val="center"/>
              <w:rPr>
                <w:rFonts w:eastAsia="Times New Roman" w:cs="Times New Roman"/>
                <w:noProof/>
              </w:rPr>
            </w:pPr>
            <w:r>
              <w:rPr>
                <w:noProof/>
              </w:rPr>
              <w:t>75</w:t>
            </w:r>
          </w:p>
        </w:tc>
        <w:tc>
          <w:tcPr>
            <w:tcW w:w="2013" w:type="dxa"/>
            <w:tcBorders>
              <w:top w:val="single" w:sz="4" w:space="0" w:color="auto"/>
              <w:left w:val="nil"/>
              <w:bottom w:val="single" w:sz="4" w:space="0" w:color="auto"/>
              <w:right w:val="single" w:sz="4" w:space="0" w:color="auto"/>
            </w:tcBorders>
            <w:shd w:val="clear" w:color="auto" w:fill="C6EFCE"/>
            <w:noWrap/>
          </w:tcPr>
          <w:p w14:paraId="2B2775E9" w14:textId="77777777" w:rsidR="003F46B9" w:rsidRDefault="0065662E">
            <w:pPr>
              <w:pStyle w:val="P68B1DB1-Normal5"/>
              <w:spacing w:after="0" w:line="240" w:lineRule="auto"/>
              <w:jc w:val="both"/>
              <w:rPr>
                <w:rFonts w:eastAsia="Times New Roman" w:cs="Times New Roman"/>
                <w:noProof/>
              </w:rPr>
            </w:pPr>
            <w:r>
              <w:rPr>
                <w:noProof/>
              </w:rPr>
              <w:t xml:space="preserve">Ulaganje 1. Modernizacija i obnova željezničke infrastrukture </w:t>
            </w:r>
          </w:p>
        </w:tc>
        <w:tc>
          <w:tcPr>
            <w:tcW w:w="1075" w:type="dxa"/>
            <w:tcBorders>
              <w:top w:val="single" w:sz="4" w:space="0" w:color="auto"/>
              <w:left w:val="nil"/>
              <w:bottom w:val="single" w:sz="4" w:space="0" w:color="auto"/>
              <w:right w:val="single" w:sz="4" w:space="0" w:color="auto"/>
            </w:tcBorders>
            <w:shd w:val="clear" w:color="auto" w:fill="C6EFCE"/>
            <w:noWrap/>
          </w:tcPr>
          <w:p w14:paraId="23E33FF1"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6018C14A" w14:textId="77777777" w:rsidR="003F46B9" w:rsidRDefault="0065662E">
            <w:pPr>
              <w:pStyle w:val="P68B1DB1-Normal5"/>
              <w:spacing w:after="0" w:line="240" w:lineRule="auto"/>
              <w:jc w:val="both"/>
              <w:rPr>
                <w:rFonts w:eastAsia="Times New Roman" w:cs="Times New Roman"/>
                <w:noProof/>
              </w:rPr>
            </w:pPr>
            <w:r>
              <w:rPr>
                <w:noProof/>
              </w:rPr>
              <w:t>Kilometri nove/poboljšane operativne željezničke infrastrukture</w:t>
            </w:r>
          </w:p>
        </w:tc>
        <w:tc>
          <w:tcPr>
            <w:tcW w:w="1745" w:type="dxa"/>
            <w:tcBorders>
              <w:top w:val="single" w:sz="4" w:space="0" w:color="auto"/>
              <w:left w:val="nil"/>
              <w:bottom w:val="single" w:sz="4" w:space="0" w:color="auto"/>
              <w:right w:val="single" w:sz="4" w:space="0" w:color="auto"/>
            </w:tcBorders>
            <w:shd w:val="clear" w:color="auto" w:fill="C6EFCE"/>
            <w:noWrap/>
          </w:tcPr>
          <w:p w14:paraId="30BC0B53"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90B4805" w14:textId="06260B49" w:rsidR="003F46B9" w:rsidRDefault="0065662E">
            <w:pPr>
              <w:pStyle w:val="P68B1DB1-Normal5"/>
              <w:spacing w:after="0" w:line="240" w:lineRule="auto"/>
              <w:jc w:val="both"/>
              <w:rPr>
                <w:rFonts w:eastAsia="Times New Roman" w:cs="Times New Roman"/>
                <w:noProof/>
              </w:rPr>
            </w:pPr>
            <w:r>
              <w:rPr>
                <w:noProof/>
              </w:rPr>
              <w:t xml:space="preserve">Kilometri (km) </w:t>
            </w:r>
          </w:p>
        </w:tc>
        <w:tc>
          <w:tcPr>
            <w:tcW w:w="1159" w:type="dxa"/>
            <w:tcBorders>
              <w:top w:val="single" w:sz="4" w:space="0" w:color="auto"/>
              <w:left w:val="nil"/>
              <w:bottom w:val="single" w:sz="4" w:space="0" w:color="auto"/>
              <w:right w:val="single" w:sz="4" w:space="0" w:color="auto"/>
            </w:tcBorders>
            <w:shd w:val="clear" w:color="auto" w:fill="C6EFCE"/>
            <w:noWrap/>
          </w:tcPr>
          <w:p w14:paraId="00D6ABA1"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AE605EE" w14:textId="77777777" w:rsidR="003F46B9" w:rsidRDefault="0065662E">
            <w:pPr>
              <w:pStyle w:val="P68B1DB1-Normal5"/>
              <w:spacing w:after="0" w:line="240" w:lineRule="auto"/>
              <w:jc w:val="both"/>
              <w:rPr>
                <w:rFonts w:eastAsia="Times New Roman" w:cs="Times New Roman"/>
                <w:noProof/>
              </w:rPr>
            </w:pPr>
            <w:r>
              <w:rPr>
                <w:noProof/>
              </w:rPr>
              <w:t>2 741</w:t>
            </w:r>
          </w:p>
        </w:tc>
        <w:tc>
          <w:tcPr>
            <w:tcW w:w="941" w:type="dxa"/>
            <w:tcBorders>
              <w:top w:val="single" w:sz="4" w:space="0" w:color="auto"/>
              <w:left w:val="nil"/>
              <w:bottom w:val="single" w:sz="4" w:space="0" w:color="auto"/>
              <w:right w:val="single" w:sz="4" w:space="0" w:color="auto"/>
            </w:tcBorders>
            <w:shd w:val="clear" w:color="auto" w:fill="C6EFCE"/>
            <w:noWrap/>
          </w:tcPr>
          <w:p w14:paraId="557E33BB"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65937695"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65391050" w14:textId="77777777" w:rsidR="003F46B9" w:rsidRDefault="0065662E">
            <w:pPr>
              <w:pStyle w:val="P68B1DB1-Normal5"/>
              <w:spacing w:after="0" w:line="240" w:lineRule="auto"/>
              <w:jc w:val="both"/>
              <w:rPr>
                <w:rFonts w:eastAsia="Times New Roman" w:cs="Times New Roman"/>
                <w:noProof/>
              </w:rPr>
            </w:pPr>
            <w:r>
              <w:rPr>
                <w:noProof/>
              </w:rPr>
              <w:t>Ciljna vrijednost uključuje:</w:t>
            </w:r>
          </w:p>
          <w:p w14:paraId="2F710841" w14:textId="02635CF1" w:rsidR="003F46B9" w:rsidRDefault="0065662E">
            <w:pPr>
              <w:pStyle w:val="P68B1DB1-ListParagraph13"/>
              <w:numPr>
                <w:ilvl w:val="0"/>
                <w:numId w:val="39"/>
              </w:numPr>
              <w:spacing w:after="0" w:line="240" w:lineRule="auto"/>
              <w:ind w:left="250" w:hanging="218"/>
              <w:jc w:val="both"/>
              <w:rPr>
                <w:rFonts w:eastAsia="Times New Roman" w:cs="Times New Roman"/>
                <w:noProof/>
              </w:rPr>
            </w:pPr>
            <w:r>
              <w:rPr>
                <w:noProof/>
              </w:rPr>
              <w:t xml:space="preserve">315 km moderniziranih željezničkih pruga s </w:t>
            </w:r>
            <w:r>
              <w:rPr>
                <w:noProof/>
              </w:rPr>
              <w:t>povećanjem kapaciteta od 30 % i ugrađenom razinom 2 ERTMS-a;</w:t>
            </w:r>
          </w:p>
          <w:p w14:paraId="1E566335" w14:textId="77777777" w:rsidR="003F46B9" w:rsidRDefault="0065662E">
            <w:pPr>
              <w:pStyle w:val="P68B1DB1-ListParagraph13"/>
              <w:numPr>
                <w:ilvl w:val="0"/>
                <w:numId w:val="39"/>
              </w:numPr>
              <w:spacing w:after="0" w:line="240" w:lineRule="auto"/>
              <w:ind w:left="250" w:hanging="218"/>
              <w:jc w:val="both"/>
              <w:rPr>
                <w:rFonts w:eastAsia="Times New Roman" w:cs="Times New Roman"/>
                <w:noProof/>
              </w:rPr>
            </w:pPr>
            <w:r>
              <w:rPr>
                <w:noProof/>
              </w:rPr>
              <w:t>2 426 km (ukupna duljina 2 163 km kolosijeka s projektima „brzih obilazi” + 198 km obnove dionice Bukurešt – Pitești + 65 km obnove dionice Reșita – Voiteni) obnovljenih željeznica s 15 % povećan</w:t>
            </w:r>
            <w:r>
              <w:rPr>
                <w:noProof/>
              </w:rPr>
              <w:t>om brzinom (prosječna brzina treba dosegnuti najmanje 100 km/h).</w:t>
            </w:r>
          </w:p>
          <w:p w14:paraId="7328A791" w14:textId="77777777" w:rsidR="003F46B9" w:rsidRDefault="0065662E">
            <w:pPr>
              <w:pStyle w:val="P68B1DB1-Normal5"/>
              <w:spacing w:after="0" w:line="240" w:lineRule="auto"/>
              <w:jc w:val="both"/>
              <w:rPr>
                <w:rFonts w:eastAsia="Times New Roman" w:cs="Times New Roman"/>
                <w:noProof/>
              </w:rPr>
            </w:pPr>
            <w:r>
              <w:rPr>
                <w:noProof/>
              </w:rPr>
              <w:t>Ciljna vrijednost odnosi se na broj kilometara novih i moderniziranih željeznica koji se dopunjuje obaviješću javnog naručitelja o prihvaćanju i uporabi, u skladu sa standardima TEN-T-a i TSI</w:t>
            </w:r>
            <w:r>
              <w:rPr>
                <w:noProof/>
              </w:rPr>
              <w:t>-jima:</w:t>
            </w:r>
          </w:p>
          <w:p w14:paraId="79B1522B" w14:textId="77777777" w:rsidR="003F46B9" w:rsidRDefault="0065662E">
            <w:pPr>
              <w:pStyle w:val="P68B1DB1-ListParagraph13"/>
              <w:numPr>
                <w:ilvl w:val="0"/>
                <w:numId w:val="38"/>
              </w:numPr>
              <w:spacing w:after="0" w:line="240" w:lineRule="auto"/>
              <w:ind w:left="250" w:hanging="218"/>
              <w:jc w:val="both"/>
              <w:rPr>
                <w:rFonts w:eastAsia="Times New Roman" w:cs="Times New Roman"/>
                <w:noProof/>
              </w:rPr>
            </w:pPr>
            <w:r>
              <w:rPr>
                <w:noProof/>
              </w:rPr>
              <w:t>Modernizacija, elektrifikacija, ERTMS na dionici Arad-Timișoara – Caransebe;</w:t>
            </w:r>
          </w:p>
          <w:p w14:paraId="22AA3C6D" w14:textId="77777777" w:rsidR="003F46B9" w:rsidRDefault="0065662E">
            <w:pPr>
              <w:pStyle w:val="P68B1DB1-ListParagraph13"/>
              <w:numPr>
                <w:ilvl w:val="0"/>
                <w:numId w:val="38"/>
              </w:numPr>
              <w:spacing w:after="0" w:line="240" w:lineRule="auto"/>
              <w:ind w:left="250" w:hanging="218"/>
              <w:jc w:val="both"/>
              <w:rPr>
                <w:rFonts w:eastAsia="Times New Roman" w:cs="Times New Roman"/>
                <w:noProof/>
              </w:rPr>
            </w:pPr>
            <w:r>
              <w:rPr>
                <w:noProof/>
              </w:rPr>
              <w:t>Nadogradnja, elektrifikacija, ERTMS na dionici Cluj-Episcopia Bihor.</w:t>
            </w:r>
          </w:p>
          <w:p w14:paraId="6F4B7B89" w14:textId="3D419685" w:rsidR="003F46B9" w:rsidRDefault="0065662E">
            <w:pPr>
              <w:pStyle w:val="P68B1DB1-ListParagraph13"/>
              <w:numPr>
                <w:ilvl w:val="0"/>
                <w:numId w:val="38"/>
              </w:numPr>
              <w:spacing w:after="0" w:line="240" w:lineRule="auto"/>
              <w:ind w:left="250" w:hanging="218"/>
              <w:jc w:val="both"/>
              <w:rPr>
                <w:rFonts w:eastAsia="Times New Roman" w:cs="Times New Roman"/>
                <w:noProof/>
              </w:rPr>
            </w:pPr>
            <w:r>
              <w:rPr>
                <w:noProof/>
              </w:rPr>
              <w:t>Za dva navedena projekta radovi uključuju cjeloviti ERTMS kao pružna postrojenja i potrebno certificira</w:t>
            </w:r>
            <w:r>
              <w:rPr>
                <w:noProof/>
              </w:rPr>
              <w:t>nje interoperabilnosti europskih željeznica koje treba dovršiti istodobno sa samim ulaganjem.</w:t>
            </w:r>
          </w:p>
          <w:p w14:paraId="3DCF2A62" w14:textId="77777777" w:rsidR="003F46B9" w:rsidRDefault="0065662E">
            <w:pPr>
              <w:pStyle w:val="P68B1DB1-Normal5"/>
              <w:spacing w:after="0" w:line="240" w:lineRule="auto"/>
              <w:jc w:val="both"/>
              <w:rPr>
                <w:rFonts w:eastAsia="Times New Roman" w:cs="Times New Roman"/>
                <w:noProof/>
              </w:rPr>
            </w:pPr>
            <w:r>
              <w:rPr>
                <w:noProof/>
              </w:rPr>
              <w:t>Proces obnove ulaganja obuhvaća sljedeće linije:</w:t>
            </w:r>
          </w:p>
          <w:p w14:paraId="4F99D5EE"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Bukurešt – Pitești – TEN-T – Sveobuhvatna mreža TEN-T;</w:t>
            </w:r>
          </w:p>
          <w:p w14:paraId="5BB0ED9E"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Reșița – Voiteni – poveznica s osnovnim koridorom TEN-T.</w:t>
            </w:r>
          </w:p>
          <w:p w14:paraId="2D989E4A" w14:textId="77777777" w:rsidR="003F46B9" w:rsidRDefault="0065662E">
            <w:pPr>
              <w:pStyle w:val="P68B1DB1-Normal5"/>
              <w:spacing w:after="0" w:line="240" w:lineRule="auto"/>
              <w:jc w:val="both"/>
              <w:rPr>
                <w:rFonts w:eastAsia="Times New Roman" w:cs="Times New Roman"/>
                <w:noProof/>
              </w:rPr>
            </w:pPr>
            <w:r>
              <w:rPr>
                <w:noProof/>
              </w:rPr>
              <w:t>Ulaganje uključuje projekte „Quick Wins” za uklanjanje ograničenja brzine i ograničenja brzine u sljedećim odjeljcima:</w:t>
            </w:r>
          </w:p>
          <w:p w14:paraId="52FD5932"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Bukurešt – Craiova;</w:t>
            </w:r>
          </w:p>
          <w:p w14:paraId="5C53A49C"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Arad – Oradea;</w:t>
            </w:r>
          </w:p>
          <w:p w14:paraId="0FDEDF86"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Sibiu – Copșa Mică;</w:t>
            </w:r>
          </w:p>
          <w:p w14:paraId="7431CBE7"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Oradea – Satu Mare – Halmeu;</w:t>
            </w:r>
          </w:p>
          <w:p w14:paraId="35684DE9"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Apahida – Dej – Baia Mare – Satu Mare;</w:t>
            </w:r>
          </w:p>
          <w:p w14:paraId="7D81BA2F"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 xml:space="preserve">Dej – Beclean </w:t>
            </w:r>
            <w:r>
              <w:rPr>
                <w:noProof/>
              </w:rPr>
              <w:t>– Ilva Mica;</w:t>
            </w:r>
          </w:p>
          <w:p w14:paraId="74D09568"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Adjud – Siculeni;</w:t>
            </w:r>
          </w:p>
          <w:p w14:paraId="0100AC33"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Filiași – Tg.Jiu – Petroșani – Simeria;</w:t>
            </w:r>
          </w:p>
          <w:p w14:paraId="11DAC5EB"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Pitești – Slatina – Craiova;</w:t>
            </w:r>
          </w:p>
          <w:p w14:paraId="10E7945A"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Coșlariu – Teiuș – Cluj-Napoca;</w:t>
            </w:r>
          </w:p>
          <w:p w14:paraId="1F3306B8" w14:textId="77777777" w:rsidR="003F46B9" w:rsidRDefault="0065662E">
            <w:pPr>
              <w:pStyle w:val="P68B1DB1-Normal5"/>
              <w:numPr>
                <w:ilvl w:val="0"/>
                <w:numId w:val="31"/>
              </w:numPr>
              <w:spacing w:before="120" w:after="0"/>
              <w:ind w:left="250" w:hanging="250"/>
              <w:contextualSpacing/>
              <w:jc w:val="both"/>
              <w:rPr>
                <w:rFonts w:eastAsia="Times New Roman" w:cs="Times New Roman"/>
                <w:noProof/>
              </w:rPr>
            </w:pPr>
            <w:r>
              <w:rPr>
                <w:noProof/>
              </w:rPr>
              <w:t>Tecuci – Bârlad – Vaslui – Iași.</w:t>
            </w:r>
          </w:p>
          <w:p w14:paraId="03957DA7" w14:textId="77777777" w:rsidR="003F46B9" w:rsidRDefault="0065662E">
            <w:pPr>
              <w:pStyle w:val="P68B1DB1-Normal5"/>
              <w:spacing w:after="0" w:line="240" w:lineRule="auto"/>
              <w:jc w:val="both"/>
              <w:rPr>
                <w:rFonts w:eastAsia="Times New Roman" w:cs="Times New Roman"/>
                <w:noProof/>
              </w:rPr>
            </w:pPr>
            <w:r>
              <w:rPr>
                <w:noProof/>
              </w:rPr>
              <w:t>Dostavljaju se dokazi o sukladnosti s postupcima odobrenja u okviru procjene utjecaja na ok</w:t>
            </w:r>
            <w:r>
              <w:rPr>
                <w:noProof/>
              </w:rPr>
              <w:t xml:space="preserve">oliš u skladu s Direktivom 2011/92/EU kako bi se osigurala usklađenost s Tehničkim smjernicama o nenanošenju bitne štete (2021/C58/01). Dobro ekološko stanje/potencijal relevantnih vodnih tijela u skladu sa zahtjevima Okvirne direktive o vodama 2000/60/EZ </w:t>
            </w:r>
            <w:r>
              <w:rPr>
                <w:noProof/>
              </w:rPr>
              <w:t>postiže se/održava i dokazuje najnovijim relevantnim popratnim podacima.</w:t>
            </w:r>
          </w:p>
          <w:p w14:paraId="19021F5D" w14:textId="77777777" w:rsidR="003F46B9" w:rsidRDefault="0065662E">
            <w:pPr>
              <w:pStyle w:val="P68B1DB1-Normal5"/>
              <w:spacing w:after="0" w:line="240" w:lineRule="auto"/>
              <w:jc w:val="both"/>
              <w:rPr>
                <w:rFonts w:eastAsia="Times New Roman" w:cs="Times New Roman"/>
                <w:noProof/>
              </w:rPr>
            </w:pPr>
            <w:r>
              <w:rPr>
                <w:noProof/>
              </w:rPr>
              <w:t xml:space="preserve">Pružni sustav ERTMS-a trebao bi biti certificiran za europsku interoperabilnost. </w:t>
            </w:r>
          </w:p>
        </w:tc>
      </w:tr>
      <w:tr w:rsidR="003F46B9" w14:paraId="52C66C85"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3D2B9272" w14:textId="77777777" w:rsidR="003F46B9" w:rsidRDefault="0065662E">
            <w:pPr>
              <w:pStyle w:val="P68B1DB1-Normal5"/>
              <w:spacing w:after="0" w:line="240" w:lineRule="auto"/>
              <w:jc w:val="center"/>
              <w:rPr>
                <w:rFonts w:eastAsia="Times New Roman" w:cs="Times New Roman"/>
                <w:noProof/>
              </w:rPr>
            </w:pPr>
            <w:r>
              <w:rPr>
                <w:noProof/>
              </w:rPr>
              <w:t>76</w:t>
            </w:r>
          </w:p>
        </w:tc>
        <w:tc>
          <w:tcPr>
            <w:tcW w:w="2013" w:type="dxa"/>
            <w:tcBorders>
              <w:top w:val="single" w:sz="4" w:space="0" w:color="auto"/>
              <w:left w:val="nil"/>
              <w:bottom w:val="single" w:sz="4" w:space="0" w:color="auto"/>
              <w:right w:val="single" w:sz="4" w:space="0" w:color="auto"/>
            </w:tcBorders>
            <w:shd w:val="clear" w:color="auto" w:fill="C6EFCE"/>
            <w:noWrap/>
          </w:tcPr>
          <w:p w14:paraId="4B9E0115" w14:textId="77777777" w:rsidR="003F46B9" w:rsidRDefault="0065662E">
            <w:pPr>
              <w:pStyle w:val="P68B1DB1-Normal5"/>
              <w:spacing w:after="0" w:line="240" w:lineRule="auto"/>
              <w:jc w:val="both"/>
              <w:rPr>
                <w:rFonts w:eastAsia="Times New Roman" w:cs="Times New Roman"/>
                <w:noProof/>
              </w:rPr>
            </w:pPr>
            <w:r>
              <w:rPr>
                <w:noProof/>
              </w:rPr>
              <w:t xml:space="preserve">Ulaganje 2. Željeznička vozila </w:t>
            </w:r>
          </w:p>
        </w:tc>
        <w:tc>
          <w:tcPr>
            <w:tcW w:w="1075" w:type="dxa"/>
            <w:tcBorders>
              <w:top w:val="single" w:sz="4" w:space="0" w:color="auto"/>
              <w:left w:val="nil"/>
              <w:bottom w:val="single" w:sz="4" w:space="0" w:color="auto"/>
              <w:right w:val="single" w:sz="4" w:space="0" w:color="auto"/>
            </w:tcBorders>
            <w:shd w:val="clear" w:color="auto" w:fill="C6EFCE"/>
            <w:noWrap/>
          </w:tcPr>
          <w:p w14:paraId="079C7247"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4" w:type="dxa"/>
            <w:tcBorders>
              <w:top w:val="single" w:sz="4" w:space="0" w:color="auto"/>
              <w:left w:val="nil"/>
              <w:bottom w:val="single" w:sz="4" w:space="0" w:color="auto"/>
              <w:right w:val="single" w:sz="4" w:space="0" w:color="auto"/>
            </w:tcBorders>
            <w:shd w:val="clear" w:color="auto" w:fill="C6EFCE"/>
            <w:noWrap/>
          </w:tcPr>
          <w:p w14:paraId="17D8B3A2"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nakon otvorenih i konkurentnih </w:t>
            </w:r>
            <w:r>
              <w:rPr>
                <w:noProof/>
              </w:rPr>
              <w:t>natječaja.</w:t>
            </w:r>
          </w:p>
        </w:tc>
        <w:tc>
          <w:tcPr>
            <w:tcW w:w="1745" w:type="dxa"/>
            <w:tcBorders>
              <w:top w:val="single" w:sz="4" w:space="0" w:color="auto"/>
              <w:left w:val="nil"/>
              <w:bottom w:val="single" w:sz="4" w:space="0" w:color="auto"/>
              <w:right w:val="single" w:sz="4" w:space="0" w:color="auto"/>
            </w:tcBorders>
            <w:shd w:val="clear" w:color="auto" w:fill="C6EFCE"/>
            <w:noWrap/>
          </w:tcPr>
          <w:p w14:paraId="6F701D46"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941" w:type="dxa"/>
            <w:tcBorders>
              <w:top w:val="single" w:sz="4" w:space="0" w:color="auto"/>
              <w:left w:val="nil"/>
              <w:bottom w:val="single" w:sz="4" w:space="0" w:color="auto"/>
              <w:right w:val="single" w:sz="4" w:space="0" w:color="auto"/>
            </w:tcBorders>
            <w:shd w:val="clear" w:color="auto" w:fill="C6EFCE"/>
            <w:noWrap/>
          </w:tcPr>
          <w:p w14:paraId="3B1FF4F3" w14:textId="77777777" w:rsidR="003F46B9" w:rsidRDefault="003F46B9">
            <w:pPr>
              <w:spacing w:after="0" w:line="240" w:lineRule="auto"/>
              <w:jc w:val="both"/>
              <w:rPr>
                <w:rFonts w:ascii="Times New Roman" w:eastAsia="Times New Roman" w:hAnsi="Times New Roman" w:cs="Times New Roman"/>
                <w:noProof/>
                <w:sz w:val="24"/>
              </w:rPr>
            </w:pPr>
          </w:p>
        </w:tc>
        <w:tc>
          <w:tcPr>
            <w:tcW w:w="1159" w:type="dxa"/>
            <w:tcBorders>
              <w:top w:val="single" w:sz="4" w:space="0" w:color="auto"/>
              <w:left w:val="nil"/>
              <w:bottom w:val="single" w:sz="4" w:space="0" w:color="auto"/>
              <w:right w:val="single" w:sz="4" w:space="0" w:color="auto"/>
            </w:tcBorders>
            <w:shd w:val="clear" w:color="auto" w:fill="C6EFCE"/>
            <w:noWrap/>
          </w:tcPr>
          <w:p w14:paraId="5404E51E"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5AD69DBE"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766E66C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046AAC14" w14:textId="77777777" w:rsidR="003F46B9" w:rsidRDefault="0065662E">
            <w:pPr>
              <w:pStyle w:val="P68B1DB1-Normal5"/>
              <w:spacing w:after="0" w:line="240" w:lineRule="auto"/>
              <w:jc w:val="both"/>
              <w:rPr>
                <w:rFonts w:eastAsia="Times New Roman" w:cs="Times New Roman"/>
                <w:noProof/>
              </w:rPr>
            </w:pPr>
            <w:r>
              <w:rPr>
                <w:noProof/>
              </w:rPr>
              <w:t>2023</w:t>
            </w:r>
          </w:p>
        </w:tc>
        <w:tc>
          <w:tcPr>
            <w:tcW w:w="3691" w:type="dxa"/>
            <w:tcBorders>
              <w:top w:val="single" w:sz="4" w:space="0" w:color="auto"/>
              <w:left w:val="nil"/>
              <w:bottom w:val="single" w:sz="4" w:space="0" w:color="auto"/>
              <w:right w:val="single" w:sz="4" w:space="0" w:color="auto"/>
            </w:tcBorders>
            <w:shd w:val="clear" w:color="auto" w:fill="C6EFCE"/>
            <w:noWrap/>
          </w:tcPr>
          <w:p w14:paraId="0B583A6F" w14:textId="77777777" w:rsidR="003F46B9" w:rsidRDefault="0065662E">
            <w:pPr>
              <w:pStyle w:val="P68B1DB1-Normal5"/>
              <w:spacing w:after="0" w:line="240" w:lineRule="auto"/>
              <w:jc w:val="both"/>
              <w:rPr>
                <w:rFonts w:eastAsia="Times New Roman" w:cs="Times New Roman"/>
                <w:noProof/>
              </w:rPr>
            </w:pPr>
            <w:r>
              <w:rPr>
                <w:noProof/>
              </w:rPr>
              <w:t>Ključna etapa odnosi se na ugovore potpisane između Ministarstva prometa i infrastrukture i pobjedničkih poduzeća za isporuku željezničkih vozila: 20 EMU (električna višemotorna vozila – RE-IR – Električn</w:t>
            </w:r>
            <w:r>
              <w:rPr>
                <w:noProof/>
              </w:rPr>
              <w:t>i Interregio – vlakovi na velike udaljenosti, sa 6 jedinica), 12 H-EMU (hodigenski višedijelni vlakovi, s 3+ 1 jedinice), modernizirana željeznička vozila s nultim emisijama: 55 lokomotiva i 139 vagona, 16 novih električnih lokomotiva s 4 osovine s ERTMS-o</w:t>
            </w:r>
            <w:r>
              <w:rPr>
                <w:noProof/>
              </w:rPr>
              <w:t>m/Europskim sustavom upravljanja vlakovima (ETCS) i konverzija 20 dizelskih hidrauličnih ranžirnih lokomotiva u punjivim električnim lokomotivama), nakon otvorenih i konkurentnih natječaja.</w:t>
            </w:r>
          </w:p>
        </w:tc>
      </w:tr>
      <w:tr w:rsidR="003F46B9" w14:paraId="0FDCF012" w14:textId="77777777">
        <w:trPr>
          <w:trHeight w:val="309"/>
          <w:jc w:val="center"/>
        </w:trPr>
        <w:tc>
          <w:tcPr>
            <w:tcW w:w="674" w:type="dxa"/>
            <w:tcBorders>
              <w:top w:val="single" w:sz="4" w:space="0" w:color="auto"/>
              <w:left w:val="single" w:sz="4" w:space="0" w:color="auto"/>
              <w:bottom w:val="single" w:sz="4" w:space="0" w:color="auto"/>
              <w:right w:val="single" w:sz="4" w:space="0" w:color="auto"/>
            </w:tcBorders>
            <w:shd w:val="clear" w:color="auto" w:fill="C6EFCE"/>
            <w:noWrap/>
          </w:tcPr>
          <w:p w14:paraId="213E0D00" w14:textId="77777777" w:rsidR="003F46B9" w:rsidRDefault="0065662E">
            <w:pPr>
              <w:pStyle w:val="P68B1DB1-Normal5"/>
              <w:spacing w:after="0" w:line="240" w:lineRule="auto"/>
              <w:jc w:val="center"/>
              <w:rPr>
                <w:rFonts w:eastAsia="Times New Roman" w:cs="Times New Roman"/>
                <w:noProof/>
              </w:rPr>
            </w:pPr>
            <w:r>
              <w:rPr>
                <w:noProof/>
              </w:rPr>
              <w:t>77</w:t>
            </w:r>
          </w:p>
        </w:tc>
        <w:tc>
          <w:tcPr>
            <w:tcW w:w="2013" w:type="dxa"/>
            <w:tcBorders>
              <w:top w:val="single" w:sz="4" w:space="0" w:color="auto"/>
              <w:left w:val="nil"/>
              <w:bottom w:val="single" w:sz="4" w:space="0" w:color="auto"/>
              <w:right w:val="single" w:sz="4" w:space="0" w:color="auto"/>
            </w:tcBorders>
            <w:shd w:val="clear" w:color="auto" w:fill="C6EFCE"/>
            <w:noWrap/>
          </w:tcPr>
          <w:p w14:paraId="648574F1" w14:textId="77777777" w:rsidR="003F46B9" w:rsidRDefault="0065662E">
            <w:pPr>
              <w:pStyle w:val="P68B1DB1-Normal5"/>
              <w:spacing w:after="0" w:line="240" w:lineRule="auto"/>
              <w:jc w:val="both"/>
              <w:rPr>
                <w:rFonts w:eastAsia="Times New Roman" w:cs="Times New Roman"/>
                <w:noProof/>
              </w:rPr>
            </w:pPr>
            <w:r>
              <w:rPr>
                <w:noProof/>
              </w:rPr>
              <w:t>Ulaganje 2. Željeznička vozila</w:t>
            </w:r>
          </w:p>
        </w:tc>
        <w:tc>
          <w:tcPr>
            <w:tcW w:w="1075" w:type="dxa"/>
            <w:tcBorders>
              <w:top w:val="single" w:sz="4" w:space="0" w:color="auto"/>
              <w:left w:val="nil"/>
              <w:bottom w:val="single" w:sz="4" w:space="0" w:color="auto"/>
              <w:right w:val="single" w:sz="4" w:space="0" w:color="auto"/>
            </w:tcBorders>
            <w:shd w:val="clear" w:color="auto" w:fill="C6EFCE"/>
            <w:noWrap/>
          </w:tcPr>
          <w:p w14:paraId="6EE42760"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744" w:type="dxa"/>
            <w:tcBorders>
              <w:top w:val="single" w:sz="4" w:space="0" w:color="auto"/>
              <w:left w:val="nil"/>
              <w:bottom w:val="single" w:sz="4" w:space="0" w:color="auto"/>
              <w:right w:val="single" w:sz="4" w:space="0" w:color="auto"/>
            </w:tcBorders>
            <w:shd w:val="clear" w:color="auto" w:fill="C6EFCE"/>
            <w:noWrap/>
          </w:tcPr>
          <w:p w14:paraId="41C7884F" w14:textId="77777777" w:rsidR="003F46B9" w:rsidRDefault="0065662E">
            <w:pPr>
              <w:pStyle w:val="P68B1DB1-Normal5"/>
              <w:spacing w:after="0" w:line="240" w:lineRule="auto"/>
              <w:jc w:val="both"/>
              <w:rPr>
                <w:rFonts w:eastAsia="Times New Roman" w:cs="Times New Roman"/>
                <w:noProof/>
              </w:rPr>
            </w:pPr>
            <w:r>
              <w:rPr>
                <w:noProof/>
              </w:rPr>
              <w:t xml:space="preserve">Nova električna </w:t>
            </w:r>
            <w:r>
              <w:rPr>
                <w:noProof/>
              </w:rPr>
              <w:t>željeznička vozila u uporabi</w:t>
            </w:r>
          </w:p>
        </w:tc>
        <w:tc>
          <w:tcPr>
            <w:tcW w:w="1745" w:type="dxa"/>
            <w:tcBorders>
              <w:top w:val="single" w:sz="4" w:space="0" w:color="auto"/>
              <w:left w:val="nil"/>
              <w:bottom w:val="single" w:sz="4" w:space="0" w:color="auto"/>
              <w:right w:val="single" w:sz="4" w:space="0" w:color="auto"/>
            </w:tcBorders>
            <w:shd w:val="clear" w:color="auto" w:fill="C6EFCE"/>
            <w:noWrap/>
          </w:tcPr>
          <w:p w14:paraId="1EC5110C" w14:textId="77777777" w:rsidR="003F46B9" w:rsidRDefault="003F46B9">
            <w:pPr>
              <w:spacing w:after="0" w:line="240" w:lineRule="auto"/>
              <w:jc w:val="both"/>
              <w:rPr>
                <w:rFonts w:ascii="Times New Roman" w:eastAsia="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092BC4BE" w14:textId="77777777" w:rsidR="003F46B9" w:rsidRDefault="0065662E">
            <w:pPr>
              <w:pStyle w:val="P68B1DB1-Normal5"/>
              <w:spacing w:after="0" w:line="240" w:lineRule="auto"/>
              <w:jc w:val="both"/>
              <w:rPr>
                <w:rFonts w:eastAsia="Times New Roman" w:cs="Times New Roman"/>
                <w:noProof/>
              </w:rPr>
            </w:pPr>
            <w:r>
              <w:rPr>
                <w:noProof/>
              </w:rPr>
              <w:t>Broj</w:t>
            </w:r>
          </w:p>
        </w:tc>
        <w:tc>
          <w:tcPr>
            <w:tcW w:w="1159" w:type="dxa"/>
            <w:tcBorders>
              <w:top w:val="single" w:sz="4" w:space="0" w:color="auto"/>
              <w:left w:val="nil"/>
              <w:bottom w:val="single" w:sz="4" w:space="0" w:color="auto"/>
              <w:right w:val="single" w:sz="4" w:space="0" w:color="auto"/>
            </w:tcBorders>
            <w:shd w:val="clear" w:color="auto" w:fill="C6EFCE"/>
            <w:noWrap/>
          </w:tcPr>
          <w:p w14:paraId="6F275628"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53213205" w14:textId="77777777" w:rsidR="003F46B9" w:rsidRDefault="0065662E">
            <w:pPr>
              <w:pStyle w:val="P68B1DB1-Normal5"/>
              <w:spacing w:after="0" w:line="240" w:lineRule="auto"/>
              <w:jc w:val="both"/>
              <w:rPr>
                <w:rFonts w:eastAsia="Times New Roman" w:cs="Times New Roman"/>
                <w:noProof/>
              </w:rPr>
            </w:pPr>
            <w:r>
              <w:rPr>
                <w:noProof/>
              </w:rPr>
              <w:t>262</w:t>
            </w:r>
          </w:p>
        </w:tc>
        <w:tc>
          <w:tcPr>
            <w:tcW w:w="941" w:type="dxa"/>
            <w:tcBorders>
              <w:top w:val="single" w:sz="4" w:space="0" w:color="auto"/>
              <w:left w:val="nil"/>
              <w:bottom w:val="single" w:sz="4" w:space="0" w:color="auto"/>
              <w:right w:val="single" w:sz="4" w:space="0" w:color="auto"/>
            </w:tcBorders>
            <w:shd w:val="clear" w:color="auto" w:fill="C6EFCE"/>
            <w:noWrap/>
          </w:tcPr>
          <w:p w14:paraId="3B88BC7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02" w:type="dxa"/>
            <w:tcBorders>
              <w:top w:val="single" w:sz="4" w:space="0" w:color="auto"/>
              <w:left w:val="nil"/>
              <w:bottom w:val="single" w:sz="4" w:space="0" w:color="auto"/>
              <w:right w:val="single" w:sz="4" w:space="0" w:color="auto"/>
            </w:tcBorders>
            <w:shd w:val="clear" w:color="auto" w:fill="C6EFCE"/>
            <w:noWrap/>
          </w:tcPr>
          <w:p w14:paraId="07B2E21F" w14:textId="77777777" w:rsidR="003F46B9" w:rsidRDefault="0065662E">
            <w:pPr>
              <w:pStyle w:val="P68B1DB1-Normal5"/>
              <w:spacing w:after="0" w:line="240" w:lineRule="auto"/>
              <w:jc w:val="both"/>
              <w:rPr>
                <w:rFonts w:eastAsia="Times New Roman" w:cs="Times New Roman"/>
                <w:noProof/>
              </w:rPr>
            </w:pPr>
            <w:r>
              <w:rPr>
                <w:noProof/>
              </w:rPr>
              <w:t>2026</w:t>
            </w:r>
          </w:p>
        </w:tc>
        <w:tc>
          <w:tcPr>
            <w:tcW w:w="3691" w:type="dxa"/>
            <w:tcBorders>
              <w:top w:val="single" w:sz="4" w:space="0" w:color="auto"/>
              <w:left w:val="nil"/>
              <w:bottom w:val="single" w:sz="4" w:space="0" w:color="auto"/>
              <w:right w:val="single" w:sz="4" w:space="0" w:color="auto"/>
            </w:tcBorders>
            <w:shd w:val="clear" w:color="auto" w:fill="C6EFCE"/>
            <w:noWrap/>
          </w:tcPr>
          <w:p w14:paraId="74997E46" w14:textId="77777777" w:rsidR="003F46B9" w:rsidRDefault="0065662E">
            <w:pPr>
              <w:pStyle w:val="P68B1DB1-Normal5"/>
              <w:spacing w:after="0" w:line="240" w:lineRule="auto"/>
              <w:jc w:val="both"/>
              <w:rPr>
                <w:rFonts w:eastAsia="Times New Roman" w:cs="Times New Roman"/>
                <w:noProof/>
              </w:rPr>
            </w:pPr>
            <w:r>
              <w:rPr>
                <w:noProof/>
              </w:rPr>
              <w:t>Početak rada:</w:t>
            </w:r>
          </w:p>
          <w:p w14:paraId="3F8E3A6B"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20 EMU (električna višemotorna vozila – RE-IR – Električni Interregio – vlakovi na velike udaljenosti, sa 6 jedinica) i 12 H-EMU (hodizelski višedijelni vlakovi, s 3 + 1 jedinice) </w:t>
            </w:r>
          </w:p>
          <w:p w14:paraId="4E63DF6E"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55 moderniziranih električnih lokomotiva koje mogu postići brzinu od 160 km/h i vuču vlakova do 16 vagona;</w:t>
            </w:r>
          </w:p>
          <w:p w14:paraId="687F6084"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16 novih električnih lokomotiva s 4 osi sa sustavom ERTMS koje mogu postići brzinu od 160 km/h i vuču vlakova do 16 vagona; </w:t>
            </w:r>
          </w:p>
          <w:p w14:paraId="79A694D2"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20 ranžirnih lokomo</w:t>
            </w:r>
            <w:r>
              <w:rPr>
                <w:rFonts w:ascii="Times New Roman" w:hAnsi="Times New Roman"/>
                <w:noProof/>
                <w:sz w:val="24"/>
              </w:rPr>
              <w:t>tiva unaprijeđenih s dizelskog goriva na električnu energiju i priključak;</w:t>
            </w:r>
          </w:p>
          <w:p w14:paraId="06A83993"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Modernizirano 139 moderniziranih vozila (30 vozila za spavanje, ležaja, restorana i bistro vagona i 109 vagona za vlakove InterCity, InterRegio i Regio). </w:t>
            </w:r>
          </w:p>
          <w:p w14:paraId="7EB5647C" w14:textId="77777777" w:rsidR="003F46B9" w:rsidRDefault="0065662E">
            <w:pPr>
              <w:pStyle w:val="P68B1DB1-Normal5"/>
              <w:spacing w:after="0" w:line="240" w:lineRule="auto"/>
              <w:jc w:val="both"/>
              <w:rPr>
                <w:rFonts w:eastAsia="Times New Roman" w:cs="Times New Roman"/>
                <w:noProof/>
              </w:rPr>
            </w:pPr>
            <w:r>
              <w:rPr>
                <w:noProof/>
              </w:rPr>
              <w:t>Kako bi se u najvećoj mo</w:t>
            </w:r>
            <w:r>
              <w:rPr>
                <w:noProof/>
              </w:rPr>
              <w:t>gućoj mjeri povećala učinkovitost ulaganja, sva novonabavljena željeznička vozila upotrebljavaju se u mreži TEN-T, pri čemu se prednost daje moderniziranim prugama.</w:t>
            </w:r>
          </w:p>
        </w:tc>
      </w:tr>
    </w:tbl>
    <w:p w14:paraId="29F2A24E" w14:textId="77777777" w:rsidR="003F46B9" w:rsidRDefault="003F46B9">
      <w:pPr>
        <w:spacing w:after="0" w:line="240" w:lineRule="auto"/>
        <w:jc w:val="both"/>
        <w:rPr>
          <w:rFonts w:ascii="Times New Roman" w:eastAsia="Times New Roman" w:hAnsi="Times New Roman" w:cs="Times New Roman"/>
          <w:noProof/>
          <w:sz w:val="24"/>
        </w:rPr>
        <w:sectPr w:rsidR="003F46B9">
          <w:headerReference w:type="even" r:id="rId84"/>
          <w:headerReference w:type="default" r:id="rId85"/>
          <w:footerReference w:type="even" r:id="rId86"/>
          <w:footerReference w:type="default" r:id="rId87"/>
          <w:headerReference w:type="first" r:id="rId88"/>
          <w:footerReference w:type="first" r:id="rId89"/>
          <w:pgSz w:w="16839" w:h="11907" w:orient="landscape"/>
          <w:pgMar w:top="1418" w:right="1134" w:bottom="1418" w:left="1134" w:header="709" w:footer="709" w:gutter="0"/>
          <w:cols w:space="720"/>
          <w:docGrid w:linePitch="360"/>
        </w:sectPr>
      </w:pPr>
    </w:p>
    <w:p w14:paraId="5C4953EA"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D.3. </w:t>
      </w:r>
      <w:r>
        <w:rPr>
          <w:noProof/>
        </w:rPr>
        <w:tab/>
      </w:r>
      <w:r>
        <w:rPr>
          <w:rFonts w:ascii="Times New Roman" w:hAnsi="Times New Roman"/>
          <w:b/>
          <w:noProof/>
          <w:sz w:val="24"/>
        </w:rPr>
        <w:t xml:space="preserve">Opis reformi i ulaganja za zajam </w:t>
      </w:r>
    </w:p>
    <w:p w14:paraId="04252016" w14:textId="77777777" w:rsidR="003F46B9" w:rsidRDefault="0065662E">
      <w:pPr>
        <w:pStyle w:val="P68B1DB1-Standard6"/>
        <w:spacing w:before="240"/>
        <w:jc w:val="both"/>
        <w:rPr>
          <w:noProof/>
        </w:rPr>
      </w:pPr>
      <w:r>
        <w:rPr>
          <w:noProof/>
        </w:rPr>
        <w:t>Reforma 2. Upravljanje kvalitetom u prometu na temelju uspješnosti – poboljšanje institucijskih kapaciteta i korporativnog upravljanja</w:t>
      </w:r>
    </w:p>
    <w:p w14:paraId="1F4CAAEF" w14:textId="77777777" w:rsidR="003F46B9" w:rsidRDefault="0065662E">
      <w:pPr>
        <w:pStyle w:val="P68B1DB1-Normal5"/>
        <w:spacing w:before="120" w:after="120" w:line="240" w:lineRule="auto"/>
        <w:jc w:val="both"/>
        <w:rPr>
          <w:rFonts w:eastAsia="Calibri" w:cs="Times New Roman"/>
          <w:noProof/>
        </w:rPr>
      </w:pPr>
      <w:r>
        <w:rPr>
          <w:noProof/>
        </w:rPr>
        <w:t>Cilj je te reforme razviti kvalitetu ulaganja i usluga u prometu poboljšanjem korporati</w:t>
      </w:r>
      <w:r>
        <w:rPr>
          <w:noProof/>
        </w:rPr>
        <w:t>vnog upravljanja i uspješnosti poduzeća u državnom vlasništvu koja posluju u prometnom sektoru, posebno onih zaduženih za ceste, željeznice i podzemnu željeznicu.</w:t>
      </w:r>
    </w:p>
    <w:p w14:paraId="5B465C7A" w14:textId="77777777" w:rsidR="003F46B9" w:rsidRDefault="0065662E">
      <w:pPr>
        <w:pStyle w:val="P68B1DB1-Normal5"/>
        <w:spacing w:before="120" w:after="120" w:line="240" w:lineRule="auto"/>
        <w:jc w:val="both"/>
        <w:rPr>
          <w:rFonts w:eastAsia="Calibri" w:cs="Times New Roman"/>
          <w:noProof/>
        </w:rPr>
      </w:pPr>
      <w:r>
        <w:rPr>
          <w:noProof/>
        </w:rPr>
        <w:t>Novi subjekt C.N.I.R. S.A. (Nacionalno društvo za cestovnu infrastrukturu) osnovan je zakonod</w:t>
      </w:r>
      <w:r>
        <w:rPr>
          <w:noProof/>
        </w:rPr>
        <w:t>avstvom koje je stupilo na snagu u travnju 2021. radi upravljanja ulaganjima u cestovni sektor, čija je odgovornost osigurati provedbu projekata od faze tehničke i ekonomske dokumentacije, natječajnih postupaka, učinkovite izgradnje do prihvata. Očekuje se</w:t>
      </w:r>
      <w:r>
        <w:rPr>
          <w:noProof/>
        </w:rPr>
        <w:t xml:space="preserve"> da će se time omogućiti usmjeravanje određenog subjekta (C.N.I.R) na učinkovito upravljanje i određivanje prioriteta novih ulaganja u ceste, dok će se drugi subjekt (C.N.A.I.R) usredotočiti na upravljanje postojećom cestovnom mrežom i njezino održavanje. </w:t>
      </w:r>
      <w:r>
        <w:rPr>
          <w:noProof/>
        </w:rPr>
        <w:t>Postoji prijelazno razdoblje od tri godine tijekom kojeg C.N.A.I.R. (Nacionalno društvo za upravljanje cestovnom infrastrukturom) i C.N.I.R. moraju usporedno provoditi investicijske projekte do potpune operacionalizacije C.N.I.R.</w:t>
      </w:r>
    </w:p>
    <w:p w14:paraId="3556A35D" w14:textId="77777777" w:rsidR="003F46B9" w:rsidRDefault="0065662E">
      <w:pPr>
        <w:pStyle w:val="P68B1DB1-Normal5"/>
        <w:spacing w:before="120" w:after="120" w:line="240" w:lineRule="auto"/>
        <w:jc w:val="both"/>
        <w:rPr>
          <w:rFonts w:eastAsia="Calibri" w:cs="Times New Roman"/>
          <w:noProof/>
        </w:rPr>
      </w:pPr>
      <w:r>
        <w:rPr>
          <w:noProof/>
        </w:rPr>
        <w:t>Odabir i imenovanje članov</w:t>
      </w:r>
      <w:r>
        <w:rPr>
          <w:noProof/>
        </w:rPr>
        <w:t xml:space="preserve">a upravnog odbora poduzeća u državnom vlasništvu u prometnom sektoru poboljšat će se transparentnim i natjecateljskim postupcima, a naknada mora biti u skladu s ključnim pokazateljima uspješnosti. </w:t>
      </w:r>
    </w:p>
    <w:p w14:paraId="57C607F7" w14:textId="77777777" w:rsidR="003F46B9" w:rsidRDefault="0065662E">
      <w:pPr>
        <w:pStyle w:val="P68B1DB1-Normal5"/>
        <w:spacing w:before="120" w:after="120" w:line="240" w:lineRule="auto"/>
        <w:jc w:val="both"/>
        <w:rPr>
          <w:rFonts w:eastAsia="Calibri" w:cs="Times New Roman"/>
          <w:noProof/>
        </w:rPr>
      </w:pPr>
      <w:r>
        <w:rPr>
          <w:noProof/>
        </w:rPr>
        <w:t>Na temelju neovisne procjene financijske i operativne uspj</w:t>
      </w:r>
      <w:r>
        <w:rPr>
          <w:noProof/>
        </w:rPr>
        <w:t>ešnosti u skladu sa standardima OECD-a (Organizacija za gospodarsku suradnju i razvoj), provode se preporuke za poboljšanje uspješnosti C.N.A.I.R., C.N.I.R., C.F.R. (Compania Na‚ională de Căi Ferate), C.F.R. Călători i Metrorex. Kako bi provelo neovisnu ev</w:t>
      </w:r>
      <w:r>
        <w:rPr>
          <w:noProof/>
        </w:rPr>
        <w:t>aluaciju, Ministarstvo prometa i infrastrukture će putem konkurentne javne nabave ugovoriti/odabrati međunarodnu financijsku instituciju ili međunarodno revizorsko društvo koje je priznato za stručnost i stručnost u radu poduzeća u državnom vlasništvu. Pre</w:t>
      </w:r>
      <w:r>
        <w:rPr>
          <w:noProof/>
        </w:rPr>
        <w:t>poruke iz te neovisne procjene provode se do 30. lipnja 2023.</w:t>
      </w:r>
    </w:p>
    <w:p w14:paraId="632C7F1F" w14:textId="77777777" w:rsidR="003F46B9" w:rsidRDefault="0065662E">
      <w:pPr>
        <w:pStyle w:val="P68B1DB1-Normal5"/>
        <w:spacing w:before="120" w:after="120" w:line="240" w:lineRule="auto"/>
        <w:jc w:val="both"/>
        <w:rPr>
          <w:rFonts w:eastAsia="Calibri" w:cs="Times New Roman"/>
          <w:noProof/>
        </w:rPr>
      </w:pPr>
      <w:r>
        <w:rPr>
          <w:noProof/>
        </w:rPr>
        <w:t>Tom se reformom osigurava uravnotežena zastupljenost žena u svim procesima reformi i u organizacijskim strukturama specifičnima za njezinu provedbu. Cilj mu je i poboljšati zastupljenost žena na</w:t>
      </w:r>
      <w:r>
        <w:rPr>
          <w:noProof/>
        </w:rPr>
        <w:t xml:space="preserve"> položajima na kojima se donose odluke u trgovačkim društvima koja sudjeluju u ovoj reformi.</w:t>
      </w:r>
    </w:p>
    <w:p w14:paraId="3D15B3C9" w14:textId="77777777" w:rsidR="003F46B9" w:rsidRDefault="0065662E">
      <w:pPr>
        <w:pStyle w:val="P68B1DB1-Normal5"/>
        <w:spacing w:before="120" w:after="120" w:line="240" w:lineRule="auto"/>
        <w:jc w:val="both"/>
        <w:rPr>
          <w:rFonts w:eastAsia="Calibri" w:cs="Times New Roman"/>
          <w:noProof/>
        </w:rPr>
      </w:pPr>
      <w:r>
        <w:rPr>
          <w:noProof/>
        </w:rPr>
        <w:t>Provedba reforme mora biti dovršena do 30. lipnja 2023.</w:t>
      </w:r>
    </w:p>
    <w:p w14:paraId="049EF29A" w14:textId="77777777" w:rsidR="003F46B9" w:rsidRDefault="0065662E">
      <w:pPr>
        <w:pStyle w:val="P68B1DB1-Standard6"/>
        <w:spacing w:before="240"/>
        <w:jc w:val="both"/>
        <w:rPr>
          <w:noProof/>
        </w:rPr>
      </w:pPr>
      <w:r>
        <w:rPr>
          <w:noProof/>
        </w:rPr>
        <w:t>Ulaganje 3. Razvoj održive cestovne infrastrukture u mreži TEN-T, naplata cestarina, upravljanje prometom i</w:t>
      </w:r>
      <w:r>
        <w:rPr>
          <w:noProof/>
        </w:rPr>
        <w:t xml:space="preserve"> sigurnost na cestama</w:t>
      </w:r>
    </w:p>
    <w:p w14:paraId="60CDA37C" w14:textId="77777777" w:rsidR="003F46B9" w:rsidRDefault="0065662E">
      <w:pPr>
        <w:pStyle w:val="P68B1DB1-Normal5"/>
        <w:spacing w:before="120" w:after="120" w:line="240" w:lineRule="auto"/>
        <w:jc w:val="both"/>
        <w:rPr>
          <w:rFonts w:eastAsia="Calibri" w:cs="Times New Roman"/>
          <w:noProof/>
        </w:rPr>
      </w:pPr>
      <w:r>
        <w:rPr>
          <w:noProof/>
        </w:rPr>
        <w:t>Cilj je tog ulaganja poboljšati kvalitetu i učinkovitost cestovne infrastrukture na određenim dionicama mreže TEN-T te poticati gospodarsku i socijalnu koheziju, posebno u slabije razvijenim i udaljenim regijama.</w:t>
      </w:r>
    </w:p>
    <w:p w14:paraId="4C05A5F6" w14:textId="77777777" w:rsidR="003F46B9" w:rsidRDefault="0065662E">
      <w:pPr>
        <w:pStyle w:val="P68B1DB1-Normal5"/>
        <w:spacing w:before="120" w:after="120" w:line="240" w:lineRule="auto"/>
        <w:jc w:val="both"/>
        <w:rPr>
          <w:rFonts w:eastAsia="Calibri" w:cs="Times New Roman"/>
          <w:noProof/>
        </w:rPr>
      </w:pPr>
      <w:r>
        <w:rPr>
          <w:noProof/>
        </w:rPr>
        <w:t>Nove autoceste izgrađ</w:t>
      </w:r>
      <w:r>
        <w:rPr>
          <w:noProof/>
        </w:rPr>
        <w:t>ene su ukupno 429 km kako slijedi:</w:t>
      </w:r>
    </w:p>
    <w:p w14:paraId="0FBCA703" w14:textId="77777777" w:rsidR="003F46B9" w:rsidRDefault="0065662E">
      <w:pPr>
        <w:pStyle w:val="P68B1DB1-Normal5"/>
        <w:spacing w:before="120" w:after="120" w:line="240" w:lineRule="auto"/>
        <w:ind w:left="142"/>
        <w:jc w:val="both"/>
        <w:rPr>
          <w:rFonts w:eastAsia="Calibri" w:cs="Times New Roman"/>
          <w:noProof/>
        </w:rPr>
      </w:pPr>
      <w:r>
        <w:rPr>
          <w:noProof/>
        </w:rPr>
        <w:t>• A7 – Ploiești-Pașcani (319 km);</w:t>
      </w:r>
    </w:p>
    <w:p w14:paraId="535FCCFE" w14:textId="77777777" w:rsidR="003F46B9" w:rsidRDefault="0065662E">
      <w:pPr>
        <w:pStyle w:val="P68B1DB1-Normal5"/>
        <w:spacing w:before="120" w:after="120" w:line="240" w:lineRule="auto"/>
        <w:ind w:left="142"/>
        <w:jc w:val="both"/>
        <w:rPr>
          <w:rFonts w:eastAsia="Calibri" w:cs="Times New Roman"/>
          <w:noProof/>
        </w:rPr>
      </w:pPr>
      <w:r>
        <w:rPr>
          <w:noProof/>
        </w:rPr>
        <w:t>• A8 – Târgu-Mureș-Miercurea Nirajului i Leghin- Târgu Neamț (Moțca) (59 km);</w:t>
      </w:r>
    </w:p>
    <w:p w14:paraId="1D48213D" w14:textId="77777777" w:rsidR="003F46B9" w:rsidRDefault="0065662E">
      <w:pPr>
        <w:pStyle w:val="P68B1DB1-Normal5"/>
        <w:spacing w:before="120" w:after="120" w:line="240" w:lineRule="auto"/>
        <w:ind w:left="142"/>
        <w:jc w:val="both"/>
        <w:rPr>
          <w:rFonts w:eastAsia="Calibri" w:cs="Times New Roman"/>
          <w:noProof/>
        </w:rPr>
      </w:pPr>
      <w:r>
        <w:rPr>
          <w:noProof/>
        </w:rPr>
        <w:t>• A1 – marginea-Holdea (9 km);</w:t>
      </w:r>
    </w:p>
    <w:p w14:paraId="732FE963" w14:textId="77777777" w:rsidR="003F46B9" w:rsidRDefault="0065662E">
      <w:pPr>
        <w:pStyle w:val="P68B1DB1-Normal5"/>
        <w:spacing w:before="120" w:after="120" w:line="240" w:lineRule="auto"/>
        <w:ind w:left="142"/>
        <w:jc w:val="both"/>
        <w:rPr>
          <w:rFonts w:eastAsia="Calibri" w:cs="Times New Roman"/>
          <w:noProof/>
        </w:rPr>
      </w:pPr>
      <w:r>
        <w:rPr>
          <w:noProof/>
        </w:rPr>
        <w:t>• A3 – Nădășelu-Poarta Sălajului (42 km).</w:t>
      </w:r>
    </w:p>
    <w:p w14:paraId="10197F11" w14:textId="77777777" w:rsidR="003F46B9" w:rsidRDefault="0065662E">
      <w:pPr>
        <w:pStyle w:val="P68B1DB1-Normal5"/>
        <w:spacing w:before="120" w:after="120" w:line="240" w:lineRule="auto"/>
        <w:jc w:val="both"/>
        <w:rPr>
          <w:rFonts w:eastAsia="Calibri" w:cs="Times New Roman"/>
          <w:noProof/>
        </w:rPr>
      </w:pPr>
      <w:r>
        <w:rPr>
          <w:noProof/>
        </w:rPr>
        <w:t>Svi sektori autocesta grade se u skl</w:t>
      </w:r>
      <w:r>
        <w:rPr>
          <w:noProof/>
        </w:rPr>
        <w:t>adu sa standardima TEN-T-a, moraju biti u skladu sa zahtjevima procjene utjecaja na okoliš, mišljenjima i uvjetima odgovarajuće procjene (dio Direktive o staništima) i uključiti ih u njihovo oblikovanje te uključivati nove tehničke propise za ograničavanje</w:t>
      </w:r>
      <w:r>
        <w:rPr>
          <w:noProof/>
        </w:rPr>
        <w:t xml:space="preserve"> onečišćenja, poboljšanje sigurnosti i promicanje učinkovitosti prometa.</w:t>
      </w:r>
    </w:p>
    <w:p w14:paraId="3D2C6BA5" w14:textId="77777777" w:rsidR="003F46B9" w:rsidRDefault="0065662E">
      <w:pPr>
        <w:pStyle w:val="P68B1DB1-Normal5"/>
        <w:spacing w:before="120" w:after="120" w:line="240" w:lineRule="auto"/>
        <w:jc w:val="both"/>
        <w:rPr>
          <w:rFonts w:eastAsia="Calibri" w:cs="Times New Roman"/>
          <w:noProof/>
        </w:rPr>
      </w:pPr>
      <w:r>
        <w:rPr>
          <w:noProof/>
        </w:rPr>
        <w:t>Izgradnja novih autocesta ima sljedeće značajke: obvezni tehnički standardi u skladu sa zahtjevima mreže TEN-T, izgradnja postaja za punjenje električnom energijom, izgradnja sigurnih</w:t>
      </w:r>
      <w:r>
        <w:rPr>
          <w:noProof/>
        </w:rPr>
        <w:t xml:space="preserve"> parkirališta, provedba rješenja za digitalizaciju koja služe povećanju učinkovitosti i sigurnosti prometa, postavljanje šumskih zavjesa i rad na poboljšanju sigurnosti na cestama.</w:t>
      </w:r>
    </w:p>
    <w:p w14:paraId="6C2A62D1" w14:textId="77777777" w:rsidR="003F46B9" w:rsidRDefault="0065662E">
      <w:pPr>
        <w:pStyle w:val="P68B1DB1-Normal5"/>
        <w:spacing w:before="120" w:after="120" w:line="240" w:lineRule="auto"/>
        <w:jc w:val="both"/>
        <w:rPr>
          <w:rFonts w:eastAsia="Calibri" w:cs="Times New Roman"/>
          <w:noProof/>
        </w:rPr>
      </w:pPr>
      <w:r>
        <w:rPr>
          <w:noProof/>
        </w:rPr>
        <w:t>Očekuje se da se tom mjerom ne nanosi bitna šteta okolišnim ciljevima u smi</w:t>
      </w:r>
      <w:r>
        <w:rPr>
          <w:noProof/>
        </w:rPr>
        <w:t>slu članka 17. Uredbe (EU) 2020/852, uzimajući u obzir opis mjere i korake za ublažavanje utvrđene u planu za oporavak i otpornost u skladu s Tehničkim smjernicama o nenanošenju bitne štete (2021/C58/01). Sve dionice autoceste moraju biti izgrađene u sklad</w:t>
      </w:r>
      <w:r>
        <w:rPr>
          <w:noProof/>
        </w:rPr>
        <w:t>u sa standardima mreže TEN-T, biti u skladu sa zahtjevima procjene utjecaja na okoliš, uključiti odgovarajuću procjenu (dio Direktive o staništima) u projekt i uključivati nove tehničke značajke za ograničavanje onečišćenja i digitalizaciju prometa (šumske</w:t>
      </w:r>
      <w:r>
        <w:rPr>
          <w:noProof/>
        </w:rPr>
        <w:t xml:space="preserve"> zavjese, ploče za apsorpciju zvuka, stanice za punjenje električnom energijom, inteligentni prometni sustav, sigurnost na cestama). Usklađenost s načelom „ne nanosi bitnu štetu” osigurava se sljedećim pratećim mjerama:</w:t>
      </w:r>
    </w:p>
    <w:p w14:paraId="311DEFE0" w14:textId="671CFC88"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povezivanje ulaganja u ceste s </w:t>
      </w:r>
      <w:r>
        <w:rPr>
          <w:noProof/>
        </w:rPr>
        <w:t>ugradnjom najmanje 22415 stanica za električno punjenje, kako je predviđeno prvom reformom te komponente, ulaganja 1 i 2 komponente 10 („Lokalni fond”) i ulaganja 1 komponente 5 („Val obnove”);</w:t>
      </w:r>
    </w:p>
    <w:p w14:paraId="64883944" w14:textId="4A41ADCD" w:rsidR="003F46B9" w:rsidRDefault="0065662E">
      <w:pPr>
        <w:pStyle w:val="P68B1DB1-Normal12"/>
        <w:numPr>
          <w:ilvl w:val="0"/>
          <w:numId w:val="2"/>
        </w:numPr>
        <w:spacing w:before="120" w:after="120" w:line="240" w:lineRule="auto"/>
        <w:ind w:left="360"/>
        <w:jc w:val="both"/>
        <w:rPr>
          <w:rFonts w:cs="Times New Roman"/>
          <w:noProof/>
        </w:rPr>
      </w:pPr>
      <w:r>
        <w:rPr>
          <w:noProof/>
        </w:rPr>
        <w:t>Prva reforma te komponente, kojom se uvode: i) naknade na teme</w:t>
      </w:r>
      <w:r>
        <w:rPr>
          <w:noProof/>
        </w:rPr>
        <w:t>lju udaljenosti za teška teretna vozila (kamioni i druge vrste kamiona); mjere lokalnog oporezivanja za vlasništvo nad putničkim vozilima koja najviše onečišćuju; i iii. povećanje za 29500 električnih vozila s nultim emisijama registriranih u Rumunjskoj od</w:t>
      </w:r>
      <w:r>
        <w:rPr>
          <w:noProof/>
        </w:rPr>
        <w:t xml:space="preserve"> 2020. do 2025.;</w:t>
      </w:r>
    </w:p>
    <w:p w14:paraId="5909DE3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Prva reforma te komponente, kojom se osiguravaju financijski i fiskalni poticaji za povećanje broja vozila s nultim i niskim emisijama i uklanjanje najmanje 250000 vozila koja onečišćuju okoliš (EURO 3 ili manje);</w:t>
      </w:r>
    </w:p>
    <w:p w14:paraId="6A9DB445"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Prva reforma te komponent</w:t>
      </w:r>
      <w:r>
        <w:rPr>
          <w:noProof/>
        </w:rPr>
        <w:t>e, koja obuhvaća strategiju za razvoj željezničke infrastrukture i pomorsku strategiju i integraciju s drugim vrstama prijevoza, kojima se podupire modalni prelazak s cestovnog na željeznički prijevoz i/ili unutarnje plovne putove:</w:t>
      </w:r>
    </w:p>
    <w:p w14:paraId="3F19BD4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Reforma 4. komponente 10</w:t>
      </w:r>
      <w:r>
        <w:rPr>
          <w:noProof/>
        </w:rPr>
        <w:t xml:space="preserve"> „Lokalni fond”, koja uključuje mjere za poticanje obnove voznog parka javnog prijevoza čistim vozilima, povećanje sigurnosti na cestama i osiguravanje minimalnih nacionalnih standarda kvalitete u urbanim i ruralnim područjima.</w:t>
      </w:r>
    </w:p>
    <w:p w14:paraId="597FB43F" w14:textId="77777777" w:rsidR="003F46B9" w:rsidRDefault="0065662E">
      <w:pPr>
        <w:pStyle w:val="P68B1DB1-Normal5"/>
        <w:spacing w:before="120" w:after="120" w:line="240" w:lineRule="auto"/>
        <w:jc w:val="both"/>
        <w:rPr>
          <w:rFonts w:eastAsia="Calibri" w:cs="Times New Roman"/>
          <w:noProof/>
        </w:rPr>
      </w:pPr>
      <w:r>
        <w:rPr>
          <w:noProof/>
        </w:rPr>
        <w:t xml:space="preserve">Provedba ulaganja mora biti </w:t>
      </w:r>
      <w:r>
        <w:rPr>
          <w:noProof/>
        </w:rPr>
        <w:t>dovršena do 30. lipnja 2026.</w:t>
      </w:r>
    </w:p>
    <w:p w14:paraId="1332B21A" w14:textId="77777777" w:rsidR="003F46B9" w:rsidRDefault="0065662E">
      <w:pPr>
        <w:pStyle w:val="P68B1DB1-Standard6"/>
        <w:spacing w:before="240"/>
        <w:jc w:val="both"/>
        <w:rPr>
          <w:noProof/>
        </w:rPr>
      </w:pPr>
      <w:r>
        <w:rPr>
          <w:noProof/>
        </w:rPr>
        <w:t>Ulaganje 4. Razvoj mreže podzemnog prijevoza u općinama Bukurešt i Cluj-Napoca</w:t>
      </w:r>
    </w:p>
    <w:p w14:paraId="1AE7416D" w14:textId="43246FFA" w:rsidR="003F46B9" w:rsidRDefault="0065662E">
      <w:pPr>
        <w:pStyle w:val="P68B1DB1-Normal5"/>
        <w:spacing w:before="120" w:after="120" w:line="240" w:lineRule="auto"/>
        <w:jc w:val="both"/>
        <w:rPr>
          <w:rFonts w:eastAsia="Calibri" w:cs="Times New Roman"/>
          <w:noProof/>
        </w:rPr>
      </w:pPr>
      <w:r>
        <w:rPr>
          <w:noProof/>
        </w:rPr>
        <w:t>Cilj je tog ulaganja proširiti podzemnu prometnu mrežu u općini Bukurešt za 6,6 kilometara i izgraditi 8,8 kilometara podzemne prometne mreže u Cluj</w:t>
      </w:r>
      <w:r>
        <w:rPr>
          <w:noProof/>
        </w:rPr>
        <w:t>-Napoci. Projektima se doprinosi povećanju upotrebe čistog javnog prijevoza, čime se smanjuju onečišćenje zraka, emisije i zagušenje u tim gradskim područjima. Ulaganje uključuje objekte za osobe sa smanjenom pokretljivošću i dostupno je osobama s oštećenj</w:t>
      </w:r>
      <w:r>
        <w:rPr>
          <w:noProof/>
        </w:rPr>
        <w:t xml:space="preserve">em vida. </w:t>
      </w:r>
    </w:p>
    <w:p w14:paraId="34C5ABFE"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2026.</w:t>
      </w:r>
    </w:p>
    <w:p w14:paraId="1E640E5C" w14:textId="77777777" w:rsidR="003F46B9" w:rsidRDefault="003F46B9">
      <w:pPr>
        <w:suppressAutoHyphens/>
        <w:autoSpaceDN w:val="0"/>
        <w:spacing w:after="0"/>
        <w:jc w:val="both"/>
        <w:textAlignment w:val="baseline"/>
        <w:rPr>
          <w:rFonts w:ascii="Times New Roman" w:eastAsia="NSimSun" w:hAnsi="Times New Roman" w:cs="Times New Roman"/>
          <w:noProof/>
          <w:kern w:val="3"/>
          <w:sz w:val="24"/>
        </w:rPr>
        <w:sectPr w:rsidR="003F46B9">
          <w:headerReference w:type="even" r:id="rId90"/>
          <w:headerReference w:type="default" r:id="rId91"/>
          <w:footerReference w:type="even" r:id="rId92"/>
          <w:footerReference w:type="default" r:id="rId93"/>
          <w:headerReference w:type="first" r:id="rId94"/>
          <w:footerReference w:type="first" r:id="rId95"/>
          <w:pgSz w:w="11907" w:h="16839"/>
          <w:pgMar w:top="1134" w:right="1418" w:bottom="1134" w:left="1418" w:header="709" w:footer="709" w:gutter="0"/>
          <w:cols w:space="720"/>
          <w:docGrid w:linePitch="360"/>
        </w:sectPr>
      </w:pPr>
    </w:p>
    <w:p w14:paraId="7F87A627"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D.4. </w:t>
      </w:r>
      <w:r>
        <w:rPr>
          <w:noProof/>
        </w:rPr>
        <w:tab/>
      </w:r>
      <w:r>
        <w:rPr>
          <w:rFonts w:ascii="Times New Roman" w:hAnsi="Times New Roman"/>
          <w:b/>
          <w:noProof/>
          <w:sz w:val="24"/>
        </w:rPr>
        <w:t xml:space="preserve">Ključne etape, ciljne vrijednosti, pokazatelji i vremenski raspored za praćenje i provedbu zajma </w:t>
      </w:r>
    </w:p>
    <w:tbl>
      <w:tblPr>
        <w:tblW w:w="15452" w:type="dxa"/>
        <w:jc w:val="center"/>
        <w:tblLayout w:type="fixed"/>
        <w:tblCellMar>
          <w:left w:w="28" w:type="dxa"/>
          <w:right w:w="28" w:type="dxa"/>
        </w:tblCellMar>
        <w:tblLook w:val="04A0" w:firstRow="1" w:lastRow="0" w:firstColumn="1" w:lastColumn="0" w:noHBand="0" w:noVBand="1"/>
      </w:tblPr>
      <w:tblGrid>
        <w:gridCol w:w="663"/>
        <w:gridCol w:w="2099"/>
        <w:gridCol w:w="1052"/>
        <w:gridCol w:w="1705"/>
        <w:gridCol w:w="1575"/>
        <w:gridCol w:w="40"/>
        <w:gridCol w:w="1386"/>
        <w:gridCol w:w="970"/>
        <w:gridCol w:w="713"/>
        <w:gridCol w:w="921"/>
        <w:gridCol w:w="660"/>
        <w:gridCol w:w="3668"/>
      </w:tblGrid>
      <w:tr w:rsidR="003F46B9" w14:paraId="66878910" w14:textId="77777777">
        <w:trPr>
          <w:trHeight w:val="461"/>
          <w:tblHeader/>
          <w:jc w:val="center"/>
        </w:trPr>
        <w:tc>
          <w:tcPr>
            <w:tcW w:w="6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FE11FE"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04FF6F" w14:textId="77777777" w:rsidR="003F46B9" w:rsidRDefault="0065662E">
            <w:pPr>
              <w:pStyle w:val="P68B1DB1-Normal1"/>
              <w:spacing w:after="0" w:line="240" w:lineRule="auto"/>
              <w:jc w:val="center"/>
              <w:rPr>
                <w:rFonts w:eastAsia="Times New Roman" w:cs="Times New Roman"/>
                <w:noProof/>
              </w:rPr>
            </w:pPr>
            <w:r>
              <w:rPr>
                <w:noProof/>
              </w:rPr>
              <w:t xml:space="preserve">Povezana mjera </w:t>
            </w:r>
            <w:r>
              <w:rPr>
                <w:noProof/>
              </w:rPr>
              <w:t>(reforma ili ulaganje)</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C82E12"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9C6632" w14:textId="77777777" w:rsidR="003F46B9" w:rsidRDefault="0065662E">
            <w:pPr>
              <w:pStyle w:val="P68B1DB1-Normal1"/>
              <w:spacing w:after="0" w:line="240" w:lineRule="auto"/>
              <w:jc w:val="center"/>
              <w:rPr>
                <w:rFonts w:eastAsia="Times New Roman" w:cs="Times New Roman"/>
                <w:noProof/>
              </w:rPr>
            </w:pPr>
            <w:r>
              <w:rPr>
                <w:noProof/>
              </w:rPr>
              <w:t>Ime</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095717" w14:textId="77777777" w:rsidR="003F46B9" w:rsidRDefault="0065662E">
            <w:pPr>
              <w:pStyle w:val="P68B1DB1-Normal1"/>
              <w:spacing w:after="0" w:line="240" w:lineRule="auto"/>
              <w:jc w:val="center"/>
              <w:rPr>
                <w:rFonts w:eastAsia="Times New Roman" w:cs="Times New Roman"/>
                <w:noProof/>
              </w:rPr>
            </w:pPr>
            <w:r>
              <w:rPr>
                <w:noProof/>
              </w:rPr>
              <w:t>Kvalitativna</w:t>
            </w:r>
          </w:p>
          <w:p w14:paraId="775EFFC5"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278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287107F" w14:textId="77777777" w:rsidR="003F46B9" w:rsidRDefault="0065662E">
            <w:pPr>
              <w:pStyle w:val="P68B1DB1-Normal1"/>
              <w:spacing w:after="0" w:line="240" w:lineRule="auto"/>
              <w:jc w:val="center"/>
              <w:rPr>
                <w:rFonts w:eastAsia="Times New Roman" w:cs="Times New Roman"/>
                <w:noProof/>
              </w:rPr>
            </w:pPr>
            <w:r>
              <w:rPr>
                <w:noProof/>
              </w:rPr>
              <w:t>Kvantitativne</w:t>
            </w:r>
          </w:p>
          <w:p w14:paraId="62908937" w14:textId="12FBEDB1"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616" w:type="dxa"/>
            <w:gridSpan w:val="2"/>
            <w:tcBorders>
              <w:top w:val="single" w:sz="4" w:space="0" w:color="auto"/>
              <w:left w:val="nil"/>
              <w:bottom w:val="single" w:sz="4" w:space="0" w:color="auto"/>
              <w:right w:val="single" w:sz="4" w:space="0" w:color="auto"/>
            </w:tcBorders>
            <w:shd w:val="clear" w:color="auto" w:fill="BDD7EE"/>
            <w:vAlign w:val="center"/>
            <w:hideMark/>
          </w:tcPr>
          <w:p w14:paraId="5DECDBD8"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62BAD7A4" w14:textId="77777777" w:rsidR="003F46B9" w:rsidRDefault="0065662E">
            <w:pPr>
              <w:pStyle w:val="P68B1DB1-Normal1"/>
              <w:spacing w:after="0" w:line="240" w:lineRule="auto"/>
              <w:jc w:val="center"/>
              <w:rPr>
                <w:rFonts w:eastAsia="Times New Roman" w:cs="Times New Roman"/>
                <w:noProof/>
              </w:rPr>
            </w:pPr>
            <w:r>
              <w:rPr>
                <w:noProof/>
              </w:rPr>
              <w:t>za završetak</w:t>
            </w:r>
          </w:p>
        </w:tc>
        <w:tc>
          <w:tcPr>
            <w:tcW w:w="37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EF972E"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132C532E" w14:textId="77777777">
        <w:trPr>
          <w:trHeight w:val="472"/>
          <w:tblHeader/>
          <w:jc w:val="center"/>
        </w:trPr>
        <w:tc>
          <w:tcPr>
            <w:tcW w:w="676" w:type="dxa"/>
            <w:vMerge/>
            <w:tcBorders>
              <w:top w:val="single" w:sz="4" w:space="0" w:color="auto"/>
              <w:left w:val="single" w:sz="4" w:space="0" w:color="auto"/>
              <w:bottom w:val="single" w:sz="4" w:space="0" w:color="auto"/>
              <w:right w:val="single" w:sz="4" w:space="0" w:color="auto"/>
            </w:tcBorders>
            <w:hideMark/>
          </w:tcPr>
          <w:p w14:paraId="78A22458" w14:textId="77777777" w:rsidR="003F46B9" w:rsidRDefault="003F46B9">
            <w:pPr>
              <w:spacing w:after="0" w:line="240" w:lineRule="auto"/>
              <w:jc w:val="center"/>
              <w:rPr>
                <w:rFonts w:ascii="Times New Roman" w:eastAsia="Times New Roman" w:hAnsi="Times New Roman" w:cs="Times New Roman"/>
                <w:b/>
                <w:noProof/>
                <w:sz w:val="24"/>
              </w:rPr>
            </w:pPr>
          </w:p>
        </w:tc>
        <w:tc>
          <w:tcPr>
            <w:tcW w:w="2148" w:type="dxa"/>
            <w:vMerge/>
            <w:tcBorders>
              <w:top w:val="single" w:sz="4" w:space="0" w:color="auto"/>
              <w:left w:val="single" w:sz="4" w:space="0" w:color="auto"/>
              <w:bottom w:val="single" w:sz="4" w:space="0" w:color="auto"/>
              <w:right w:val="single" w:sz="4" w:space="0" w:color="auto"/>
            </w:tcBorders>
            <w:hideMark/>
          </w:tcPr>
          <w:p w14:paraId="7F5935A2" w14:textId="77777777" w:rsidR="003F46B9" w:rsidRDefault="003F46B9">
            <w:pPr>
              <w:spacing w:after="0" w:line="240" w:lineRule="auto"/>
              <w:jc w:val="both"/>
              <w:rPr>
                <w:rFonts w:ascii="Times New Roman" w:eastAsia="Times New Roman" w:hAnsi="Times New Roman" w:cs="Times New Roman"/>
                <w:b/>
                <w:noProof/>
                <w:sz w:val="24"/>
              </w:rPr>
            </w:pPr>
          </w:p>
        </w:tc>
        <w:tc>
          <w:tcPr>
            <w:tcW w:w="1076" w:type="dxa"/>
            <w:vMerge/>
            <w:tcBorders>
              <w:top w:val="single" w:sz="4" w:space="0" w:color="auto"/>
              <w:left w:val="single" w:sz="4" w:space="0" w:color="auto"/>
              <w:bottom w:val="single" w:sz="4" w:space="0" w:color="auto"/>
              <w:right w:val="single" w:sz="4" w:space="0" w:color="auto"/>
            </w:tcBorders>
            <w:hideMark/>
          </w:tcPr>
          <w:p w14:paraId="1C6B76D3" w14:textId="77777777" w:rsidR="003F46B9" w:rsidRDefault="003F46B9">
            <w:pPr>
              <w:spacing w:after="0" w:line="240" w:lineRule="auto"/>
              <w:jc w:val="center"/>
              <w:rPr>
                <w:rFonts w:ascii="Times New Roman" w:eastAsia="Times New Roman" w:hAnsi="Times New Roman" w:cs="Times New Roman"/>
                <w:b/>
                <w:noProof/>
                <w:sz w:val="24"/>
              </w:rPr>
            </w:pPr>
          </w:p>
        </w:tc>
        <w:tc>
          <w:tcPr>
            <w:tcW w:w="1745" w:type="dxa"/>
            <w:vMerge/>
            <w:tcBorders>
              <w:top w:val="single" w:sz="4" w:space="0" w:color="auto"/>
              <w:left w:val="single" w:sz="4" w:space="0" w:color="auto"/>
              <w:bottom w:val="single" w:sz="4" w:space="0" w:color="auto"/>
              <w:right w:val="single" w:sz="4" w:space="0" w:color="auto"/>
            </w:tcBorders>
            <w:hideMark/>
          </w:tcPr>
          <w:p w14:paraId="61BA3093" w14:textId="77777777" w:rsidR="003F46B9" w:rsidRDefault="003F46B9">
            <w:pPr>
              <w:spacing w:after="0" w:line="240" w:lineRule="auto"/>
              <w:jc w:val="both"/>
              <w:rPr>
                <w:rFonts w:ascii="Times New Roman" w:eastAsia="Times New Roman" w:hAnsi="Times New Roman" w:cs="Times New Roman"/>
                <w:b/>
                <w:noProof/>
                <w:sz w:val="24"/>
              </w:rPr>
            </w:pPr>
          </w:p>
        </w:tc>
        <w:tc>
          <w:tcPr>
            <w:tcW w:w="1653" w:type="dxa"/>
            <w:gridSpan w:val="2"/>
            <w:vMerge/>
            <w:tcBorders>
              <w:top w:val="single" w:sz="4" w:space="0" w:color="auto"/>
              <w:left w:val="single" w:sz="4" w:space="0" w:color="auto"/>
              <w:bottom w:val="single" w:sz="4" w:space="0" w:color="auto"/>
              <w:right w:val="single" w:sz="4" w:space="0" w:color="auto"/>
            </w:tcBorders>
            <w:hideMark/>
          </w:tcPr>
          <w:p w14:paraId="3EE672E2" w14:textId="77777777" w:rsidR="003F46B9" w:rsidRDefault="003F46B9">
            <w:pPr>
              <w:spacing w:after="0" w:line="240" w:lineRule="auto"/>
              <w:jc w:val="both"/>
              <w:rPr>
                <w:rFonts w:ascii="Times New Roman" w:eastAsia="Times New Roman" w:hAnsi="Times New Roman" w:cs="Times New Roman"/>
                <w:b/>
                <w:noProof/>
                <w:sz w:val="24"/>
              </w:rPr>
            </w:pPr>
          </w:p>
        </w:tc>
        <w:tc>
          <w:tcPr>
            <w:tcW w:w="1061" w:type="dxa"/>
            <w:tcBorders>
              <w:top w:val="nil"/>
              <w:left w:val="single" w:sz="4" w:space="0" w:color="auto"/>
              <w:bottom w:val="single" w:sz="4" w:space="0" w:color="auto"/>
              <w:right w:val="single" w:sz="4" w:space="0" w:color="auto"/>
            </w:tcBorders>
            <w:shd w:val="clear" w:color="auto" w:fill="BDD7EE"/>
            <w:vAlign w:val="center"/>
            <w:hideMark/>
          </w:tcPr>
          <w:p w14:paraId="29D22F21" w14:textId="77777777" w:rsidR="003F46B9" w:rsidRDefault="0065662E">
            <w:pPr>
              <w:pStyle w:val="P68B1DB1-Normal1"/>
              <w:spacing w:after="0" w:line="240" w:lineRule="auto"/>
              <w:jc w:val="center"/>
              <w:rPr>
                <w:rFonts w:eastAsia="Times New Roman" w:cs="Times New Roman"/>
                <w:noProof/>
              </w:rPr>
            </w:pPr>
            <w:r>
              <w:rPr>
                <w:noProof/>
              </w:rPr>
              <w:t>Odjel</w:t>
            </w:r>
          </w:p>
          <w:p w14:paraId="7F66D575" w14:textId="77777777" w:rsidR="003F46B9" w:rsidRDefault="0065662E">
            <w:pPr>
              <w:pStyle w:val="P68B1DB1-Normal1"/>
              <w:spacing w:after="0" w:line="240" w:lineRule="auto"/>
              <w:jc w:val="center"/>
              <w:rPr>
                <w:rFonts w:eastAsia="Times New Roman" w:cs="Times New Roman"/>
                <w:noProof/>
              </w:rPr>
            </w:pPr>
            <w:r>
              <w:rPr>
                <w:noProof/>
              </w:rPr>
              <w:t>od</w:t>
            </w:r>
          </w:p>
          <w:p w14:paraId="2717ECDB" w14:textId="77777777" w:rsidR="003F46B9" w:rsidRDefault="0065662E">
            <w:pPr>
              <w:pStyle w:val="P68B1DB1-Normal1"/>
              <w:spacing w:after="0" w:line="240" w:lineRule="auto"/>
              <w:jc w:val="center"/>
              <w:rPr>
                <w:rFonts w:eastAsia="Times New Roman" w:cs="Times New Roman"/>
                <w:noProof/>
              </w:rPr>
            </w:pPr>
            <w:r>
              <w:rPr>
                <w:noProof/>
              </w:rPr>
              <w:t>mjera</w:t>
            </w:r>
          </w:p>
        </w:tc>
        <w:tc>
          <w:tcPr>
            <w:tcW w:w="992" w:type="dxa"/>
            <w:tcBorders>
              <w:top w:val="nil"/>
              <w:left w:val="nil"/>
              <w:bottom w:val="single" w:sz="4" w:space="0" w:color="auto"/>
              <w:right w:val="single" w:sz="4" w:space="0" w:color="auto"/>
            </w:tcBorders>
            <w:shd w:val="clear" w:color="auto" w:fill="BDD7EE"/>
            <w:vAlign w:val="center"/>
            <w:hideMark/>
          </w:tcPr>
          <w:p w14:paraId="2DC0EC44" w14:textId="3657E329" w:rsidR="003F46B9" w:rsidRDefault="0065662E">
            <w:pPr>
              <w:pStyle w:val="P68B1DB1-Normal1"/>
              <w:spacing w:after="0" w:line="240" w:lineRule="auto"/>
              <w:jc w:val="center"/>
              <w:rPr>
                <w:rFonts w:eastAsia="Times New Roman" w:cs="Times New Roman"/>
                <w:noProof/>
              </w:rPr>
            </w:pPr>
            <w:r>
              <w:rPr>
                <w:noProof/>
              </w:rPr>
              <w:t>Osnovna vrijednost</w:t>
            </w:r>
          </w:p>
        </w:tc>
        <w:tc>
          <w:tcPr>
            <w:tcW w:w="729" w:type="dxa"/>
            <w:tcBorders>
              <w:top w:val="nil"/>
              <w:left w:val="nil"/>
              <w:bottom w:val="single" w:sz="4" w:space="0" w:color="auto"/>
              <w:right w:val="single" w:sz="4" w:space="0" w:color="auto"/>
            </w:tcBorders>
            <w:shd w:val="clear" w:color="auto" w:fill="BDD7EE"/>
            <w:vAlign w:val="center"/>
            <w:hideMark/>
          </w:tcPr>
          <w:p w14:paraId="5D34C68A" w14:textId="77777777" w:rsidR="003F46B9" w:rsidRDefault="0065662E">
            <w:pPr>
              <w:pStyle w:val="P68B1DB1-Normal1"/>
              <w:spacing w:after="0" w:line="240" w:lineRule="auto"/>
              <w:jc w:val="center"/>
              <w:rPr>
                <w:rFonts w:eastAsia="Times New Roman" w:cs="Times New Roman"/>
                <w:noProof/>
              </w:rPr>
            </w:pPr>
            <w:r>
              <w:rPr>
                <w:noProof/>
              </w:rPr>
              <w:t>Cilj</w:t>
            </w:r>
          </w:p>
        </w:tc>
        <w:tc>
          <w:tcPr>
            <w:tcW w:w="942" w:type="dxa"/>
            <w:tcBorders>
              <w:top w:val="nil"/>
              <w:left w:val="nil"/>
              <w:bottom w:val="single" w:sz="4" w:space="0" w:color="auto"/>
              <w:right w:val="single" w:sz="4" w:space="0" w:color="auto"/>
            </w:tcBorders>
            <w:shd w:val="clear" w:color="auto" w:fill="BDD7EE"/>
            <w:vAlign w:val="center"/>
            <w:hideMark/>
          </w:tcPr>
          <w:p w14:paraId="4CB1942B"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674" w:type="dxa"/>
            <w:tcBorders>
              <w:top w:val="nil"/>
              <w:left w:val="nil"/>
              <w:bottom w:val="single" w:sz="4" w:space="0" w:color="auto"/>
              <w:right w:val="single" w:sz="4" w:space="0" w:color="auto"/>
            </w:tcBorders>
            <w:shd w:val="clear" w:color="auto" w:fill="BDD7EE"/>
            <w:vAlign w:val="center"/>
            <w:hideMark/>
          </w:tcPr>
          <w:p w14:paraId="538E0F02"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756" w:type="dxa"/>
            <w:vMerge/>
            <w:tcBorders>
              <w:top w:val="single" w:sz="4" w:space="0" w:color="auto"/>
              <w:bottom w:val="single" w:sz="4" w:space="0" w:color="auto"/>
              <w:right w:val="single" w:sz="4" w:space="0" w:color="auto"/>
            </w:tcBorders>
            <w:hideMark/>
          </w:tcPr>
          <w:p w14:paraId="0BE2B452"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279FE756"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67FD7B1" w14:textId="77777777" w:rsidR="003F46B9" w:rsidRDefault="0065662E">
            <w:pPr>
              <w:pStyle w:val="P68B1DB1-Normal5"/>
              <w:spacing w:after="0" w:line="240" w:lineRule="auto"/>
              <w:jc w:val="center"/>
              <w:rPr>
                <w:rFonts w:eastAsia="Times New Roman" w:cs="Times New Roman"/>
                <w:noProof/>
              </w:rPr>
            </w:pPr>
            <w:r>
              <w:rPr>
                <w:noProof/>
              </w:rPr>
              <w:t>78</w:t>
            </w:r>
          </w:p>
        </w:tc>
        <w:tc>
          <w:tcPr>
            <w:tcW w:w="2148" w:type="dxa"/>
            <w:tcBorders>
              <w:top w:val="single" w:sz="4" w:space="0" w:color="auto"/>
              <w:left w:val="nil"/>
              <w:bottom w:val="single" w:sz="4" w:space="0" w:color="auto"/>
              <w:right w:val="single" w:sz="4" w:space="0" w:color="auto"/>
            </w:tcBorders>
            <w:shd w:val="clear" w:color="auto" w:fill="C6EFCE"/>
            <w:noWrap/>
          </w:tcPr>
          <w:p w14:paraId="11825BD3" w14:textId="77777777" w:rsidR="003F46B9" w:rsidRDefault="0065662E">
            <w:pPr>
              <w:pStyle w:val="P68B1DB1-Normal5"/>
              <w:spacing w:after="0" w:line="240" w:lineRule="auto"/>
              <w:jc w:val="both"/>
              <w:rPr>
                <w:rFonts w:eastAsia="Times New Roman" w:cs="Times New Roman"/>
                <w:noProof/>
              </w:rPr>
            </w:pPr>
            <w:r>
              <w:rPr>
                <w:noProof/>
              </w:rPr>
              <w:t>R2. Upravljanje kvalitetom u prometu na temelju uspješnosti – poboljšanje institucijskih kapaciteta i korporativnog upravljanja</w:t>
            </w:r>
            <w:r>
              <w:rPr>
                <w:noProof/>
                <w:u w:val="single"/>
              </w:rPr>
              <w:t xml:space="preserve"> </w:t>
            </w:r>
          </w:p>
        </w:tc>
        <w:tc>
          <w:tcPr>
            <w:tcW w:w="1076" w:type="dxa"/>
            <w:tcBorders>
              <w:top w:val="single" w:sz="4" w:space="0" w:color="auto"/>
              <w:left w:val="nil"/>
              <w:bottom w:val="single" w:sz="4" w:space="0" w:color="auto"/>
              <w:right w:val="single" w:sz="4" w:space="0" w:color="auto"/>
            </w:tcBorders>
            <w:shd w:val="clear" w:color="auto" w:fill="C6EFCE"/>
            <w:noWrap/>
          </w:tcPr>
          <w:p w14:paraId="51095BC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5" w:type="dxa"/>
            <w:tcBorders>
              <w:top w:val="single" w:sz="4" w:space="0" w:color="auto"/>
              <w:left w:val="nil"/>
              <w:bottom w:val="single" w:sz="4" w:space="0" w:color="auto"/>
              <w:right w:val="single" w:sz="4" w:space="0" w:color="auto"/>
            </w:tcBorders>
            <w:shd w:val="clear" w:color="auto" w:fill="C6EFCE"/>
            <w:noWrap/>
          </w:tcPr>
          <w:p w14:paraId="6F13E9D7"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br. 50/2021 za odobrenje Hitne uredbe br. 55/2016 o reorganizaciji nacionalnog društva za autoceste i nacionalne ceste u Rumunjskoj – S.A. (C.N.A.I.R.) i osnivanju društva National Road Investment Company – S.A. (C.N.I.R.)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9FECE8B" w14:textId="77777777" w:rsidR="003F46B9" w:rsidRDefault="0065662E">
            <w:pPr>
              <w:pStyle w:val="P68B1DB1-Normal5"/>
              <w:spacing w:after="0" w:line="240" w:lineRule="auto"/>
              <w:jc w:val="both"/>
              <w:rPr>
                <w:rFonts w:eastAsia="Times New Roman" w:cs="Times New Roman"/>
                <w:noProof/>
              </w:rPr>
            </w:pPr>
            <w:r>
              <w:rPr>
                <w:noProof/>
              </w:rPr>
              <w:t>Zakonsk</w:t>
            </w:r>
            <w:r>
              <w:rPr>
                <w:noProof/>
              </w:rPr>
              <w:t>a odredba o stupanju na snagu Zakona br. 50/2021</w:t>
            </w:r>
          </w:p>
        </w:tc>
        <w:tc>
          <w:tcPr>
            <w:tcW w:w="1061" w:type="dxa"/>
            <w:tcBorders>
              <w:top w:val="single" w:sz="4" w:space="0" w:color="auto"/>
              <w:left w:val="nil"/>
              <w:bottom w:val="single" w:sz="4" w:space="0" w:color="auto"/>
              <w:right w:val="single" w:sz="4" w:space="0" w:color="auto"/>
            </w:tcBorders>
            <w:shd w:val="clear" w:color="auto" w:fill="C6EFCE"/>
            <w:noWrap/>
          </w:tcPr>
          <w:p w14:paraId="6F46AAFF"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051AE630"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73FD6220"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5AAA69A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56A3E13E" w14:textId="77777777" w:rsidR="003F46B9" w:rsidRDefault="0065662E">
            <w:pPr>
              <w:pStyle w:val="P68B1DB1-Normal5"/>
              <w:spacing w:after="0" w:line="240" w:lineRule="auto"/>
              <w:jc w:val="both"/>
              <w:rPr>
                <w:rFonts w:eastAsia="Times New Roman" w:cs="Times New Roman"/>
                <w:noProof/>
              </w:rPr>
            </w:pPr>
            <w:r>
              <w:rPr>
                <w:noProof/>
              </w:rPr>
              <w:t>2021</w:t>
            </w:r>
          </w:p>
        </w:tc>
        <w:tc>
          <w:tcPr>
            <w:tcW w:w="3756" w:type="dxa"/>
            <w:tcBorders>
              <w:top w:val="single" w:sz="4" w:space="0" w:color="auto"/>
              <w:left w:val="nil"/>
              <w:bottom w:val="single" w:sz="4" w:space="0" w:color="auto"/>
              <w:right w:val="single" w:sz="4" w:space="0" w:color="auto"/>
            </w:tcBorders>
            <w:shd w:val="clear" w:color="auto" w:fill="C6EFCE"/>
            <w:noWrap/>
          </w:tcPr>
          <w:p w14:paraId="6804DC7D" w14:textId="77777777" w:rsidR="003F46B9" w:rsidRDefault="0065662E">
            <w:pPr>
              <w:pStyle w:val="P68B1DB1-Normal5"/>
              <w:spacing w:after="0" w:line="240" w:lineRule="auto"/>
              <w:jc w:val="both"/>
              <w:rPr>
                <w:rFonts w:eastAsia="Times New Roman" w:cs="Times New Roman"/>
                <w:noProof/>
              </w:rPr>
            </w:pPr>
            <w:r>
              <w:rPr>
                <w:noProof/>
              </w:rPr>
              <w:t>Stupanje na snagu zakonodavstva o reformi C.N.A.I.R-a i osnivanje novog društva za upravljanje projektima ulaganja u ceste (C.N.I.R.). Parlament je odobrio zakon koji je stupio na snagu u</w:t>
            </w:r>
            <w:r>
              <w:rPr>
                <w:noProof/>
              </w:rPr>
              <w:t xml:space="preserve"> travnju 2021. Zajedno sa zakonodavstvom (primarnim i sekundarnim), cijeli regulatorni paket (upute, odluke odbora, ugovori o upravljanju potpisani s upravljačkim timovima) uključuje:</w:t>
            </w:r>
          </w:p>
          <w:p w14:paraId="1D8BA6DE"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Jasne pokazatelje uspješnosti, usklađene s mandatima odbora i ključnim p</w:t>
            </w:r>
            <w:r>
              <w:rPr>
                <w:noProof/>
              </w:rPr>
              <w:t xml:space="preserve">okazateljima uspješnosti, sankcijama i poticajima u slučaju neusklađenosti, kako bi se procijenila financijska uspješnost (prihodi, profitabilnost, sudjelovanje državnog proračuna) i uspješnost pružene usluge (npr. anketom o zadovoljstvu korisnika) za oba </w:t>
            </w:r>
            <w:r>
              <w:rPr>
                <w:noProof/>
              </w:rPr>
              <w:t>društva;</w:t>
            </w:r>
          </w:p>
          <w:p w14:paraId="118D4501"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Standardi korporativnog upravljanja u skladu s okvirom O.E.C.D. (profesionalni odbori odabrani na temelju otvorenog, konkurentnog i transparentnog postupka).</w:t>
            </w:r>
          </w:p>
          <w:p w14:paraId="739CED3C" w14:textId="77777777" w:rsidR="003F46B9" w:rsidRDefault="0065662E">
            <w:pPr>
              <w:pStyle w:val="P68B1DB1-Normal5"/>
              <w:spacing w:after="0" w:line="240" w:lineRule="auto"/>
              <w:jc w:val="both"/>
              <w:rPr>
                <w:rFonts w:eastAsia="Times New Roman" w:cs="Times New Roman"/>
                <w:noProof/>
              </w:rPr>
            </w:pPr>
            <w:r>
              <w:rPr>
                <w:noProof/>
              </w:rPr>
              <w:t>Primarno i sekundarno zakonodavstvo mora se izmijeniti kako bi se povećala učinkovitost d</w:t>
            </w:r>
            <w:r>
              <w:rPr>
                <w:noProof/>
              </w:rPr>
              <w:t>jelatnosti društva i preusmjerile ovlasti i institucionalni mehanizmi društva C.N.A.I.R.</w:t>
            </w:r>
          </w:p>
          <w:p w14:paraId="664607A3" w14:textId="77777777" w:rsidR="003F46B9" w:rsidRDefault="0065662E">
            <w:pPr>
              <w:pStyle w:val="P68B1DB1-Normal5"/>
              <w:spacing w:after="0" w:line="240" w:lineRule="auto"/>
              <w:jc w:val="both"/>
              <w:rPr>
                <w:rFonts w:eastAsia="Times New Roman" w:cs="Times New Roman"/>
                <w:noProof/>
              </w:rPr>
            </w:pPr>
            <w:r>
              <w:rPr>
                <w:noProof/>
              </w:rPr>
              <w:t>Konkretno, C.N.A.I.R. zadržava trenutačne zadaće u pogledu održavanja cesta i postojećih ulaganja na razini velikih i manjih projekata. Postoji prijelazno razdoblje od</w:t>
            </w:r>
            <w:r>
              <w:rPr>
                <w:noProof/>
              </w:rPr>
              <w:t xml:space="preserve"> tri godine tijekom kojeg C.N.A.I.R. i C.N.I.R. usporedno provode investicijske projekte sve dok C.N.I.R. ne postane potpuno operativan, a svi veliki projekti ulaganja moraju biti u upravljanju C.N.I.R.</w:t>
            </w:r>
          </w:p>
        </w:tc>
      </w:tr>
      <w:tr w:rsidR="003F46B9" w14:paraId="1CA78EBA"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C7A9008" w14:textId="77777777" w:rsidR="003F46B9" w:rsidRDefault="0065662E">
            <w:pPr>
              <w:pStyle w:val="P68B1DB1-Normal5"/>
              <w:spacing w:after="0" w:line="240" w:lineRule="auto"/>
              <w:jc w:val="center"/>
              <w:rPr>
                <w:rFonts w:eastAsia="Times New Roman" w:cs="Times New Roman"/>
                <w:noProof/>
              </w:rPr>
            </w:pPr>
            <w:r>
              <w:rPr>
                <w:noProof/>
              </w:rPr>
              <w:t>79</w:t>
            </w:r>
          </w:p>
        </w:tc>
        <w:tc>
          <w:tcPr>
            <w:tcW w:w="2148" w:type="dxa"/>
            <w:tcBorders>
              <w:top w:val="single" w:sz="4" w:space="0" w:color="auto"/>
              <w:left w:val="nil"/>
              <w:bottom w:val="single" w:sz="4" w:space="0" w:color="auto"/>
              <w:right w:val="single" w:sz="4" w:space="0" w:color="auto"/>
            </w:tcBorders>
            <w:shd w:val="clear" w:color="auto" w:fill="C6EFCE"/>
            <w:noWrap/>
          </w:tcPr>
          <w:p w14:paraId="44F448D0" w14:textId="77777777" w:rsidR="003F46B9" w:rsidRDefault="0065662E">
            <w:pPr>
              <w:pStyle w:val="P68B1DB1-Normal5"/>
              <w:spacing w:after="0" w:line="240" w:lineRule="auto"/>
              <w:jc w:val="both"/>
              <w:rPr>
                <w:rFonts w:eastAsia="Times New Roman" w:cs="Times New Roman"/>
                <w:noProof/>
              </w:rPr>
            </w:pPr>
            <w:r>
              <w:rPr>
                <w:noProof/>
              </w:rPr>
              <w:t xml:space="preserve">R2. Upravljanje kvalitetom u prometu na temelju uspješnosti – poboljšanje institucijskih kapaciteta i korporativnog upravljanja </w:t>
            </w:r>
          </w:p>
        </w:tc>
        <w:tc>
          <w:tcPr>
            <w:tcW w:w="1076" w:type="dxa"/>
            <w:tcBorders>
              <w:top w:val="single" w:sz="4" w:space="0" w:color="auto"/>
              <w:left w:val="nil"/>
              <w:bottom w:val="single" w:sz="4" w:space="0" w:color="auto"/>
              <w:right w:val="single" w:sz="4" w:space="0" w:color="auto"/>
            </w:tcBorders>
            <w:shd w:val="clear" w:color="auto" w:fill="C6EFCE"/>
            <w:noWrap/>
          </w:tcPr>
          <w:p w14:paraId="6A9A3F7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745" w:type="dxa"/>
            <w:tcBorders>
              <w:top w:val="single" w:sz="4" w:space="0" w:color="auto"/>
              <w:left w:val="nil"/>
              <w:bottom w:val="single" w:sz="4" w:space="0" w:color="auto"/>
              <w:right w:val="single" w:sz="4" w:space="0" w:color="auto"/>
            </w:tcBorders>
            <w:shd w:val="clear" w:color="auto" w:fill="C6EFCE"/>
            <w:noWrap/>
          </w:tcPr>
          <w:p w14:paraId="3A815AEC" w14:textId="77777777" w:rsidR="003F46B9" w:rsidRDefault="0065662E">
            <w:pPr>
              <w:pStyle w:val="P68B1DB1-Normal5"/>
              <w:spacing w:after="0" w:line="240" w:lineRule="auto"/>
              <w:jc w:val="both"/>
              <w:rPr>
                <w:rFonts w:eastAsia="Times New Roman" w:cs="Times New Roman"/>
                <w:noProof/>
              </w:rPr>
            </w:pPr>
            <w:r>
              <w:rPr>
                <w:noProof/>
              </w:rPr>
              <w:t>Odabir i imenovanje članova Upravnog odbora C.N.A.I.R., C.N.I.R., C.F.R., Metrorex, C.F.R. Călători.</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0F89ED66" w14:textId="67E8AA40" w:rsidR="003F46B9" w:rsidRDefault="0065662E">
            <w:pPr>
              <w:pStyle w:val="P68B1DB1-Normal5"/>
              <w:spacing w:after="0" w:line="240" w:lineRule="auto"/>
              <w:jc w:val="both"/>
              <w:rPr>
                <w:rFonts w:eastAsia="Times New Roman" w:cs="Times New Roman"/>
                <w:noProof/>
              </w:rPr>
            </w:pPr>
            <w:r>
              <w:rPr>
                <w:noProof/>
              </w:rPr>
              <w:t xml:space="preserve">Mandati koje je potvrdila skupština općih dionika </w:t>
            </w:r>
          </w:p>
        </w:tc>
        <w:tc>
          <w:tcPr>
            <w:tcW w:w="1061" w:type="dxa"/>
            <w:tcBorders>
              <w:top w:val="single" w:sz="4" w:space="0" w:color="auto"/>
              <w:left w:val="nil"/>
              <w:bottom w:val="single" w:sz="4" w:space="0" w:color="auto"/>
              <w:right w:val="single" w:sz="4" w:space="0" w:color="auto"/>
            </w:tcBorders>
            <w:shd w:val="clear" w:color="auto" w:fill="C6EFCE"/>
            <w:noWrap/>
          </w:tcPr>
          <w:p w14:paraId="3965177B"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764290B6"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72B69DCF"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62D10C9A"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08DD5A46" w14:textId="77777777" w:rsidR="003F46B9" w:rsidRDefault="0065662E">
            <w:pPr>
              <w:pStyle w:val="P68B1DB1-Normal5"/>
              <w:spacing w:after="0" w:line="240" w:lineRule="auto"/>
              <w:jc w:val="both"/>
              <w:rPr>
                <w:rFonts w:eastAsia="Times New Roman" w:cs="Times New Roman"/>
                <w:noProof/>
              </w:rPr>
            </w:pPr>
            <w:r>
              <w:rPr>
                <w:noProof/>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2EDCD93E" w14:textId="77777777" w:rsidR="003F46B9" w:rsidRDefault="0065662E">
            <w:pPr>
              <w:pStyle w:val="P68B1DB1-Normal5"/>
              <w:spacing w:after="0" w:line="240" w:lineRule="auto"/>
              <w:jc w:val="both"/>
              <w:rPr>
                <w:rFonts w:eastAsia="Times New Roman" w:cs="Times New Roman"/>
                <w:noProof/>
              </w:rPr>
            </w:pPr>
            <w:r>
              <w:rPr>
                <w:noProof/>
              </w:rPr>
              <w:t>Odabir i imenovanje članova upravnog odbora poduzeća u državnom vlasništvu u prometnom sektoru (C.N.A.I.R., C.N.I.R., C.F.R., Metrorex, C.F.R. Călători) provodi se:</w:t>
            </w:r>
          </w:p>
          <w:p w14:paraId="6986E0A2"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na temelju t</w:t>
            </w:r>
            <w:r>
              <w:rPr>
                <w:noProof/>
              </w:rPr>
              <w:t xml:space="preserve">ransparentnog i natjecateljskog postupka, </w:t>
            </w:r>
          </w:p>
          <w:p w14:paraId="7664A122"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u trajanju od četiri godine kako bi se osigurala provedba srednjoročnih i dugoročnih planova za učinkovitost;</w:t>
            </w:r>
          </w:p>
          <w:p w14:paraId="0D867FFA"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uz naknadu članovima odbora na temelju pokazatelja uspješnosti povezanih s dugoročnom financijskom održ</w:t>
            </w:r>
            <w:r>
              <w:rPr>
                <w:noProof/>
              </w:rPr>
              <w:t xml:space="preserve">ivošću (ključni pokazatelj uspješnosti relevantan za profil svakog društva) i rezultatima usluge koju je svako društvo pružilo (npr. na temelju ankete o zadovoljstvu klijenata); </w:t>
            </w:r>
          </w:p>
          <w:p w14:paraId="7BE85F93" w14:textId="77777777" w:rsidR="003F46B9" w:rsidRDefault="0065662E">
            <w:pPr>
              <w:pStyle w:val="P68B1DB1-ListParagraph13"/>
              <w:numPr>
                <w:ilvl w:val="0"/>
                <w:numId w:val="40"/>
              </w:numPr>
              <w:spacing w:after="0" w:line="240" w:lineRule="auto"/>
              <w:ind w:left="250" w:hanging="174"/>
              <w:jc w:val="both"/>
              <w:rPr>
                <w:rFonts w:eastAsia="Times New Roman" w:cs="Times New Roman"/>
                <w:noProof/>
              </w:rPr>
            </w:pPr>
            <w:r>
              <w:rPr>
                <w:noProof/>
              </w:rPr>
              <w:t xml:space="preserve">u skladu s načelima dobrog upravljanja u skladu s reformom državnih poduzeća </w:t>
            </w:r>
            <w:r>
              <w:rPr>
                <w:noProof/>
              </w:rPr>
              <w:t>o izmjeni Zakona 111/2016.</w:t>
            </w:r>
          </w:p>
        </w:tc>
      </w:tr>
      <w:tr w:rsidR="003F46B9" w14:paraId="41EC43F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31B4704" w14:textId="77777777" w:rsidR="003F46B9" w:rsidRDefault="0065662E">
            <w:pPr>
              <w:pStyle w:val="P68B1DB1-Normal5"/>
              <w:spacing w:after="0" w:line="240" w:lineRule="auto"/>
              <w:jc w:val="center"/>
              <w:rPr>
                <w:rFonts w:eastAsia="Times New Roman" w:cs="Times New Roman"/>
                <w:noProof/>
              </w:rPr>
            </w:pPr>
            <w:r>
              <w:rPr>
                <w:noProof/>
              </w:rPr>
              <w:t>80</w:t>
            </w:r>
          </w:p>
        </w:tc>
        <w:tc>
          <w:tcPr>
            <w:tcW w:w="2148" w:type="dxa"/>
            <w:tcBorders>
              <w:top w:val="single" w:sz="4" w:space="0" w:color="auto"/>
              <w:left w:val="nil"/>
              <w:bottom w:val="single" w:sz="4" w:space="0" w:color="auto"/>
              <w:right w:val="single" w:sz="4" w:space="0" w:color="auto"/>
            </w:tcBorders>
            <w:shd w:val="clear" w:color="auto" w:fill="C6EFCE"/>
            <w:noWrap/>
          </w:tcPr>
          <w:p w14:paraId="28804F4D" w14:textId="77777777" w:rsidR="003F46B9" w:rsidRDefault="0065662E">
            <w:pPr>
              <w:pStyle w:val="P68B1DB1-Normal5"/>
              <w:spacing w:after="0" w:line="240" w:lineRule="auto"/>
              <w:jc w:val="both"/>
              <w:rPr>
                <w:rFonts w:eastAsia="Times New Roman" w:cs="Times New Roman"/>
                <w:noProof/>
              </w:rPr>
            </w:pPr>
            <w:r>
              <w:rPr>
                <w:noProof/>
              </w:rPr>
              <w:t xml:space="preserve">R2. Upravljanje kvalitetom u prometu na temelju uspješnosti – poboljšanje institucijskih kapaciteta i korporativnog upravljanja </w:t>
            </w:r>
          </w:p>
        </w:tc>
        <w:tc>
          <w:tcPr>
            <w:tcW w:w="1076" w:type="dxa"/>
            <w:tcBorders>
              <w:top w:val="single" w:sz="4" w:space="0" w:color="auto"/>
              <w:left w:val="nil"/>
              <w:bottom w:val="single" w:sz="4" w:space="0" w:color="auto"/>
              <w:right w:val="single" w:sz="4" w:space="0" w:color="auto"/>
            </w:tcBorders>
            <w:shd w:val="clear" w:color="auto" w:fill="C6EFCE"/>
            <w:noWrap/>
          </w:tcPr>
          <w:p w14:paraId="5D6F178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18" w:type="dxa"/>
            <w:tcBorders>
              <w:top w:val="single" w:sz="4" w:space="0" w:color="auto"/>
              <w:left w:val="nil"/>
              <w:bottom w:val="single" w:sz="4" w:space="0" w:color="auto"/>
              <w:right w:val="single" w:sz="4" w:space="0" w:color="auto"/>
            </w:tcBorders>
            <w:shd w:val="clear" w:color="auto" w:fill="C6EFCE"/>
            <w:noWrap/>
          </w:tcPr>
          <w:p w14:paraId="09E7B9F2" w14:textId="77777777" w:rsidR="003F46B9" w:rsidRDefault="0065662E">
            <w:pPr>
              <w:pStyle w:val="P68B1DB1-Normal5"/>
              <w:spacing w:after="0" w:line="240" w:lineRule="auto"/>
              <w:jc w:val="both"/>
              <w:rPr>
                <w:rFonts w:eastAsia="Times New Roman" w:cs="Times New Roman"/>
                <w:noProof/>
              </w:rPr>
            </w:pPr>
            <w:r>
              <w:rPr>
                <w:noProof/>
              </w:rPr>
              <w:t xml:space="preserve">Provedba glavnih preporuka za povećanje financijske i operativne uspješnosti </w:t>
            </w:r>
            <w:r>
              <w:rPr>
                <w:noProof/>
              </w:rPr>
              <w:t>C.N.A.I.R., C.N.I.R., C.F.R., Călători i Metrorex</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19D52918" w14:textId="77777777" w:rsidR="003F46B9" w:rsidRDefault="0065662E">
            <w:pPr>
              <w:pStyle w:val="P68B1DB1-Normal5"/>
              <w:spacing w:after="0" w:line="240" w:lineRule="auto"/>
              <w:jc w:val="both"/>
              <w:rPr>
                <w:rFonts w:eastAsia="Times New Roman" w:cs="Times New Roman"/>
                <w:noProof/>
              </w:rPr>
            </w:pPr>
            <w:r>
              <w:rPr>
                <w:noProof/>
              </w:rPr>
              <w:t>Provode se glavne preporuke</w:t>
            </w:r>
          </w:p>
        </w:tc>
        <w:tc>
          <w:tcPr>
            <w:tcW w:w="1061" w:type="dxa"/>
            <w:tcBorders>
              <w:top w:val="single" w:sz="4" w:space="0" w:color="auto"/>
              <w:left w:val="nil"/>
              <w:bottom w:val="single" w:sz="4" w:space="0" w:color="auto"/>
              <w:right w:val="single" w:sz="4" w:space="0" w:color="auto"/>
            </w:tcBorders>
            <w:shd w:val="clear" w:color="auto" w:fill="C6EFCE"/>
            <w:noWrap/>
          </w:tcPr>
          <w:p w14:paraId="21964FB1"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1E7C0834"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175370A2"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7714C41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72B3FDB2" w14:textId="77777777" w:rsidR="003F46B9" w:rsidRDefault="0065662E">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E18975D" w14:textId="77777777" w:rsidR="003F46B9" w:rsidRDefault="0065662E">
            <w:pPr>
              <w:pStyle w:val="P68B1DB1-Normal5"/>
              <w:spacing w:after="0" w:line="240" w:lineRule="auto"/>
              <w:jc w:val="both"/>
              <w:rPr>
                <w:rFonts w:eastAsia="Times New Roman" w:cs="Times New Roman"/>
                <w:noProof/>
              </w:rPr>
            </w:pPr>
            <w:r>
              <w:rPr>
                <w:noProof/>
              </w:rPr>
              <w:t xml:space="preserve">Nakon dovršetka neovisne evaluacije financijske i operativne uspješnosti C.N.A.I.R., C.N.I.R., C.F.R. (Compania NaПională de Căi Ferate), C.F.R. Călători i Metrorex u skladu sa standardima OECD-a, provode se glavne preporuke evaluacije. </w:t>
            </w:r>
          </w:p>
          <w:p w14:paraId="1073B4D0" w14:textId="77777777" w:rsidR="003F46B9" w:rsidRDefault="0065662E">
            <w:pPr>
              <w:pStyle w:val="P68B1DB1-Normal5"/>
              <w:spacing w:after="0" w:line="240" w:lineRule="auto"/>
              <w:jc w:val="both"/>
              <w:rPr>
                <w:rFonts w:eastAsia="Times New Roman" w:cs="Times New Roman"/>
                <w:noProof/>
              </w:rPr>
            </w:pPr>
            <w:r>
              <w:rPr>
                <w:noProof/>
              </w:rPr>
              <w:t>Za potrebe neovisn</w:t>
            </w:r>
            <w:r>
              <w:rPr>
                <w:noProof/>
              </w:rPr>
              <w:t>e evaluacije Ministarstvo prometa i infrastrukture putem konkurentnih postupaka nadmetanja odabire međunarodnu financijsku instituciju ili međunarodno revizorsko društvo koje je priznato zbog svoje stručnosti i stručnosti u pogledu uspješnosti poduzeća u d</w:t>
            </w:r>
            <w:r>
              <w:rPr>
                <w:noProof/>
              </w:rPr>
              <w:t xml:space="preserve">ržavnom vlasništvu. Provodi se neovisna evaluacija financijske i operativne uspješnosti C.N.A.I.R, C.F.R., C.F.R. Călători i Metrorex u skladu sa standardima OECD-a. Provode se glavne preporuke evaluacije. </w:t>
            </w:r>
          </w:p>
        </w:tc>
      </w:tr>
      <w:tr w:rsidR="003F46B9" w14:paraId="42023239"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FF726C1" w14:textId="77777777" w:rsidR="003F46B9" w:rsidRDefault="0065662E">
            <w:pPr>
              <w:pStyle w:val="P68B1DB1-Normal5"/>
              <w:spacing w:after="0" w:line="240" w:lineRule="auto"/>
              <w:jc w:val="center"/>
              <w:rPr>
                <w:rFonts w:eastAsia="Times New Roman" w:cs="Times New Roman"/>
                <w:noProof/>
              </w:rPr>
            </w:pPr>
            <w:r>
              <w:rPr>
                <w:noProof/>
              </w:rPr>
              <w:t>81</w:t>
            </w:r>
          </w:p>
        </w:tc>
        <w:tc>
          <w:tcPr>
            <w:tcW w:w="2148" w:type="dxa"/>
            <w:tcBorders>
              <w:top w:val="single" w:sz="4" w:space="0" w:color="auto"/>
              <w:left w:val="nil"/>
              <w:bottom w:val="single" w:sz="4" w:space="0" w:color="auto"/>
              <w:right w:val="single" w:sz="4" w:space="0" w:color="auto"/>
            </w:tcBorders>
            <w:shd w:val="clear" w:color="auto" w:fill="C6EFCE"/>
            <w:noWrap/>
          </w:tcPr>
          <w:p w14:paraId="67968869" w14:textId="77777777" w:rsidR="003F46B9" w:rsidRDefault="0065662E">
            <w:pPr>
              <w:pStyle w:val="P68B1DB1-Normal5"/>
              <w:spacing w:after="0" w:line="240" w:lineRule="auto"/>
              <w:jc w:val="both"/>
              <w:rPr>
                <w:rFonts w:eastAsia="Times New Roman" w:cs="Times New Roman"/>
                <w:noProof/>
              </w:rPr>
            </w:pPr>
            <w:r>
              <w:rPr>
                <w:noProof/>
              </w:rPr>
              <w:t xml:space="preserve">R2. Upravljanje kvalitetom u prometu na temelju uspješnosti – poboljšanje institucijskih kapaciteta i korporativnog upravljanja </w:t>
            </w:r>
          </w:p>
        </w:tc>
        <w:tc>
          <w:tcPr>
            <w:tcW w:w="1076" w:type="dxa"/>
            <w:tcBorders>
              <w:top w:val="single" w:sz="4" w:space="0" w:color="auto"/>
              <w:left w:val="nil"/>
              <w:bottom w:val="single" w:sz="4" w:space="0" w:color="auto"/>
              <w:right w:val="single" w:sz="4" w:space="0" w:color="auto"/>
            </w:tcBorders>
            <w:shd w:val="clear" w:color="auto" w:fill="C6EFCE"/>
            <w:noWrap/>
          </w:tcPr>
          <w:p w14:paraId="14FC1D3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18" w:type="dxa"/>
            <w:tcBorders>
              <w:top w:val="single" w:sz="4" w:space="0" w:color="auto"/>
              <w:left w:val="nil"/>
              <w:bottom w:val="single" w:sz="4" w:space="0" w:color="auto"/>
              <w:right w:val="single" w:sz="4" w:space="0" w:color="auto"/>
            </w:tcBorders>
            <w:shd w:val="clear" w:color="auto" w:fill="C6EFCE"/>
            <w:noWrap/>
          </w:tcPr>
          <w:p w14:paraId="26FA284B" w14:textId="77777777" w:rsidR="003F46B9" w:rsidRDefault="0065662E">
            <w:pPr>
              <w:pStyle w:val="P68B1DB1-Normal5"/>
              <w:spacing w:after="0" w:line="240" w:lineRule="auto"/>
              <w:jc w:val="both"/>
              <w:rPr>
                <w:rFonts w:cs="Times New Roman"/>
                <w:noProof/>
              </w:rPr>
            </w:pPr>
            <w:r>
              <w:rPr>
                <w:noProof/>
              </w:rPr>
              <w:t>Poboljšana učinkovitost željeznica u smislu točnosti vlakova</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65E88023"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2388B614" w14:textId="77777777" w:rsidR="003F46B9" w:rsidRDefault="0065662E">
            <w:pPr>
              <w:pStyle w:val="P68B1DB1-Normal5"/>
              <w:spacing w:after="0" w:line="240" w:lineRule="auto"/>
              <w:rPr>
                <w:rFonts w:eastAsia="Times New Roman" w:cs="Times New Roman"/>
                <w:noProof/>
              </w:rPr>
            </w:pPr>
            <w:r>
              <w:rPr>
                <w:noProof/>
              </w:rPr>
              <w:t>Postotak (%)</w:t>
            </w:r>
          </w:p>
          <w:p w14:paraId="4EBDDE4E"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65062349" w14:textId="77777777" w:rsidR="003F46B9" w:rsidRDefault="0065662E">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37849644" w14:textId="77777777" w:rsidR="003F46B9" w:rsidRDefault="0065662E">
            <w:pPr>
              <w:pStyle w:val="P68B1DB1-Normal5"/>
              <w:spacing w:after="0" w:line="240" w:lineRule="auto"/>
              <w:jc w:val="both"/>
              <w:rPr>
                <w:rFonts w:eastAsia="Times New Roman" w:cs="Times New Roman"/>
                <w:noProof/>
              </w:rPr>
            </w:pPr>
            <w:r>
              <w:rPr>
                <w:noProof/>
              </w:rPr>
              <w:t>20</w:t>
            </w:r>
          </w:p>
        </w:tc>
        <w:tc>
          <w:tcPr>
            <w:tcW w:w="942" w:type="dxa"/>
            <w:tcBorders>
              <w:top w:val="single" w:sz="4" w:space="0" w:color="auto"/>
              <w:left w:val="nil"/>
              <w:bottom w:val="single" w:sz="4" w:space="0" w:color="auto"/>
              <w:right w:val="single" w:sz="4" w:space="0" w:color="auto"/>
            </w:tcBorders>
            <w:shd w:val="clear" w:color="auto" w:fill="C6EFCE"/>
            <w:noWrap/>
          </w:tcPr>
          <w:p w14:paraId="74857402"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3EC0719B" w14:textId="77777777" w:rsidR="003F46B9" w:rsidRDefault="0065662E">
            <w:pPr>
              <w:pStyle w:val="P68B1DB1-Normal5"/>
              <w:spacing w:after="0" w:line="240" w:lineRule="auto"/>
              <w:jc w:val="both"/>
              <w:rPr>
                <w:rFonts w:eastAsia="Times New Roman" w:cs="Times New Roman"/>
                <w:noProof/>
              </w:rPr>
            </w:pPr>
            <w:r>
              <w:rPr>
                <w:noProof/>
              </w:rPr>
              <w:t>2025</w:t>
            </w:r>
          </w:p>
        </w:tc>
        <w:tc>
          <w:tcPr>
            <w:tcW w:w="3756" w:type="dxa"/>
            <w:tcBorders>
              <w:top w:val="single" w:sz="4" w:space="0" w:color="auto"/>
              <w:left w:val="nil"/>
              <w:bottom w:val="single" w:sz="4" w:space="0" w:color="auto"/>
              <w:right w:val="single" w:sz="4" w:space="0" w:color="auto"/>
            </w:tcBorders>
            <w:shd w:val="clear" w:color="auto" w:fill="C6EFCE"/>
            <w:noWrap/>
          </w:tcPr>
          <w:p w14:paraId="77D30AF7" w14:textId="77777777" w:rsidR="003F46B9" w:rsidRDefault="0065662E">
            <w:pPr>
              <w:pStyle w:val="P68B1DB1-Normal5"/>
              <w:spacing w:after="0" w:line="240" w:lineRule="auto"/>
              <w:jc w:val="both"/>
              <w:rPr>
                <w:rFonts w:cs="Times New Roman"/>
                <w:noProof/>
              </w:rPr>
            </w:pPr>
            <w:r>
              <w:rPr>
                <w:noProof/>
              </w:rPr>
              <w:t xml:space="preserve">Cilj je </w:t>
            </w:r>
            <w:r>
              <w:rPr>
                <w:noProof/>
              </w:rPr>
              <w:t>smanjenje postotka vlakova koji kasne više od 30 minuta u odnosu na polaznu vrijednost od 2020. do 2025. za najmanje 20 %, na temelju službeno objavljenih statističkih podataka.</w:t>
            </w:r>
          </w:p>
          <w:p w14:paraId="7658A6C1" w14:textId="77777777" w:rsidR="003F46B9" w:rsidRDefault="0065662E">
            <w:pPr>
              <w:pStyle w:val="P68B1DB1-Normal5"/>
              <w:spacing w:after="0" w:line="240" w:lineRule="auto"/>
              <w:jc w:val="both"/>
              <w:rPr>
                <w:rFonts w:eastAsia="Times New Roman" w:cs="Times New Roman"/>
                <w:noProof/>
              </w:rPr>
            </w:pPr>
            <w:r>
              <w:rPr>
                <w:noProof/>
              </w:rPr>
              <w:t>Analiza se mora dovršiti do kraja 2021. kako bi se kvantificirala polazna vrij</w:t>
            </w:r>
            <w:r>
              <w:rPr>
                <w:noProof/>
              </w:rPr>
              <w:t>ednost za broj vlakova s kašnjenjima.</w:t>
            </w:r>
          </w:p>
        </w:tc>
      </w:tr>
      <w:tr w:rsidR="003F46B9" w14:paraId="55EE53C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694D9523" w14:textId="77777777" w:rsidR="003F46B9" w:rsidRDefault="0065662E">
            <w:pPr>
              <w:pStyle w:val="P68B1DB1-Normal5"/>
              <w:spacing w:after="0" w:line="240" w:lineRule="auto"/>
              <w:jc w:val="center"/>
              <w:rPr>
                <w:rFonts w:eastAsia="Times New Roman" w:cs="Times New Roman"/>
                <w:noProof/>
              </w:rPr>
            </w:pPr>
            <w:r>
              <w:rPr>
                <w:noProof/>
              </w:rPr>
              <w:t>82</w:t>
            </w:r>
          </w:p>
        </w:tc>
        <w:tc>
          <w:tcPr>
            <w:tcW w:w="2148" w:type="dxa"/>
            <w:tcBorders>
              <w:top w:val="single" w:sz="4" w:space="0" w:color="auto"/>
              <w:left w:val="nil"/>
              <w:bottom w:val="single" w:sz="4" w:space="0" w:color="auto"/>
              <w:right w:val="single" w:sz="4" w:space="0" w:color="auto"/>
            </w:tcBorders>
            <w:shd w:val="clear" w:color="auto" w:fill="C6EFCE"/>
            <w:noWrap/>
          </w:tcPr>
          <w:p w14:paraId="605F5726" w14:textId="77777777" w:rsidR="003F46B9" w:rsidRDefault="0065662E">
            <w:pPr>
              <w:pStyle w:val="P68B1DB1-Normal5"/>
              <w:spacing w:after="0" w:line="240" w:lineRule="auto"/>
              <w:jc w:val="both"/>
              <w:rPr>
                <w:rFonts w:eastAsia="Times New Roman" w:cs="Times New Roman"/>
                <w:noProof/>
              </w:rPr>
            </w:pPr>
            <w:r>
              <w:rPr>
                <w:noProof/>
              </w:rPr>
              <w:t>I3. Razvoj održive cestovne infrastrukture u mreži TEN-T, naplata cestarina, upravljanje prometom i sigurnost na cestama</w:t>
            </w:r>
          </w:p>
        </w:tc>
        <w:tc>
          <w:tcPr>
            <w:tcW w:w="1076" w:type="dxa"/>
            <w:tcBorders>
              <w:top w:val="single" w:sz="4" w:space="0" w:color="auto"/>
              <w:left w:val="nil"/>
              <w:bottom w:val="single" w:sz="4" w:space="0" w:color="auto"/>
              <w:right w:val="single" w:sz="4" w:space="0" w:color="auto"/>
            </w:tcBorders>
            <w:shd w:val="clear" w:color="auto" w:fill="C6EFCE"/>
            <w:noWrap/>
          </w:tcPr>
          <w:p w14:paraId="449F3B2D"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18" w:type="dxa"/>
            <w:tcBorders>
              <w:top w:val="single" w:sz="4" w:space="0" w:color="auto"/>
              <w:left w:val="nil"/>
              <w:bottom w:val="single" w:sz="4" w:space="0" w:color="auto"/>
              <w:right w:val="single" w:sz="4" w:space="0" w:color="auto"/>
            </w:tcBorders>
            <w:shd w:val="clear" w:color="auto" w:fill="C6EFCE"/>
            <w:noWrap/>
          </w:tcPr>
          <w:p w14:paraId="2BADF62E" w14:textId="77777777" w:rsidR="003F46B9" w:rsidRDefault="0065662E">
            <w:pPr>
              <w:pStyle w:val="P68B1DB1-Normal5"/>
              <w:spacing w:after="0" w:line="240" w:lineRule="auto"/>
              <w:jc w:val="both"/>
              <w:rPr>
                <w:rFonts w:eastAsia="Times New Roman" w:cs="Times New Roman"/>
                <w:noProof/>
              </w:rPr>
            </w:pPr>
            <w:r>
              <w:rPr>
                <w:noProof/>
              </w:rPr>
              <w:t>Potpisivanje ugovora za 100 % radova, nakon otvorenih i konkurentnih natječaja i dobivenih odgovarajućih dozvola, uz mišljenja o procjeni utjecaja na okoliš i odgovarajućoj procjeni (dio Direktive o staništima) koja su izdana i uključena u osmišljavanje ul</w:t>
            </w:r>
            <w:r>
              <w:rPr>
                <w:noProof/>
              </w:rPr>
              <w:t>aganja</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4BCA0B77"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418" w:type="dxa"/>
            <w:tcBorders>
              <w:top w:val="single" w:sz="4" w:space="0" w:color="auto"/>
              <w:left w:val="nil"/>
              <w:bottom w:val="single" w:sz="4" w:space="0" w:color="auto"/>
              <w:right w:val="single" w:sz="4" w:space="0" w:color="auto"/>
            </w:tcBorders>
            <w:shd w:val="clear" w:color="auto" w:fill="C6EFCE"/>
            <w:noWrap/>
          </w:tcPr>
          <w:p w14:paraId="2126BC62"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6615C182"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6BAD841F"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7AB288A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2E3258F3" w14:textId="77777777" w:rsidR="003F46B9" w:rsidRDefault="0065662E">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5C8B1EBE" w14:textId="77777777" w:rsidR="003F46B9" w:rsidRDefault="0065662E">
            <w:pPr>
              <w:pStyle w:val="P68B1DB1-Normal5"/>
              <w:spacing w:after="0" w:line="240" w:lineRule="auto"/>
              <w:jc w:val="both"/>
              <w:rPr>
                <w:rFonts w:eastAsia="Times New Roman" w:cs="Times New Roman"/>
                <w:noProof/>
              </w:rPr>
            </w:pPr>
            <w:r>
              <w:rPr>
                <w:noProof/>
              </w:rPr>
              <w:t xml:space="preserve">Ključna etapa odnosi se na potpisivanje ugovora za izgradnju i nadzor 100 % dionica autoceste na mreži TEN-T za A1, A3, A7 i A8: </w:t>
            </w:r>
          </w:p>
          <w:p w14:paraId="60274F44" w14:textId="77777777" w:rsidR="003F46B9" w:rsidRDefault="0065662E">
            <w:pPr>
              <w:pStyle w:val="P68B1DB1-Normal5"/>
              <w:spacing w:after="0" w:line="240" w:lineRule="auto"/>
              <w:jc w:val="both"/>
              <w:rPr>
                <w:rFonts w:eastAsia="Times New Roman" w:cs="Times New Roman"/>
                <w:noProof/>
              </w:rPr>
            </w:pPr>
            <w:r>
              <w:rPr>
                <w:noProof/>
              </w:rPr>
              <w:t>• A7 – Ploiesti-Pascani;</w:t>
            </w:r>
          </w:p>
          <w:p w14:paraId="5F18C149" w14:textId="77777777" w:rsidR="003F46B9" w:rsidRDefault="0065662E">
            <w:pPr>
              <w:pStyle w:val="P68B1DB1-Normal5"/>
              <w:spacing w:after="0" w:line="240" w:lineRule="auto"/>
              <w:jc w:val="both"/>
              <w:rPr>
                <w:rFonts w:eastAsia="Times New Roman" w:cs="Times New Roman"/>
                <w:noProof/>
              </w:rPr>
            </w:pPr>
            <w:r>
              <w:rPr>
                <w:noProof/>
              </w:rPr>
              <w:t>• A8 – Târgu-Mures-Miercurea Nirajului i Legh</w:t>
            </w:r>
            <w:r>
              <w:rPr>
                <w:noProof/>
              </w:rPr>
              <w:t>in- Târgu Neamț (Moțca);</w:t>
            </w:r>
          </w:p>
          <w:p w14:paraId="53BC08B3" w14:textId="77777777" w:rsidR="003F46B9" w:rsidRDefault="0065662E">
            <w:pPr>
              <w:pStyle w:val="P68B1DB1-Normal5"/>
              <w:spacing w:after="0" w:line="240" w:lineRule="auto"/>
              <w:jc w:val="both"/>
              <w:rPr>
                <w:rFonts w:eastAsia="Times New Roman" w:cs="Times New Roman"/>
                <w:noProof/>
              </w:rPr>
            </w:pPr>
            <w:r>
              <w:rPr>
                <w:noProof/>
              </w:rPr>
              <w:t>• A1 – marginea-Holdea;</w:t>
            </w:r>
          </w:p>
          <w:p w14:paraId="6FA6AC8B" w14:textId="77777777" w:rsidR="003F46B9" w:rsidRDefault="0065662E">
            <w:pPr>
              <w:pStyle w:val="P68B1DB1-Normal5"/>
              <w:spacing w:after="0" w:line="240" w:lineRule="auto"/>
              <w:jc w:val="both"/>
              <w:rPr>
                <w:rFonts w:eastAsia="Times New Roman" w:cs="Times New Roman"/>
                <w:noProof/>
              </w:rPr>
            </w:pPr>
            <w:r>
              <w:rPr>
                <w:noProof/>
              </w:rPr>
              <w:t>• A3 – Nădășelu-Poarta Sălajului.</w:t>
            </w:r>
          </w:p>
          <w:p w14:paraId="68363174" w14:textId="77777777" w:rsidR="003F46B9" w:rsidRDefault="0065662E">
            <w:pPr>
              <w:pStyle w:val="P68B1DB1-Normal5"/>
              <w:spacing w:after="0" w:line="240" w:lineRule="auto"/>
              <w:jc w:val="both"/>
              <w:rPr>
                <w:rFonts w:eastAsia="Times New Roman" w:cs="Times New Roman"/>
                <w:noProof/>
              </w:rPr>
            </w:pPr>
            <w:r>
              <w:rPr>
                <w:noProof/>
              </w:rPr>
              <w:t>Kako bi se uskladile s tehničkim smjernicama o nenanošenju bitne štete (2021/C58/01), sve dionice autoceste moraju biti izgrađene u skladu sa standardima TEN-T-a, biti u skl</w:t>
            </w:r>
            <w:r>
              <w:rPr>
                <w:noProof/>
              </w:rPr>
              <w:t>adu sa zahtjevima za procjenu utjecaja na okoliš i u projekt uključiti ocjenu prihvatljivosti (dio Direktive o staništima) te uključivati nove tehničke značajke za ograničavanje onečišćenja i digitalizaciju prometa (šumske zavjese, ploče za apsorpciju zvuk</w:t>
            </w:r>
            <w:r>
              <w:rPr>
                <w:noProof/>
              </w:rPr>
              <w:t xml:space="preserve">a, električne stanice za punjenje, inteligentni prometni sustav, sigurnost na cestama) u skladu s relevantnim propisima. </w:t>
            </w:r>
          </w:p>
          <w:p w14:paraId="02140AC8" w14:textId="77777777" w:rsidR="003F46B9" w:rsidRDefault="0065662E">
            <w:pPr>
              <w:pStyle w:val="P68B1DB1-Normal5"/>
              <w:spacing w:after="0" w:line="240" w:lineRule="auto"/>
              <w:jc w:val="both"/>
              <w:rPr>
                <w:rFonts w:eastAsia="Times New Roman" w:cs="Times New Roman"/>
                <w:noProof/>
              </w:rPr>
            </w:pPr>
            <w:r>
              <w:rPr>
                <w:noProof/>
              </w:rPr>
              <w:t>Natječajni postupak otvoren je i konkurentan te se provodi u skladu sa Zakonom 98/2016 i njegovim naknadnim izmjenama, kojima je prene</w:t>
            </w:r>
            <w:r>
              <w:rPr>
                <w:noProof/>
              </w:rPr>
              <w:t xml:space="preserve">sena relevantna europska Direktiva 2014/24/EU. </w:t>
            </w:r>
          </w:p>
        </w:tc>
      </w:tr>
      <w:tr w:rsidR="003F46B9" w14:paraId="46117F00"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30FD654" w14:textId="77777777" w:rsidR="003F46B9" w:rsidRDefault="0065662E">
            <w:pPr>
              <w:pStyle w:val="P68B1DB1-Normal5"/>
              <w:spacing w:after="0" w:line="240" w:lineRule="auto"/>
              <w:jc w:val="center"/>
              <w:rPr>
                <w:rFonts w:eastAsia="Times New Roman" w:cs="Times New Roman"/>
                <w:noProof/>
              </w:rPr>
            </w:pPr>
            <w:r>
              <w:rPr>
                <w:noProof/>
              </w:rPr>
              <w:t>83</w:t>
            </w:r>
          </w:p>
        </w:tc>
        <w:tc>
          <w:tcPr>
            <w:tcW w:w="2148" w:type="dxa"/>
            <w:tcBorders>
              <w:top w:val="single" w:sz="4" w:space="0" w:color="auto"/>
              <w:left w:val="nil"/>
              <w:bottom w:val="single" w:sz="4" w:space="0" w:color="auto"/>
              <w:right w:val="single" w:sz="4" w:space="0" w:color="auto"/>
            </w:tcBorders>
            <w:shd w:val="clear" w:color="auto" w:fill="C6EFCE"/>
            <w:noWrap/>
          </w:tcPr>
          <w:p w14:paraId="019E1C60" w14:textId="77777777" w:rsidR="003F46B9" w:rsidRDefault="0065662E">
            <w:pPr>
              <w:pStyle w:val="P68B1DB1-Normal5"/>
              <w:spacing w:after="0" w:line="240" w:lineRule="auto"/>
              <w:jc w:val="both"/>
              <w:rPr>
                <w:rFonts w:eastAsia="Times New Roman" w:cs="Times New Roman"/>
                <w:noProof/>
              </w:rPr>
            </w:pPr>
            <w:r>
              <w:rPr>
                <w:noProof/>
              </w:rPr>
              <w:t>I3. Razvoj održive cestovne infrastrukture u mreži TEN-T, naplata cestarina, upravljanje prometom i sigurnost na cestama</w:t>
            </w:r>
          </w:p>
        </w:tc>
        <w:tc>
          <w:tcPr>
            <w:tcW w:w="1076" w:type="dxa"/>
            <w:tcBorders>
              <w:top w:val="single" w:sz="4" w:space="0" w:color="auto"/>
              <w:left w:val="nil"/>
              <w:bottom w:val="single" w:sz="4" w:space="0" w:color="auto"/>
              <w:right w:val="single" w:sz="4" w:space="0" w:color="auto"/>
            </w:tcBorders>
            <w:shd w:val="clear" w:color="auto" w:fill="C6EFCE"/>
            <w:noWrap/>
          </w:tcPr>
          <w:p w14:paraId="29B349C5"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18" w:type="dxa"/>
            <w:tcBorders>
              <w:top w:val="single" w:sz="4" w:space="0" w:color="auto"/>
              <w:left w:val="nil"/>
              <w:bottom w:val="single" w:sz="4" w:space="0" w:color="auto"/>
              <w:right w:val="single" w:sz="4" w:space="0" w:color="auto"/>
            </w:tcBorders>
            <w:shd w:val="clear" w:color="auto" w:fill="C6EFCE"/>
            <w:noWrap/>
          </w:tcPr>
          <w:p w14:paraId="5E21DB90" w14:textId="77777777" w:rsidR="003F46B9" w:rsidRDefault="0065662E">
            <w:pPr>
              <w:pStyle w:val="P68B1DB1-Normal5"/>
              <w:spacing w:after="0" w:line="240" w:lineRule="auto"/>
              <w:jc w:val="both"/>
              <w:rPr>
                <w:rFonts w:eastAsia="Times New Roman" w:cs="Times New Roman"/>
                <w:noProof/>
              </w:rPr>
            </w:pPr>
            <w:r>
              <w:rPr>
                <w:noProof/>
              </w:rPr>
              <w:t xml:space="preserve">Izgradnja novih cesta, 50 % dovršenih radova </w:t>
            </w:r>
          </w:p>
        </w:tc>
        <w:tc>
          <w:tcPr>
            <w:tcW w:w="1653" w:type="dxa"/>
            <w:gridSpan w:val="2"/>
            <w:tcBorders>
              <w:top w:val="single" w:sz="4" w:space="0" w:color="auto"/>
              <w:left w:val="nil"/>
              <w:bottom w:val="single" w:sz="4" w:space="0" w:color="auto"/>
              <w:right w:val="single" w:sz="4" w:space="0" w:color="auto"/>
            </w:tcBorders>
            <w:shd w:val="clear" w:color="auto" w:fill="C6EFCE"/>
            <w:noWrap/>
          </w:tcPr>
          <w:p w14:paraId="53F11637"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62EE178B" w14:textId="77777777" w:rsidR="003F46B9" w:rsidRDefault="0065662E">
            <w:pPr>
              <w:pStyle w:val="P68B1DB1-Normal5"/>
              <w:spacing w:after="0" w:line="240" w:lineRule="auto"/>
              <w:jc w:val="both"/>
              <w:rPr>
                <w:rFonts w:eastAsia="Times New Roman" w:cs="Times New Roman"/>
                <w:noProof/>
              </w:rPr>
            </w:pPr>
            <w:r>
              <w:rPr>
                <w:noProof/>
              </w:rPr>
              <w:t>Postotak (%)</w:t>
            </w:r>
          </w:p>
        </w:tc>
        <w:tc>
          <w:tcPr>
            <w:tcW w:w="992" w:type="dxa"/>
            <w:tcBorders>
              <w:top w:val="single" w:sz="4" w:space="0" w:color="auto"/>
              <w:left w:val="nil"/>
              <w:bottom w:val="single" w:sz="4" w:space="0" w:color="auto"/>
              <w:right w:val="single" w:sz="4" w:space="0" w:color="auto"/>
            </w:tcBorders>
            <w:shd w:val="clear" w:color="auto" w:fill="C6EFCE"/>
            <w:noWrap/>
          </w:tcPr>
          <w:p w14:paraId="630A07FC" w14:textId="77777777" w:rsidR="003F46B9" w:rsidRDefault="0065662E">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12E13C3F" w14:textId="77777777" w:rsidR="003F46B9" w:rsidRDefault="0065662E">
            <w:pPr>
              <w:pStyle w:val="P68B1DB1-Normal5"/>
              <w:spacing w:after="0" w:line="240" w:lineRule="auto"/>
              <w:jc w:val="both"/>
              <w:rPr>
                <w:rFonts w:eastAsia="Times New Roman" w:cs="Times New Roman"/>
                <w:noProof/>
              </w:rPr>
            </w:pPr>
            <w:r>
              <w:rPr>
                <w:noProof/>
              </w:rPr>
              <w:t>50</w:t>
            </w:r>
          </w:p>
        </w:tc>
        <w:tc>
          <w:tcPr>
            <w:tcW w:w="942" w:type="dxa"/>
            <w:tcBorders>
              <w:top w:val="single" w:sz="4" w:space="0" w:color="auto"/>
              <w:left w:val="nil"/>
              <w:bottom w:val="single" w:sz="4" w:space="0" w:color="auto"/>
              <w:right w:val="single" w:sz="4" w:space="0" w:color="auto"/>
            </w:tcBorders>
            <w:shd w:val="clear" w:color="auto" w:fill="C6EFCE"/>
            <w:noWrap/>
          </w:tcPr>
          <w:p w14:paraId="65D0ED5D" w14:textId="77777777" w:rsidR="003F46B9" w:rsidRDefault="0065662E">
            <w:pPr>
              <w:pStyle w:val="P68B1DB1-Normal5"/>
              <w:spacing w:after="0" w:line="240" w:lineRule="auto"/>
              <w:jc w:val="both"/>
              <w:rPr>
                <w:rFonts w:eastAsia="Times New Roman" w:cs="Times New Roman"/>
                <w:noProof/>
              </w:rPr>
            </w:pPr>
            <w:r>
              <w:rPr>
                <w:noProof/>
              </w:rPr>
              <w:t xml:space="preserve">ČETVRTO </w:t>
            </w: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1B2EF6A2" w14:textId="77777777" w:rsidR="003F46B9" w:rsidRDefault="0065662E">
            <w:pPr>
              <w:pStyle w:val="P68B1DB1-Normal5"/>
              <w:spacing w:after="0" w:line="240" w:lineRule="auto"/>
              <w:jc w:val="both"/>
              <w:rPr>
                <w:rFonts w:eastAsia="Times New Roman" w:cs="Times New Roman"/>
                <w:noProof/>
              </w:rPr>
            </w:pPr>
            <w:r>
              <w:rPr>
                <w:noProof/>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73B86344" w14:textId="77777777" w:rsidR="003F46B9" w:rsidRDefault="0065662E">
            <w:pPr>
              <w:pStyle w:val="P68B1DB1-Normal5"/>
              <w:spacing w:after="0" w:line="240" w:lineRule="auto"/>
              <w:jc w:val="both"/>
              <w:rPr>
                <w:rFonts w:eastAsia="Times New Roman" w:cs="Times New Roman"/>
                <w:noProof/>
              </w:rPr>
            </w:pPr>
            <w:r>
              <w:rPr>
                <w:noProof/>
              </w:rPr>
              <w:t>Cilj se odnosi na dovršetak najmanje 50 % radova (potvrđeno izvješćem o nadzoru) cestovne infrastrukture koja se nalazi na mreži TEN-T:</w:t>
            </w:r>
          </w:p>
          <w:p w14:paraId="03C50D4F" w14:textId="77777777" w:rsidR="003F46B9" w:rsidRDefault="0065662E">
            <w:pPr>
              <w:pStyle w:val="P68B1DB1-Normal5"/>
              <w:spacing w:after="0" w:line="240" w:lineRule="auto"/>
              <w:jc w:val="both"/>
              <w:rPr>
                <w:rFonts w:eastAsia="Times New Roman" w:cs="Times New Roman"/>
                <w:noProof/>
              </w:rPr>
            </w:pPr>
            <w:r>
              <w:rPr>
                <w:noProof/>
              </w:rPr>
              <w:t>• A7 – Ploiești-Pașcani (319 km);</w:t>
            </w:r>
          </w:p>
          <w:p w14:paraId="399C4EDD" w14:textId="77777777" w:rsidR="003F46B9" w:rsidRDefault="0065662E">
            <w:pPr>
              <w:pStyle w:val="P68B1DB1-Normal5"/>
              <w:spacing w:after="0" w:line="240" w:lineRule="auto"/>
              <w:jc w:val="both"/>
              <w:rPr>
                <w:rFonts w:eastAsia="Times New Roman" w:cs="Times New Roman"/>
                <w:noProof/>
              </w:rPr>
            </w:pPr>
            <w:r>
              <w:rPr>
                <w:noProof/>
              </w:rPr>
              <w:t>• A8 – Târgu-Mureș-Miercurea Nirajului i Leghin- Tg. Neamț (Moțca) (5</w:t>
            </w:r>
            <w:r>
              <w:rPr>
                <w:noProof/>
              </w:rPr>
              <w:t>9 km);</w:t>
            </w:r>
          </w:p>
          <w:p w14:paraId="3C8A52D8" w14:textId="77777777" w:rsidR="003F46B9" w:rsidRDefault="0065662E">
            <w:pPr>
              <w:pStyle w:val="P68B1DB1-Normal5"/>
              <w:spacing w:after="0" w:line="240" w:lineRule="auto"/>
              <w:jc w:val="both"/>
              <w:rPr>
                <w:rFonts w:eastAsia="Times New Roman" w:cs="Times New Roman"/>
                <w:noProof/>
              </w:rPr>
            </w:pPr>
            <w:r>
              <w:rPr>
                <w:noProof/>
              </w:rPr>
              <w:t>• A1 – marginea-Holdea (9 km);</w:t>
            </w:r>
          </w:p>
          <w:p w14:paraId="21990B27" w14:textId="77777777" w:rsidR="003F46B9" w:rsidRDefault="0065662E">
            <w:pPr>
              <w:pStyle w:val="P68B1DB1-Normal5"/>
              <w:spacing w:after="0" w:line="240" w:lineRule="auto"/>
              <w:jc w:val="both"/>
              <w:rPr>
                <w:rFonts w:eastAsia="Times New Roman" w:cs="Times New Roman"/>
                <w:noProof/>
              </w:rPr>
            </w:pPr>
            <w:r>
              <w:rPr>
                <w:noProof/>
              </w:rPr>
              <w:t>• A3 – Nădășelu-Poarta Sălajului (42 km).</w:t>
            </w:r>
          </w:p>
          <w:p w14:paraId="074D931D" w14:textId="77777777" w:rsidR="003F46B9" w:rsidRDefault="0065662E">
            <w:pPr>
              <w:pStyle w:val="P68B1DB1-Normal5"/>
              <w:spacing w:after="0" w:line="240" w:lineRule="auto"/>
              <w:jc w:val="both"/>
              <w:rPr>
                <w:rFonts w:eastAsia="Times New Roman" w:cs="Times New Roman"/>
                <w:noProof/>
              </w:rPr>
            </w:pPr>
            <w:r>
              <w:rPr>
                <w:noProof/>
              </w:rPr>
              <w:t>Autoceste se moraju izgraditi u skladu s tehničkim specifikacijama, uključujući sve rezultate procjene utjecaja na okoliš, mišljenja i uvjete ocjene prihvatljivosti (dio Direktive o staništima) te biti u skladu s Tehničkim smjernicama o nenanošenju bitne š</w:t>
            </w:r>
            <w:r>
              <w:rPr>
                <w:noProof/>
              </w:rPr>
              <w:t xml:space="preserve">tete (2021/C58/01). </w:t>
            </w:r>
          </w:p>
        </w:tc>
      </w:tr>
      <w:tr w:rsidR="003F46B9" w14:paraId="5B4C0386"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2841F712" w14:textId="77777777" w:rsidR="003F46B9" w:rsidRDefault="0065662E">
            <w:pPr>
              <w:pStyle w:val="P68B1DB1-Normal5"/>
              <w:spacing w:after="0" w:line="240" w:lineRule="auto"/>
              <w:jc w:val="center"/>
              <w:rPr>
                <w:rFonts w:eastAsia="Times New Roman" w:cs="Times New Roman"/>
                <w:noProof/>
              </w:rPr>
            </w:pPr>
            <w:r>
              <w:rPr>
                <w:noProof/>
              </w:rPr>
              <w:t>84</w:t>
            </w:r>
          </w:p>
        </w:tc>
        <w:tc>
          <w:tcPr>
            <w:tcW w:w="2148" w:type="dxa"/>
            <w:tcBorders>
              <w:top w:val="single" w:sz="4" w:space="0" w:color="auto"/>
              <w:left w:val="nil"/>
              <w:bottom w:val="single" w:sz="4" w:space="0" w:color="auto"/>
              <w:right w:val="single" w:sz="4" w:space="0" w:color="auto"/>
            </w:tcBorders>
            <w:shd w:val="clear" w:color="auto" w:fill="C6EFCE"/>
            <w:noWrap/>
          </w:tcPr>
          <w:p w14:paraId="05B03FBD" w14:textId="77777777" w:rsidR="003F46B9" w:rsidRDefault="0065662E">
            <w:pPr>
              <w:pStyle w:val="P68B1DB1-Normal5"/>
              <w:spacing w:after="0" w:line="240" w:lineRule="auto"/>
              <w:jc w:val="both"/>
              <w:rPr>
                <w:rFonts w:eastAsia="Times New Roman" w:cs="Times New Roman"/>
                <w:noProof/>
              </w:rPr>
            </w:pPr>
            <w:r>
              <w:rPr>
                <w:noProof/>
              </w:rPr>
              <w:t>I3. Razvoj održive cestovne infrastrukture u mreži TEN-T, naplata cestarina, upravljanje prometom i sigurnost na cestama</w:t>
            </w:r>
          </w:p>
        </w:tc>
        <w:tc>
          <w:tcPr>
            <w:tcW w:w="1076" w:type="dxa"/>
            <w:tcBorders>
              <w:top w:val="single" w:sz="4" w:space="0" w:color="auto"/>
              <w:left w:val="nil"/>
              <w:bottom w:val="single" w:sz="4" w:space="0" w:color="auto"/>
              <w:right w:val="single" w:sz="4" w:space="0" w:color="auto"/>
            </w:tcBorders>
            <w:shd w:val="clear" w:color="auto" w:fill="C6EFCE"/>
            <w:noWrap/>
          </w:tcPr>
          <w:p w14:paraId="5589F31A"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18" w:type="dxa"/>
            <w:tcBorders>
              <w:top w:val="single" w:sz="4" w:space="0" w:color="auto"/>
              <w:left w:val="nil"/>
              <w:bottom w:val="single" w:sz="4" w:space="0" w:color="auto"/>
              <w:right w:val="single" w:sz="4" w:space="0" w:color="auto"/>
            </w:tcBorders>
            <w:shd w:val="clear" w:color="auto" w:fill="C6EFCE"/>
            <w:noWrap/>
          </w:tcPr>
          <w:p w14:paraId="28400430" w14:textId="77777777" w:rsidR="003F46B9" w:rsidRDefault="0065662E">
            <w:pPr>
              <w:pStyle w:val="P68B1DB1-Normal5"/>
              <w:spacing w:after="0" w:line="240" w:lineRule="auto"/>
              <w:jc w:val="both"/>
              <w:rPr>
                <w:rFonts w:eastAsia="Times New Roman" w:cs="Times New Roman"/>
                <w:noProof/>
              </w:rPr>
            </w:pPr>
            <w:r>
              <w:rPr>
                <w:noProof/>
              </w:rPr>
              <w:t xml:space="preserve">Dovršena izgradnja novih cesta (s normama TEN-T-a) </w:t>
            </w:r>
          </w:p>
        </w:tc>
        <w:tc>
          <w:tcPr>
            <w:tcW w:w="1612" w:type="dxa"/>
            <w:tcBorders>
              <w:top w:val="single" w:sz="4" w:space="0" w:color="auto"/>
              <w:left w:val="nil"/>
              <w:bottom w:val="single" w:sz="4" w:space="0" w:color="auto"/>
              <w:right w:val="single" w:sz="4" w:space="0" w:color="auto"/>
            </w:tcBorders>
            <w:shd w:val="clear" w:color="auto" w:fill="C6EFCE"/>
            <w:noWrap/>
          </w:tcPr>
          <w:p w14:paraId="3AED73D0"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4280CC40" w14:textId="6625835B" w:rsidR="003F46B9" w:rsidRDefault="0065662E">
            <w:pPr>
              <w:pStyle w:val="P68B1DB1-Normal5"/>
              <w:spacing w:after="0" w:line="240" w:lineRule="auto"/>
              <w:jc w:val="both"/>
              <w:rPr>
                <w:rFonts w:eastAsia="Times New Roman" w:cs="Times New Roman"/>
                <w:noProof/>
              </w:rPr>
            </w:pPr>
            <w:r>
              <w:rPr>
                <w:noProof/>
              </w:rPr>
              <w:t>Kilometri (km)</w:t>
            </w:r>
          </w:p>
        </w:tc>
        <w:tc>
          <w:tcPr>
            <w:tcW w:w="992" w:type="dxa"/>
            <w:tcBorders>
              <w:top w:val="single" w:sz="4" w:space="0" w:color="auto"/>
              <w:left w:val="nil"/>
              <w:bottom w:val="single" w:sz="4" w:space="0" w:color="auto"/>
              <w:right w:val="single" w:sz="4" w:space="0" w:color="auto"/>
            </w:tcBorders>
            <w:shd w:val="clear" w:color="auto" w:fill="C6EFCE"/>
            <w:noWrap/>
          </w:tcPr>
          <w:p w14:paraId="62289D59" w14:textId="77777777" w:rsidR="003F46B9" w:rsidRDefault="0065662E">
            <w:pPr>
              <w:pStyle w:val="P68B1DB1-Normal5"/>
              <w:spacing w:after="0" w:line="240" w:lineRule="auto"/>
              <w:jc w:val="both"/>
              <w:rPr>
                <w:rFonts w:eastAsia="Times New Roman" w:cs="Times New Roman"/>
                <w:noProof/>
              </w:rPr>
            </w:pPr>
            <w:r>
              <w:rPr>
                <w:noProof/>
              </w:rPr>
              <w:t>910</w:t>
            </w:r>
          </w:p>
        </w:tc>
        <w:tc>
          <w:tcPr>
            <w:tcW w:w="729" w:type="dxa"/>
            <w:tcBorders>
              <w:top w:val="single" w:sz="4" w:space="0" w:color="auto"/>
              <w:left w:val="nil"/>
              <w:bottom w:val="single" w:sz="4" w:space="0" w:color="auto"/>
              <w:right w:val="single" w:sz="4" w:space="0" w:color="auto"/>
            </w:tcBorders>
            <w:shd w:val="clear" w:color="auto" w:fill="C6EFCE"/>
            <w:noWrap/>
          </w:tcPr>
          <w:p w14:paraId="4B2940F7" w14:textId="77777777" w:rsidR="003F46B9" w:rsidRDefault="0065662E">
            <w:pPr>
              <w:pStyle w:val="P68B1DB1-Normal5"/>
              <w:spacing w:after="0" w:line="240" w:lineRule="auto"/>
              <w:jc w:val="both"/>
              <w:rPr>
                <w:rFonts w:eastAsia="Times New Roman" w:cs="Times New Roman"/>
                <w:noProof/>
              </w:rPr>
            </w:pPr>
            <w:r>
              <w:rPr>
                <w:noProof/>
              </w:rPr>
              <w:t>1 339</w:t>
            </w:r>
          </w:p>
        </w:tc>
        <w:tc>
          <w:tcPr>
            <w:tcW w:w="942" w:type="dxa"/>
            <w:tcBorders>
              <w:top w:val="single" w:sz="4" w:space="0" w:color="auto"/>
              <w:left w:val="nil"/>
              <w:bottom w:val="single" w:sz="4" w:space="0" w:color="auto"/>
              <w:right w:val="single" w:sz="4" w:space="0" w:color="auto"/>
            </w:tcBorders>
            <w:shd w:val="clear" w:color="auto" w:fill="C6EFCE"/>
            <w:noWrap/>
          </w:tcPr>
          <w:p w14:paraId="08AE113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18D6F10D" w14:textId="77777777" w:rsidR="003F46B9" w:rsidRDefault="0065662E">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08EA4E8D" w14:textId="77777777" w:rsidR="003F46B9" w:rsidRDefault="0065662E">
            <w:pPr>
              <w:pStyle w:val="P68B1DB1-Normal5"/>
              <w:spacing w:after="0" w:line="240" w:lineRule="auto"/>
              <w:jc w:val="both"/>
              <w:rPr>
                <w:rFonts w:cs="Times New Roman"/>
                <w:noProof/>
              </w:rPr>
            </w:pPr>
            <w:r>
              <w:rPr>
                <w:noProof/>
              </w:rPr>
              <w:t xml:space="preserve">Cilj se </w:t>
            </w:r>
            <w:r>
              <w:rPr>
                <w:noProof/>
              </w:rPr>
              <w:t>odnosi na broj kilometara cestovne infrastrukture izgrađene i puštene u rad (ukupno 429 km) smještene na mreži TEN-T:</w:t>
            </w:r>
          </w:p>
          <w:p w14:paraId="1FD42DFF" w14:textId="77777777" w:rsidR="003F46B9" w:rsidRDefault="0065662E">
            <w:pPr>
              <w:pStyle w:val="P68B1DB1-ListParagraph13"/>
              <w:numPr>
                <w:ilvl w:val="0"/>
                <w:numId w:val="42"/>
              </w:numPr>
              <w:spacing w:after="0" w:line="240" w:lineRule="auto"/>
              <w:jc w:val="both"/>
              <w:rPr>
                <w:rFonts w:cs="Times New Roman"/>
                <w:noProof/>
              </w:rPr>
            </w:pPr>
            <w:r>
              <w:rPr>
                <w:noProof/>
              </w:rPr>
              <w:t>A7 – Ploiești-Pașcani (319 km);</w:t>
            </w:r>
          </w:p>
          <w:p w14:paraId="29F56103" w14:textId="0635D07B" w:rsidR="003F46B9" w:rsidRDefault="0065662E">
            <w:pPr>
              <w:pStyle w:val="P68B1DB1-ListParagraph13"/>
              <w:numPr>
                <w:ilvl w:val="0"/>
                <w:numId w:val="42"/>
              </w:numPr>
              <w:spacing w:after="0" w:line="240" w:lineRule="auto"/>
              <w:jc w:val="both"/>
              <w:rPr>
                <w:rFonts w:cs="Times New Roman"/>
                <w:noProof/>
              </w:rPr>
            </w:pPr>
            <w:r>
              <w:rPr>
                <w:noProof/>
              </w:rPr>
              <w:t>A8 – Târgu-Mureș-Miercurea Nirajului i Leghin – Târgu Neamț (Moțca) (59 km);</w:t>
            </w:r>
          </w:p>
          <w:p w14:paraId="45976D9B" w14:textId="77777777" w:rsidR="003F46B9" w:rsidRDefault="0065662E">
            <w:pPr>
              <w:pStyle w:val="P68B1DB1-ListParagraph13"/>
              <w:numPr>
                <w:ilvl w:val="0"/>
                <w:numId w:val="42"/>
              </w:numPr>
              <w:spacing w:after="0" w:line="240" w:lineRule="auto"/>
              <w:jc w:val="both"/>
              <w:rPr>
                <w:rFonts w:cs="Times New Roman"/>
                <w:noProof/>
              </w:rPr>
            </w:pPr>
            <w:r>
              <w:rPr>
                <w:noProof/>
              </w:rPr>
              <w:t>A1 – marginea-Holdea (9 km);</w:t>
            </w:r>
          </w:p>
          <w:p w14:paraId="5D54B204" w14:textId="77777777" w:rsidR="003F46B9" w:rsidRDefault="0065662E">
            <w:pPr>
              <w:pStyle w:val="P68B1DB1-ListParagraph13"/>
              <w:numPr>
                <w:ilvl w:val="0"/>
                <w:numId w:val="42"/>
              </w:numPr>
              <w:spacing w:after="0" w:line="240" w:lineRule="auto"/>
              <w:jc w:val="both"/>
              <w:rPr>
                <w:rFonts w:cs="Times New Roman"/>
                <w:noProof/>
              </w:rPr>
            </w:pPr>
            <w:r>
              <w:rPr>
                <w:noProof/>
              </w:rPr>
              <w:t>A3 – Nădășelu-Poarta Sălajului (42 km).</w:t>
            </w:r>
          </w:p>
          <w:p w14:paraId="153E3413" w14:textId="77777777" w:rsidR="003F46B9" w:rsidRDefault="0065662E">
            <w:pPr>
              <w:pStyle w:val="P68B1DB1-Normal5"/>
              <w:spacing w:after="0" w:line="240" w:lineRule="auto"/>
              <w:jc w:val="both"/>
              <w:rPr>
                <w:rFonts w:cs="Times New Roman"/>
                <w:noProof/>
              </w:rPr>
            </w:pPr>
            <w:r>
              <w:rPr>
                <w:noProof/>
              </w:rPr>
              <w:t>Polazna vrijednost od 910 km autoceste predstavlja broj dovršenih i operativnih kilometara na kraju 2020. prema podacima Nacionalnog zavoda za statistiku.</w:t>
            </w:r>
          </w:p>
          <w:p w14:paraId="0E60709B" w14:textId="77777777" w:rsidR="003F46B9" w:rsidRDefault="0065662E">
            <w:pPr>
              <w:pStyle w:val="P68B1DB1-Normal5"/>
              <w:spacing w:after="0" w:line="240" w:lineRule="auto"/>
              <w:jc w:val="both"/>
              <w:rPr>
                <w:rFonts w:cs="Times New Roman"/>
                <w:noProof/>
              </w:rPr>
            </w:pPr>
            <w:r>
              <w:rPr>
                <w:noProof/>
              </w:rPr>
              <w:t>Broj stanica za punjenje električnom energijom u prostorima i</w:t>
            </w:r>
            <w:r>
              <w:rPr>
                <w:noProof/>
              </w:rPr>
              <w:t xml:space="preserve">zgrađenima na novoj cestovnoj infrastrukturi: 264 (prosječno 5 mjesta za punjenje/postaja za punjenje na 52 postaje za punjenje). </w:t>
            </w:r>
          </w:p>
          <w:p w14:paraId="24CCAA86" w14:textId="77777777" w:rsidR="003F46B9" w:rsidRDefault="0065662E">
            <w:pPr>
              <w:pStyle w:val="P68B1DB1-Normal5"/>
              <w:spacing w:after="0" w:line="240" w:lineRule="auto"/>
              <w:jc w:val="both"/>
              <w:rPr>
                <w:rFonts w:cs="Times New Roman"/>
                <w:noProof/>
              </w:rPr>
            </w:pPr>
            <w:r>
              <w:rPr>
                <w:noProof/>
              </w:rPr>
              <w:t>Inteligentni prometni sustav (ITS): 429 km autocesta opremljenih novim ITS-om u skladu s relevantnim uredbama.</w:t>
            </w:r>
          </w:p>
          <w:p w14:paraId="5AB6A3B4" w14:textId="77777777" w:rsidR="003F46B9" w:rsidRDefault="0065662E">
            <w:pPr>
              <w:pStyle w:val="P68B1DB1-Normal5"/>
              <w:spacing w:after="0" w:line="240" w:lineRule="auto"/>
              <w:jc w:val="both"/>
              <w:rPr>
                <w:rFonts w:cs="Times New Roman"/>
                <w:noProof/>
              </w:rPr>
            </w:pPr>
            <w:r>
              <w:rPr>
                <w:noProof/>
              </w:rPr>
              <w:t>Šumske zavjese</w:t>
            </w:r>
            <w:r>
              <w:rPr>
                <w:noProof/>
              </w:rPr>
              <w:t>: 625 ha određenog drveća kako je opisano u procjeni nenanošenja bitne štete za ovu mjeru.</w:t>
            </w:r>
          </w:p>
          <w:p w14:paraId="2BB3261B" w14:textId="77777777" w:rsidR="003F46B9" w:rsidRDefault="0065662E">
            <w:pPr>
              <w:pStyle w:val="P68B1DB1-Normal5"/>
              <w:spacing w:after="0" w:line="240" w:lineRule="auto"/>
              <w:jc w:val="both"/>
              <w:rPr>
                <w:rFonts w:cs="Times New Roman"/>
                <w:noProof/>
              </w:rPr>
            </w:pPr>
            <w:r>
              <w:rPr>
                <w:noProof/>
              </w:rPr>
              <w:t>Sigurna i zaštićena parkirališta za automobile duž autocesta: 18.</w:t>
            </w:r>
          </w:p>
          <w:p w14:paraId="12C99B00" w14:textId="77777777" w:rsidR="003F46B9" w:rsidRDefault="0065662E">
            <w:pPr>
              <w:pStyle w:val="P68B1DB1-Normal5"/>
              <w:spacing w:after="0" w:line="240" w:lineRule="auto"/>
              <w:jc w:val="both"/>
              <w:rPr>
                <w:rFonts w:cs="Times New Roman"/>
                <w:noProof/>
              </w:rPr>
            </w:pPr>
            <w:r>
              <w:rPr>
                <w:noProof/>
              </w:rPr>
              <w:t>Autoceste se grade u skladu s tehničkim specifikacijama, u potpunosti uključujući sve rezultate pro</w:t>
            </w:r>
            <w:r>
              <w:rPr>
                <w:noProof/>
              </w:rPr>
              <w:t>cjene utjecaja na okoliš, mišljenja i uvjete ocjene prihvatljivosti (dio Direktive o staništima) kako bi bile u skladu s Tehničkim smjernicama o nenanošenju bitne štete (2021/C58/01).</w:t>
            </w:r>
          </w:p>
        </w:tc>
      </w:tr>
      <w:tr w:rsidR="003F46B9" w14:paraId="5CF33C8E"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0E30122F" w14:textId="77777777" w:rsidR="003F46B9" w:rsidRDefault="0065662E">
            <w:pPr>
              <w:pStyle w:val="P68B1DB1-Normal5"/>
              <w:spacing w:after="0" w:line="240" w:lineRule="auto"/>
              <w:jc w:val="center"/>
              <w:rPr>
                <w:rFonts w:eastAsia="Times New Roman" w:cs="Times New Roman"/>
                <w:noProof/>
              </w:rPr>
            </w:pPr>
            <w:r>
              <w:rPr>
                <w:noProof/>
              </w:rPr>
              <w:t>85</w:t>
            </w:r>
          </w:p>
        </w:tc>
        <w:tc>
          <w:tcPr>
            <w:tcW w:w="2148" w:type="dxa"/>
            <w:tcBorders>
              <w:top w:val="single" w:sz="4" w:space="0" w:color="auto"/>
              <w:left w:val="nil"/>
              <w:bottom w:val="single" w:sz="4" w:space="0" w:color="auto"/>
              <w:right w:val="single" w:sz="4" w:space="0" w:color="auto"/>
            </w:tcBorders>
            <w:shd w:val="clear" w:color="auto" w:fill="C6EFCE"/>
            <w:noWrap/>
          </w:tcPr>
          <w:p w14:paraId="65365B21" w14:textId="77777777" w:rsidR="003F46B9" w:rsidRDefault="0065662E">
            <w:pPr>
              <w:pStyle w:val="P68B1DB1-Normal5"/>
              <w:spacing w:after="0" w:line="240" w:lineRule="auto"/>
              <w:jc w:val="both"/>
              <w:rPr>
                <w:rFonts w:eastAsia="Times New Roman" w:cs="Times New Roman"/>
                <w:noProof/>
              </w:rPr>
            </w:pPr>
            <w:r>
              <w:rPr>
                <w:noProof/>
              </w:rPr>
              <w:t xml:space="preserve">I3. Razvoj održive cestovne infrastrukture u mreži TEN-T, naplata </w:t>
            </w:r>
            <w:r>
              <w:rPr>
                <w:noProof/>
              </w:rPr>
              <w:t>cestarina, upravljanje prometom i sigurnost na cestama</w:t>
            </w:r>
          </w:p>
        </w:tc>
        <w:tc>
          <w:tcPr>
            <w:tcW w:w="1076" w:type="dxa"/>
            <w:tcBorders>
              <w:top w:val="single" w:sz="4" w:space="0" w:color="auto"/>
              <w:left w:val="nil"/>
              <w:bottom w:val="single" w:sz="4" w:space="0" w:color="auto"/>
              <w:right w:val="single" w:sz="4" w:space="0" w:color="auto"/>
            </w:tcBorders>
            <w:shd w:val="clear" w:color="auto" w:fill="C6EFCE"/>
            <w:noWrap/>
          </w:tcPr>
          <w:p w14:paraId="7152FAD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18" w:type="dxa"/>
            <w:tcBorders>
              <w:top w:val="single" w:sz="4" w:space="0" w:color="auto"/>
              <w:left w:val="nil"/>
              <w:bottom w:val="single" w:sz="4" w:space="0" w:color="auto"/>
              <w:right w:val="single" w:sz="4" w:space="0" w:color="auto"/>
            </w:tcBorders>
            <w:shd w:val="clear" w:color="auto" w:fill="C6EFCE"/>
            <w:noWrap/>
          </w:tcPr>
          <w:p w14:paraId="176D3178" w14:textId="77777777" w:rsidR="003F46B9" w:rsidRDefault="0065662E">
            <w:pPr>
              <w:pStyle w:val="P68B1DB1-Normal5"/>
              <w:spacing w:after="0" w:line="240" w:lineRule="auto"/>
              <w:jc w:val="both"/>
              <w:rPr>
                <w:rFonts w:eastAsia="Times New Roman" w:cs="Times New Roman"/>
                <w:noProof/>
              </w:rPr>
            </w:pPr>
            <w:r>
              <w:rPr>
                <w:noProof/>
              </w:rPr>
              <w:t xml:space="preserve">Uklonjene crne/žarišne točke za sigurnost na cestama </w:t>
            </w:r>
          </w:p>
        </w:tc>
        <w:tc>
          <w:tcPr>
            <w:tcW w:w="1612" w:type="dxa"/>
            <w:tcBorders>
              <w:top w:val="single" w:sz="4" w:space="0" w:color="auto"/>
              <w:left w:val="nil"/>
              <w:bottom w:val="single" w:sz="4" w:space="0" w:color="auto"/>
              <w:right w:val="single" w:sz="4" w:space="0" w:color="auto"/>
            </w:tcBorders>
            <w:shd w:val="clear" w:color="auto" w:fill="C6EFCE"/>
            <w:noWrap/>
          </w:tcPr>
          <w:p w14:paraId="530F80B7"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4C9C832" w14:textId="77777777" w:rsidR="003F46B9" w:rsidRDefault="0065662E">
            <w:pPr>
              <w:pStyle w:val="P68B1DB1-Normal5"/>
              <w:spacing w:after="0" w:line="240" w:lineRule="auto"/>
              <w:jc w:val="both"/>
              <w:rPr>
                <w:rFonts w:eastAsia="Times New Roman" w:cs="Times New Roman"/>
                <w:noProof/>
              </w:rPr>
            </w:pPr>
            <w:r>
              <w:rPr>
                <w:noProof/>
              </w:rPr>
              <w:t>Broj</w:t>
            </w:r>
          </w:p>
        </w:tc>
        <w:tc>
          <w:tcPr>
            <w:tcW w:w="992" w:type="dxa"/>
            <w:tcBorders>
              <w:top w:val="single" w:sz="4" w:space="0" w:color="auto"/>
              <w:left w:val="nil"/>
              <w:bottom w:val="single" w:sz="4" w:space="0" w:color="auto"/>
              <w:right w:val="single" w:sz="4" w:space="0" w:color="auto"/>
            </w:tcBorders>
            <w:shd w:val="clear" w:color="auto" w:fill="C6EFCE"/>
            <w:noWrap/>
          </w:tcPr>
          <w:p w14:paraId="1C11E63B" w14:textId="77777777" w:rsidR="003F46B9" w:rsidRDefault="0065662E">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75BA2485" w14:textId="77777777" w:rsidR="003F46B9" w:rsidRDefault="0065662E">
            <w:pPr>
              <w:pStyle w:val="P68B1DB1-Normal5"/>
              <w:spacing w:after="0" w:line="240" w:lineRule="auto"/>
              <w:jc w:val="both"/>
              <w:rPr>
                <w:rFonts w:eastAsia="Times New Roman" w:cs="Times New Roman"/>
                <w:noProof/>
              </w:rPr>
            </w:pPr>
            <w:r>
              <w:rPr>
                <w:noProof/>
              </w:rPr>
              <w:t>129</w:t>
            </w:r>
          </w:p>
        </w:tc>
        <w:tc>
          <w:tcPr>
            <w:tcW w:w="942" w:type="dxa"/>
            <w:tcBorders>
              <w:top w:val="single" w:sz="4" w:space="0" w:color="auto"/>
              <w:left w:val="nil"/>
              <w:bottom w:val="single" w:sz="4" w:space="0" w:color="auto"/>
              <w:right w:val="single" w:sz="4" w:space="0" w:color="auto"/>
            </w:tcBorders>
            <w:shd w:val="clear" w:color="auto" w:fill="C6EFCE"/>
            <w:noWrap/>
          </w:tcPr>
          <w:p w14:paraId="0118004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10CF3DF2" w14:textId="77777777" w:rsidR="003F46B9" w:rsidRDefault="0065662E">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79882F73" w14:textId="77777777" w:rsidR="003F46B9" w:rsidRDefault="0065662E">
            <w:pPr>
              <w:pStyle w:val="P68B1DB1-Normal5"/>
              <w:spacing w:after="0" w:line="240" w:lineRule="auto"/>
              <w:jc w:val="both"/>
              <w:rPr>
                <w:rFonts w:cs="Times New Roman"/>
                <w:noProof/>
              </w:rPr>
            </w:pPr>
            <w:r>
              <w:rPr>
                <w:noProof/>
              </w:rPr>
              <w:t xml:space="preserve">Postojeća 267 crnih/žarišnih točaka sigurnosti na cestama u 2021. smanjit će se za 129. </w:t>
            </w:r>
          </w:p>
          <w:p w14:paraId="78913F81" w14:textId="77777777" w:rsidR="003F46B9" w:rsidRDefault="0065662E">
            <w:pPr>
              <w:pStyle w:val="P68B1DB1-Normal5"/>
              <w:spacing w:after="0" w:line="240" w:lineRule="auto"/>
              <w:jc w:val="both"/>
              <w:rPr>
                <w:rFonts w:cs="Times New Roman"/>
                <w:noProof/>
              </w:rPr>
            </w:pPr>
            <w:r>
              <w:rPr>
                <w:noProof/>
              </w:rPr>
              <w:t xml:space="preserve">Mjere za uklanjanje </w:t>
            </w:r>
            <w:r>
              <w:rPr>
                <w:noProof/>
              </w:rPr>
              <w:t>129 crnih/žarišnih točaka za sigurnost na cestama uključuju:</w:t>
            </w:r>
          </w:p>
          <w:p w14:paraId="773E2FAC"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smještaj zidova cesta s svicima, betonom ili kabelom (upotrebom održivih materijala u skladu s kružnim gospodarstvom), ovisno o vrsti ceste, kako bi se poboljšala sigurnost na cestama u područjim</w:t>
            </w:r>
            <w:r>
              <w:rPr>
                <w:noProof/>
              </w:rPr>
              <w:t>a s visokim rizikom od prometnih nesreća;</w:t>
            </w:r>
          </w:p>
          <w:p w14:paraId="27B7C469"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mjere za ublažavanje posljedica sudara s krutim predmetima na području ceste lociranjem prigušivača udara opremljenih sustavom za otkrivanje nesreća i nadzor prometa;</w:t>
            </w:r>
          </w:p>
          <w:p w14:paraId="4FF6AB6A"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 xml:space="preserve">kupnja sustava za zaštitu radnika koji provode </w:t>
            </w:r>
            <w:r>
              <w:rPr>
                <w:noProof/>
              </w:rPr>
              <w:t>hitne intervencije na infrastrukturi autocesta i nacionalnim cestama otvorenima za međunarodni promet, vrste „Truck Mounted atenuator”;</w:t>
            </w:r>
          </w:p>
          <w:p w14:paraId="451ACEFC"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Kampanja za sigurnost na cestama usmjerena na nezaštićene kategorije sudionika u cestovnom prometu;</w:t>
            </w:r>
          </w:p>
          <w:p w14:paraId="30836C58"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povećanje sigurnosti</w:t>
            </w:r>
            <w:r>
              <w:rPr>
                <w:noProof/>
              </w:rPr>
              <w:t xml:space="preserve"> na cestama noću signalizacijom opasnih cestovnih dionica sa zelenim izvorima svjetlosti;</w:t>
            </w:r>
          </w:p>
          <w:p w14:paraId="3CE03ACB"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preusmjeravanje noćnog prometa stupovima za usmjeravanje, svjetlosnim gumbima, uključujući znakove namijenjene zaštiti sudionika u cestovnom prometu od divljih životi</w:t>
            </w:r>
            <w:r>
              <w:rPr>
                <w:noProof/>
              </w:rPr>
              <w:t>nja;</w:t>
            </w:r>
          </w:p>
          <w:p w14:paraId="013C5AE3"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povećanje sigurnosti na cestama osvjetljavanjem opasnih sektora i optimizacijom potrošnje postojećih sustava rasvjete opremanjem tih sustava daljinskim upravljanjem;</w:t>
            </w:r>
          </w:p>
          <w:p w14:paraId="0377617A"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nadzemni prijelazi kako bi se povećala sigurnost na cestama i uklonile prometne gužve</w:t>
            </w:r>
            <w:r>
              <w:rPr>
                <w:noProof/>
              </w:rPr>
              <w:t>, razvoj pješačkih staza;</w:t>
            </w:r>
          </w:p>
          <w:p w14:paraId="15E342D7" w14:textId="77777777" w:rsidR="003F46B9" w:rsidRDefault="0065662E">
            <w:pPr>
              <w:pStyle w:val="P68B1DB1-ListParagraph13"/>
              <w:numPr>
                <w:ilvl w:val="0"/>
                <w:numId w:val="32"/>
              </w:numPr>
              <w:spacing w:after="0" w:line="240" w:lineRule="auto"/>
              <w:ind w:left="249" w:hanging="218"/>
              <w:jc w:val="both"/>
              <w:rPr>
                <w:rFonts w:cs="Times New Roman"/>
                <w:noProof/>
              </w:rPr>
            </w:pPr>
            <w:r>
              <w:rPr>
                <w:noProof/>
              </w:rPr>
              <w:t>pilot-projekt: osiguravanje visoke razine sigurnosti na cestama na dionici autoceste koja omogućuje prometovanje autonomnih vozila.</w:t>
            </w:r>
          </w:p>
          <w:p w14:paraId="4A87F5F3" w14:textId="77777777" w:rsidR="003F46B9" w:rsidRDefault="0065662E">
            <w:pPr>
              <w:pStyle w:val="P68B1DB1-Normal5"/>
              <w:spacing w:after="0" w:line="240" w:lineRule="auto"/>
              <w:jc w:val="both"/>
              <w:rPr>
                <w:rFonts w:eastAsia="Times New Roman" w:cs="Times New Roman"/>
                <w:noProof/>
              </w:rPr>
            </w:pPr>
            <w:r>
              <w:rPr>
                <w:noProof/>
              </w:rPr>
              <w:t xml:space="preserve">Otkrivanje crnih/žarišnih točaka sigurnosti na cestama provodi rumunjska policija, koja također </w:t>
            </w:r>
            <w:r>
              <w:rPr>
                <w:noProof/>
              </w:rPr>
              <w:t>potvrđuje njihovo uklanjanje kao rezultat rada koji je obavio C.N.A.I.R.</w:t>
            </w:r>
          </w:p>
        </w:tc>
      </w:tr>
      <w:tr w:rsidR="003F46B9" w14:paraId="4F5C07A5"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7A66F85C" w14:textId="77777777" w:rsidR="003F46B9" w:rsidRDefault="0065662E">
            <w:pPr>
              <w:pStyle w:val="P68B1DB1-Normal5"/>
              <w:spacing w:after="0" w:line="240" w:lineRule="auto"/>
              <w:jc w:val="center"/>
              <w:rPr>
                <w:rFonts w:eastAsia="Times New Roman" w:cs="Times New Roman"/>
                <w:noProof/>
              </w:rPr>
            </w:pPr>
            <w:r>
              <w:rPr>
                <w:noProof/>
              </w:rPr>
              <w:t>86</w:t>
            </w:r>
          </w:p>
        </w:tc>
        <w:tc>
          <w:tcPr>
            <w:tcW w:w="2148" w:type="dxa"/>
            <w:tcBorders>
              <w:top w:val="single" w:sz="4" w:space="0" w:color="auto"/>
              <w:left w:val="nil"/>
              <w:bottom w:val="single" w:sz="4" w:space="0" w:color="auto"/>
              <w:right w:val="single" w:sz="4" w:space="0" w:color="auto"/>
            </w:tcBorders>
            <w:shd w:val="clear" w:color="auto" w:fill="C6EFCE"/>
            <w:noWrap/>
          </w:tcPr>
          <w:p w14:paraId="5B52ED63" w14:textId="77777777" w:rsidR="003F46B9" w:rsidRDefault="0065662E">
            <w:pPr>
              <w:pStyle w:val="P68B1DB1-Normal5"/>
              <w:spacing w:after="0" w:line="240" w:lineRule="auto"/>
              <w:jc w:val="both"/>
              <w:rPr>
                <w:rFonts w:eastAsia="Times New Roman" w:cs="Times New Roman"/>
                <w:noProof/>
              </w:rPr>
            </w:pPr>
            <w:r>
              <w:rPr>
                <w:noProof/>
              </w:rPr>
              <w:t xml:space="preserve">I4. Razvoj mreže podzemnog prijevoza u općinama Bukurešt i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1769D47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18" w:type="dxa"/>
            <w:tcBorders>
              <w:top w:val="single" w:sz="4" w:space="0" w:color="auto"/>
              <w:left w:val="nil"/>
              <w:bottom w:val="single" w:sz="4" w:space="0" w:color="auto"/>
              <w:right w:val="single" w:sz="4" w:space="0" w:color="auto"/>
            </w:tcBorders>
            <w:shd w:val="clear" w:color="auto" w:fill="C6EFCE"/>
            <w:noWrap/>
          </w:tcPr>
          <w:p w14:paraId="5209C455"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50 % radova na temelju otvorenih i konkurentnih natječaja i dobivenih </w:t>
            </w:r>
            <w:r>
              <w:rPr>
                <w:noProof/>
              </w:rPr>
              <w:t>odgovarajućih dozvola.</w:t>
            </w:r>
          </w:p>
        </w:tc>
        <w:tc>
          <w:tcPr>
            <w:tcW w:w="1612" w:type="dxa"/>
            <w:tcBorders>
              <w:top w:val="single" w:sz="4" w:space="0" w:color="auto"/>
              <w:left w:val="nil"/>
              <w:bottom w:val="single" w:sz="4" w:space="0" w:color="auto"/>
              <w:right w:val="single" w:sz="4" w:space="0" w:color="auto"/>
            </w:tcBorders>
            <w:shd w:val="clear" w:color="auto" w:fill="C6EFCE"/>
            <w:noWrap/>
          </w:tcPr>
          <w:p w14:paraId="5BBDD38F"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1C69F742"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283F5E71"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2216E91F"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63FA1C75"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0D229850" w14:textId="77777777" w:rsidR="003F46B9" w:rsidRDefault="0065662E">
            <w:pPr>
              <w:pStyle w:val="P68B1DB1-Normal5"/>
              <w:spacing w:after="0" w:line="240" w:lineRule="auto"/>
              <w:jc w:val="both"/>
              <w:rPr>
                <w:rFonts w:eastAsia="Times New Roman" w:cs="Times New Roman"/>
                <w:noProof/>
              </w:rPr>
            </w:pPr>
            <w:r>
              <w:rPr>
                <w:noProof/>
              </w:rPr>
              <w:t>2022</w:t>
            </w:r>
          </w:p>
        </w:tc>
        <w:tc>
          <w:tcPr>
            <w:tcW w:w="3756" w:type="dxa"/>
            <w:tcBorders>
              <w:top w:val="single" w:sz="4" w:space="0" w:color="auto"/>
              <w:left w:val="nil"/>
              <w:bottom w:val="single" w:sz="4" w:space="0" w:color="auto"/>
              <w:right w:val="single" w:sz="4" w:space="0" w:color="auto"/>
            </w:tcBorders>
            <w:shd w:val="clear" w:color="auto" w:fill="C6EFCE"/>
            <w:noWrap/>
          </w:tcPr>
          <w:p w14:paraId="0339E672" w14:textId="77777777" w:rsidR="003F46B9" w:rsidRDefault="0065662E">
            <w:pPr>
              <w:pStyle w:val="P68B1DB1-Normal5"/>
              <w:spacing w:after="0" w:line="240" w:lineRule="auto"/>
              <w:jc w:val="both"/>
              <w:rPr>
                <w:rFonts w:cs="Times New Roman"/>
                <w:noProof/>
              </w:rPr>
            </w:pPr>
            <w:r>
              <w:rPr>
                <w:noProof/>
              </w:rPr>
              <w:t>Ugovori između Ministarstva prometa/gradske kuće Cluj-Napoca i pobjedničkih poduzeća potpisuju se nakon otvorenog i konkurentnog natječaja za nabavu 50 % radova na novim linijama podze</w:t>
            </w:r>
            <w:r>
              <w:rPr>
                <w:noProof/>
              </w:rPr>
              <w:t>mne željeznice u Bukureštu i Cluj-Napoci, kako slijedi:</w:t>
            </w:r>
          </w:p>
          <w:p w14:paraId="5F4A4B6D" w14:textId="101B07BF" w:rsidR="003F46B9" w:rsidRDefault="0065662E">
            <w:pPr>
              <w:pStyle w:val="P68B1DB1-ListParagraph13"/>
              <w:numPr>
                <w:ilvl w:val="0"/>
                <w:numId w:val="41"/>
              </w:numPr>
              <w:spacing w:after="0" w:line="240" w:lineRule="auto"/>
              <w:ind w:left="250" w:hanging="218"/>
              <w:jc w:val="both"/>
              <w:rPr>
                <w:rFonts w:cs="Times New Roman"/>
                <w:noProof/>
              </w:rPr>
            </w:pPr>
            <w:r>
              <w:rPr>
                <w:noProof/>
              </w:rPr>
              <w:t xml:space="preserve"> M6 Bukurešt: dionica 1. svibnja – Tokio (6 postaja), duljine 6,6 km;</w:t>
            </w:r>
          </w:p>
          <w:p w14:paraId="403C6E4A" w14:textId="6218BFB7" w:rsidR="003F46B9" w:rsidRDefault="0065662E">
            <w:pPr>
              <w:pStyle w:val="P68B1DB1-ListParagraph13"/>
              <w:numPr>
                <w:ilvl w:val="0"/>
                <w:numId w:val="41"/>
              </w:numPr>
              <w:spacing w:after="0" w:line="240" w:lineRule="auto"/>
              <w:ind w:left="250" w:hanging="218"/>
              <w:jc w:val="both"/>
              <w:rPr>
                <w:rFonts w:eastAsia="Times New Roman" w:cs="Times New Roman"/>
                <w:noProof/>
              </w:rPr>
            </w:pPr>
            <w:r>
              <w:rPr>
                <w:noProof/>
              </w:rPr>
              <w:t>M1 Cluj-Napoca: Пara Moților (Teilor) – Sf. Maria (Câmpului) (7 kolodvora), duljine 8,8 km.</w:t>
            </w:r>
          </w:p>
          <w:p w14:paraId="695FE79E" w14:textId="77777777" w:rsidR="003F46B9" w:rsidRDefault="0065662E">
            <w:pPr>
              <w:pStyle w:val="P68B1DB1-Normal5"/>
              <w:spacing w:after="0" w:line="240" w:lineRule="auto"/>
              <w:jc w:val="both"/>
              <w:rPr>
                <w:rFonts w:eastAsia="Times New Roman" w:cs="Times New Roman"/>
                <w:noProof/>
              </w:rPr>
            </w:pPr>
            <w:r>
              <w:rPr>
                <w:noProof/>
              </w:rPr>
              <w:t>U ovo ulaganje uključeni su sljedeći r</w:t>
            </w:r>
            <w:r>
              <w:rPr>
                <w:noProof/>
              </w:rPr>
              <w:t>adovi: radovi na strukturnoj otpornosti, postaje, interstanice, tuneli, galerije, ostale konstrukcije.</w:t>
            </w:r>
          </w:p>
          <w:p w14:paraId="1F459754" w14:textId="77777777" w:rsidR="003F46B9" w:rsidRDefault="0065662E">
            <w:pPr>
              <w:pStyle w:val="P68B1DB1-Normal5"/>
              <w:spacing w:after="0" w:line="240" w:lineRule="auto"/>
              <w:jc w:val="both"/>
              <w:rPr>
                <w:rFonts w:eastAsia="Times New Roman" w:cs="Times New Roman"/>
                <w:noProof/>
              </w:rPr>
            </w:pPr>
            <w:r>
              <w:rPr>
                <w:noProof/>
              </w:rPr>
              <w:t xml:space="preserve">Natječajni postupak provodi se u skladu s L98/2016 i njegovim naknadnim izmjenama, kojima je prenesena relevantna europska Direktiva 2014/24/EU. </w:t>
            </w:r>
          </w:p>
          <w:p w14:paraId="4BCB3FD1" w14:textId="77777777" w:rsidR="003F46B9" w:rsidRDefault="0065662E">
            <w:pPr>
              <w:pStyle w:val="P68B1DB1-Normal5"/>
              <w:spacing w:after="0" w:line="240" w:lineRule="auto"/>
              <w:jc w:val="both"/>
              <w:rPr>
                <w:rFonts w:cs="Times New Roman"/>
                <w:noProof/>
              </w:rPr>
            </w:pPr>
            <w:r>
              <w:rPr>
                <w:noProof/>
              </w:rPr>
              <w:t>Tehničk</w:t>
            </w:r>
            <w:r>
              <w:rPr>
                <w:noProof/>
              </w:rPr>
              <w:t>e specifikacije ponude prema potrebi u potpunosti uključuju sve rezultate i uvjete iz procjene utjecaja na okoliš.</w:t>
            </w:r>
          </w:p>
        </w:tc>
      </w:tr>
      <w:tr w:rsidR="003F46B9" w14:paraId="0AA006CA"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189E332A" w14:textId="77777777" w:rsidR="003F46B9" w:rsidRDefault="0065662E">
            <w:pPr>
              <w:pStyle w:val="P68B1DB1-Normal5"/>
              <w:spacing w:after="0" w:line="240" w:lineRule="auto"/>
              <w:jc w:val="center"/>
              <w:rPr>
                <w:rFonts w:eastAsia="Times New Roman" w:cs="Times New Roman"/>
                <w:noProof/>
              </w:rPr>
            </w:pPr>
            <w:r>
              <w:rPr>
                <w:noProof/>
              </w:rPr>
              <w:t>87</w:t>
            </w:r>
          </w:p>
        </w:tc>
        <w:tc>
          <w:tcPr>
            <w:tcW w:w="2148" w:type="dxa"/>
            <w:tcBorders>
              <w:top w:val="single" w:sz="4" w:space="0" w:color="auto"/>
              <w:left w:val="nil"/>
              <w:bottom w:val="single" w:sz="4" w:space="0" w:color="auto"/>
              <w:right w:val="single" w:sz="4" w:space="0" w:color="auto"/>
            </w:tcBorders>
            <w:shd w:val="clear" w:color="auto" w:fill="C6EFCE"/>
            <w:noWrap/>
          </w:tcPr>
          <w:p w14:paraId="081D8D28" w14:textId="77777777" w:rsidR="003F46B9" w:rsidRDefault="0065662E">
            <w:pPr>
              <w:pStyle w:val="P68B1DB1-Normal5"/>
              <w:spacing w:after="0" w:line="240" w:lineRule="auto"/>
              <w:jc w:val="both"/>
              <w:rPr>
                <w:rFonts w:eastAsia="Times New Roman" w:cs="Times New Roman"/>
                <w:noProof/>
              </w:rPr>
            </w:pPr>
            <w:r>
              <w:rPr>
                <w:noProof/>
              </w:rPr>
              <w:t xml:space="preserve">I4. Razvoj mreže podzemnog prijevoza u općinama Bukurešt i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70BCE22A"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18" w:type="dxa"/>
            <w:tcBorders>
              <w:top w:val="single" w:sz="4" w:space="0" w:color="auto"/>
              <w:left w:val="nil"/>
              <w:bottom w:val="single" w:sz="4" w:space="0" w:color="auto"/>
              <w:right w:val="single" w:sz="4" w:space="0" w:color="auto"/>
            </w:tcBorders>
            <w:shd w:val="clear" w:color="auto" w:fill="C6EFCE"/>
            <w:noWrap/>
          </w:tcPr>
          <w:p w14:paraId="193D4CA9" w14:textId="77777777" w:rsidR="003F46B9" w:rsidRDefault="0065662E">
            <w:pPr>
              <w:pStyle w:val="P68B1DB1-Normal5"/>
              <w:spacing w:after="0" w:line="240" w:lineRule="auto"/>
              <w:jc w:val="both"/>
              <w:rPr>
                <w:rFonts w:eastAsia="Times New Roman" w:cs="Times New Roman"/>
                <w:noProof/>
              </w:rPr>
            </w:pPr>
            <w:r>
              <w:rPr>
                <w:noProof/>
              </w:rPr>
              <w:t>Potpisivanje ugovora za 100 % radova na temelju otvorenih i konkurentnih natječaja i dobivenih odgovarajućih dozvola.</w:t>
            </w:r>
          </w:p>
        </w:tc>
        <w:tc>
          <w:tcPr>
            <w:tcW w:w="1612" w:type="dxa"/>
            <w:tcBorders>
              <w:top w:val="single" w:sz="4" w:space="0" w:color="auto"/>
              <w:left w:val="nil"/>
              <w:bottom w:val="single" w:sz="4" w:space="0" w:color="auto"/>
              <w:right w:val="single" w:sz="4" w:space="0" w:color="auto"/>
            </w:tcBorders>
            <w:shd w:val="clear" w:color="auto" w:fill="C6EFCE"/>
            <w:noWrap/>
          </w:tcPr>
          <w:p w14:paraId="5FB2BC58"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66F06AB6"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303AB3CA" w14:textId="77777777" w:rsidR="003F46B9" w:rsidRDefault="003F46B9">
            <w:pPr>
              <w:spacing w:after="0" w:line="240" w:lineRule="auto"/>
              <w:jc w:val="both"/>
              <w:rPr>
                <w:rFonts w:ascii="Times New Roman" w:eastAsia="Times New Roman" w:hAnsi="Times New Roman" w:cs="Times New Roman"/>
                <w:noProof/>
                <w:sz w:val="24"/>
              </w:rPr>
            </w:pPr>
          </w:p>
        </w:tc>
        <w:tc>
          <w:tcPr>
            <w:tcW w:w="729" w:type="dxa"/>
            <w:tcBorders>
              <w:top w:val="single" w:sz="4" w:space="0" w:color="auto"/>
              <w:left w:val="nil"/>
              <w:bottom w:val="single" w:sz="4" w:space="0" w:color="auto"/>
              <w:right w:val="single" w:sz="4" w:space="0" w:color="auto"/>
            </w:tcBorders>
            <w:shd w:val="clear" w:color="auto" w:fill="C6EFCE"/>
            <w:noWrap/>
          </w:tcPr>
          <w:p w14:paraId="571026E5" w14:textId="77777777" w:rsidR="003F46B9" w:rsidRDefault="003F46B9">
            <w:pPr>
              <w:spacing w:after="0" w:line="240" w:lineRule="auto"/>
              <w:jc w:val="both"/>
              <w:rPr>
                <w:rFonts w:ascii="Times New Roman" w:eastAsia="Times New Roman" w:hAnsi="Times New Roman" w:cs="Times New Roman"/>
                <w:noProof/>
                <w:sz w:val="24"/>
              </w:rPr>
            </w:pPr>
          </w:p>
        </w:tc>
        <w:tc>
          <w:tcPr>
            <w:tcW w:w="942" w:type="dxa"/>
            <w:tcBorders>
              <w:top w:val="single" w:sz="4" w:space="0" w:color="auto"/>
              <w:left w:val="nil"/>
              <w:bottom w:val="single" w:sz="4" w:space="0" w:color="auto"/>
              <w:right w:val="single" w:sz="4" w:space="0" w:color="auto"/>
            </w:tcBorders>
            <w:shd w:val="clear" w:color="auto" w:fill="C6EFCE"/>
            <w:noWrap/>
          </w:tcPr>
          <w:p w14:paraId="21B10938"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1FBB5DA5" w14:textId="77777777" w:rsidR="003F46B9" w:rsidRDefault="0065662E">
            <w:pPr>
              <w:pStyle w:val="P68B1DB1-Normal5"/>
              <w:spacing w:after="0" w:line="240" w:lineRule="auto"/>
              <w:jc w:val="both"/>
              <w:rPr>
                <w:rFonts w:eastAsia="Times New Roman" w:cs="Times New Roman"/>
                <w:noProof/>
              </w:rPr>
            </w:pPr>
            <w:r>
              <w:rPr>
                <w:noProof/>
              </w:rPr>
              <w:t>2023</w:t>
            </w:r>
          </w:p>
        </w:tc>
        <w:tc>
          <w:tcPr>
            <w:tcW w:w="3756" w:type="dxa"/>
            <w:tcBorders>
              <w:top w:val="single" w:sz="4" w:space="0" w:color="auto"/>
              <w:left w:val="nil"/>
              <w:bottom w:val="single" w:sz="4" w:space="0" w:color="auto"/>
              <w:right w:val="single" w:sz="4" w:space="0" w:color="auto"/>
            </w:tcBorders>
            <w:shd w:val="clear" w:color="auto" w:fill="C6EFCE"/>
            <w:noWrap/>
          </w:tcPr>
          <w:p w14:paraId="72045489" w14:textId="429A51E7" w:rsidR="003F46B9" w:rsidRDefault="0065662E">
            <w:pPr>
              <w:pStyle w:val="P68B1DB1-Normal5"/>
              <w:spacing w:after="0" w:line="240" w:lineRule="auto"/>
              <w:jc w:val="both"/>
              <w:rPr>
                <w:rFonts w:cs="Times New Roman"/>
                <w:noProof/>
              </w:rPr>
            </w:pPr>
            <w:r>
              <w:rPr>
                <w:noProof/>
              </w:rPr>
              <w:t>Ugovori između Ministarstva prometa/gradske kuće Cluj-Napoca i pobjedničkih poduzeća potp</w:t>
            </w:r>
            <w:r>
              <w:rPr>
                <w:noProof/>
              </w:rPr>
              <w:t>isuju se na temelju otvorenog i konkurentnog natječaja za nabavu 100 % radova, uključujući radove izgradnje otpornosti, postaje, interstanice, tunele, galerije, ostale građevine, za nove linije podzemne željeznice:</w:t>
            </w:r>
          </w:p>
          <w:p w14:paraId="2B2C048E" w14:textId="5873617E" w:rsidR="003F46B9" w:rsidRDefault="0065662E">
            <w:pPr>
              <w:pStyle w:val="P68B1DB1-ListParagraph13"/>
              <w:numPr>
                <w:ilvl w:val="0"/>
                <w:numId w:val="41"/>
              </w:numPr>
              <w:spacing w:after="0" w:line="240" w:lineRule="auto"/>
              <w:ind w:left="250" w:hanging="218"/>
              <w:jc w:val="both"/>
              <w:rPr>
                <w:rFonts w:cs="Times New Roman"/>
                <w:noProof/>
              </w:rPr>
            </w:pPr>
            <w:r>
              <w:rPr>
                <w:noProof/>
              </w:rPr>
              <w:t xml:space="preserve"> M6 Bukurešt: dionica 1. svibnja – Tokio </w:t>
            </w:r>
            <w:r>
              <w:rPr>
                <w:noProof/>
              </w:rPr>
              <w:t>(6 postaja), duljine 6,6 km;</w:t>
            </w:r>
          </w:p>
          <w:p w14:paraId="52B78DEE" w14:textId="30DA6333" w:rsidR="003F46B9" w:rsidRDefault="0065662E">
            <w:pPr>
              <w:pStyle w:val="P68B1DB1-ListParagraph13"/>
              <w:numPr>
                <w:ilvl w:val="0"/>
                <w:numId w:val="41"/>
              </w:numPr>
              <w:spacing w:after="0" w:line="240" w:lineRule="auto"/>
              <w:ind w:left="250" w:hanging="218"/>
              <w:jc w:val="both"/>
              <w:rPr>
                <w:rFonts w:eastAsia="Times New Roman" w:cs="Times New Roman"/>
                <w:noProof/>
              </w:rPr>
            </w:pPr>
            <w:r>
              <w:rPr>
                <w:noProof/>
              </w:rPr>
              <w:t>M1 Cluj-Napoca: Пara Moților (Teilor) – Sf. Maria (Câmpului) (7 kolodvora), duljine 8,8 km.</w:t>
            </w:r>
          </w:p>
          <w:p w14:paraId="66CCD533" w14:textId="77777777" w:rsidR="003F46B9" w:rsidRDefault="0065662E">
            <w:pPr>
              <w:pStyle w:val="P68B1DB1-Normal5"/>
              <w:spacing w:after="0" w:line="240" w:lineRule="auto"/>
              <w:jc w:val="both"/>
              <w:rPr>
                <w:rFonts w:eastAsia="Times New Roman" w:cs="Times New Roman"/>
                <w:noProof/>
              </w:rPr>
            </w:pPr>
            <w:r>
              <w:rPr>
                <w:noProof/>
              </w:rPr>
              <w:t>U ovo ulaganje uključeni su sljedeći radovi: rad na otpornosti konstrukcije; postaje, interstanice, tuneli, galerije, ostale konstrukci</w:t>
            </w:r>
            <w:r>
              <w:rPr>
                <w:noProof/>
              </w:rPr>
              <w:t>je.</w:t>
            </w:r>
          </w:p>
          <w:p w14:paraId="5B1BFB63" w14:textId="77777777" w:rsidR="003F46B9" w:rsidRDefault="0065662E">
            <w:pPr>
              <w:pStyle w:val="P68B1DB1-Normal5"/>
              <w:spacing w:after="0" w:line="240" w:lineRule="auto"/>
              <w:jc w:val="both"/>
              <w:rPr>
                <w:rFonts w:eastAsia="Times New Roman" w:cs="Times New Roman"/>
                <w:noProof/>
              </w:rPr>
            </w:pPr>
            <w:r>
              <w:rPr>
                <w:noProof/>
              </w:rPr>
              <w:t xml:space="preserve">Natječajni postupak provodi se u skladu s L98/2016 i njegovim naknadnim izmjenama, kojima je prenesena relevantna europska Direktiva 2014/24/EU. </w:t>
            </w:r>
          </w:p>
          <w:p w14:paraId="5B87FA73" w14:textId="77777777" w:rsidR="003F46B9" w:rsidRDefault="0065662E">
            <w:pPr>
              <w:pStyle w:val="P68B1DB1-Normal5"/>
              <w:spacing w:after="0" w:line="240" w:lineRule="auto"/>
              <w:jc w:val="both"/>
              <w:rPr>
                <w:rFonts w:eastAsia="Times New Roman" w:cs="Times New Roman"/>
                <w:noProof/>
              </w:rPr>
            </w:pPr>
            <w:r>
              <w:rPr>
                <w:noProof/>
              </w:rPr>
              <w:t>Tehničke specifikacije ponude prema potrebi u potpunosti uključuju sve rezultate i uvjete iz procjene utje</w:t>
            </w:r>
            <w:r>
              <w:rPr>
                <w:noProof/>
              </w:rPr>
              <w:t>caja na okoliš.</w:t>
            </w:r>
          </w:p>
        </w:tc>
      </w:tr>
      <w:tr w:rsidR="003F46B9" w14:paraId="2ED22AA7"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38313446" w14:textId="77777777" w:rsidR="003F46B9" w:rsidRDefault="0065662E">
            <w:pPr>
              <w:pStyle w:val="P68B1DB1-Normal5"/>
              <w:spacing w:after="0" w:line="240" w:lineRule="auto"/>
              <w:jc w:val="center"/>
              <w:rPr>
                <w:rFonts w:eastAsia="Times New Roman" w:cs="Times New Roman"/>
                <w:noProof/>
              </w:rPr>
            </w:pPr>
            <w:r>
              <w:rPr>
                <w:noProof/>
              </w:rPr>
              <w:t>88</w:t>
            </w:r>
          </w:p>
        </w:tc>
        <w:tc>
          <w:tcPr>
            <w:tcW w:w="2148" w:type="dxa"/>
            <w:tcBorders>
              <w:top w:val="single" w:sz="4" w:space="0" w:color="auto"/>
              <w:left w:val="nil"/>
              <w:bottom w:val="single" w:sz="4" w:space="0" w:color="auto"/>
              <w:right w:val="single" w:sz="4" w:space="0" w:color="auto"/>
            </w:tcBorders>
            <w:shd w:val="clear" w:color="auto" w:fill="C6EFCE"/>
            <w:noWrap/>
          </w:tcPr>
          <w:p w14:paraId="52AF2072" w14:textId="77777777" w:rsidR="003F46B9" w:rsidRDefault="0065662E">
            <w:pPr>
              <w:pStyle w:val="P68B1DB1-Normal5"/>
              <w:spacing w:after="0" w:line="240" w:lineRule="auto"/>
              <w:jc w:val="both"/>
              <w:rPr>
                <w:rFonts w:eastAsia="Times New Roman" w:cs="Times New Roman"/>
                <w:noProof/>
              </w:rPr>
            </w:pPr>
            <w:r>
              <w:rPr>
                <w:noProof/>
              </w:rPr>
              <w:t xml:space="preserve">I4. Razvoj mreže podzemnog prijevoza u općinama Bukurešt i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237C860A" w14:textId="77777777" w:rsidR="003F46B9" w:rsidRDefault="0065662E">
            <w:pPr>
              <w:pStyle w:val="P68B1DB1-Normal5"/>
              <w:spacing w:after="0" w:line="240" w:lineRule="auto"/>
              <w:jc w:val="center"/>
              <w:rPr>
                <w:rFonts w:eastAsia="Times New Roman" w:cs="Times New Roman"/>
                <w:noProof/>
              </w:rPr>
            </w:pPr>
            <w:r>
              <w:rPr>
                <w:noProof/>
              </w:rPr>
              <w:t>Ciljna</w:t>
            </w:r>
          </w:p>
          <w:p w14:paraId="7B2EF230" w14:textId="77777777" w:rsidR="003F46B9" w:rsidRDefault="003F46B9">
            <w:pPr>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530E235B" w14:textId="77777777" w:rsidR="003F46B9" w:rsidRDefault="0065662E">
            <w:pPr>
              <w:pStyle w:val="P68B1DB1-Normal5"/>
              <w:spacing w:after="0" w:line="240" w:lineRule="auto"/>
              <w:jc w:val="both"/>
              <w:rPr>
                <w:rFonts w:eastAsia="Times New Roman" w:cs="Times New Roman"/>
                <w:noProof/>
              </w:rPr>
            </w:pPr>
            <w:r>
              <w:rPr>
                <w:noProof/>
              </w:rPr>
              <w:t>Izgradnja 50 % ulaganja podzemne željeznice u Bukureštu i Cluj-Napoci</w:t>
            </w:r>
          </w:p>
        </w:tc>
        <w:tc>
          <w:tcPr>
            <w:tcW w:w="1612" w:type="dxa"/>
            <w:tcBorders>
              <w:top w:val="single" w:sz="4" w:space="0" w:color="auto"/>
              <w:left w:val="nil"/>
              <w:bottom w:val="single" w:sz="4" w:space="0" w:color="auto"/>
              <w:right w:val="single" w:sz="4" w:space="0" w:color="auto"/>
            </w:tcBorders>
            <w:shd w:val="clear" w:color="auto" w:fill="C6EFCE"/>
            <w:noWrap/>
          </w:tcPr>
          <w:p w14:paraId="606F4714"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2806AF1F" w14:textId="77777777" w:rsidR="003F46B9" w:rsidRDefault="0065662E">
            <w:pPr>
              <w:pStyle w:val="P68B1DB1-Normal5"/>
              <w:spacing w:after="0" w:line="240" w:lineRule="auto"/>
              <w:rPr>
                <w:rFonts w:eastAsia="Times New Roman" w:cs="Times New Roman"/>
                <w:noProof/>
              </w:rPr>
            </w:pPr>
            <w:r>
              <w:rPr>
                <w:noProof/>
              </w:rPr>
              <w:t>Postotak (%)</w:t>
            </w:r>
          </w:p>
          <w:p w14:paraId="2378FE79" w14:textId="77777777" w:rsidR="003F46B9" w:rsidRDefault="003F46B9">
            <w:pPr>
              <w:spacing w:after="0" w:line="240" w:lineRule="auto"/>
              <w:jc w:val="both"/>
              <w:rPr>
                <w:rFonts w:ascii="Times New Roman" w:eastAsia="Times New Roman" w:hAnsi="Times New Roman" w:cs="Times New Roman"/>
                <w:noProof/>
                <w:sz w:val="24"/>
              </w:rPr>
            </w:pPr>
          </w:p>
        </w:tc>
        <w:tc>
          <w:tcPr>
            <w:tcW w:w="992" w:type="dxa"/>
            <w:tcBorders>
              <w:top w:val="single" w:sz="4" w:space="0" w:color="auto"/>
              <w:left w:val="nil"/>
              <w:bottom w:val="single" w:sz="4" w:space="0" w:color="auto"/>
              <w:right w:val="single" w:sz="4" w:space="0" w:color="auto"/>
            </w:tcBorders>
            <w:shd w:val="clear" w:color="auto" w:fill="C6EFCE"/>
            <w:noWrap/>
          </w:tcPr>
          <w:p w14:paraId="73C722FF" w14:textId="77777777" w:rsidR="003F46B9" w:rsidRDefault="0065662E">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399695EF" w14:textId="77777777" w:rsidR="003F46B9" w:rsidRDefault="0065662E">
            <w:pPr>
              <w:pStyle w:val="P68B1DB1-Normal5"/>
              <w:spacing w:after="0" w:line="240" w:lineRule="auto"/>
              <w:jc w:val="both"/>
              <w:rPr>
                <w:rFonts w:eastAsia="Times New Roman" w:cs="Times New Roman"/>
                <w:noProof/>
              </w:rPr>
            </w:pPr>
            <w:r>
              <w:rPr>
                <w:noProof/>
              </w:rPr>
              <w:t>50</w:t>
            </w:r>
          </w:p>
        </w:tc>
        <w:tc>
          <w:tcPr>
            <w:tcW w:w="942" w:type="dxa"/>
            <w:tcBorders>
              <w:top w:val="single" w:sz="4" w:space="0" w:color="auto"/>
              <w:left w:val="nil"/>
              <w:bottom w:val="single" w:sz="4" w:space="0" w:color="auto"/>
              <w:right w:val="single" w:sz="4" w:space="0" w:color="auto"/>
            </w:tcBorders>
            <w:shd w:val="clear" w:color="auto" w:fill="C6EFCE"/>
            <w:noWrap/>
          </w:tcPr>
          <w:p w14:paraId="6102D10E"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441B011E" w14:textId="77777777" w:rsidR="003F46B9" w:rsidRDefault="0065662E">
            <w:pPr>
              <w:pStyle w:val="P68B1DB1-Normal5"/>
              <w:spacing w:after="0" w:line="240" w:lineRule="auto"/>
              <w:jc w:val="both"/>
              <w:rPr>
                <w:rFonts w:eastAsia="Times New Roman" w:cs="Times New Roman"/>
                <w:noProof/>
              </w:rPr>
            </w:pPr>
            <w:r>
              <w:rPr>
                <w:noProof/>
              </w:rPr>
              <w:t>2024</w:t>
            </w:r>
          </w:p>
        </w:tc>
        <w:tc>
          <w:tcPr>
            <w:tcW w:w="3756" w:type="dxa"/>
            <w:tcBorders>
              <w:top w:val="single" w:sz="4" w:space="0" w:color="auto"/>
              <w:left w:val="nil"/>
              <w:bottom w:val="single" w:sz="4" w:space="0" w:color="auto"/>
              <w:right w:val="single" w:sz="4" w:space="0" w:color="auto"/>
            </w:tcBorders>
            <w:shd w:val="clear" w:color="auto" w:fill="C6EFCE"/>
            <w:noWrap/>
          </w:tcPr>
          <w:p w14:paraId="5B06BF7A" w14:textId="6D6E043C" w:rsidR="003F46B9" w:rsidRDefault="0065662E">
            <w:pPr>
              <w:pStyle w:val="P68B1DB1-Normal5"/>
              <w:spacing w:after="0" w:line="240" w:lineRule="auto"/>
              <w:jc w:val="both"/>
              <w:rPr>
                <w:rFonts w:cs="Times New Roman"/>
                <w:noProof/>
              </w:rPr>
            </w:pPr>
            <w:r>
              <w:rPr>
                <w:noProof/>
              </w:rPr>
              <w:t>Završetak najmanje 50 % radova (potvrđeno</w:t>
            </w:r>
            <w:r>
              <w:rPr>
                <w:noProof/>
              </w:rPr>
              <w:t xml:space="preserve"> izvješćem o nadzoru) za nove linije podzemne željeznice u Bukureštu i Cluj-Napoci, uključujući radove na strukturnoj otpornosti, postaje, interstanice, tunele, galerije i druge konstrukcije, kako slijedi:</w:t>
            </w:r>
          </w:p>
          <w:p w14:paraId="2CEC9485" w14:textId="3C52EA54" w:rsidR="003F46B9" w:rsidRDefault="0065662E">
            <w:pPr>
              <w:pStyle w:val="P68B1DB1-ListParagraph13"/>
              <w:numPr>
                <w:ilvl w:val="0"/>
                <w:numId w:val="41"/>
              </w:numPr>
              <w:spacing w:after="0" w:line="240" w:lineRule="auto"/>
              <w:ind w:left="250" w:hanging="218"/>
              <w:jc w:val="both"/>
              <w:rPr>
                <w:rFonts w:cs="Times New Roman"/>
                <w:noProof/>
              </w:rPr>
            </w:pPr>
            <w:r>
              <w:rPr>
                <w:noProof/>
              </w:rPr>
              <w:t xml:space="preserve"> M6 Bukurešt: odjeljak 1. svibnja – Tokio;</w:t>
            </w:r>
          </w:p>
          <w:p w14:paraId="0B0A8D0F" w14:textId="54B48B86" w:rsidR="003F46B9" w:rsidRDefault="0065662E">
            <w:pPr>
              <w:pStyle w:val="P68B1DB1-ListParagraph13"/>
              <w:numPr>
                <w:ilvl w:val="0"/>
                <w:numId w:val="41"/>
              </w:numPr>
              <w:spacing w:after="0" w:line="240" w:lineRule="auto"/>
              <w:ind w:left="250" w:hanging="218"/>
              <w:jc w:val="both"/>
              <w:rPr>
                <w:rFonts w:cs="Times New Roman"/>
                <w:noProof/>
              </w:rPr>
            </w:pPr>
            <w:r>
              <w:rPr>
                <w:noProof/>
              </w:rPr>
              <w:t>M1 Cluj</w:t>
            </w:r>
            <w:r>
              <w:rPr>
                <w:noProof/>
              </w:rPr>
              <w:t>-Napoca: Пara Moților (Teilor) – Sf. Maria (Câmpului).</w:t>
            </w:r>
          </w:p>
        </w:tc>
      </w:tr>
      <w:tr w:rsidR="003F46B9" w14:paraId="2851803D" w14:textId="77777777">
        <w:trPr>
          <w:trHeight w:val="309"/>
          <w:jc w:val="center"/>
        </w:trPr>
        <w:tc>
          <w:tcPr>
            <w:tcW w:w="676" w:type="dxa"/>
            <w:tcBorders>
              <w:top w:val="single" w:sz="4" w:space="0" w:color="auto"/>
              <w:left w:val="single" w:sz="4" w:space="0" w:color="auto"/>
              <w:bottom w:val="single" w:sz="4" w:space="0" w:color="auto"/>
              <w:right w:val="single" w:sz="4" w:space="0" w:color="auto"/>
            </w:tcBorders>
            <w:shd w:val="clear" w:color="auto" w:fill="C6EFCE"/>
            <w:noWrap/>
          </w:tcPr>
          <w:p w14:paraId="4FBB16F8" w14:textId="77777777" w:rsidR="003F46B9" w:rsidRDefault="0065662E">
            <w:pPr>
              <w:pStyle w:val="P68B1DB1-Normal5"/>
              <w:spacing w:after="0" w:line="240" w:lineRule="auto"/>
              <w:jc w:val="center"/>
              <w:rPr>
                <w:rFonts w:eastAsia="Times New Roman" w:cs="Times New Roman"/>
                <w:noProof/>
              </w:rPr>
            </w:pPr>
            <w:r>
              <w:rPr>
                <w:noProof/>
              </w:rPr>
              <w:t>89</w:t>
            </w:r>
          </w:p>
        </w:tc>
        <w:tc>
          <w:tcPr>
            <w:tcW w:w="2148" w:type="dxa"/>
            <w:tcBorders>
              <w:top w:val="single" w:sz="4" w:space="0" w:color="auto"/>
              <w:left w:val="nil"/>
              <w:bottom w:val="single" w:sz="4" w:space="0" w:color="auto"/>
              <w:right w:val="single" w:sz="4" w:space="0" w:color="auto"/>
            </w:tcBorders>
            <w:shd w:val="clear" w:color="auto" w:fill="C6EFCE"/>
            <w:noWrap/>
          </w:tcPr>
          <w:p w14:paraId="576CFAD0" w14:textId="77777777" w:rsidR="003F46B9" w:rsidRDefault="0065662E">
            <w:pPr>
              <w:pStyle w:val="P68B1DB1-Normal5"/>
              <w:spacing w:after="0" w:line="240" w:lineRule="auto"/>
              <w:jc w:val="both"/>
              <w:rPr>
                <w:rFonts w:eastAsia="Times New Roman" w:cs="Times New Roman"/>
                <w:noProof/>
              </w:rPr>
            </w:pPr>
            <w:r>
              <w:rPr>
                <w:noProof/>
              </w:rPr>
              <w:t xml:space="preserve">I4. Razvoj mreže podzemnog prijevoza u općinama Bukurešt i Cluj-Napoca </w:t>
            </w:r>
          </w:p>
        </w:tc>
        <w:tc>
          <w:tcPr>
            <w:tcW w:w="1076" w:type="dxa"/>
            <w:tcBorders>
              <w:top w:val="single" w:sz="4" w:space="0" w:color="auto"/>
              <w:left w:val="nil"/>
              <w:bottom w:val="single" w:sz="4" w:space="0" w:color="auto"/>
              <w:right w:val="single" w:sz="4" w:space="0" w:color="auto"/>
            </w:tcBorders>
            <w:shd w:val="clear" w:color="auto" w:fill="C6EFCE"/>
            <w:noWrap/>
          </w:tcPr>
          <w:p w14:paraId="0ADEEBC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18" w:type="dxa"/>
            <w:tcBorders>
              <w:top w:val="single" w:sz="4" w:space="0" w:color="auto"/>
              <w:left w:val="nil"/>
              <w:bottom w:val="single" w:sz="4" w:space="0" w:color="auto"/>
              <w:right w:val="single" w:sz="4" w:space="0" w:color="auto"/>
            </w:tcBorders>
            <w:shd w:val="clear" w:color="auto" w:fill="C6EFCE"/>
            <w:noWrap/>
          </w:tcPr>
          <w:p w14:paraId="250838EA" w14:textId="49EE7429" w:rsidR="003F46B9" w:rsidRDefault="0065662E">
            <w:pPr>
              <w:pStyle w:val="P68B1DB1-Normal5"/>
              <w:spacing w:after="0" w:line="240" w:lineRule="auto"/>
              <w:jc w:val="both"/>
              <w:rPr>
                <w:rFonts w:eastAsia="Times New Roman" w:cs="Times New Roman"/>
                <w:noProof/>
              </w:rPr>
            </w:pPr>
            <w:r>
              <w:rPr>
                <w:noProof/>
              </w:rPr>
              <w:t>Dovršeni kilometri novih linija podzemne željeznice u Bukureštu i Cluj-Napoci</w:t>
            </w:r>
          </w:p>
        </w:tc>
        <w:tc>
          <w:tcPr>
            <w:tcW w:w="1612" w:type="dxa"/>
            <w:tcBorders>
              <w:top w:val="single" w:sz="4" w:space="0" w:color="auto"/>
              <w:left w:val="nil"/>
              <w:bottom w:val="single" w:sz="4" w:space="0" w:color="auto"/>
              <w:right w:val="single" w:sz="4" w:space="0" w:color="auto"/>
            </w:tcBorders>
            <w:shd w:val="clear" w:color="auto" w:fill="C6EFCE"/>
            <w:noWrap/>
          </w:tcPr>
          <w:p w14:paraId="477C3A01"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gridSpan w:val="2"/>
            <w:tcBorders>
              <w:top w:val="single" w:sz="4" w:space="0" w:color="auto"/>
              <w:left w:val="nil"/>
              <w:bottom w:val="single" w:sz="4" w:space="0" w:color="auto"/>
              <w:right w:val="single" w:sz="4" w:space="0" w:color="auto"/>
            </w:tcBorders>
            <w:shd w:val="clear" w:color="auto" w:fill="C6EFCE"/>
            <w:noWrap/>
          </w:tcPr>
          <w:p w14:paraId="03CA1FC5" w14:textId="66137E4E" w:rsidR="003F46B9" w:rsidRDefault="0065662E">
            <w:pPr>
              <w:pStyle w:val="P68B1DB1-Normal5"/>
              <w:spacing w:after="0" w:line="240" w:lineRule="auto"/>
              <w:jc w:val="both"/>
              <w:rPr>
                <w:rFonts w:eastAsia="Times New Roman" w:cs="Times New Roman"/>
                <w:noProof/>
              </w:rPr>
            </w:pPr>
            <w:r>
              <w:rPr>
                <w:noProof/>
              </w:rPr>
              <w:t>Kilometri (km)</w:t>
            </w:r>
          </w:p>
        </w:tc>
        <w:tc>
          <w:tcPr>
            <w:tcW w:w="992" w:type="dxa"/>
            <w:tcBorders>
              <w:top w:val="single" w:sz="4" w:space="0" w:color="auto"/>
              <w:left w:val="nil"/>
              <w:bottom w:val="single" w:sz="4" w:space="0" w:color="auto"/>
              <w:right w:val="single" w:sz="4" w:space="0" w:color="auto"/>
            </w:tcBorders>
            <w:shd w:val="clear" w:color="auto" w:fill="C6EFCE"/>
            <w:noWrap/>
          </w:tcPr>
          <w:p w14:paraId="7C316F27" w14:textId="77777777" w:rsidR="003F46B9" w:rsidRDefault="0065662E">
            <w:pPr>
              <w:pStyle w:val="P68B1DB1-Normal5"/>
              <w:spacing w:after="0" w:line="240" w:lineRule="auto"/>
              <w:jc w:val="both"/>
              <w:rPr>
                <w:rFonts w:eastAsia="Times New Roman" w:cs="Times New Roman"/>
                <w:noProof/>
              </w:rPr>
            </w:pPr>
            <w:r>
              <w:rPr>
                <w:noProof/>
              </w:rPr>
              <w:t>0</w:t>
            </w:r>
          </w:p>
        </w:tc>
        <w:tc>
          <w:tcPr>
            <w:tcW w:w="729" w:type="dxa"/>
            <w:tcBorders>
              <w:top w:val="single" w:sz="4" w:space="0" w:color="auto"/>
              <w:left w:val="nil"/>
              <w:bottom w:val="single" w:sz="4" w:space="0" w:color="auto"/>
              <w:right w:val="single" w:sz="4" w:space="0" w:color="auto"/>
            </w:tcBorders>
            <w:shd w:val="clear" w:color="auto" w:fill="C6EFCE"/>
            <w:noWrap/>
          </w:tcPr>
          <w:p w14:paraId="0F8219EA" w14:textId="631EC6E0" w:rsidR="003F46B9" w:rsidRDefault="0065662E">
            <w:pPr>
              <w:pStyle w:val="P68B1DB1-Normal5"/>
              <w:spacing w:after="0" w:line="240" w:lineRule="auto"/>
              <w:jc w:val="both"/>
              <w:rPr>
                <w:rFonts w:eastAsia="Times New Roman" w:cs="Times New Roman"/>
                <w:noProof/>
              </w:rPr>
            </w:pPr>
            <w:r>
              <w:rPr>
                <w:noProof/>
              </w:rPr>
              <w:t>15,4</w:t>
            </w:r>
          </w:p>
        </w:tc>
        <w:tc>
          <w:tcPr>
            <w:tcW w:w="942" w:type="dxa"/>
            <w:tcBorders>
              <w:top w:val="single" w:sz="4" w:space="0" w:color="auto"/>
              <w:left w:val="nil"/>
              <w:bottom w:val="single" w:sz="4" w:space="0" w:color="auto"/>
              <w:right w:val="single" w:sz="4" w:space="0" w:color="auto"/>
            </w:tcBorders>
            <w:shd w:val="clear" w:color="auto" w:fill="C6EFCE"/>
            <w:noWrap/>
          </w:tcPr>
          <w:p w14:paraId="0D28EB78"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674" w:type="dxa"/>
            <w:tcBorders>
              <w:top w:val="single" w:sz="4" w:space="0" w:color="auto"/>
              <w:left w:val="nil"/>
              <w:bottom w:val="single" w:sz="4" w:space="0" w:color="auto"/>
              <w:right w:val="single" w:sz="4" w:space="0" w:color="auto"/>
            </w:tcBorders>
            <w:shd w:val="clear" w:color="auto" w:fill="C6EFCE"/>
            <w:noWrap/>
          </w:tcPr>
          <w:p w14:paraId="75DE1CAD" w14:textId="77777777" w:rsidR="003F46B9" w:rsidRDefault="0065662E">
            <w:pPr>
              <w:pStyle w:val="P68B1DB1-Normal5"/>
              <w:spacing w:after="0" w:line="240" w:lineRule="auto"/>
              <w:jc w:val="both"/>
              <w:rPr>
                <w:rFonts w:eastAsia="Times New Roman" w:cs="Times New Roman"/>
                <w:noProof/>
              </w:rPr>
            </w:pPr>
            <w:r>
              <w:rPr>
                <w:noProof/>
              </w:rPr>
              <w:t>2026</w:t>
            </w:r>
          </w:p>
        </w:tc>
        <w:tc>
          <w:tcPr>
            <w:tcW w:w="3756" w:type="dxa"/>
            <w:tcBorders>
              <w:top w:val="single" w:sz="4" w:space="0" w:color="auto"/>
              <w:left w:val="nil"/>
              <w:bottom w:val="single" w:sz="4" w:space="0" w:color="auto"/>
              <w:right w:val="single" w:sz="4" w:space="0" w:color="auto"/>
            </w:tcBorders>
            <w:shd w:val="clear" w:color="auto" w:fill="C6EFCE"/>
            <w:noWrap/>
          </w:tcPr>
          <w:p w14:paraId="64FF20FE" w14:textId="2EC07636" w:rsidR="003F46B9" w:rsidRDefault="0065662E">
            <w:pPr>
              <w:pStyle w:val="P68B1DB1-Normal5"/>
              <w:spacing w:after="0" w:line="240" w:lineRule="auto"/>
              <w:jc w:val="both"/>
              <w:rPr>
                <w:rFonts w:eastAsia="Times New Roman" w:cs="Times New Roman"/>
                <w:noProof/>
              </w:rPr>
            </w:pPr>
            <w:r>
              <w:rPr>
                <w:noProof/>
              </w:rPr>
              <w:t>Završetak radova na glavnoj konstrukciji (konstrukcijske postaje, međustanice, tuneli, galerije, ostale konstrukcije) novih linija podzemne željeznice u Bukureštu i Cluj-Napoci, ukupne duljine 15,4 km kako slijedi:</w:t>
            </w:r>
          </w:p>
          <w:p w14:paraId="2AA18BC3" w14:textId="1E543026" w:rsidR="003F46B9" w:rsidRDefault="0065662E">
            <w:pPr>
              <w:pStyle w:val="P68B1DB1-ListParagraph19"/>
              <w:numPr>
                <w:ilvl w:val="0"/>
                <w:numId w:val="41"/>
              </w:numPr>
              <w:spacing w:after="0" w:line="240" w:lineRule="auto"/>
              <w:ind w:left="250" w:hanging="218"/>
              <w:jc w:val="both"/>
              <w:rPr>
                <w:noProof/>
              </w:rPr>
            </w:pPr>
            <w:r>
              <w:rPr>
                <w:noProof/>
              </w:rPr>
              <w:t xml:space="preserve"> M6 Bukurešt: dionica 1. svibnja – Tokio </w:t>
            </w:r>
            <w:r>
              <w:rPr>
                <w:noProof/>
              </w:rPr>
              <w:t>(6 postaja), duljine 6,6 km;</w:t>
            </w:r>
          </w:p>
          <w:p w14:paraId="127B895D" w14:textId="5C60A6C0" w:rsidR="003F46B9" w:rsidRDefault="0065662E">
            <w:pPr>
              <w:pStyle w:val="P68B1DB1-ListParagraph13"/>
              <w:numPr>
                <w:ilvl w:val="0"/>
                <w:numId w:val="41"/>
              </w:numPr>
              <w:spacing w:after="0" w:line="240" w:lineRule="auto"/>
              <w:ind w:left="250" w:hanging="218"/>
              <w:jc w:val="both"/>
              <w:rPr>
                <w:rFonts w:eastAsia="Times New Roman" w:cs="Times New Roman"/>
                <w:noProof/>
              </w:rPr>
            </w:pPr>
            <w:r>
              <w:rPr>
                <w:noProof/>
              </w:rPr>
              <w:t>M1: Cluj-Napoca – odjeljak 1.: Пara Moților (Teilor) – Sf. Maria (Câmpului) (7 kolodvora), duljine 8,8 km.</w:t>
            </w:r>
          </w:p>
        </w:tc>
      </w:tr>
    </w:tbl>
    <w:p w14:paraId="59B17AA0" w14:textId="77777777" w:rsidR="003F46B9" w:rsidRDefault="003F46B9">
      <w:pPr>
        <w:spacing w:before="120" w:after="120" w:line="240" w:lineRule="auto"/>
        <w:jc w:val="both"/>
        <w:rPr>
          <w:rFonts w:ascii="Times New Roman" w:eastAsiaTheme="majorEastAsia" w:hAnsi="Times New Roman" w:cs="Times New Roman"/>
          <w:b/>
          <w:smallCaps/>
          <w:noProof/>
          <w:sz w:val="24"/>
        </w:rPr>
        <w:sectPr w:rsidR="003F46B9">
          <w:headerReference w:type="even" r:id="rId96"/>
          <w:headerReference w:type="default" r:id="rId97"/>
          <w:footerReference w:type="even" r:id="rId98"/>
          <w:footerReference w:type="default" r:id="rId99"/>
          <w:headerReference w:type="first" r:id="rId100"/>
          <w:footerReference w:type="first" r:id="rId101"/>
          <w:pgSz w:w="16839" w:h="11907" w:orient="landscape"/>
          <w:pgMar w:top="1417" w:right="1134" w:bottom="1417" w:left="1134" w:header="709" w:footer="709" w:gutter="0"/>
          <w:cols w:space="720"/>
          <w:docGrid w:linePitch="360"/>
        </w:sectPr>
      </w:pPr>
    </w:p>
    <w:p w14:paraId="07FB49C1"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5: Val obnove</w:t>
      </w:r>
    </w:p>
    <w:p w14:paraId="4E493393" w14:textId="77777777" w:rsidR="003F46B9" w:rsidRDefault="0065662E">
      <w:pPr>
        <w:pStyle w:val="P68B1DB1-Normal5"/>
        <w:spacing w:before="120" w:after="120" w:line="240" w:lineRule="auto"/>
        <w:jc w:val="both"/>
        <w:rPr>
          <w:rFonts w:cs="Times New Roman"/>
          <w:noProof/>
        </w:rPr>
      </w:pPr>
      <w:r>
        <w:rPr>
          <w:noProof/>
        </w:rPr>
        <w:t xml:space="preserve">Rumunjska u svojoj nacionalnoj </w:t>
      </w:r>
      <w:r>
        <w:rPr>
          <w:noProof/>
        </w:rPr>
        <w:t>dugoročnoj strategiji obnove procjenjuje potrebu za ulaganjem 12,8 milijardi EUR u obnovu zgrada kako bi se 2030. postiglo smanjenje konačne potrošnje energije od 0,83 Mtoe u usporedbi s osnovnim scenarijem.</w:t>
      </w:r>
    </w:p>
    <w:p w14:paraId="694C6CA9" w14:textId="77777777" w:rsidR="003F46B9" w:rsidRDefault="0065662E">
      <w:pPr>
        <w:pStyle w:val="P68B1DB1-Normal5"/>
        <w:spacing w:before="120" w:after="120" w:line="240" w:lineRule="auto"/>
        <w:jc w:val="both"/>
        <w:rPr>
          <w:rFonts w:cs="Times New Roman"/>
          <w:noProof/>
        </w:rPr>
      </w:pPr>
      <w:r>
        <w:rPr>
          <w:noProof/>
        </w:rPr>
        <w:t>Cilj je komponente povećati brzinu i kvalitetu e</w:t>
      </w:r>
      <w:r>
        <w:rPr>
          <w:noProof/>
        </w:rPr>
        <w:t>nergetskih obnova u javnom i privatnom sektoru, uz istodobno rješavanje izazova zaštite baštine. Reformama i ulaganjima u ovoj komponenti nastoji se postići smanjenje potrošnje primarne energije i krajnje potrošnje energije u skladu s ciljevima za 2030. ut</w:t>
      </w:r>
      <w:r>
        <w:rPr>
          <w:noProof/>
        </w:rPr>
        <w:t xml:space="preserve">vrđenima u Nacionalnoj dugoročnoj strategiji obnove. </w:t>
      </w:r>
    </w:p>
    <w:p w14:paraId="33F17C91" w14:textId="77777777" w:rsidR="003F46B9" w:rsidRDefault="0065662E">
      <w:pPr>
        <w:pStyle w:val="P68B1DB1-Normal5"/>
        <w:spacing w:before="120" w:after="120" w:line="240" w:lineRule="auto"/>
        <w:jc w:val="both"/>
        <w:rPr>
          <w:rFonts w:cs="Times New Roman"/>
          <w:noProof/>
        </w:rPr>
      </w:pPr>
      <w:r>
        <w:rPr>
          <w:noProof/>
        </w:rPr>
        <w:t>Ta ulaganja i reforme odnose se na preporuke Rumunjske iz protekle dvije godine kako bi se investicijska politika usmjerila na [...] niskougljičnu i energetsku učinkovitost (4. preporuka za pojedinu zem</w:t>
      </w:r>
      <w:r>
        <w:rPr>
          <w:noProof/>
        </w:rPr>
        <w:t>lju, 2019.) i kako bi se „usmjerelo na ulaganja u zelenu [...] tranziciju, posebno na čistu i učinkovitu proizvodnju i uporabu energije” (3. preporuka za pojedinu zemlju iz 2020.).</w:t>
      </w:r>
    </w:p>
    <w:p w14:paraId="5244931A" w14:textId="682373C9"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w:t>
      </w:r>
      <w:r>
        <w:rPr>
          <w:noProof/>
        </w:rPr>
        <w:t xml:space="preserve">kolišnim ciljevima u smislu članka 17. Uredbe (EU) 2020/852, uzimajući u obzir opis mjera i korake ublažavanja utvrđene u planu za oporavak i otpornost u skladu s Tehničkim smjernicama DNSH-a (2021/C58/01). </w:t>
      </w:r>
    </w:p>
    <w:p w14:paraId="2BCC30C7"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E.1. </w:t>
      </w:r>
      <w:r>
        <w:rPr>
          <w:noProof/>
        </w:rPr>
        <w:tab/>
      </w:r>
      <w:r>
        <w:rPr>
          <w:rFonts w:ascii="Times New Roman" w:hAnsi="Times New Roman"/>
          <w:b/>
          <w:noProof/>
          <w:sz w:val="24"/>
        </w:rPr>
        <w:t>Opis reformi i ulaganja za zajam</w:t>
      </w:r>
    </w:p>
    <w:p w14:paraId="5377FE16"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w:t>
      </w:r>
      <w:r>
        <w:rPr>
          <w:noProof/>
        </w:rPr>
        <w:t xml:space="preserve">. Pojednostavnjen i ažuriran regulatorni </w:t>
      </w:r>
      <w:r>
        <w:rPr>
          <w:rFonts w:ascii="Times New Roman" w:hAnsi="Times New Roman"/>
          <w:noProof/>
        </w:rPr>
        <w:t>okvir za potporu provedbi ulaganja u prelazak na zelene i otporne zgrade</w:t>
      </w:r>
    </w:p>
    <w:p w14:paraId="3D5B69E2" w14:textId="77777777" w:rsidR="003F46B9" w:rsidRDefault="0065662E">
      <w:pPr>
        <w:pStyle w:val="P68B1DB1-Normal5"/>
        <w:spacing w:before="120" w:after="120" w:line="240" w:lineRule="auto"/>
        <w:jc w:val="both"/>
        <w:rPr>
          <w:rFonts w:eastAsia="Calibri" w:cs="Times New Roman"/>
          <w:noProof/>
        </w:rPr>
      </w:pPr>
      <w:r>
        <w:rPr>
          <w:noProof/>
        </w:rPr>
        <w:t>Reformom se pojednostavnjuje zakonodavni i regulatorni okvir za aktivnosti obnove zgrada kako bi se ubrzala zelena tranzicija. Reformom su obu</w:t>
      </w:r>
      <w:r>
        <w:rPr>
          <w:noProof/>
        </w:rPr>
        <w:t>hvaćene sljedeće podreforme:</w:t>
      </w:r>
    </w:p>
    <w:p w14:paraId="76F9DF69" w14:textId="77777777" w:rsidR="003F46B9" w:rsidRDefault="0065662E">
      <w:pPr>
        <w:pStyle w:val="P68B1DB1-ListParagraph13"/>
        <w:numPr>
          <w:ilvl w:val="0"/>
          <w:numId w:val="44"/>
        </w:numPr>
        <w:spacing w:before="120" w:after="120" w:line="240" w:lineRule="auto"/>
        <w:ind w:left="426"/>
        <w:jc w:val="both"/>
        <w:rPr>
          <w:rFonts w:eastAsia="Calibri" w:cs="Times New Roman"/>
          <w:noProof/>
        </w:rPr>
      </w:pPr>
      <w:r>
        <w:rPr>
          <w:noProof/>
        </w:rPr>
        <w:t>R1.a. Izmjena zakonodavstva kojim se podupire provedba ulaganja u prijelaz na zelene zgrade. Zakonikom o prostornom planiranju, urbanističkom planiranju i gradnji povezuje se, pojednostavnjuje i kodificira najmanje deset zakono</w:t>
      </w:r>
      <w:r>
        <w:rPr>
          <w:noProof/>
        </w:rPr>
        <w:t>davnih akata u području prostornog planiranja, urbanizma i graditeljstva u jedinstvenom zakonodavnom aktu. Donošenje i stupanje na snagu Kodeksa uključeni su u reformu 5. komponente Lokalni fond 10. do 31. ožujka 2023. Cilj je tog elementa reforme smanjiti</w:t>
      </w:r>
      <w:r>
        <w:rPr>
          <w:noProof/>
        </w:rPr>
        <w:t xml:space="preserve"> za najmanje 50 % vrijeme potrebno za izdavanje građevinskih dozvola od strane relevantnih tijela, u usporedbi s 2020., s 270 dana na 135 dana za cijeli postupak ishođenja građevinskih dozvola. Kodeks uključuje i ključna načela europskog zelenog plana, kao</w:t>
      </w:r>
      <w:r>
        <w:rPr>
          <w:noProof/>
        </w:rPr>
        <w:t xml:space="preserve"> što su promicanje učinkovitosti resursa, prirodnih rješenja, koridora bioraznolikosti i kružnog gospodarstva. Također promiče digitalizaciju postupaka odobravanja. Provedba podreforme mora biti dovršena do 31. lipnja 2025.</w:t>
      </w:r>
    </w:p>
    <w:p w14:paraId="6AFCB6F4" w14:textId="77777777" w:rsidR="003F46B9" w:rsidRDefault="0065662E">
      <w:pPr>
        <w:pStyle w:val="P68B1DB1-ListParagraph20"/>
        <w:numPr>
          <w:ilvl w:val="0"/>
          <w:numId w:val="44"/>
        </w:numPr>
        <w:spacing w:before="120" w:after="120" w:line="240" w:lineRule="auto"/>
        <w:ind w:left="426"/>
        <w:jc w:val="both"/>
        <w:rPr>
          <w:rFonts w:eastAsia="Calibri" w:cs="Times New Roman"/>
          <w:noProof/>
          <w:sz w:val="24"/>
        </w:rPr>
      </w:pPr>
      <w:r>
        <w:rPr>
          <w:noProof/>
          <w:sz w:val="24"/>
        </w:rPr>
        <w:t>R1.b Optimizacija zakonodavnog i</w:t>
      </w:r>
      <w:r>
        <w:rPr>
          <w:noProof/>
          <w:sz w:val="24"/>
        </w:rPr>
        <w:t xml:space="preserve"> regulatornog okvira za potporu provedbi ulaganja u prijelaz na zelene zgrade. Kad je riječ o zakonodavnom okviru, Izvanredna uredba Vlade br. 18/2009 o višegodišnjem nacionalnom programu za poboljšanje energetskih svojstava stambenih zgrada mijenja se kak</w:t>
      </w:r>
      <w:r>
        <w:rPr>
          <w:noProof/>
          <w:sz w:val="24"/>
        </w:rPr>
        <w:t>o bi se razina ambicioznosti energetske obnove povećala na najmanje 30 % uštede primarne energije do 60 % uštede primarne energije za stambene zgrade. Novi tehnički regulatorni okvir uključuje sljedeće donesene i operativne smjernice: Smjernice za zgrade g</w:t>
      </w:r>
      <w:r>
        <w:rPr>
          <w:noProof/>
          <w:sz w:val="24"/>
        </w:rPr>
        <w:t>otovo nulte energije (NZEB), smjernice za olakšavanje provedbe informacijskog modeliranja zgrada (BIM) i metodologija za neinvazivan pristup energetskoj i resursnoj učinkovitosti povijesnih zgrada. Cilj je novog regulatornog okvira pružiti smjernice o tehn</w:t>
      </w:r>
      <w:r>
        <w:rPr>
          <w:noProof/>
          <w:sz w:val="24"/>
        </w:rPr>
        <w:t>ičkoj provedbi zahtjeva za zgrade gotovo nulte energije kako bi se pružila potpora središnjim tijelima javne uprave odgovornima za praćenje provedbe zahtjeva za zgrade gotovo nulte energije; te utvrditi standarde za postizanje uštede energije i učinkovitos</w:t>
      </w:r>
      <w:r>
        <w:rPr>
          <w:noProof/>
          <w:sz w:val="24"/>
        </w:rPr>
        <w:t>ti resursa za povijesne zgrade bez utjecaja na njihovu arhitektonsku i povijesnu vrijednost. Provedba podreforme</w:t>
      </w:r>
      <w:r>
        <w:rPr>
          <w:noProof/>
        </w:rPr>
        <w:t xml:space="preserve"> </w:t>
      </w:r>
      <w:r>
        <w:rPr>
          <w:noProof/>
          <w:sz w:val="24"/>
        </w:rPr>
        <w:t>mora biti dovršena do 31. prosinca 2022.</w:t>
      </w:r>
    </w:p>
    <w:p w14:paraId="7C03998F"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2. Strateški, zakonodavni i postupovni okvir za potporu otpornosti zgrada na potrese </w:t>
      </w:r>
    </w:p>
    <w:p w14:paraId="31270AF2" w14:textId="77777777" w:rsidR="003F46B9" w:rsidRDefault="0065662E">
      <w:pPr>
        <w:pStyle w:val="P68B1DB1-Normal5"/>
        <w:spacing w:before="120" w:after="120" w:line="240" w:lineRule="auto"/>
        <w:jc w:val="both"/>
        <w:rPr>
          <w:rFonts w:eastAsia="Calibri" w:cs="Times New Roman"/>
          <w:noProof/>
        </w:rPr>
      </w:pPr>
      <w:r>
        <w:rPr>
          <w:noProof/>
        </w:rPr>
        <w:t>Reformom</w:t>
      </w:r>
      <w:r>
        <w:rPr>
          <w:noProof/>
        </w:rPr>
        <w:t xml:space="preserve"> su obuhvaćene sljedeće podreforme:</w:t>
      </w:r>
    </w:p>
    <w:p w14:paraId="41DBB377" w14:textId="77777777" w:rsidR="003F46B9" w:rsidRDefault="0065662E">
      <w:pPr>
        <w:pStyle w:val="P68B1DB1-ListParagraph13"/>
        <w:numPr>
          <w:ilvl w:val="0"/>
          <w:numId w:val="45"/>
        </w:numPr>
        <w:spacing w:before="120" w:after="120" w:line="240" w:lineRule="auto"/>
        <w:ind w:left="426"/>
        <w:jc w:val="both"/>
        <w:rPr>
          <w:rFonts w:eastAsia="Calibri" w:cs="Times New Roman"/>
          <w:noProof/>
        </w:rPr>
      </w:pPr>
      <w:r>
        <w:rPr>
          <w:noProof/>
        </w:rPr>
        <w:t>R2.a. Donošenje nacionalne strategije za smanjenje rizika od potresa. Strategija uključuje akcijski plan s posebnim ciljevima za kratkoročno, srednjoročno i dugoročno smanjenje rizika od potresa (2030., 2040. i 2050.) za</w:t>
      </w:r>
      <w:r>
        <w:rPr>
          <w:noProof/>
        </w:rPr>
        <w:t xml:space="preserve"> različite vrste ranjivih zgrada, uključujući podizanje javne svijesti i jačanje institucionalnih kapaciteta za seizmičko upravljanje. Reformom se osigurava integriran i dosljedan pristup između planiranja energetske i seizmičke obnove te se s nekoliko god</w:t>
      </w:r>
      <w:r>
        <w:rPr>
          <w:noProof/>
        </w:rPr>
        <w:t>ina na nekoliko mjeseci skraćuje vrijeme potrebno za učinkovito dovršenje prioritetnih intervencija fonda zgrada. Taj element reforme provodi se donošenjem strategije od strane vlade, a dovršava se do 31. prosinca 2022.</w:t>
      </w:r>
    </w:p>
    <w:p w14:paraId="2480B5FF" w14:textId="77777777" w:rsidR="003F46B9" w:rsidRDefault="0065662E">
      <w:pPr>
        <w:pStyle w:val="P68B1DB1-ListParagraph13"/>
        <w:numPr>
          <w:ilvl w:val="0"/>
          <w:numId w:val="45"/>
        </w:numPr>
        <w:spacing w:before="120" w:after="120" w:line="240" w:lineRule="auto"/>
        <w:ind w:left="426"/>
        <w:jc w:val="both"/>
        <w:rPr>
          <w:rFonts w:eastAsia="Calibri" w:cs="Times New Roman"/>
          <w:noProof/>
        </w:rPr>
      </w:pPr>
      <w:r>
        <w:rPr>
          <w:noProof/>
        </w:rPr>
        <w:t>R2.b Optimizacija zakonodavnog okvir</w:t>
      </w:r>
      <w:r>
        <w:rPr>
          <w:noProof/>
        </w:rPr>
        <w:t>a za smanjenje rizika od potresa u postojećim zgradama. Cilj je podreforme poboljšati postojeći program za naknadnu ugradnju postojećeg fonda zgrada, koji u prošlosti nije imao integrirani pristup seizmičkim i energetskim obnovama. Podreformom se program m</w:t>
      </w:r>
      <w:r>
        <w:rPr>
          <w:noProof/>
        </w:rPr>
        <w:t>ijenja u višegodišnji program, u popis prihvatljivih troškova uvode se radovi potrebni za povećanje energetskih svojstava, proširuje ga se na javne zgrade, a ne samo na privatne zgrade, te se među prihvatljive kriterije uvodi razred rizika od potresa RSII.</w:t>
      </w:r>
      <w:r>
        <w:rPr>
          <w:noProof/>
        </w:rPr>
        <w:t xml:space="preserve"> Taj element reforme provodi se stupanjem na snagu novog zakona o smanjenju rizika od potresa u zgradama, a njegova provedba mora biti dovršena do 31. prosinca 2022.</w:t>
      </w:r>
    </w:p>
    <w:p w14:paraId="78D2C25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Uspostava fonda za val obnove za financiranje radova na poboljšanju</w:t>
      </w:r>
      <w:r>
        <w:rPr>
          <w:rFonts w:ascii="Times New Roman" w:hAnsi="Times New Roman"/>
          <w:noProof/>
        </w:rPr>
        <w:t xml:space="preserve">energetske </w:t>
      </w:r>
      <w:r>
        <w:rPr>
          <w:rFonts w:ascii="Times New Roman" w:hAnsi="Times New Roman"/>
          <w:noProof/>
        </w:rPr>
        <w:t>učinkovitosti postojećeg fonda zgrada</w:t>
      </w:r>
    </w:p>
    <w:p w14:paraId="4876611E" w14:textId="77777777" w:rsidR="003F46B9" w:rsidRDefault="0065662E">
      <w:pPr>
        <w:pStyle w:val="P68B1DB1-Normal5"/>
        <w:spacing w:before="120" w:after="120" w:line="240" w:lineRule="auto"/>
        <w:jc w:val="both"/>
        <w:rPr>
          <w:rFonts w:cs="Times New Roman"/>
          <w:noProof/>
        </w:rPr>
      </w:pPr>
      <w:r>
        <w:rPr>
          <w:noProof/>
        </w:rPr>
        <w:t>Cilj je ulaganja povećati stopu energetske obnove višeobiteljskih zgrada i javnih zgrada u Rumunjskoj. Budući da je Rumunjska jedna od europskih zemalja koje su najizloženije seizmičkim rizicima, energetska obnova prov</w:t>
      </w:r>
      <w:r>
        <w:rPr>
          <w:noProof/>
        </w:rPr>
        <w:t>odi se, prema potrebi, usporedno sa seizmičkom obnovom kako bi se osigurao troškovno učinkovit pristup i dugotrajan učinak ulaganja. Radovi također poštuju estetiku i arhitektonsku kvalitetu zgrade, uzimajući u obzir moguće zahtjeve za kulturnu zaštitu obn</w:t>
      </w:r>
      <w:r>
        <w:rPr>
          <w:noProof/>
        </w:rPr>
        <w:t>ove zgrada koje pripadaju kulturnoj baštini. Ulaganjem se također poboljšava pristupačnost zgrada stvaranjem objekata i prilagodbom zgrada potrebama osoba s invaliditetom, kao i sve starijem stanovništvu.</w:t>
      </w:r>
    </w:p>
    <w:p w14:paraId="007889C1" w14:textId="77777777" w:rsidR="003F46B9" w:rsidRDefault="0065662E">
      <w:pPr>
        <w:pStyle w:val="P68B1DB1-Normal5"/>
        <w:spacing w:before="120" w:after="120" w:line="240" w:lineRule="auto"/>
        <w:jc w:val="both"/>
        <w:rPr>
          <w:rFonts w:cs="Times New Roman"/>
          <w:noProof/>
        </w:rPr>
      </w:pPr>
      <w:r>
        <w:rPr>
          <w:noProof/>
        </w:rPr>
        <w:t>Ulaganje se provodi na dvije osi:</w:t>
      </w:r>
    </w:p>
    <w:p w14:paraId="2B495A07" w14:textId="77777777" w:rsidR="003F46B9" w:rsidRDefault="0065662E">
      <w:pPr>
        <w:pStyle w:val="P68B1DB1-Normal16"/>
        <w:numPr>
          <w:ilvl w:val="0"/>
          <w:numId w:val="43"/>
        </w:numPr>
        <w:spacing w:before="120" w:after="120" w:line="240" w:lineRule="auto"/>
        <w:ind w:left="1080"/>
        <w:jc w:val="both"/>
        <w:rPr>
          <w:rFonts w:cs="Times New Roman"/>
          <w:noProof/>
        </w:rPr>
      </w:pPr>
      <w:r>
        <w:rPr>
          <w:noProof/>
        </w:rPr>
        <w:t>Os 1 – Ulaganja u</w:t>
      </w:r>
      <w:r>
        <w:rPr>
          <w:noProof/>
        </w:rPr>
        <w:t xml:space="preserve"> stambene višeobiteljske zgrade za zelenu i otpornu tranziciju</w:t>
      </w:r>
    </w:p>
    <w:p w14:paraId="380F78C4" w14:textId="48002683" w:rsidR="003F46B9" w:rsidRDefault="0065662E">
      <w:pPr>
        <w:pStyle w:val="P68B1DB1-Normal5"/>
        <w:spacing w:before="120" w:after="120" w:line="240" w:lineRule="auto"/>
        <w:jc w:val="both"/>
        <w:rPr>
          <w:rFonts w:cs="Times New Roman"/>
          <w:noProof/>
        </w:rPr>
      </w:pPr>
      <w:r>
        <w:rPr>
          <w:noProof/>
        </w:rPr>
        <w:t>Nacionalni program potpore za obnovu radi povećanja energetske učinkovitosti i integriranu obnovu (seizmička konsolidacija i energetska učinkovitost) stambenih zgrada s više obitelji uspostavlj</w:t>
      </w:r>
      <w:r>
        <w:rPr>
          <w:noProof/>
        </w:rPr>
        <w:t>a se do 31. ožujka 2022. Cilj je ulaganja ostvariti ukupnu</w:t>
      </w:r>
      <w:r>
        <w:rPr>
          <w:noProof/>
          <w:vertAlign w:val="subscript"/>
        </w:rPr>
        <w:t>uštedu</w:t>
      </w:r>
      <w:r>
        <w:rPr>
          <w:noProof/>
        </w:rPr>
        <w:t xml:space="preserve"> CO2 od najmanje 0,11 milijun tona i ukupnu uštedu primarne energije od najmanje 0,11 Mtep. Programom se propisuje da se očekuje da će se svim obnovama u prosjeku ostvariti najmanje 30 % ušted</w:t>
      </w:r>
      <w:r>
        <w:rPr>
          <w:noProof/>
        </w:rPr>
        <w:t>e potražnje za primarnom energijom. U slučaju značajne obnove zgrada koje imaju više od 10 parkirnih mjesta, infrastrukturom za kabele za svako parkirno mjesto osigurava se mogućnost postavljanja mjesta za punjenje električnih vozila i postavlja se jedno m</w:t>
      </w:r>
      <w:r>
        <w:rPr>
          <w:noProof/>
        </w:rPr>
        <w:t>jesto za punjenje na svakih pet parkirnih mjesta.</w:t>
      </w:r>
    </w:p>
    <w:p w14:paraId="4498BB5A" w14:textId="77777777" w:rsidR="003F46B9" w:rsidRDefault="0065662E">
      <w:pPr>
        <w:pStyle w:val="P68B1DB1-Normal5"/>
        <w:spacing w:before="120" w:after="120" w:line="240" w:lineRule="auto"/>
        <w:jc w:val="both"/>
        <w:rPr>
          <w:rFonts w:cs="Times New Roman"/>
          <w:noProof/>
        </w:rPr>
      </w:pPr>
      <w:r>
        <w:rPr>
          <w:noProof/>
        </w:rPr>
        <w:t>Ministarstvo razvoja, javnih radova i uprave odgovorno je za objavljivanje poziva na podnošenje prijedloga za lokalna javna tijela, dok su lokalna tijela odgovorna za dodjelu ugovora. Jedan poziv na podnoše</w:t>
      </w:r>
      <w:r>
        <w:rPr>
          <w:noProof/>
        </w:rPr>
        <w:t>nje prijedloga obuhvaća energetsku obnovu i seizmičku konsolidaciju stambenih zgrada i namijenjen je područjima s najvećim seizmičkim rizikom. Specifikacija poziva zahtijeva davanje prednosti zajednicama izloženima riziku od siromaštva i socijalne isključe</w:t>
      </w:r>
      <w:r>
        <w:rPr>
          <w:noProof/>
        </w:rPr>
        <w:t>nosti. Zasebni poziv na podnošenje prijedloga obuhvaća samo obnovu umjerene energetske učinkovitosti i namijenjen je zajednicama kojima prijeti siromaštvo i socijalna isključenost. Treći poziv na podnošenje prijedloga obuhvaća umjerenu (90 %) i duboku (10 </w:t>
      </w:r>
      <w:r>
        <w:rPr>
          <w:noProof/>
        </w:rPr>
        <w:t>%) energetsku obnovu te se dodjeljuje svim lokalnim upravnim jedinicama, uključujući šest sektora Bukurešta, u skladu s brojem zgrada i njihovim stanovništvom u županiji. Ako sredstva ostanu neugovorena nakon prvog kruga, preostala sredstva pod istim se uv</w:t>
      </w:r>
      <w:r>
        <w:rPr>
          <w:noProof/>
        </w:rPr>
        <w:t xml:space="preserve">jetima stavljaju na raspolaganje svim lokalnim upravnim jedinicama prema redoslijedu prijave. </w:t>
      </w:r>
    </w:p>
    <w:p w14:paraId="32583A12" w14:textId="77777777" w:rsidR="003F46B9" w:rsidRDefault="0065662E">
      <w:pPr>
        <w:pStyle w:val="P68B1DB1-Normal5"/>
        <w:spacing w:before="120" w:after="120" w:line="240" w:lineRule="auto"/>
        <w:jc w:val="both"/>
        <w:rPr>
          <w:rFonts w:cs="Times New Roman"/>
          <w:noProof/>
        </w:rPr>
      </w:pPr>
      <w:r>
        <w:rPr>
          <w:noProof/>
        </w:rPr>
        <w:t xml:space="preserve">Stambene zgrade s više obitelji razvrstane u razred rizika od potresa I. ili II. (RSI i RsII) isključuju se iz financiranja intervencija namijenjenih isključivo </w:t>
      </w:r>
      <w:r>
        <w:rPr>
          <w:noProof/>
        </w:rPr>
        <w:t>energetskoj učinkovitosti.</w:t>
      </w:r>
    </w:p>
    <w:p w14:paraId="7DB89E3A" w14:textId="77777777" w:rsidR="003F46B9" w:rsidRDefault="0065662E">
      <w:pPr>
        <w:pStyle w:val="P68B1DB1-Normal5"/>
        <w:spacing w:before="120" w:after="120" w:line="240" w:lineRule="auto"/>
        <w:jc w:val="both"/>
        <w:rPr>
          <w:rFonts w:cs="Times New Roman"/>
          <w:noProof/>
        </w:rPr>
      </w:pPr>
      <w:r>
        <w:rPr>
          <w:noProof/>
        </w:rPr>
        <w:t>Provedba ulaganja u okviru ove osi mora biti dovršena do 30. lipnja 2026.</w:t>
      </w:r>
    </w:p>
    <w:p w14:paraId="2E9B012C" w14:textId="77777777" w:rsidR="003F46B9" w:rsidRDefault="0065662E">
      <w:pPr>
        <w:pStyle w:val="P68B1DB1-Normal16"/>
        <w:numPr>
          <w:ilvl w:val="0"/>
          <w:numId w:val="43"/>
        </w:numPr>
        <w:spacing w:before="120" w:after="120" w:line="240" w:lineRule="auto"/>
        <w:ind w:left="1080"/>
        <w:jc w:val="both"/>
        <w:rPr>
          <w:rFonts w:cs="Times New Roman"/>
          <w:noProof/>
        </w:rPr>
      </w:pPr>
      <w:r>
        <w:rPr>
          <w:noProof/>
        </w:rPr>
        <w:t>Os 2 – Ulaganja u javne zgrade za zelenu i otpornu tranziciju</w:t>
      </w:r>
    </w:p>
    <w:p w14:paraId="0B88B042" w14:textId="2A846484" w:rsidR="003F46B9" w:rsidRDefault="0065662E">
      <w:pPr>
        <w:pStyle w:val="P68B1DB1-Normal5"/>
        <w:spacing w:before="120" w:after="120" w:line="240" w:lineRule="auto"/>
        <w:jc w:val="both"/>
        <w:rPr>
          <w:rFonts w:cs="Times New Roman"/>
          <w:noProof/>
        </w:rPr>
      </w:pPr>
      <w:r>
        <w:rPr>
          <w:noProof/>
        </w:rPr>
        <w:t>Nacionalni program potpore za obnovu radi povećanja energetske učinkovitosti i integriranu ob</w:t>
      </w:r>
      <w:r>
        <w:rPr>
          <w:noProof/>
        </w:rPr>
        <w:t>novu (seizmička konsolidacija i energetska učinkovitost) javnih zgrada uspostavlja se do 31. ožujka 2022. Cilj je ulaganja ostvariti ukupnu</w:t>
      </w:r>
      <w:r>
        <w:rPr>
          <w:noProof/>
          <w:vertAlign w:val="subscript"/>
        </w:rPr>
        <w:t>uštedu</w:t>
      </w:r>
      <w:r>
        <w:rPr>
          <w:noProof/>
        </w:rPr>
        <w:t xml:space="preserve"> CO2 od najmanje 0,059 milijuna tona i ukupnu uštedu primarne energije od najmanje 0,0168 Mtep. Programom se pr</w:t>
      </w:r>
      <w:r>
        <w:rPr>
          <w:noProof/>
        </w:rPr>
        <w:t>opisuje da se očekuje da će se svim obnovama u prosjeku ostvariti najmanje 30 % uštede potražnje za primarnom energijom. U slučaju značajne obnove zgrada koje imaju više od 10 parkirnih mjesta, mora se osigurati postavljanje barem jednog mjesta za punjenje</w:t>
      </w:r>
      <w:r>
        <w:rPr>
          <w:noProof/>
        </w:rPr>
        <w:t xml:space="preserve"> električnih vozila ili ugrađene infrastrukture.</w:t>
      </w:r>
    </w:p>
    <w:p w14:paraId="15DE7B18" w14:textId="77777777" w:rsidR="003F46B9" w:rsidRDefault="0065662E">
      <w:pPr>
        <w:pStyle w:val="P68B1DB1-Normal5"/>
        <w:spacing w:before="120" w:after="120" w:line="240" w:lineRule="auto"/>
        <w:jc w:val="both"/>
        <w:rPr>
          <w:rFonts w:cs="Times New Roman"/>
          <w:noProof/>
        </w:rPr>
      </w:pPr>
      <w:r>
        <w:rPr>
          <w:noProof/>
        </w:rPr>
        <w:t>Ministarstvo razvoja, javnih radova i uprave nadzire provedbu, a radove obavlja ili nacionalno društvo za ulaganja ili izravno relevantna središnja, županijska vijeća, općine županijskog sjedišta i druge opć</w:t>
      </w:r>
      <w:r>
        <w:rPr>
          <w:noProof/>
        </w:rPr>
        <w:t>ine, uključujući šest sektora Bukurešta. Ministarstvo je odgovorno za objavu poziva na podnošenje prijedloga za tijela javne vlasti. Pozivi se u najvećoj mogućoj mjeri objedinjuju u centralizirane velike pakete o nabavi i standardnu natječajnu dokumentacij</w:t>
      </w:r>
      <w:r>
        <w:rPr>
          <w:noProof/>
        </w:rPr>
        <w:t>u s pokazateljima uspješnosti i posebnim zahtjevima te postupcima tehničke i ekonomske evaluacije.</w:t>
      </w:r>
    </w:p>
    <w:p w14:paraId="1324F427" w14:textId="77777777" w:rsidR="003F46B9" w:rsidRDefault="0065662E">
      <w:pPr>
        <w:pStyle w:val="P68B1DB1-Normal5"/>
        <w:spacing w:before="120" w:after="120" w:line="240" w:lineRule="auto"/>
        <w:jc w:val="both"/>
        <w:rPr>
          <w:rFonts w:cs="Times New Roman"/>
          <w:noProof/>
        </w:rPr>
      </w:pPr>
      <w:r>
        <w:rPr>
          <w:noProof/>
        </w:rPr>
        <w:t>Poziv za integrirane projekte (seizmička konsolidacija i energetska učinkovitost) organizira se za lokalne upravne jedinice smještene u područjima s najvećim</w:t>
      </w:r>
      <w:r>
        <w:rPr>
          <w:noProof/>
        </w:rPr>
        <w:t xml:space="preserve"> seizmičkim rizikom. Zasebni poziv na podnošenje projekata obuhvaća umjerenu (80 %) i duboku (20 %) energetsku obnovu. Ako sredstva ostanu neugovorena nakon prvog kruga, preostala sredstva pod istim se uvjetima stavljaju na raspolaganje svim lokalnim uprav</w:t>
      </w:r>
      <w:r>
        <w:rPr>
          <w:noProof/>
        </w:rPr>
        <w:t xml:space="preserve">nim jedinicama prema redoslijedu prijave. </w:t>
      </w:r>
    </w:p>
    <w:p w14:paraId="0BB74AFF" w14:textId="77777777" w:rsidR="003F46B9" w:rsidRDefault="0065662E">
      <w:pPr>
        <w:pStyle w:val="P68B1DB1-Normal5"/>
        <w:spacing w:before="120" w:after="120" w:line="240" w:lineRule="auto"/>
        <w:jc w:val="both"/>
        <w:rPr>
          <w:rFonts w:cs="Times New Roman"/>
          <w:noProof/>
        </w:rPr>
      </w:pPr>
      <w:r>
        <w:rPr>
          <w:noProof/>
        </w:rPr>
        <w:t>Javne zgrade klasificirane u razrede seizmičkog rizika RSI-ja i RsII-ja isključuju se iz financiranja intervencija namijenjenih isključivo energetskoj učinkovitosti.</w:t>
      </w:r>
    </w:p>
    <w:p w14:paraId="64D880F2" w14:textId="77777777" w:rsidR="003F46B9" w:rsidRDefault="0065662E">
      <w:pPr>
        <w:pStyle w:val="P68B1DB1-Normal5"/>
        <w:spacing w:before="120" w:after="120" w:line="240" w:lineRule="auto"/>
        <w:jc w:val="both"/>
        <w:rPr>
          <w:noProof/>
        </w:rPr>
      </w:pPr>
      <w:r>
        <w:rPr>
          <w:noProof/>
        </w:rPr>
        <w:t>Provedba ulaganja u okviru ove osi mora biti do</w:t>
      </w:r>
      <w:r>
        <w:rPr>
          <w:noProof/>
        </w:rPr>
        <w:t>vršena do 30. lipnja 2026.</w:t>
      </w:r>
    </w:p>
    <w:p w14:paraId="7F422A29"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2. Provedba nacionalnog registra zgrada </w:t>
      </w:r>
    </w:p>
    <w:p w14:paraId="62C76BD5" w14:textId="77777777" w:rsidR="003F46B9" w:rsidRDefault="0065662E">
      <w:pPr>
        <w:pStyle w:val="P68B1DB1-Normal5"/>
        <w:spacing w:before="120" w:after="120" w:line="240" w:lineRule="auto"/>
        <w:jc w:val="both"/>
        <w:rPr>
          <w:rFonts w:cs="Times New Roman"/>
          <w:noProof/>
        </w:rPr>
      </w:pPr>
      <w:r>
        <w:rPr>
          <w:noProof/>
        </w:rPr>
        <w:t>Cilj je ulaganja stvoriti nacionalnu bazu podataka fonda zgrada u kojoj se navode ključne informacije kao što su tipologija zgrade, njezina potrošnja energije i seizmički rizik. B</w:t>
      </w:r>
      <w:r>
        <w:rPr>
          <w:noProof/>
        </w:rPr>
        <w:t>aza podataka doprinosi razvoju analiza politika te oblikovanju i evaluaciji programa, utvrđivanju ciljnih zgrada za različite programe, utvrđivanju loših/visokih rezultata, davanju prednosti ulaganjima i praćenju ukupnog napretka.</w:t>
      </w:r>
    </w:p>
    <w:p w14:paraId="1780A917" w14:textId="77777777" w:rsidR="003F46B9" w:rsidRDefault="0065662E">
      <w:pPr>
        <w:pStyle w:val="P68B1DB1-Normal5"/>
        <w:spacing w:before="120" w:after="120" w:line="240" w:lineRule="auto"/>
        <w:jc w:val="both"/>
        <w:rPr>
          <w:rFonts w:eastAsia="Arial" w:cs="Times New Roman"/>
          <w:noProof/>
        </w:rPr>
      </w:pPr>
      <w:r>
        <w:rPr>
          <w:noProof/>
        </w:rPr>
        <w:t xml:space="preserve">Ulaganjem se uspostavlja </w:t>
      </w:r>
      <w:r>
        <w:rPr>
          <w:noProof/>
        </w:rPr>
        <w:t xml:space="preserve">Nacionalni registar zgrada, informatički sustav postojećeg nacionalnog fonda javnih i privatnih zgrada. Registar je georeferenciran, povezan i interoperabilan s bankama gradskih podataka na lokalnoj razini i drugim nacionalnim sustavima registara. U prvoj </w:t>
      </w:r>
      <w:r>
        <w:rPr>
          <w:noProof/>
        </w:rPr>
        <w:t>pilot-fazi registar sadržava odjeljak s informacijama o svim zgradama koje se obnavljaju u okviru plana za oporavak i otpornost. Time se omogućuje praćenje potrošnje energije tih zgrada.</w:t>
      </w:r>
    </w:p>
    <w:p w14:paraId="3DE3A19C" w14:textId="77777777" w:rsidR="003F46B9" w:rsidRDefault="0065662E">
      <w:pPr>
        <w:pStyle w:val="P68B1DB1-Normal5"/>
        <w:spacing w:before="120" w:after="120" w:line="240" w:lineRule="auto"/>
        <w:jc w:val="both"/>
        <w:rPr>
          <w:rFonts w:eastAsia="Arial" w:cs="Times New Roman"/>
          <w:noProof/>
        </w:rPr>
      </w:pPr>
      <w:r>
        <w:rPr>
          <w:noProof/>
        </w:rPr>
        <w:t>Energetska putovnica zgrade dio je očevidnika i sadržava sve informac</w:t>
      </w:r>
      <w:r>
        <w:rPr>
          <w:noProof/>
        </w:rPr>
        <w:t>ije o intervencijama povezanima s energijom u digitalnom obliku. Dnevnici su dio nacionalnog registra zgrada kao integrirani sustav.</w:t>
      </w:r>
    </w:p>
    <w:p w14:paraId="60BBB7BC" w14:textId="77777777" w:rsidR="003F46B9" w:rsidRDefault="0065662E">
      <w:pPr>
        <w:pStyle w:val="P68B1DB1-Normal5"/>
        <w:spacing w:before="120" w:after="120" w:line="240" w:lineRule="auto"/>
        <w:jc w:val="both"/>
        <w:rPr>
          <w:rFonts w:cs="Times New Roman"/>
          <w:noProof/>
        </w:rPr>
      </w:pPr>
      <w:r>
        <w:rPr>
          <w:noProof/>
        </w:rPr>
        <w:t>Nacionalni registar zgrada bit će dostupan na internetu s pilot-odjeljakom do 31. prosinca 2024.</w:t>
      </w:r>
    </w:p>
    <w:p w14:paraId="1C848DE0"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3. Jačanje </w:t>
      </w:r>
      <w:r>
        <w:rPr>
          <w:rFonts w:ascii="Times New Roman" w:hAnsi="Times New Roman"/>
          <w:noProof/>
        </w:rPr>
        <w:t>stručn</w:t>
      </w:r>
      <w:r>
        <w:rPr>
          <w:rFonts w:ascii="Times New Roman" w:hAnsi="Times New Roman"/>
          <w:noProof/>
        </w:rPr>
        <w:t>e sposobnosti stručnjaka i radnika u obnovi razvojem osposobljavanja o energetskoj učinkovitosti u građevinskom sektoru</w:t>
      </w:r>
    </w:p>
    <w:p w14:paraId="24439767" w14:textId="77777777" w:rsidR="003F46B9" w:rsidRDefault="0065662E">
      <w:pPr>
        <w:pStyle w:val="P68B1DB1-Normal5"/>
        <w:spacing w:before="120" w:after="120" w:line="240" w:lineRule="auto"/>
        <w:jc w:val="both"/>
        <w:rPr>
          <w:rFonts w:cs="Times New Roman"/>
          <w:noProof/>
        </w:rPr>
      </w:pPr>
      <w:r>
        <w:rPr>
          <w:noProof/>
        </w:rPr>
        <w:t>Cilj je ulaganja dopuniti ulaganja u obnovu zgrada jačanjem vještina i kapaciteta stručnjaka i radne snage u građevinskom sektoru, što t</w:t>
      </w:r>
      <w:r>
        <w:rPr>
          <w:noProof/>
        </w:rPr>
        <w:t xml:space="preserve">renutačno nije dovoljno za provedbu potrebnih ambicioznih energetskih obnova. </w:t>
      </w:r>
    </w:p>
    <w:p w14:paraId="501419C4" w14:textId="77777777" w:rsidR="003F46B9" w:rsidRDefault="0065662E">
      <w:pPr>
        <w:pStyle w:val="P68B1DB1-Normal5"/>
        <w:spacing w:before="120" w:after="120" w:line="240" w:lineRule="auto"/>
        <w:jc w:val="both"/>
        <w:rPr>
          <w:rFonts w:cs="Times New Roman"/>
          <w:noProof/>
        </w:rPr>
      </w:pPr>
      <w:r>
        <w:rPr>
          <w:noProof/>
        </w:rPr>
        <w:t>Programi osposobljavanja sastoje se od kratkih tečajeva u okviru programa cjeloživotnog učenja kako bi se poboljšale vještine stručnjaka i radne snage sa zelenim radnim mjestima</w:t>
      </w:r>
      <w:r>
        <w:rPr>
          <w:noProof/>
        </w:rPr>
        <w:t xml:space="preserve"> u kontekstu energetske obnove zgrada, koji će se provoditi u različitim regijama koje su ravnomjerno raspoređene na rumunjskom državnom području. Razvijaju se partnerstva između centara za osposobljavanje, sveučilišta i relevantnih ustanova. Tečajevi ospo</w:t>
      </w:r>
      <w:r>
        <w:rPr>
          <w:noProof/>
        </w:rPr>
        <w:t>sobljavanja strukturirani su u modulima i sadržavaju teorijske i praktične tečajeve. Ulaganje obuhvaća sudjelovanje osoba s invaliditetom u specijalističkim tečajevima/programima te tečajevima/programima osposobljavanja.</w:t>
      </w:r>
    </w:p>
    <w:p w14:paraId="2E2D5BC1" w14:textId="77777777" w:rsidR="003F46B9" w:rsidRDefault="0065662E">
      <w:pPr>
        <w:pStyle w:val="P68B1DB1-Normal5"/>
        <w:spacing w:before="120" w:after="120" w:line="240" w:lineRule="auto"/>
        <w:jc w:val="both"/>
        <w:rPr>
          <w:rFonts w:cs="Times New Roman"/>
          <w:noProof/>
        </w:rPr>
      </w:pPr>
      <w:r>
        <w:rPr>
          <w:noProof/>
        </w:rPr>
        <w:t>Cilj je ulaganja razviti 10 program</w:t>
      </w:r>
      <w:r>
        <w:rPr>
          <w:noProof/>
        </w:rPr>
        <w:t>a certificiranja u području energetskih svojstava zgrada za stručnjake i kvalifikacije građevinskih radnika koji obuhvaćaju ukupno najmanje 8000 osoba.</w:t>
      </w:r>
    </w:p>
    <w:p w14:paraId="1D25D601"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2023.</w:t>
      </w:r>
    </w:p>
    <w:p w14:paraId="4F8FA480"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4. Kružno gospodarstvo i veća energe</w:t>
      </w:r>
      <w:r>
        <w:rPr>
          <w:noProof/>
        </w:rPr>
        <w:t>tska učinkovitost povijesnih zgrada</w:t>
      </w:r>
    </w:p>
    <w:p w14:paraId="54A6AEEC" w14:textId="77777777" w:rsidR="003F46B9" w:rsidRDefault="0065662E">
      <w:pPr>
        <w:pStyle w:val="P68B1DB1-Normal5"/>
        <w:spacing w:before="120" w:after="120" w:line="240" w:lineRule="auto"/>
        <w:jc w:val="both"/>
        <w:rPr>
          <w:rFonts w:eastAsia="Arial" w:cs="Times New Roman"/>
          <w:noProof/>
        </w:rPr>
      </w:pPr>
      <w:r>
        <w:rPr>
          <w:noProof/>
        </w:rPr>
        <w:t>Cilj je ovog ulaganja riješiti izazove energetske obnove povijesnih zgrada i resursne učinkovitosti, kao što su povijesni spomenici i zgrade koje se nalaze u zaštićenim područjima, interdisciplinarnim i integriranim pris</w:t>
      </w:r>
      <w:r>
        <w:rPr>
          <w:noProof/>
        </w:rPr>
        <w:t>tupom kojim se provode načela održivosti i kružnog gospodarstva, u skladu s „Nacionalnom strategijom za zaštitu povijesnih spomenika”. Ulaganjem se promiče prikupljanje, popravak i ponovna uporaba materijala iz radova obnove povijesnih zgrada, čime se dopr</w:t>
      </w:r>
      <w:r>
        <w:rPr>
          <w:noProof/>
        </w:rPr>
        <w:t>inosi očuvanju baštine te ciljevima u području klime i energetske učinkovitosti te učinkovitosti resursa, u skladu sa strategijom EU-a za val obnove.</w:t>
      </w:r>
    </w:p>
    <w:p w14:paraId="19916735" w14:textId="77777777" w:rsidR="003F46B9" w:rsidRDefault="0065662E">
      <w:pPr>
        <w:pStyle w:val="P68B1DB1-Normal5"/>
        <w:spacing w:before="120" w:after="120" w:line="240" w:lineRule="auto"/>
        <w:jc w:val="both"/>
        <w:rPr>
          <w:rFonts w:cs="Times New Roman"/>
          <w:noProof/>
        </w:rPr>
      </w:pPr>
      <w:r>
        <w:rPr>
          <w:noProof/>
        </w:rPr>
        <w:t>Ulaganjem se i. razvijaju i ispituju novi materijali i tehnološka rješenja za intervencije u području ener</w:t>
      </w:r>
      <w:r>
        <w:rPr>
          <w:noProof/>
        </w:rPr>
        <w:t>getske učinkovitosti i učinkovitosti resursa na povijesnim zgradama; razvoj stručnih vještina za intervencije u području energetske učinkovitosti i učinkovitosti resursa na povijesnim zgradama; uspostaviti pilot-centar za prikupljanje i ponovnu uporabu pov</w:t>
      </w:r>
      <w:r>
        <w:rPr>
          <w:noProof/>
        </w:rPr>
        <w:t xml:space="preserve">ijesnih građevinskih materijala nastalih rušenjem povijesnih zgrada; i. osigurati redovito održavanje povijesnih zgrada. </w:t>
      </w:r>
    </w:p>
    <w:p w14:paraId="7A311D10" w14:textId="77777777" w:rsidR="003F46B9" w:rsidRDefault="0065662E">
      <w:pPr>
        <w:pStyle w:val="P68B1DB1-Normal5"/>
        <w:spacing w:before="120" w:after="120" w:line="240" w:lineRule="auto"/>
        <w:jc w:val="both"/>
        <w:rPr>
          <w:rFonts w:cs="Times New Roman"/>
          <w:noProof/>
        </w:rPr>
      </w:pPr>
      <w:r>
        <w:rPr>
          <w:noProof/>
        </w:rPr>
        <w:t>Pilot-centar unutar Nacionalnog instituta za baštinu za prikupljanje i ponovnu uporabu povijesnih građevinskih materijala bit će opera</w:t>
      </w:r>
      <w:r>
        <w:rPr>
          <w:noProof/>
        </w:rPr>
        <w:t>tivan do 31. prosinca 2024., a do 31. prosinca 2025. moraju se razviti dva programa certificiranja za intervencije energetske i resursne učinkovitosti na povijesnim zgradama koji obuhvaćaju ukupno najmanje 200 osoba.</w:t>
      </w:r>
    </w:p>
    <w:p w14:paraId="4934F396"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102"/>
          <w:headerReference w:type="default" r:id="rId103"/>
          <w:footerReference w:type="even" r:id="rId104"/>
          <w:footerReference w:type="default" r:id="rId105"/>
          <w:headerReference w:type="first" r:id="rId106"/>
          <w:footerReference w:type="first" r:id="rId107"/>
          <w:pgSz w:w="11907" w:h="16839"/>
          <w:pgMar w:top="1134" w:right="1417" w:bottom="1134" w:left="1417" w:header="709" w:footer="709" w:gutter="0"/>
          <w:cols w:space="720"/>
          <w:docGrid w:linePitch="360"/>
        </w:sectPr>
      </w:pPr>
    </w:p>
    <w:p w14:paraId="0F71963D"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E.2. </w:t>
      </w:r>
      <w:r>
        <w:rPr>
          <w:noProof/>
        </w:rPr>
        <w:tab/>
      </w:r>
      <w:r>
        <w:rPr>
          <w:rFonts w:ascii="Times New Roman" w:hAnsi="Times New Roman"/>
          <w:b/>
          <w:noProof/>
          <w:sz w:val="24"/>
        </w:rPr>
        <w:t>Ključne etape, ciljne vrijednosti, pokazatelji i vremenski raspored za praćenje i provedbu zajma</w:t>
      </w:r>
    </w:p>
    <w:tbl>
      <w:tblPr>
        <w:tblW w:w="15168" w:type="dxa"/>
        <w:jc w:val="center"/>
        <w:tblLayout w:type="fixed"/>
        <w:tblLook w:val="04A0" w:firstRow="1" w:lastRow="0" w:firstColumn="1" w:lastColumn="0" w:noHBand="0" w:noVBand="1"/>
      </w:tblPr>
      <w:tblGrid>
        <w:gridCol w:w="838"/>
        <w:gridCol w:w="1532"/>
        <w:gridCol w:w="1252"/>
        <w:gridCol w:w="1807"/>
        <w:gridCol w:w="1807"/>
        <w:gridCol w:w="1392"/>
        <w:gridCol w:w="1114"/>
        <w:gridCol w:w="836"/>
        <w:gridCol w:w="1114"/>
        <w:gridCol w:w="837"/>
        <w:gridCol w:w="2639"/>
      </w:tblGrid>
      <w:tr w:rsidR="003F46B9" w14:paraId="3FD654DA" w14:textId="77777777">
        <w:trPr>
          <w:trHeight w:val="303"/>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39D6659" w14:textId="77777777" w:rsidR="003F46B9" w:rsidRDefault="0065662E">
            <w:pPr>
              <w:pStyle w:val="P68B1DB1-Normal1"/>
              <w:spacing w:after="0" w:line="240" w:lineRule="auto"/>
              <w:jc w:val="center"/>
              <w:rPr>
                <w:rFonts w:eastAsia="Times New Roman" w:cs="Times New Roman"/>
                <w:noProof/>
              </w:rPr>
            </w:pPr>
            <w:r>
              <w:rPr>
                <w:noProof/>
              </w:rPr>
              <w:t>Sljedeće točke Num.</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6C230D"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7895E7A"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FA1D00"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5376910" w14:textId="1B4CF5F2"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 xml:space="preserve">(za ključne </w:t>
            </w:r>
            <w:r>
              <w:rPr>
                <w:rFonts w:ascii="Times New Roman" w:hAnsi="Times New Roman"/>
                <w:b/>
                <w:noProof/>
                <w:sz w:val="24"/>
              </w:rPr>
              <w:t>etape)</w:t>
            </w:r>
          </w:p>
        </w:tc>
        <w:tc>
          <w:tcPr>
            <w:tcW w:w="3118"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9C6390B" w14:textId="50A56EE8"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14:paraId="0487379D"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dovršetak</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6D22A1"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49A442B" w14:textId="77777777">
        <w:trPr>
          <w:trHeight w:val="457"/>
          <w:tblHeader/>
          <w:jc w:val="center"/>
        </w:trPr>
        <w:tc>
          <w:tcPr>
            <w:tcW w:w="851" w:type="dxa"/>
            <w:vMerge/>
            <w:tcBorders>
              <w:top w:val="single" w:sz="4" w:space="0" w:color="auto"/>
              <w:left w:val="single" w:sz="4" w:space="0" w:color="auto"/>
              <w:bottom w:val="single" w:sz="4" w:space="0" w:color="auto"/>
              <w:right w:val="single" w:sz="4" w:space="0" w:color="auto"/>
            </w:tcBorders>
            <w:hideMark/>
          </w:tcPr>
          <w:p w14:paraId="1C820B49" w14:textId="77777777" w:rsidR="003F46B9" w:rsidRDefault="003F46B9">
            <w:pPr>
              <w:spacing w:after="0" w:line="240" w:lineRule="auto"/>
              <w:jc w:val="center"/>
              <w:rPr>
                <w:rFonts w:ascii="Times New Roman" w:eastAsia="Times New Roman" w:hAnsi="Times New Roman" w:cs="Times New Roman"/>
                <w:b/>
                <w:noProof/>
                <w:sz w:val="24"/>
              </w:rPr>
            </w:pPr>
          </w:p>
        </w:tc>
        <w:tc>
          <w:tcPr>
            <w:tcW w:w="1560" w:type="dxa"/>
            <w:vMerge/>
            <w:tcBorders>
              <w:top w:val="single" w:sz="4" w:space="0" w:color="auto"/>
              <w:left w:val="single" w:sz="4" w:space="0" w:color="auto"/>
              <w:bottom w:val="single" w:sz="4" w:space="0" w:color="auto"/>
              <w:right w:val="single" w:sz="4" w:space="0" w:color="auto"/>
            </w:tcBorders>
            <w:hideMark/>
          </w:tcPr>
          <w:p w14:paraId="43F7AC10" w14:textId="77777777" w:rsidR="003F46B9" w:rsidRDefault="003F46B9">
            <w:pPr>
              <w:spacing w:after="0" w:line="240" w:lineRule="auto"/>
              <w:jc w:val="both"/>
              <w:rPr>
                <w:rFonts w:ascii="Times New Roman" w:eastAsia="Times New Roman" w:hAnsi="Times New Roman" w:cs="Times New Roman"/>
                <w:b/>
                <w:noProof/>
                <w:sz w:val="24"/>
              </w:rPr>
            </w:pPr>
          </w:p>
        </w:tc>
        <w:tc>
          <w:tcPr>
            <w:tcW w:w="1275" w:type="dxa"/>
            <w:vMerge/>
            <w:tcBorders>
              <w:top w:val="single" w:sz="4" w:space="0" w:color="auto"/>
              <w:left w:val="single" w:sz="4" w:space="0" w:color="auto"/>
              <w:bottom w:val="single" w:sz="4" w:space="0" w:color="auto"/>
              <w:right w:val="single" w:sz="4" w:space="0" w:color="auto"/>
            </w:tcBorders>
            <w:hideMark/>
          </w:tcPr>
          <w:p w14:paraId="0F90B2AA" w14:textId="77777777" w:rsidR="003F46B9" w:rsidRDefault="003F46B9">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3D22D6DC" w14:textId="77777777" w:rsidR="003F46B9" w:rsidRDefault="003F46B9">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7C998B1D" w14:textId="77777777" w:rsidR="003F46B9" w:rsidRDefault="003F46B9">
            <w:pPr>
              <w:spacing w:after="0" w:line="240" w:lineRule="auto"/>
              <w:jc w:val="both"/>
              <w:rPr>
                <w:rFonts w:ascii="Times New Roman" w:eastAsia="Times New Roman" w:hAnsi="Times New Roman" w:cs="Times New Roman"/>
                <w:b/>
                <w:noProof/>
                <w:sz w:val="24"/>
              </w:rPr>
            </w:pPr>
          </w:p>
        </w:tc>
        <w:tc>
          <w:tcPr>
            <w:tcW w:w="1134" w:type="dxa"/>
            <w:tcBorders>
              <w:top w:val="nil"/>
              <w:left w:val="single" w:sz="4" w:space="0" w:color="auto"/>
              <w:bottom w:val="single" w:sz="4" w:space="0" w:color="auto"/>
              <w:right w:val="single" w:sz="4" w:space="0" w:color="auto"/>
            </w:tcBorders>
            <w:shd w:val="clear" w:color="auto" w:fill="BDD7EE"/>
            <w:vAlign w:val="center"/>
            <w:hideMark/>
          </w:tcPr>
          <w:p w14:paraId="297AC588"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134" w:type="dxa"/>
            <w:tcBorders>
              <w:top w:val="nil"/>
              <w:left w:val="nil"/>
              <w:bottom w:val="single" w:sz="4" w:space="0" w:color="auto"/>
              <w:right w:val="single" w:sz="4" w:space="0" w:color="auto"/>
            </w:tcBorders>
            <w:shd w:val="clear" w:color="auto" w:fill="BDD7EE"/>
            <w:vAlign w:val="center"/>
            <w:hideMark/>
          </w:tcPr>
          <w:p w14:paraId="65F8BEC2"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850" w:type="dxa"/>
            <w:tcBorders>
              <w:top w:val="nil"/>
              <w:left w:val="nil"/>
              <w:bottom w:val="single" w:sz="4" w:space="0" w:color="auto"/>
              <w:right w:val="single" w:sz="4" w:space="0" w:color="auto"/>
            </w:tcBorders>
            <w:shd w:val="clear" w:color="auto" w:fill="BDD7EE"/>
            <w:vAlign w:val="center"/>
            <w:hideMark/>
          </w:tcPr>
          <w:p w14:paraId="12BAF5D7" w14:textId="77777777" w:rsidR="003F46B9" w:rsidRDefault="0065662E">
            <w:pPr>
              <w:pStyle w:val="P68B1DB1-Normal1"/>
              <w:spacing w:after="0" w:line="240" w:lineRule="auto"/>
              <w:jc w:val="center"/>
              <w:rPr>
                <w:rFonts w:eastAsia="Times New Roman" w:cs="Times New Roman"/>
                <w:noProof/>
              </w:rPr>
            </w:pPr>
            <w:r>
              <w:rPr>
                <w:noProof/>
              </w:rPr>
              <w:t>Cilj</w:t>
            </w:r>
          </w:p>
        </w:tc>
        <w:tc>
          <w:tcPr>
            <w:tcW w:w="1134" w:type="dxa"/>
            <w:tcBorders>
              <w:top w:val="nil"/>
              <w:left w:val="nil"/>
              <w:bottom w:val="single" w:sz="4" w:space="0" w:color="auto"/>
              <w:right w:val="single" w:sz="4" w:space="0" w:color="auto"/>
            </w:tcBorders>
            <w:shd w:val="clear" w:color="auto" w:fill="BDD7EE"/>
            <w:vAlign w:val="center"/>
            <w:hideMark/>
          </w:tcPr>
          <w:p w14:paraId="2975F905"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BDD7EE"/>
            <w:vAlign w:val="center"/>
            <w:hideMark/>
          </w:tcPr>
          <w:p w14:paraId="2DDF0C56"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2693" w:type="dxa"/>
            <w:vMerge/>
            <w:tcBorders>
              <w:top w:val="single" w:sz="4" w:space="0" w:color="auto"/>
              <w:bottom w:val="single" w:sz="4" w:space="0" w:color="auto"/>
              <w:right w:val="single" w:sz="4" w:space="0" w:color="auto"/>
            </w:tcBorders>
            <w:hideMark/>
          </w:tcPr>
          <w:p w14:paraId="60E8F8B6"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73B753B1" w14:textId="77777777">
        <w:trPr>
          <w:trHeight w:val="3150"/>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0D360E99" w14:textId="77777777" w:rsidR="003F46B9" w:rsidRDefault="0065662E">
            <w:pPr>
              <w:pStyle w:val="P68B1DB1-Normal5"/>
              <w:spacing w:after="0" w:line="240" w:lineRule="auto"/>
              <w:jc w:val="center"/>
              <w:rPr>
                <w:rFonts w:eastAsia="Times New Roman" w:cs="Times New Roman"/>
                <w:noProof/>
              </w:rPr>
            </w:pPr>
            <w:r>
              <w:rPr>
                <w:noProof/>
              </w:rPr>
              <w:t>90</w:t>
            </w:r>
          </w:p>
        </w:tc>
        <w:tc>
          <w:tcPr>
            <w:tcW w:w="1560" w:type="dxa"/>
            <w:tcBorders>
              <w:top w:val="single" w:sz="4" w:space="0" w:color="auto"/>
              <w:left w:val="single" w:sz="4" w:space="0" w:color="auto"/>
              <w:bottom w:val="single" w:sz="4" w:space="0" w:color="auto"/>
              <w:right w:val="single" w:sz="4" w:space="0" w:color="auto"/>
            </w:tcBorders>
            <w:shd w:val="clear" w:color="auto" w:fill="C6EFCE"/>
            <w:noWrap/>
            <w:hideMark/>
          </w:tcPr>
          <w:p w14:paraId="6DDAC96A" w14:textId="77777777" w:rsidR="003F46B9" w:rsidRDefault="0065662E">
            <w:pPr>
              <w:pStyle w:val="P68B1DB1-Normal5"/>
              <w:spacing w:after="0" w:line="240" w:lineRule="auto"/>
              <w:jc w:val="both"/>
              <w:rPr>
                <w:rFonts w:eastAsia="Times New Roman" w:cs="Times New Roman"/>
                <w:noProof/>
              </w:rPr>
            </w:pPr>
            <w:r>
              <w:rPr>
                <w:noProof/>
              </w:rPr>
              <w:t xml:space="preserve">Reforma 1. Pojednostavnjen i ažuriran regulatorni okvir za potporu provedbi ulaganja u prelazak na zelene i otporne zgrade </w:t>
            </w:r>
          </w:p>
        </w:tc>
        <w:tc>
          <w:tcPr>
            <w:tcW w:w="1275" w:type="dxa"/>
            <w:tcBorders>
              <w:top w:val="single" w:sz="4" w:space="0" w:color="auto"/>
              <w:left w:val="single" w:sz="4" w:space="0" w:color="auto"/>
              <w:bottom w:val="single" w:sz="4" w:space="0" w:color="auto"/>
              <w:right w:val="single" w:sz="4" w:space="0" w:color="auto"/>
            </w:tcBorders>
            <w:shd w:val="clear" w:color="auto" w:fill="C6EFCE"/>
            <w:noWrap/>
            <w:hideMark/>
          </w:tcPr>
          <w:p w14:paraId="7D6DCC6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848B1EF" w14:textId="1438ABEF"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Stupanje na snagu izmjena postojećeg zakonodavnog okvira višegodišnjeg nacionalnog programa za poboljšanje energetskih s</w:t>
            </w:r>
            <w:r>
              <w:rPr>
                <w:rFonts w:ascii="Times New Roman" w:hAnsi="Times New Roman"/>
                <w:noProof/>
                <w:sz w:val="24"/>
              </w:rPr>
              <w:t>vojstava stambenih zgrada (Izvanredno rješenje Vlade br. 18/2009)</w:t>
            </w:r>
            <w:r>
              <w:rPr>
                <w:noProof/>
              </w:rPr>
              <w:br/>
            </w:r>
          </w:p>
        </w:tc>
        <w:tc>
          <w:tcPr>
            <w:tcW w:w="1843" w:type="dxa"/>
            <w:tcBorders>
              <w:top w:val="single" w:sz="4" w:space="0" w:color="auto"/>
              <w:left w:val="nil"/>
              <w:bottom w:val="single" w:sz="4" w:space="0" w:color="auto"/>
              <w:right w:val="single" w:sz="4" w:space="0" w:color="auto"/>
            </w:tcBorders>
            <w:shd w:val="clear" w:color="auto" w:fill="C6EFCE"/>
            <w:noWrap/>
            <w:hideMark/>
          </w:tcPr>
          <w:p w14:paraId="17DF2885" w14:textId="77777777" w:rsidR="003F46B9" w:rsidRDefault="0065662E">
            <w:pPr>
              <w:pStyle w:val="P68B1DB1-Normal5"/>
              <w:spacing w:after="0" w:line="240" w:lineRule="auto"/>
              <w:jc w:val="both"/>
              <w:rPr>
                <w:rFonts w:eastAsia="Times New Roman" w:cs="Times New Roman"/>
                <w:noProof/>
              </w:rPr>
            </w:pPr>
            <w:r>
              <w:rPr>
                <w:noProof/>
              </w:rPr>
              <w:t>Odredba zakona o stupanju na snagu izmjena Hitnog rješenja Vlade br. 18/2009</w:t>
            </w:r>
          </w:p>
          <w:p w14:paraId="6722322F" w14:textId="77777777" w:rsidR="003F46B9" w:rsidRDefault="003F46B9">
            <w:pPr>
              <w:spacing w:after="0" w:line="240" w:lineRule="auto"/>
              <w:jc w:val="both"/>
              <w:rPr>
                <w:rFonts w:ascii="Times New Roman" w:eastAsia="Times New Roman" w:hAnsi="Times New Roman" w:cs="Times New Roman"/>
                <w:noProof/>
                <w:sz w:val="24"/>
              </w:rPr>
            </w:pPr>
          </w:p>
          <w:p w14:paraId="25EC13EF" w14:textId="77777777" w:rsidR="003F46B9" w:rsidRDefault="003F46B9">
            <w:pPr>
              <w:spacing w:after="0" w:line="240" w:lineRule="auto"/>
              <w:jc w:val="both"/>
              <w:rPr>
                <w:rFonts w:ascii="Times New Roman" w:eastAsia="Times New Roman" w:hAnsi="Times New Roman" w:cs="Times New Roman"/>
                <w:noProof/>
                <w:sz w:val="24"/>
              </w:rPr>
            </w:pPr>
          </w:p>
          <w:p w14:paraId="6CC59003" w14:textId="77777777" w:rsidR="003F46B9" w:rsidRDefault="003F46B9">
            <w:pPr>
              <w:spacing w:after="0" w:line="240" w:lineRule="auto"/>
              <w:jc w:val="both"/>
              <w:rPr>
                <w:rFonts w:ascii="Times New Roman" w:eastAsia="Times New Roman" w:hAnsi="Times New Roman" w:cs="Times New Roman"/>
                <w:noProof/>
                <w:sz w:val="24"/>
              </w:rPr>
            </w:pPr>
          </w:p>
          <w:p w14:paraId="7232BB46" w14:textId="77777777" w:rsidR="003F46B9" w:rsidRDefault="003F46B9">
            <w:pPr>
              <w:spacing w:after="0" w:line="240" w:lineRule="auto"/>
              <w:jc w:val="both"/>
              <w:rPr>
                <w:rFonts w:ascii="Times New Roman" w:eastAsia="Times New Roman" w:hAnsi="Times New Roman" w:cs="Times New Roman"/>
                <w:strike/>
                <w:noProof/>
                <w:sz w:val="24"/>
              </w:rPr>
            </w:pPr>
          </w:p>
        </w:tc>
        <w:tc>
          <w:tcPr>
            <w:tcW w:w="1134" w:type="dxa"/>
            <w:tcBorders>
              <w:top w:val="nil"/>
              <w:left w:val="nil"/>
              <w:bottom w:val="single" w:sz="4" w:space="0" w:color="auto"/>
              <w:right w:val="single" w:sz="4" w:space="0" w:color="auto"/>
            </w:tcBorders>
            <w:shd w:val="clear" w:color="auto" w:fill="C6EFCE"/>
            <w:noWrap/>
            <w:hideMark/>
          </w:tcPr>
          <w:p w14:paraId="1F4753C2"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E64FF8A"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hideMark/>
          </w:tcPr>
          <w:p w14:paraId="53ABFE3D"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08455157"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hideMark/>
          </w:tcPr>
          <w:p w14:paraId="664E2EA6" w14:textId="77777777" w:rsidR="003F46B9" w:rsidRDefault="0065662E">
            <w:pPr>
              <w:pStyle w:val="P68B1DB1-Normal5"/>
              <w:spacing w:after="0" w:line="240" w:lineRule="auto"/>
              <w:jc w:val="both"/>
              <w:rPr>
                <w:rFonts w:eastAsia="Times New Roman" w:cs="Times New Roman"/>
                <w:noProof/>
              </w:rPr>
            </w:pPr>
            <w:r>
              <w:rPr>
                <w:noProof/>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hideMark/>
          </w:tcPr>
          <w:p w14:paraId="60609169" w14:textId="77777777" w:rsidR="003F46B9" w:rsidRDefault="0065662E">
            <w:pPr>
              <w:pStyle w:val="P68B1DB1-Normal5"/>
              <w:spacing w:after="0" w:line="240" w:lineRule="auto"/>
              <w:jc w:val="both"/>
              <w:rPr>
                <w:rFonts w:eastAsia="Times New Roman" w:cs="Times New Roman"/>
                <w:noProof/>
              </w:rPr>
            </w:pPr>
            <w:r>
              <w:rPr>
                <w:noProof/>
              </w:rPr>
              <w:t xml:space="preserve">Izmjenama višegodišnjeg nacionalnog programa za poboljšanje energetskih </w:t>
            </w:r>
            <w:r>
              <w:rPr>
                <w:noProof/>
              </w:rPr>
              <w:t>svojstava stambenih zgrada povećat će se razina ambicioznosti energetske obnove na najmanje 30 % uštede primarne energije do 60 % uštede primarne energije za stambene zgrade utvrđivanjem ažuriranog popisa rashoda za umjerenu ili dubinsku obnovu koji će bit</w:t>
            </w:r>
            <w:r>
              <w:rPr>
                <w:noProof/>
              </w:rPr>
              <w:t>i prihvatljivi za potporu i povećanjem ambicioznosti pokazatelja uspješnosti za projekte podnesene u okviru programa.</w:t>
            </w:r>
          </w:p>
        </w:tc>
      </w:tr>
      <w:tr w:rsidR="003F46B9" w14:paraId="77AC0AF3"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5B129261" w14:textId="77777777" w:rsidR="003F46B9" w:rsidRDefault="0065662E">
            <w:pPr>
              <w:pStyle w:val="P68B1DB1-Normal5"/>
              <w:spacing w:after="0" w:line="240" w:lineRule="auto"/>
              <w:jc w:val="center"/>
              <w:rPr>
                <w:rFonts w:eastAsia="Times New Roman" w:cs="Times New Roman"/>
                <w:noProof/>
              </w:rPr>
            </w:pPr>
            <w:r>
              <w:rPr>
                <w:noProof/>
              </w:rPr>
              <w:t>91</w:t>
            </w:r>
          </w:p>
        </w:tc>
        <w:tc>
          <w:tcPr>
            <w:tcW w:w="1560" w:type="dxa"/>
            <w:tcBorders>
              <w:top w:val="nil"/>
              <w:left w:val="single" w:sz="4" w:space="0" w:color="auto"/>
              <w:bottom w:val="single" w:sz="4" w:space="0" w:color="auto"/>
              <w:right w:val="single" w:sz="4" w:space="0" w:color="auto"/>
            </w:tcBorders>
            <w:shd w:val="clear" w:color="auto" w:fill="C6EFCE"/>
            <w:noWrap/>
          </w:tcPr>
          <w:p w14:paraId="72866E6C" w14:textId="77777777" w:rsidR="003F46B9" w:rsidRDefault="0065662E">
            <w:pPr>
              <w:pStyle w:val="P68B1DB1-Normal5"/>
              <w:spacing w:after="0" w:line="240" w:lineRule="auto"/>
              <w:jc w:val="both"/>
              <w:rPr>
                <w:rFonts w:eastAsia="Times New Roman" w:cs="Times New Roman"/>
                <w:noProof/>
              </w:rPr>
            </w:pPr>
            <w:r>
              <w:rPr>
                <w:noProof/>
              </w:rPr>
              <w:t xml:space="preserve">Reforma 1. Pojednostavnjen i ažuriran regulatorni okvir za potporu provedbi ulaganja u prelazak na zelene i otporne zgrade </w:t>
            </w:r>
          </w:p>
        </w:tc>
        <w:tc>
          <w:tcPr>
            <w:tcW w:w="1275" w:type="dxa"/>
            <w:tcBorders>
              <w:top w:val="nil"/>
              <w:left w:val="single" w:sz="4" w:space="0" w:color="auto"/>
              <w:bottom w:val="single" w:sz="4" w:space="0" w:color="auto"/>
              <w:right w:val="single" w:sz="4" w:space="0" w:color="auto"/>
            </w:tcBorders>
            <w:shd w:val="clear" w:color="auto" w:fill="C6EFCE"/>
            <w:noWrap/>
          </w:tcPr>
          <w:p w14:paraId="2A47279C"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06C7679D" w14:textId="77777777" w:rsidR="003F46B9" w:rsidRDefault="0065662E">
            <w:pPr>
              <w:pStyle w:val="P68B1DB1-Normal5"/>
              <w:spacing w:after="0" w:line="240" w:lineRule="auto"/>
              <w:jc w:val="both"/>
              <w:rPr>
                <w:rFonts w:eastAsia="Times New Roman" w:cs="Times New Roman"/>
                <w:noProof/>
              </w:rPr>
            </w:pPr>
            <w:r>
              <w:rPr>
                <w:noProof/>
              </w:rPr>
              <w:t>Tehnički regulatorni okvir za ulaganja za prelazak na zelene i digitalne zgrade operativan je</w:t>
            </w:r>
          </w:p>
        </w:tc>
        <w:tc>
          <w:tcPr>
            <w:tcW w:w="1843" w:type="dxa"/>
            <w:tcBorders>
              <w:top w:val="nil"/>
              <w:left w:val="nil"/>
              <w:bottom w:val="single" w:sz="4" w:space="0" w:color="auto"/>
              <w:right w:val="single" w:sz="4" w:space="0" w:color="auto"/>
            </w:tcBorders>
            <w:shd w:val="clear" w:color="auto" w:fill="C6EFCE"/>
            <w:noWrap/>
          </w:tcPr>
          <w:p w14:paraId="2ADEA0A4" w14:textId="77777777" w:rsidR="003F46B9" w:rsidRDefault="0065662E">
            <w:pPr>
              <w:pStyle w:val="P68B1DB1-Normal5"/>
              <w:spacing w:after="0" w:line="240" w:lineRule="auto"/>
              <w:jc w:val="both"/>
              <w:rPr>
                <w:rFonts w:eastAsia="Times New Roman" w:cs="Times New Roman"/>
                <w:noProof/>
              </w:rPr>
            </w:pPr>
            <w:r>
              <w:rPr>
                <w:noProof/>
              </w:rPr>
              <w:t>Objava u Službenom listu</w:t>
            </w:r>
          </w:p>
        </w:tc>
        <w:tc>
          <w:tcPr>
            <w:tcW w:w="1134" w:type="dxa"/>
            <w:tcBorders>
              <w:top w:val="nil"/>
              <w:left w:val="nil"/>
              <w:bottom w:val="single" w:sz="4" w:space="0" w:color="auto"/>
              <w:right w:val="single" w:sz="4" w:space="0" w:color="auto"/>
            </w:tcBorders>
            <w:shd w:val="clear" w:color="auto" w:fill="C6EFCE"/>
            <w:noWrap/>
          </w:tcPr>
          <w:p w14:paraId="39C58CAB"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B254D5"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566D71FA"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FBA74AA"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6F1A665C"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62D5D7FF"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Tehnički regulatorni okvir uključuje sljedeće donesene i operativne smjernice:</w:t>
            </w:r>
            <w:r>
              <w:rPr>
                <w:noProof/>
              </w:rPr>
              <w:t xml:space="preserve"> </w:t>
            </w:r>
            <w:r>
              <w:rPr>
                <w:noProof/>
              </w:rPr>
              <w:br/>
            </w:r>
            <w:r>
              <w:rPr>
                <w:rFonts w:ascii="Times New Roman" w:hAnsi="Times New Roman"/>
                <w:noProof/>
                <w:sz w:val="24"/>
              </w:rPr>
              <w:t xml:space="preserve">1. „Smjernice za </w:t>
            </w:r>
            <w:r>
              <w:rPr>
                <w:rFonts w:ascii="Times New Roman" w:hAnsi="Times New Roman"/>
                <w:noProof/>
                <w:sz w:val="24"/>
              </w:rPr>
              <w:t>zgrade gotovo nulte energije” pružaju smjernice o tehničkoj provedbi zahtjeva za zgrade gotovo nulte energije kako bi se pružila potpora središnjim tijelima javne uprave odgovornima za praćenje provedbe zahtjeva za zgrade gotovo nulte energije. Smjernice u</w:t>
            </w:r>
            <w:r>
              <w:rPr>
                <w:rFonts w:ascii="Times New Roman" w:hAnsi="Times New Roman"/>
                <w:noProof/>
                <w:sz w:val="24"/>
              </w:rPr>
              <w:t xml:space="preserve">ključuju relevantne pokazatelje i mehanizme za njihovo prikupljanje i praćenje. </w:t>
            </w:r>
          </w:p>
          <w:p w14:paraId="40CC4627" w14:textId="77777777" w:rsidR="003F46B9" w:rsidRDefault="0065662E">
            <w:pPr>
              <w:pStyle w:val="P68B1DB1-Normal5"/>
              <w:spacing w:after="0" w:line="240" w:lineRule="auto"/>
              <w:jc w:val="both"/>
              <w:rPr>
                <w:rFonts w:eastAsia="Times New Roman" w:cs="Times New Roman"/>
                <w:noProof/>
              </w:rPr>
            </w:pPr>
            <w:r>
              <w:rPr>
                <w:noProof/>
              </w:rPr>
              <w:t>„Metodologijom neinvazivnog pristupa energetskoj učinkovitosti povijesnih zgrada” utvrđuju se standardi za postizanje uštede energije i resursne učinkovitosti za povijesne zgr</w:t>
            </w:r>
            <w:r>
              <w:rPr>
                <w:noProof/>
              </w:rPr>
              <w:t xml:space="preserve">ade bez utjecaja na njihovu arhitektonsku i povijesnu vrijednost. </w:t>
            </w:r>
          </w:p>
        </w:tc>
      </w:tr>
      <w:tr w:rsidR="003F46B9" w14:paraId="2BECEED0"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tcPr>
          <w:p w14:paraId="1E2D02BE" w14:textId="77777777" w:rsidR="003F46B9" w:rsidRDefault="0065662E">
            <w:pPr>
              <w:pStyle w:val="P68B1DB1-Normal5"/>
              <w:spacing w:after="0" w:line="240" w:lineRule="auto"/>
              <w:jc w:val="center"/>
              <w:rPr>
                <w:rFonts w:eastAsia="Times New Roman" w:cs="Times New Roman"/>
                <w:noProof/>
              </w:rPr>
            </w:pPr>
            <w:r>
              <w:rPr>
                <w:noProof/>
              </w:rPr>
              <w:t>92</w:t>
            </w:r>
          </w:p>
        </w:tc>
        <w:tc>
          <w:tcPr>
            <w:tcW w:w="1560" w:type="dxa"/>
            <w:tcBorders>
              <w:top w:val="nil"/>
              <w:left w:val="single" w:sz="4" w:space="0" w:color="auto"/>
              <w:bottom w:val="single" w:sz="4" w:space="0" w:color="auto"/>
              <w:right w:val="single" w:sz="4" w:space="0" w:color="auto"/>
            </w:tcBorders>
            <w:shd w:val="clear" w:color="auto" w:fill="C6EFCE"/>
            <w:noWrap/>
          </w:tcPr>
          <w:p w14:paraId="3FCEED3E" w14:textId="77777777" w:rsidR="003F46B9" w:rsidRDefault="0065662E">
            <w:pPr>
              <w:pStyle w:val="P68B1DB1-Normal5"/>
              <w:spacing w:after="0" w:line="240" w:lineRule="auto"/>
              <w:jc w:val="both"/>
              <w:rPr>
                <w:rFonts w:eastAsia="Times New Roman" w:cs="Times New Roman"/>
                <w:noProof/>
              </w:rPr>
            </w:pPr>
            <w:r>
              <w:rPr>
                <w:noProof/>
              </w:rPr>
              <w:t xml:space="preserve">Reforma 1. Pojednostavnjen i ažuriran regulatorni okvir za potporu provedbi ulaganja u prelazak na zelene i otporne zgrade </w:t>
            </w:r>
          </w:p>
        </w:tc>
        <w:tc>
          <w:tcPr>
            <w:tcW w:w="1275" w:type="dxa"/>
            <w:tcBorders>
              <w:top w:val="nil"/>
              <w:left w:val="single" w:sz="4" w:space="0" w:color="auto"/>
              <w:bottom w:val="single" w:sz="4" w:space="0" w:color="auto"/>
              <w:right w:val="single" w:sz="4" w:space="0" w:color="auto"/>
            </w:tcBorders>
            <w:shd w:val="clear" w:color="auto" w:fill="C6EFCE"/>
            <w:noWrap/>
          </w:tcPr>
          <w:p w14:paraId="0070428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6DB54188" w14:textId="77777777" w:rsidR="003F46B9" w:rsidRDefault="0065662E">
            <w:pPr>
              <w:pStyle w:val="P68B1DB1-Normal5"/>
              <w:spacing w:after="0" w:line="240" w:lineRule="auto"/>
              <w:jc w:val="both"/>
              <w:rPr>
                <w:rFonts w:eastAsia="Times New Roman" w:cs="Times New Roman"/>
                <w:noProof/>
              </w:rPr>
            </w:pPr>
            <w:r>
              <w:rPr>
                <w:noProof/>
              </w:rPr>
              <w:t>Skraćivanje rokova za izdavanje građevinskih dozvola</w:t>
            </w:r>
          </w:p>
        </w:tc>
        <w:tc>
          <w:tcPr>
            <w:tcW w:w="1843" w:type="dxa"/>
            <w:tcBorders>
              <w:top w:val="nil"/>
              <w:left w:val="nil"/>
              <w:bottom w:val="single" w:sz="4" w:space="0" w:color="auto"/>
              <w:right w:val="single" w:sz="4" w:space="0" w:color="auto"/>
            </w:tcBorders>
            <w:shd w:val="clear" w:color="auto" w:fill="C6EFCE"/>
            <w:noWrap/>
          </w:tcPr>
          <w:p w14:paraId="5D9FEE59"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nil"/>
              <w:left w:val="nil"/>
              <w:bottom w:val="single" w:sz="4" w:space="0" w:color="auto"/>
              <w:right w:val="single" w:sz="4" w:space="0" w:color="auto"/>
            </w:tcBorders>
            <w:shd w:val="clear" w:color="auto" w:fill="C6EFCE"/>
            <w:noWrap/>
          </w:tcPr>
          <w:p w14:paraId="5B87BFF2" w14:textId="77777777" w:rsidR="003F46B9" w:rsidRDefault="0065662E">
            <w:pPr>
              <w:pStyle w:val="P68B1DB1-Normal5"/>
              <w:spacing w:after="0" w:line="240" w:lineRule="auto"/>
              <w:rPr>
                <w:rFonts w:eastAsia="Times New Roman" w:cs="Times New Roman"/>
                <w:noProof/>
              </w:rPr>
            </w:pPr>
            <w:r>
              <w:rPr>
                <w:noProof/>
              </w:rPr>
              <w:t>Postotak (%)</w:t>
            </w:r>
          </w:p>
          <w:p w14:paraId="01DB8B2C"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E76CBCF"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nil"/>
              <w:left w:val="nil"/>
              <w:bottom w:val="single" w:sz="4" w:space="0" w:color="auto"/>
              <w:right w:val="single" w:sz="4" w:space="0" w:color="auto"/>
            </w:tcBorders>
            <w:shd w:val="clear" w:color="auto" w:fill="C6EFCE"/>
            <w:noWrap/>
          </w:tcPr>
          <w:p w14:paraId="0E75A038" w14:textId="77777777" w:rsidR="003F46B9" w:rsidRDefault="0065662E">
            <w:pPr>
              <w:pStyle w:val="P68B1DB1-Normal5"/>
              <w:spacing w:after="0" w:line="240" w:lineRule="auto"/>
              <w:jc w:val="both"/>
              <w:rPr>
                <w:rFonts w:eastAsia="Times New Roman" w:cs="Times New Roman"/>
                <w:noProof/>
              </w:rPr>
            </w:pPr>
            <w:r>
              <w:rPr>
                <w:noProof/>
              </w:rPr>
              <w:t>50</w:t>
            </w:r>
          </w:p>
        </w:tc>
        <w:tc>
          <w:tcPr>
            <w:tcW w:w="1134" w:type="dxa"/>
            <w:tcBorders>
              <w:top w:val="nil"/>
              <w:left w:val="single" w:sz="4" w:space="0" w:color="auto"/>
              <w:bottom w:val="single" w:sz="4" w:space="0" w:color="auto"/>
              <w:right w:val="single" w:sz="4" w:space="0" w:color="auto"/>
            </w:tcBorders>
            <w:shd w:val="clear" w:color="auto" w:fill="C6EFCE"/>
            <w:noWrap/>
          </w:tcPr>
          <w:p w14:paraId="51902A8E"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22BD7BDB" w14:textId="77777777" w:rsidR="003F46B9" w:rsidRDefault="0065662E">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5A45341C" w14:textId="77777777" w:rsidR="003F46B9" w:rsidRDefault="0065662E">
            <w:pPr>
              <w:pStyle w:val="P68B1DB1-Normal5"/>
              <w:spacing w:after="0" w:line="240" w:lineRule="auto"/>
              <w:jc w:val="both"/>
              <w:rPr>
                <w:rFonts w:eastAsia="Times New Roman" w:cs="Times New Roman"/>
                <w:noProof/>
              </w:rPr>
            </w:pPr>
            <w:r>
              <w:rPr>
                <w:noProof/>
              </w:rPr>
              <w:t xml:space="preserve">Smanjenje vremena potrebnog za izdavanje građevinskih dozvola relevantnih tijela za najmanje 50 % u odnosu na 2020., s 270 dana na 135 dana za cijeli postupak ishođenja građevinskih dozvola. </w:t>
            </w:r>
          </w:p>
        </w:tc>
      </w:tr>
      <w:tr w:rsidR="003F46B9" w14:paraId="2F93AE20"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3B9276D5" w14:textId="77777777" w:rsidR="003F46B9" w:rsidRDefault="0065662E">
            <w:pPr>
              <w:pStyle w:val="P68B1DB1-Normal5"/>
              <w:spacing w:after="0" w:line="240" w:lineRule="auto"/>
              <w:jc w:val="center"/>
              <w:rPr>
                <w:rFonts w:eastAsia="Times New Roman" w:cs="Times New Roman"/>
                <w:noProof/>
              </w:rPr>
            </w:pPr>
            <w:r>
              <w:rPr>
                <w:noProof/>
              </w:rPr>
              <w:t>93</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CE597FA" w14:textId="77777777" w:rsidR="003F46B9" w:rsidRDefault="0065662E">
            <w:pPr>
              <w:pStyle w:val="P68B1DB1-Normal5"/>
              <w:spacing w:after="0" w:line="240" w:lineRule="auto"/>
              <w:jc w:val="both"/>
              <w:rPr>
                <w:rFonts w:eastAsia="Times New Roman" w:cs="Times New Roman"/>
                <w:noProof/>
              </w:rPr>
            </w:pPr>
            <w:r>
              <w:rPr>
                <w:noProof/>
              </w:rPr>
              <w:t>Reforma 2. Strateški, zakonodavni i postupovni okvir za potporu otpornosti zgrada na potrese</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F04406B"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hideMark/>
          </w:tcPr>
          <w:p w14:paraId="3128003F" w14:textId="7E1B6F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Donošenje i provedba nacionalne strategije za smanjenje rizika od potresa za seizmičku prilagodbu postojećeg fonda zgrada. </w:t>
            </w:r>
            <w:r>
              <w:rPr>
                <w:noProof/>
              </w:rPr>
              <w:br/>
              <w:t xml:space="preserve"> </w:t>
            </w:r>
            <w:r>
              <w:rPr>
                <w:noProof/>
              </w:rPr>
              <w:br/>
            </w:r>
          </w:p>
        </w:tc>
        <w:tc>
          <w:tcPr>
            <w:tcW w:w="1843" w:type="dxa"/>
            <w:tcBorders>
              <w:top w:val="nil"/>
              <w:left w:val="nil"/>
              <w:bottom w:val="single" w:sz="4" w:space="0" w:color="auto"/>
              <w:right w:val="single" w:sz="4" w:space="0" w:color="auto"/>
            </w:tcBorders>
            <w:shd w:val="clear" w:color="auto" w:fill="C6EFCE"/>
            <w:noWrap/>
            <w:hideMark/>
          </w:tcPr>
          <w:p w14:paraId="669E2D47" w14:textId="77777777" w:rsidR="003F46B9" w:rsidRDefault="0065662E">
            <w:pPr>
              <w:pStyle w:val="P68B1DB1-Normal5"/>
              <w:spacing w:after="0" w:line="240" w:lineRule="auto"/>
              <w:jc w:val="both"/>
              <w:rPr>
                <w:rFonts w:eastAsia="Times New Roman" w:cs="Times New Roman"/>
                <w:noProof/>
              </w:rPr>
            </w:pPr>
            <w:r>
              <w:rPr>
                <w:noProof/>
              </w:rPr>
              <w:t xml:space="preserve">Vlada donosi nacionalnu </w:t>
            </w:r>
            <w:r>
              <w:rPr>
                <w:noProof/>
              </w:rPr>
              <w:t>strategiju za smanjenje rizika od potresa.</w:t>
            </w:r>
          </w:p>
          <w:p w14:paraId="5D3BE611" w14:textId="77777777" w:rsidR="003F46B9" w:rsidRDefault="003F46B9">
            <w:pPr>
              <w:spacing w:after="0" w:line="240" w:lineRule="auto"/>
              <w:jc w:val="both"/>
              <w:rPr>
                <w:rFonts w:ascii="Times New Roman" w:eastAsia="Times New Roman" w:hAnsi="Times New Roman" w:cs="Times New Roman"/>
                <w:noProof/>
                <w:sz w:val="24"/>
              </w:rPr>
            </w:pPr>
          </w:p>
          <w:p w14:paraId="5DF5FBE1" w14:textId="77777777" w:rsidR="003F46B9" w:rsidRDefault="003F46B9">
            <w:pPr>
              <w:spacing w:after="0" w:line="240" w:lineRule="auto"/>
              <w:jc w:val="both"/>
              <w:rPr>
                <w:rFonts w:ascii="Times New Roman" w:eastAsia="Times New Roman" w:hAnsi="Times New Roman" w:cs="Times New Roman"/>
                <w:noProof/>
                <w:sz w:val="24"/>
              </w:rPr>
            </w:pPr>
          </w:p>
          <w:p w14:paraId="40CCE18C" w14:textId="77777777" w:rsidR="003F46B9" w:rsidRDefault="0065662E">
            <w:pPr>
              <w:spacing w:after="0" w:line="240" w:lineRule="auto"/>
              <w:jc w:val="both"/>
              <w:rPr>
                <w:rFonts w:ascii="Times New Roman" w:eastAsia="Times New Roman" w:hAnsi="Times New Roman" w:cs="Times New Roman"/>
                <w:strike/>
                <w:noProof/>
                <w:sz w:val="24"/>
              </w:rPr>
            </w:pPr>
            <w:r>
              <w:rPr>
                <w:noProof/>
              </w:rPr>
              <w:t xml:space="preserve"> </w:t>
            </w:r>
            <w:r>
              <w:rPr>
                <w:noProof/>
              </w:rPr>
              <w:br/>
            </w:r>
          </w:p>
        </w:tc>
        <w:tc>
          <w:tcPr>
            <w:tcW w:w="1418" w:type="dxa"/>
            <w:tcBorders>
              <w:top w:val="nil"/>
              <w:left w:val="nil"/>
              <w:bottom w:val="single" w:sz="4" w:space="0" w:color="auto"/>
              <w:right w:val="single" w:sz="4" w:space="0" w:color="auto"/>
            </w:tcBorders>
            <w:shd w:val="clear" w:color="auto" w:fill="C6EFCE"/>
            <w:noWrap/>
            <w:hideMark/>
          </w:tcPr>
          <w:p w14:paraId="0EF5868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7C3704F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0" w:type="dxa"/>
            <w:tcBorders>
              <w:top w:val="nil"/>
              <w:left w:val="nil"/>
              <w:bottom w:val="single" w:sz="4" w:space="0" w:color="auto"/>
              <w:right w:val="single" w:sz="4" w:space="0" w:color="auto"/>
            </w:tcBorders>
            <w:shd w:val="clear" w:color="auto" w:fill="C6EFCE"/>
            <w:noWrap/>
            <w:hideMark/>
          </w:tcPr>
          <w:p w14:paraId="65C677B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09EB3DE3"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hideMark/>
          </w:tcPr>
          <w:p w14:paraId="20B1ECDB"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4D85AA8" w14:textId="77777777" w:rsidR="003F46B9" w:rsidRDefault="0065662E">
            <w:pPr>
              <w:pStyle w:val="P68B1DB1-Normal5"/>
              <w:spacing w:after="0" w:line="240" w:lineRule="auto"/>
              <w:jc w:val="both"/>
              <w:rPr>
                <w:rFonts w:eastAsia="Times New Roman" w:cs="Times New Roman"/>
                <w:noProof/>
              </w:rPr>
            </w:pPr>
            <w:r>
              <w:rPr>
                <w:noProof/>
              </w:rPr>
              <w:t>Strategijom se utvrđuju kriteriji za davanje prednosti ulaganjima u smanjenje rizika od potresa za postojeći fond zgrada na temelju razine rizika od potresa za zgrade i zajednic</w:t>
            </w:r>
            <w:r>
              <w:rPr>
                <w:noProof/>
              </w:rPr>
              <w:t xml:space="preserve">e te koristi od mjera za smanjenje rizika. </w:t>
            </w:r>
            <w:bookmarkStart w:id="5" w:name="_Hlk77254549"/>
          </w:p>
          <w:bookmarkEnd w:id="5"/>
          <w:p w14:paraId="5B1ADBB6" w14:textId="77777777" w:rsidR="003F46B9" w:rsidRDefault="0065662E">
            <w:pPr>
              <w:pStyle w:val="P68B1DB1-Normal5"/>
              <w:spacing w:after="0" w:line="240" w:lineRule="auto"/>
              <w:jc w:val="both"/>
              <w:rPr>
                <w:rFonts w:eastAsia="Times New Roman" w:cs="Times New Roman"/>
                <w:noProof/>
              </w:rPr>
            </w:pPr>
            <w:r>
              <w:rPr>
                <w:noProof/>
              </w:rPr>
              <w:t xml:space="preserve">Uvođenje metodologije brze vizualne procjene za drugu razinu procjene seizmičkih rizika pridonosi skraćivanju vremena potrebnog za učinkovito dovršenje određivanja prioriteta intervencija fonda zgrada na temelju </w:t>
            </w:r>
            <w:r>
              <w:rPr>
                <w:noProof/>
              </w:rPr>
              <w:t xml:space="preserve">podataka o ranjivostima s nekoliko godina na nekoliko mjeseci. </w:t>
            </w:r>
          </w:p>
          <w:p w14:paraId="306BB88C" w14:textId="77777777" w:rsidR="003F46B9" w:rsidRDefault="0065662E">
            <w:pPr>
              <w:pStyle w:val="P68B1DB1-Normal5"/>
              <w:spacing w:after="0" w:line="240" w:lineRule="auto"/>
              <w:jc w:val="both"/>
              <w:rPr>
                <w:rFonts w:eastAsia="Times New Roman" w:cs="Times New Roman"/>
                <w:noProof/>
              </w:rPr>
            </w:pPr>
            <w:r>
              <w:rPr>
                <w:noProof/>
              </w:rPr>
              <w:t xml:space="preserve">Komisija uzima u obzir mjere predložene u dugoročnoj strategiji obnove razvojem obveznog integriranog vodiča za intervencije. </w:t>
            </w:r>
          </w:p>
        </w:tc>
      </w:tr>
      <w:tr w:rsidR="003F46B9" w14:paraId="10DFB0DD" w14:textId="77777777">
        <w:trPr>
          <w:trHeight w:val="309"/>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4F8BBE3E" w14:textId="77777777" w:rsidR="003F46B9" w:rsidRDefault="0065662E">
            <w:pPr>
              <w:pStyle w:val="P68B1DB1-Normal5"/>
              <w:spacing w:after="0" w:line="240" w:lineRule="auto"/>
              <w:jc w:val="center"/>
              <w:rPr>
                <w:rFonts w:eastAsia="Times New Roman" w:cs="Times New Roman"/>
                <w:noProof/>
              </w:rPr>
            </w:pPr>
            <w:r>
              <w:rPr>
                <w:noProof/>
              </w:rPr>
              <w:t>94</w:t>
            </w:r>
          </w:p>
        </w:tc>
        <w:tc>
          <w:tcPr>
            <w:tcW w:w="1560" w:type="dxa"/>
            <w:tcBorders>
              <w:top w:val="nil"/>
              <w:left w:val="single" w:sz="4" w:space="0" w:color="auto"/>
              <w:bottom w:val="single" w:sz="4" w:space="0" w:color="auto"/>
              <w:right w:val="single" w:sz="4" w:space="0" w:color="auto"/>
            </w:tcBorders>
            <w:shd w:val="clear" w:color="auto" w:fill="C6EFCE"/>
            <w:noWrap/>
          </w:tcPr>
          <w:p w14:paraId="3F0E2857" w14:textId="77777777" w:rsidR="003F46B9" w:rsidRDefault="0065662E">
            <w:pPr>
              <w:pStyle w:val="P68B1DB1-Normal5"/>
              <w:spacing w:after="0" w:line="240" w:lineRule="auto"/>
              <w:jc w:val="both"/>
              <w:rPr>
                <w:rFonts w:eastAsia="Times New Roman" w:cs="Times New Roman"/>
                <w:noProof/>
              </w:rPr>
            </w:pPr>
            <w:r>
              <w:rPr>
                <w:noProof/>
              </w:rPr>
              <w:t xml:space="preserve">Reforma 2. Strateški, zakonodavni </w:t>
            </w:r>
            <w:r>
              <w:rPr>
                <w:noProof/>
              </w:rPr>
              <w:t xml:space="preserve">i postupovni okvir za potporu otpornosti zgrada na potrese </w:t>
            </w:r>
          </w:p>
        </w:tc>
        <w:tc>
          <w:tcPr>
            <w:tcW w:w="1275" w:type="dxa"/>
            <w:tcBorders>
              <w:top w:val="nil"/>
              <w:left w:val="single" w:sz="4" w:space="0" w:color="auto"/>
              <w:bottom w:val="single" w:sz="4" w:space="0" w:color="auto"/>
              <w:right w:val="single" w:sz="4" w:space="0" w:color="auto"/>
            </w:tcBorders>
            <w:shd w:val="clear" w:color="auto" w:fill="C6EFCE"/>
            <w:noWrap/>
          </w:tcPr>
          <w:p w14:paraId="1D2E66F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18304DD9"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Stupanje na snagu novog zakona o smanjenju rizika od potresa u zgradama</w:t>
            </w:r>
            <w:r>
              <w:rPr>
                <w:noProof/>
              </w:rPr>
              <w:t xml:space="preserve"> </w:t>
            </w:r>
            <w:r>
              <w:rPr>
                <w:noProof/>
              </w:rPr>
              <w:br/>
            </w:r>
          </w:p>
        </w:tc>
        <w:tc>
          <w:tcPr>
            <w:tcW w:w="1843" w:type="dxa"/>
            <w:tcBorders>
              <w:top w:val="nil"/>
              <w:left w:val="nil"/>
              <w:bottom w:val="single" w:sz="4" w:space="0" w:color="auto"/>
              <w:right w:val="single" w:sz="4" w:space="0" w:color="auto"/>
            </w:tcBorders>
            <w:shd w:val="clear" w:color="auto" w:fill="C6EFCE"/>
            <w:noWrap/>
          </w:tcPr>
          <w:p w14:paraId="102741F2"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Zakonska odredba o stupanju na snagu novog zakona o smanjenju rizika od potresa u zgradama</w:t>
            </w:r>
            <w:r>
              <w:rPr>
                <w:noProof/>
              </w:rPr>
              <w:t xml:space="preserve"> </w:t>
            </w:r>
            <w:r>
              <w:rPr>
                <w:noProof/>
              </w:rPr>
              <w:br/>
            </w:r>
          </w:p>
        </w:tc>
        <w:tc>
          <w:tcPr>
            <w:tcW w:w="1418" w:type="dxa"/>
            <w:tcBorders>
              <w:top w:val="nil"/>
              <w:left w:val="nil"/>
              <w:bottom w:val="single" w:sz="4" w:space="0" w:color="auto"/>
              <w:right w:val="single" w:sz="4" w:space="0" w:color="auto"/>
            </w:tcBorders>
            <w:shd w:val="clear" w:color="auto" w:fill="C6EFCE"/>
            <w:noWrap/>
          </w:tcPr>
          <w:p w14:paraId="4D1998A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026AA0"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nil"/>
              <w:left w:val="nil"/>
              <w:bottom w:val="single" w:sz="4" w:space="0" w:color="auto"/>
              <w:right w:val="single" w:sz="4" w:space="0" w:color="auto"/>
            </w:tcBorders>
            <w:shd w:val="clear" w:color="auto" w:fill="C6EFCE"/>
            <w:noWrap/>
          </w:tcPr>
          <w:p w14:paraId="79C17727"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0E051D1D" w14:textId="77777777" w:rsidR="003F46B9" w:rsidRDefault="0065662E">
            <w:pPr>
              <w:pStyle w:val="P68B1DB1-Normal5"/>
              <w:spacing w:after="0" w:line="240" w:lineRule="auto"/>
              <w:jc w:val="both"/>
              <w:rPr>
                <w:rFonts w:eastAsia="Times New Roman" w:cs="Times New Roman"/>
                <w:noProof/>
              </w:rPr>
            </w:pPr>
            <w:r>
              <w:rPr>
                <w:noProof/>
              </w:rPr>
              <w:t>ČETVRTO TROMJE</w:t>
            </w:r>
            <w:r>
              <w:rPr>
                <w:noProof/>
              </w:rPr>
              <w:t>SEČJE</w:t>
            </w:r>
          </w:p>
        </w:tc>
        <w:tc>
          <w:tcPr>
            <w:tcW w:w="851" w:type="dxa"/>
            <w:tcBorders>
              <w:top w:val="nil"/>
              <w:left w:val="nil"/>
              <w:bottom w:val="single" w:sz="4" w:space="0" w:color="auto"/>
              <w:right w:val="single" w:sz="4" w:space="0" w:color="auto"/>
            </w:tcBorders>
            <w:shd w:val="clear" w:color="auto" w:fill="C6EFCE"/>
            <w:noWrap/>
          </w:tcPr>
          <w:p w14:paraId="753AA471"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65C38B1E" w14:textId="77777777" w:rsidR="003F46B9" w:rsidRDefault="0065662E">
            <w:pPr>
              <w:pStyle w:val="P68B1DB1-Normal5"/>
              <w:spacing w:after="0" w:line="240" w:lineRule="auto"/>
              <w:jc w:val="both"/>
              <w:rPr>
                <w:rFonts w:eastAsia="Times New Roman" w:cs="Times New Roman"/>
                <w:noProof/>
              </w:rPr>
            </w:pPr>
            <w:r>
              <w:rPr>
                <w:noProof/>
              </w:rPr>
              <w:t xml:space="preserve">Stupanje na snagu novog zakona o smanjenju rizika od potresa u zgradama. Zakonom su obuhvaćene sljedeće radnje: </w:t>
            </w:r>
          </w:p>
          <w:p w14:paraId="19BCF8B5"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uključiti višegodišnji pristup za naknadnu ugradnju postojećeg fonda zgrada</w:t>
            </w:r>
          </w:p>
          <w:p w14:paraId="019E066F"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uvrstiti na popis prihvatljivih osoba; troškovi različit</w:t>
            </w:r>
            <w:r>
              <w:rPr>
                <w:noProof/>
              </w:rPr>
              <w:t>ih prihvatljivih vrsta radova potrebnih za povećanje energetske učinkovitosti;</w:t>
            </w:r>
          </w:p>
          <w:p w14:paraId="26697929"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proširiti program na javne zgrade zajedno sa stambenim zgradama s više obitelji;</w:t>
            </w:r>
          </w:p>
          <w:p w14:paraId="3759F383"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uvesti seizmički razred RsII među prihvatljivim kriterijima, zajedno sa seizmičkim razredom istr</w:t>
            </w:r>
            <w:r>
              <w:rPr>
                <w:noProof/>
              </w:rPr>
              <w:t>aživanja i inovacija.</w:t>
            </w:r>
          </w:p>
        </w:tc>
      </w:tr>
      <w:tr w:rsidR="003F46B9" w14:paraId="538C6EC4"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7090B5FF" w14:textId="77777777" w:rsidR="003F46B9" w:rsidRDefault="0065662E">
            <w:pPr>
              <w:pStyle w:val="P68B1DB1-Normal5"/>
              <w:spacing w:after="0" w:line="240" w:lineRule="auto"/>
              <w:jc w:val="center"/>
              <w:rPr>
                <w:rFonts w:eastAsia="Times New Roman" w:cs="Times New Roman"/>
                <w:noProof/>
              </w:rPr>
            </w:pPr>
            <w:r>
              <w:rPr>
                <w:noProof/>
              </w:rPr>
              <w:t>95</w:t>
            </w:r>
          </w:p>
        </w:tc>
        <w:tc>
          <w:tcPr>
            <w:tcW w:w="1560" w:type="dxa"/>
            <w:tcBorders>
              <w:top w:val="nil"/>
              <w:left w:val="single" w:sz="4" w:space="0" w:color="auto"/>
              <w:bottom w:val="single" w:sz="4" w:space="0" w:color="auto"/>
              <w:right w:val="single" w:sz="4" w:space="0" w:color="auto"/>
            </w:tcBorders>
            <w:shd w:val="clear" w:color="auto" w:fill="C6EFCE"/>
            <w:noWrap/>
            <w:hideMark/>
          </w:tcPr>
          <w:p w14:paraId="7AA2DBD0"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hideMark/>
          </w:tcPr>
          <w:p w14:paraId="54D7B538"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2500C84"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Uspostava nacionalnog programa potpore za energetsku i učinkovitu obnovu i integriranu obnovu </w:t>
            </w:r>
            <w:r>
              <w:rPr>
                <w:rFonts w:ascii="Times New Roman" w:hAnsi="Times New Roman"/>
                <w:noProof/>
                <w:sz w:val="24"/>
              </w:rPr>
              <w:t>(seizmička konsolidacija i energetska učinkovitost) višeobiteljskih stambenih zgrada</w:t>
            </w:r>
            <w:r>
              <w:rPr>
                <w:noProof/>
              </w:rPr>
              <w:t xml:space="preserve"> </w:t>
            </w:r>
            <w:r>
              <w:rPr>
                <w:noProof/>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FD28BB" w14:textId="77777777" w:rsidR="003F46B9" w:rsidRDefault="0065662E">
            <w:pPr>
              <w:pStyle w:val="P68B1DB1-Normal5"/>
              <w:spacing w:after="0" w:line="240" w:lineRule="auto"/>
              <w:jc w:val="both"/>
              <w:rPr>
                <w:rFonts w:eastAsia="Times New Roman" w:cs="Times New Roman"/>
                <w:noProof/>
              </w:rPr>
            </w:pPr>
            <w:r>
              <w:rPr>
                <w:noProof/>
              </w:rPr>
              <w:t>Objava ministarske odluke kojom se uspostavlja program financiranja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22103C5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3E6B39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24854CC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28DE3CD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70D1BF53"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39A5D993" w14:textId="3410DEDD" w:rsidR="003F46B9" w:rsidRDefault="0065662E">
            <w:pPr>
              <w:pStyle w:val="P68B1DB1-Normal5"/>
              <w:spacing w:after="0" w:line="240" w:lineRule="auto"/>
              <w:jc w:val="both"/>
              <w:rPr>
                <w:rFonts w:eastAsia="Times New Roman" w:cs="Times New Roman"/>
                <w:noProof/>
              </w:rPr>
            </w:pPr>
            <w:r>
              <w:rPr>
                <w:noProof/>
              </w:rPr>
              <w:t>Programom se financira energetska obnova najmanje 3,2 milijuna m² stambenih z</w:t>
            </w:r>
            <w:r>
              <w:rPr>
                <w:noProof/>
              </w:rPr>
              <w:t xml:space="preserve">grada. </w:t>
            </w:r>
          </w:p>
          <w:p w14:paraId="2A98B126" w14:textId="77777777" w:rsidR="003F46B9" w:rsidRDefault="0065662E">
            <w:pPr>
              <w:pStyle w:val="P68B1DB1-Normal5"/>
              <w:spacing w:after="0" w:line="240" w:lineRule="auto"/>
              <w:jc w:val="both"/>
              <w:rPr>
                <w:rFonts w:eastAsia="Times New Roman" w:cs="Times New Roman"/>
                <w:noProof/>
              </w:rPr>
            </w:pPr>
            <w:r>
              <w:rPr>
                <w:noProof/>
              </w:rPr>
              <w:t>Programom se financiraju sljedeće vrste projekata:</w:t>
            </w:r>
          </w:p>
          <w:p w14:paraId="3ED0C2FD"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 xml:space="preserve">integrirani projekti (seizmička konsolidacija i energetska učinkovitost); </w:t>
            </w:r>
          </w:p>
          <w:p w14:paraId="69D548FC"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 xml:space="preserve">projekti energetske obnove. </w:t>
            </w:r>
          </w:p>
          <w:p w14:paraId="365DED06" w14:textId="77777777" w:rsidR="003F46B9" w:rsidRDefault="0065662E">
            <w:pPr>
              <w:pStyle w:val="P68B1DB1-Normal5"/>
              <w:spacing w:after="0" w:line="240" w:lineRule="auto"/>
              <w:jc w:val="both"/>
              <w:rPr>
                <w:rFonts w:eastAsia="Times New Roman" w:cs="Times New Roman"/>
                <w:noProof/>
              </w:rPr>
            </w:pPr>
            <w:r>
              <w:rPr>
                <w:noProof/>
              </w:rPr>
              <w:t>Sustavom financiranja osigurava se da se najmanje 90 % ukupnih dodijeljenih sredstava koristi</w:t>
            </w:r>
            <w:r>
              <w:rPr>
                <w:noProof/>
              </w:rPr>
              <w:t xml:space="preserve"> za radove u području energetske učinkovitosti, a najviše 10 % dodijeljenih sredstava za seizmičku konsolidaciju i druge dopunske radove (kao što su zaštita od požara, pristupačnost). </w:t>
            </w:r>
          </w:p>
          <w:p w14:paraId="4C5AD439" w14:textId="77777777" w:rsidR="003F46B9" w:rsidRDefault="0065662E">
            <w:pPr>
              <w:pStyle w:val="P68B1DB1-Normal5"/>
              <w:spacing w:after="0" w:line="240" w:lineRule="auto"/>
              <w:jc w:val="both"/>
              <w:rPr>
                <w:rFonts w:eastAsia="Times New Roman" w:cs="Times New Roman"/>
                <w:noProof/>
              </w:rPr>
            </w:pPr>
            <w:bookmarkStart w:id="6" w:name="_Hlk79745330"/>
            <w:r>
              <w:rPr>
                <w:noProof/>
              </w:rPr>
              <w:t>Cjelokupnim programom osigurava se da se svim ugovorima ispunjava relev</w:t>
            </w:r>
            <w:r>
              <w:rPr>
                <w:noProof/>
              </w:rPr>
              <w:t xml:space="preserve">antni zahtjev energetske učinkovitosti u pogledu minimalnog smanjenja potrošnje energije za najmanje 50 % u usporedbi s godišnjom potrošnjom energije za grijanje prije obnove za svaku zgradu (osim za zgradu sa statusom kulturnog dobra), kojom se osigurava </w:t>
            </w:r>
            <w:r>
              <w:rPr>
                <w:noProof/>
              </w:rPr>
              <w:t>minimalno 30 % (umjerena obnova) i 60 % (dubinska obnova) uštede potražnje za primarnom energijom u usporedbi sa stanjem prije obnove i u skladu s Tehničkim smjernicama o nenanošenju bitne štete (2021/C58/01).</w:t>
            </w:r>
            <w:bookmarkEnd w:id="6"/>
          </w:p>
        </w:tc>
      </w:tr>
      <w:tr w:rsidR="003F46B9" w14:paraId="07A12550"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D8229CC" w14:textId="77777777" w:rsidR="003F46B9" w:rsidRDefault="0065662E">
            <w:pPr>
              <w:pStyle w:val="P68B1DB1-Normal5"/>
              <w:spacing w:after="0" w:line="240" w:lineRule="auto"/>
              <w:jc w:val="center"/>
              <w:rPr>
                <w:rFonts w:eastAsia="Times New Roman" w:cs="Times New Roman"/>
                <w:noProof/>
              </w:rPr>
            </w:pPr>
            <w:r>
              <w:rPr>
                <w:noProof/>
              </w:rPr>
              <w:t>96</w:t>
            </w:r>
          </w:p>
        </w:tc>
        <w:tc>
          <w:tcPr>
            <w:tcW w:w="1560" w:type="dxa"/>
            <w:tcBorders>
              <w:top w:val="nil"/>
              <w:left w:val="single" w:sz="4" w:space="0" w:color="auto"/>
              <w:bottom w:val="single" w:sz="4" w:space="0" w:color="auto"/>
              <w:right w:val="single" w:sz="4" w:space="0" w:color="auto"/>
            </w:tcBorders>
            <w:shd w:val="clear" w:color="auto" w:fill="C6EFCE"/>
            <w:noWrap/>
            <w:hideMark/>
          </w:tcPr>
          <w:p w14:paraId="158A53B9" w14:textId="77777777" w:rsidR="003F46B9" w:rsidRDefault="0065662E">
            <w:pPr>
              <w:pStyle w:val="P68B1DB1-Normal5"/>
              <w:spacing w:after="0" w:line="240" w:lineRule="auto"/>
              <w:jc w:val="both"/>
              <w:rPr>
                <w:rFonts w:eastAsia="Times New Roman" w:cs="Times New Roman"/>
                <w:noProof/>
              </w:rPr>
            </w:pPr>
            <w:r>
              <w:rPr>
                <w:noProof/>
              </w:rPr>
              <w:t xml:space="preserve">Ulaganje 1. Uspostava fonda za val </w:t>
            </w:r>
            <w:r>
              <w:rPr>
                <w:noProof/>
              </w:rPr>
              <w:t>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hideMark/>
          </w:tcPr>
          <w:p w14:paraId="76BAA729"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71ABD09E"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Uspostava nacionalnog programa potpore za energetsku obnovu i integriranu obnovu (seizmička konsolidacija i energetska učinkovitost) za javne zgrade)</w:t>
            </w:r>
            <w:r>
              <w:rPr>
                <w:noProof/>
              </w:rPr>
              <w:t xml:space="preserve"> </w:t>
            </w:r>
            <w:r>
              <w:rPr>
                <w:noProof/>
              </w:rPr>
              <w:br/>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76F3FFF" w14:textId="77777777" w:rsidR="003F46B9" w:rsidRDefault="0065662E">
            <w:pPr>
              <w:pStyle w:val="P68B1DB1-Normal5"/>
              <w:spacing w:after="0" w:line="240" w:lineRule="auto"/>
              <w:jc w:val="both"/>
              <w:rPr>
                <w:rFonts w:eastAsia="Times New Roman" w:cs="Times New Roman"/>
                <w:noProof/>
              </w:rPr>
            </w:pPr>
            <w:r>
              <w:rPr>
                <w:noProof/>
              </w:rPr>
              <w:t>Objava odluke o uspostavi sustava </w:t>
            </w:r>
          </w:p>
        </w:tc>
        <w:tc>
          <w:tcPr>
            <w:tcW w:w="1418" w:type="dxa"/>
            <w:tcBorders>
              <w:top w:val="single" w:sz="4" w:space="0" w:color="auto"/>
              <w:left w:val="nil"/>
              <w:bottom w:val="single" w:sz="4" w:space="0" w:color="auto"/>
              <w:right w:val="single" w:sz="4" w:space="0" w:color="auto"/>
            </w:tcBorders>
            <w:shd w:val="clear" w:color="auto" w:fill="C6EFCE"/>
            <w:noWrap/>
            <w:hideMark/>
          </w:tcPr>
          <w:p w14:paraId="31F70A8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14:paraId="6D5CB92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0" w:type="dxa"/>
            <w:tcBorders>
              <w:top w:val="single" w:sz="4" w:space="0" w:color="auto"/>
              <w:left w:val="nil"/>
              <w:bottom w:val="single" w:sz="4" w:space="0" w:color="auto"/>
              <w:right w:val="single" w:sz="4" w:space="0" w:color="auto"/>
            </w:tcBorders>
            <w:shd w:val="clear" w:color="auto" w:fill="C6EFCE"/>
            <w:noWrap/>
            <w:hideMark/>
          </w:tcPr>
          <w:p w14:paraId="19382FF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single" w:sz="4" w:space="0" w:color="auto"/>
              <w:bottom w:val="single" w:sz="4" w:space="0" w:color="auto"/>
              <w:right w:val="single" w:sz="4" w:space="0" w:color="auto"/>
            </w:tcBorders>
            <w:shd w:val="clear" w:color="auto" w:fill="C6EFCE"/>
            <w:noWrap/>
            <w:hideMark/>
          </w:tcPr>
          <w:p w14:paraId="1B95CB8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5CAD28D2"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7A03DE05" w14:textId="0642A5FF" w:rsidR="003F46B9" w:rsidRDefault="0065662E">
            <w:pPr>
              <w:pStyle w:val="P68B1DB1-Normal5"/>
              <w:spacing w:after="0" w:line="240" w:lineRule="auto"/>
              <w:jc w:val="both"/>
              <w:rPr>
                <w:rFonts w:eastAsia="Times New Roman" w:cs="Times New Roman"/>
                <w:noProof/>
              </w:rPr>
            </w:pPr>
            <w:r>
              <w:rPr>
                <w:noProof/>
              </w:rPr>
              <w:t>Programom se financira energetska obnova zgrada javnog sektora od najmanje 1,8 milijuna m². Programom se osiguravaju sljedeće vrste projekata:</w:t>
            </w:r>
          </w:p>
          <w:p w14:paraId="01696EF0"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 xml:space="preserve">integrirani projekti (seizmička konsolidacija i energetska učinkovitost) </w:t>
            </w:r>
          </w:p>
          <w:p w14:paraId="44D1B040"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projekti energetske obnove.</w:t>
            </w:r>
          </w:p>
          <w:p w14:paraId="3B635088" w14:textId="77777777" w:rsidR="003F46B9" w:rsidRDefault="0065662E">
            <w:pPr>
              <w:pStyle w:val="P68B1DB1-Normal5"/>
              <w:spacing w:after="0" w:line="240" w:lineRule="auto"/>
              <w:jc w:val="both"/>
              <w:rPr>
                <w:rFonts w:eastAsia="Times New Roman" w:cs="Times New Roman"/>
                <w:noProof/>
              </w:rPr>
            </w:pPr>
            <w:r>
              <w:rPr>
                <w:noProof/>
              </w:rPr>
              <w:t>Sustavom financiranja osigurava se da se najmanje 90 % ukupnih dodijeljenih sredstava koristi za radove u području energetske učinkovitosti, a najviše 10 </w:t>
            </w:r>
            <w:r>
              <w:rPr>
                <w:noProof/>
              </w:rPr>
              <w:t>% dodijeljenih sredstava za seizmičku konsolidaciju i druge dopunske radove (kao što su zaštita od požara, pristupačnost).</w:t>
            </w:r>
          </w:p>
          <w:p w14:paraId="6C154912" w14:textId="77777777" w:rsidR="003F46B9" w:rsidRDefault="0065662E">
            <w:pPr>
              <w:pStyle w:val="P68B1DB1-Normal5"/>
              <w:spacing w:after="0" w:line="240" w:lineRule="auto"/>
              <w:jc w:val="both"/>
              <w:rPr>
                <w:rFonts w:eastAsia="Times New Roman" w:cs="Times New Roman"/>
                <w:noProof/>
              </w:rPr>
            </w:pPr>
            <w:bookmarkStart w:id="7" w:name="_Hlk79753549"/>
            <w:r>
              <w:rPr>
                <w:noProof/>
              </w:rPr>
              <w:t>Cjelokupnim programom osigurava se da se svim ugovorima ispunjava relevantni zahtjev energetske učinkovitosti u pogledu minimalnog sm</w:t>
            </w:r>
            <w:r>
              <w:rPr>
                <w:noProof/>
              </w:rPr>
              <w:t>anjenja potrošnje energije za najmanje 50 % u usporedbi s godišnjom potrošnjom energije za grijanje prije obnove za svaku zgradu (osim za zgradu sa statusom kulturnog dobra), kojom se osigurava minimalno 30 % (umjerena obnova) i 60 % (dubinska obnova) ušte</w:t>
            </w:r>
            <w:r>
              <w:rPr>
                <w:noProof/>
              </w:rPr>
              <w:t>de potražnje za primarnom energijom u usporedbi sa stanjem prije obnove i u skladu s Tehničkim smjernicama „ne nanosi bitnu štetu” (2021/C58/01).</w:t>
            </w:r>
            <w:bookmarkEnd w:id="7"/>
          </w:p>
        </w:tc>
      </w:tr>
      <w:tr w:rsidR="003F46B9" w14:paraId="50DC05BB"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4C212595" w14:textId="77777777" w:rsidR="003F46B9" w:rsidRDefault="0065662E">
            <w:pPr>
              <w:pStyle w:val="P68B1DB1-Normal5"/>
              <w:spacing w:after="0" w:line="240" w:lineRule="auto"/>
              <w:jc w:val="center"/>
              <w:rPr>
                <w:rFonts w:eastAsia="Times New Roman" w:cs="Times New Roman"/>
                <w:noProof/>
              </w:rPr>
            </w:pPr>
            <w:r>
              <w:rPr>
                <w:noProof/>
              </w:rPr>
              <w:t>97</w:t>
            </w:r>
          </w:p>
        </w:tc>
        <w:tc>
          <w:tcPr>
            <w:tcW w:w="1560" w:type="dxa"/>
            <w:tcBorders>
              <w:top w:val="nil"/>
              <w:left w:val="single" w:sz="4" w:space="0" w:color="auto"/>
              <w:bottom w:val="single" w:sz="4" w:space="0" w:color="auto"/>
              <w:right w:val="single" w:sz="4" w:space="0" w:color="auto"/>
            </w:tcBorders>
            <w:shd w:val="clear" w:color="auto" w:fill="C6EFCE"/>
            <w:noWrap/>
            <w:hideMark/>
          </w:tcPr>
          <w:p w14:paraId="2EABB5D3"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w:t>
            </w:r>
            <w:r>
              <w:rPr>
                <w:noProof/>
              </w:rPr>
              <w:t>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hideMark/>
          </w:tcPr>
          <w:p w14:paraId="0C6B1A53"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03DD9E40" w14:textId="77777777" w:rsidR="003F46B9" w:rsidRDefault="0065662E">
            <w:pPr>
              <w:pStyle w:val="P68B1DB1-Normal5"/>
              <w:spacing w:after="0" w:line="240" w:lineRule="auto"/>
              <w:jc w:val="both"/>
              <w:rPr>
                <w:rFonts w:eastAsia="Times New Roman" w:cs="Times New Roman"/>
                <w:noProof/>
              </w:rPr>
            </w:pPr>
            <w:r>
              <w:rPr>
                <w:noProof/>
              </w:rPr>
              <w:t>Pozivi na podnošenje prijedloga za obnovu radi povećanja energetske učinkovitosti i integriranu obnovu (seizmička konsolidacija i energetska učinkovitost) stambenih zgrada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14:paraId="680CA449" w14:textId="77777777" w:rsidR="003F46B9" w:rsidRDefault="0065662E">
            <w:pPr>
              <w:pStyle w:val="P68B1DB1-Normal5"/>
              <w:spacing w:after="0" w:line="240" w:lineRule="auto"/>
              <w:jc w:val="both"/>
              <w:rPr>
                <w:rFonts w:eastAsia="Times New Roman" w:cs="Times New Roman"/>
                <w:noProof/>
              </w:rPr>
            </w:pPr>
            <w:r>
              <w:rPr>
                <w:noProof/>
              </w:rPr>
              <w:t>Objava specifikacija poziva</w:t>
            </w:r>
          </w:p>
        </w:tc>
        <w:tc>
          <w:tcPr>
            <w:tcW w:w="1418" w:type="dxa"/>
            <w:tcBorders>
              <w:top w:val="single" w:sz="4" w:space="0" w:color="auto"/>
              <w:left w:val="nil"/>
              <w:bottom w:val="single" w:sz="4" w:space="0" w:color="auto"/>
              <w:right w:val="single" w:sz="4" w:space="0" w:color="auto"/>
            </w:tcBorders>
            <w:shd w:val="clear" w:color="auto" w:fill="C6EFCE"/>
            <w:noWrap/>
            <w:hideMark/>
          </w:tcPr>
          <w:p w14:paraId="480776B6"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hideMark/>
          </w:tcPr>
          <w:p w14:paraId="6161F710"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hideMark/>
          </w:tcPr>
          <w:p w14:paraId="064FFD94"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hideMark/>
          </w:tcPr>
          <w:p w14:paraId="45BFC54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hideMark/>
          </w:tcPr>
          <w:p w14:paraId="6900C6BB"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hideMark/>
          </w:tcPr>
          <w:p w14:paraId="5DD4D0C5" w14:textId="77777777" w:rsidR="003F46B9" w:rsidRDefault="0065662E">
            <w:pPr>
              <w:pStyle w:val="P68B1DB1-Normal5"/>
              <w:spacing w:after="0" w:line="240" w:lineRule="auto"/>
              <w:jc w:val="both"/>
              <w:rPr>
                <w:rFonts w:eastAsia="Times New Roman" w:cs="Times New Roman"/>
                <w:noProof/>
              </w:rPr>
            </w:pPr>
            <w:r>
              <w:rPr>
                <w:noProof/>
              </w:rPr>
              <w:t xml:space="preserve">Ministarstvo razvoja, javnih radova i uprave objavit će sljedeća tri poziva na podnošenje prijedloga za energetsku obnovu i integriranu obnovu stambenih zgrada (seizmička konsolidacija i energetska učinkovitost): </w:t>
            </w:r>
          </w:p>
          <w:p w14:paraId="4859F16E"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poziv na podnošenje integriranih pro</w:t>
            </w:r>
            <w:r>
              <w:rPr>
                <w:noProof/>
              </w:rPr>
              <w:t>jekata u kojima se intervencije za seizmičku konsolidaciju provode na integriran način s onima namijenjenima povećanju energetske učinkovitosti. Poziv je namijenjen lokalnim upravnim jedinicama koje se nalaze u područjima u kojima je vršna vrijednost ubrza</w:t>
            </w:r>
            <w:r>
              <w:rPr>
                <w:noProof/>
              </w:rPr>
              <w:t>nja tla za potres a(g), prema zoniranskoj karti rumunjskog državnog područja iz Kodeksa seizmičkog dizajna P100 – 1 veća ili jednaka 0,2 g za IMR = 25 godina. Specifikacija poziva zahtijeva davanje prednosti zajednicama izloženima riziku od siromaštva i so</w:t>
            </w:r>
            <w:r>
              <w:rPr>
                <w:noProof/>
              </w:rPr>
              <w:t>cijalne isključenosti.</w:t>
            </w:r>
          </w:p>
          <w:p w14:paraId="3D8FD6F6"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poziv na projekte energetske obnove namijenjene zajednicama izloženima riziku od siromaštva i socijalne isključenosti s proračunom od najmanje 20 % dodijeljenih sredstava za ulaganje 1, os 1 koja odgovaraju energetskoj učinkovitosti.</w:t>
            </w:r>
            <w:r>
              <w:rPr>
                <w:noProof/>
              </w:rPr>
              <w:t xml:space="preserve"> </w:t>
            </w:r>
          </w:p>
          <w:p w14:paraId="52367894"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 xml:space="preserve">poziv na projekte teritorijalne energetske obnove otvorene za sve lokalne upravne jedinice, uključujući šest sektora Bukurešta po županiji prema broju višeobiteljskih stambenih zgrada i stanovništvu županije. </w:t>
            </w:r>
          </w:p>
          <w:p w14:paraId="0EBC9E1C" w14:textId="77777777" w:rsidR="003F46B9" w:rsidRDefault="0065662E">
            <w:pPr>
              <w:pStyle w:val="P68B1DB1-Normal5"/>
              <w:spacing w:after="0" w:line="240" w:lineRule="auto"/>
              <w:jc w:val="both"/>
              <w:rPr>
                <w:rFonts w:eastAsia="Times New Roman" w:cs="Times New Roman"/>
                <w:noProof/>
              </w:rPr>
            </w:pPr>
            <w:r>
              <w:rPr>
                <w:noProof/>
              </w:rPr>
              <w:t>Zgrade koje su razvrstane u razrede rizika o</w:t>
            </w:r>
            <w:r>
              <w:rPr>
                <w:noProof/>
              </w:rPr>
              <w:t>d potresa RsI i RsII isključuju se za ugovore o energetskoj učinkovitosti dodijeljene u drugom i trećem pozivu.</w:t>
            </w:r>
          </w:p>
          <w:p w14:paraId="750A5190" w14:textId="77777777" w:rsidR="003F46B9" w:rsidRDefault="0065662E">
            <w:pPr>
              <w:pStyle w:val="P68B1DB1-Normal5"/>
              <w:spacing w:after="0" w:line="240" w:lineRule="auto"/>
              <w:jc w:val="both"/>
              <w:rPr>
                <w:rFonts w:eastAsia="Times New Roman" w:cs="Times New Roman"/>
                <w:noProof/>
              </w:rPr>
            </w:pPr>
            <w:r>
              <w:rPr>
                <w:noProof/>
              </w:rPr>
              <w:t>Sva tri poziva na podnošenje prijedloga uključuju kriterije odabira kojima se propisuje da se u svim ugovorima navodi relevantni zahtjev energet</w:t>
            </w:r>
            <w:r>
              <w:rPr>
                <w:noProof/>
              </w:rPr>
              <w:t>ske učinkovitosti za minimalno smanjenje potrošnje energije za grijanje za najmanje 50 % u usporedbi s godišnjom potrošnjom energije za grijanje prije obnove za svaku zgradu (osim za zgradu sa statusom kulturnog dobra), čime se ostvaruje ušteda primarne en</w:t>
            </w:r>
            <w:r>
              <w:rPr>
                <w:noProof/>
              </w:rPr>
              <w:t>ergije od najmanje 30 % u usporedbi sa stanjem prije obnove (umjerena obnova). U okviru trećeg poziva zahtijeva se da se 10 % proračuna potroši na projekte kojima se ostvaruje ušteda primarne energije od najmanje 60 % (dubinska obnova) u usporedbi sa stanj</w:t>
            </w:r>
            <w:r>
              <w:rPr>
                <w:noProof/>
              </w:rPr>
              <w:t xml:space="preserve">em prije obnove. </w:t>
            </w:r>
          </w:p>
          <w:p w14:paraId="27E806C3" w14:textId="77777777" w:rsidR="003F46B9" w:rsidRDefault="0065662E">
            <w:pPr>
              <w:pStyle w:val="P68B1DB1-Normal5"/>
              <w:spacing w:after="0" w:line="240" w:lineRule="auto"/>
              <w:jc w:val="both"/>
              <w:rPr>
                <w:rFonts w:eastAsia="Times New Roman" w:cs="Times New Roman"/>
                <w:noProof/>
              </w:rPr>
            </w:pPr>
            <w:r>
              <w:rPr>
                <w:noProof/>
              </w:rPr>
              <w:t xml:space="preserve">Ulaganje ne obuhvaća zamjenu plinskih kotlova. </w:t>
            </w:r>
          </w:p>
          <w:p w14:paraId="0B582DA7" w14:textId="77777777" w:rsidR="003F46B9" w:rsidRDefault="0065662E">
            <w:pPr>
              <w:pStyle w:val="P68B1DB1-Normal5"/>
              <w:spacing w:after="0" w:line="240" w:lineRule="auto"/>
              <w:jc w:val="both"/>
              <w:rPr>
                <w:rFonts w:eastAsia="Times New Roman" w:cs="Times New Roman"/>
                <w:noProof/>
              </w:rPr>
            </w:pPr>
            <w:r>
              <w:rPr>
                <w:noProof/>
              </w:rPr>
              <w:t>Ako sredstva ostanu neugovorena nakon prvog kruga, preostala sredstva stavljaju se na raspolaganje pod istim uvjetima svim lokalnim upravnim jedinicama prema redoslijedu prijave.</w:t>
            </w:r>
          </w:p>
        </w:tc>
      </w:tr>
      <w:tr w:rsidR="003F46B9" w14:paraId="41E2D905"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3D4BB44" w14:textId="77777777" w:rsidR="003F46B9" w:rsidRDefault="0065662E">
            <w:pPr>
              <w:pStyle w:val="P68B1DB1-Normal5"/>
              <w:spacing w:after="0" w:line="240" w:lineRule="auto"/>
              <w:jc w:val="center"/>
              <w:rPr>
                <w:rFonts w:eastAsia="Times New Roman" w:cs="Times New Roman"/>
                <w:noProof/>
              </w:rPr>
            </w:pPr>
            <w:r>
              <w:rPr>
                <w:noProof/>
              </w:rPr>
              <w:t>98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320DB7F"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učinkovitosti postojećeg fonda zgrada</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0E916F08"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nil"/>
              <w:bottom w:val="single" w:sz="4" w:space="0" w:color="auto"/>
              <w:right w:val="single" w:sz="4" w:space="0" w:color="auto"/>
            </w:tcBorders>
            <w:shd w:val="clear" w:color="auto" w:fill="C6EFCE"/>
            <w:noWrap/>
          </w:tcPr>
          <w:p w14:paraId="7C5D3BDA" w14:textId="77777777" w:rsidR="003F46B9" w:rsidRDefault="0065662E">
            <w:pPr>
              <w:pStyle w:val="P68B1DB1-Normal5"/>
              <w:spacing w:after="0" w:line="240" w:lineRule="auto"/>
              <w:jc w:val="both"/>
              <w:rPr>
                <w:rFonts w:eastAsia="Times New Roman" w:cs="Times New Roman"/>
                <w:noProof/>
              </w:rPr>
            </w:pPr>
            <w:r>
              <w:rPr>
                <w:noProof/>
              </w:rPr>
              <w:t>Poziv na podnošenje prijedloga za obnovu radi povećanja energetske učinkovitosti i integriranu obnovu (seizmička ko</w:t>
            </w:r>
            <w:r>
              <w:rPr>
                <w:noProof/>
              </w:rPr>
              <w:t>nsolidacija i energetska učinkovitost) (javne zgrade)</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1FCE1202" w14:textId="77777777" w:rsidR="003F46B9" w:rsidRDefault="0065662E">
            <w:pPr>
              <w:pStyle w:val="P68B1DB1-Normal5"/>
              <w:spacing w:after="0" w:line="240" w:lineRule="auto"/>
              <w:jc w:val="both"/>
              <w:rPr>
                <w:rFonts w:eastAsia="Times New Roman" w:cs="Times New Roman"/>
                <w:noProof/>
              </w:rPr>
            </w:pPr>
            <w:r>
              <w:rPr>
                <w:noProof/>
              </w:rPr>
              <w:t>Objava specifikacija poziva</w:t>
            </w:r>
          </w:p>
        </w:tc>
        <w:tc>
          <w:tcPr>
            <w:tcW w:w="1418" w:type="dxa"/>
            <w:tcBorders>
              <w:top w:val="single" w:sz="4" w:space="0" w:color="auto"/>
              <w:left w:val="nil"/>
              <w:bottom w:val="single" w:sz="4" w:space="0" w:color="auto"/>
              <w:right w:val="single" w:sz="4" w:space="0" w:color="auto"/>
            </w:tcBorders>
            <w:shd w:val="clear" w:color="auto" w:fill="C6EFCE"/>
            <w:noWrap/>
          </w:tcPr>
          <w:p w14:paraId="3F959B4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9732113"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00C8C2C7"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0E4FCD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5BC4DF48"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AB6B951" w14:textId="77777777" w:rsidR="003F46B9" w:rsidRDefault="0065662E">
            <w:pPr>
              <w:pStyle w:val="P68B1DB1-Normal5"/>
              <w:spacing w:after="0" w:line="240" w:lineRule="auto"/>
              <w:jc w:val="both"/>
              <w:rPr>
                <w:rFonts w:eastAsia="Times New Roman" w:cs="Times New Roman"/>
                <w:noProof/>
              </w:rPr>
            </w:pPr>
            <w:r>
              <w:rPr>
                <w:noProof/>
              </w:rPr>
              <w:t xml:space="preserve">Pozivi na podnošenje prijedloga koje je objavilo Ministarstvo razvoja, javnih radova i uprave za energetsku obnovu i integriranu obnovu (seizmička </w:t>
            </w:r>
            <w:r>
              <w:rPr>
                <w:noProof/>
              </w:rPr>
              <w:t>konsolidacija i energetska učinkovitost) javnih zgrada za zelenu i otpornu tranziciju:</w:t>
            </w:r>
          </w:p>
          <w:p w14:paraId="3EF026A7"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poziv na podnošenje integriranih projekata u kojima se intervencije seizmičke konsolidacije provode na integriran način s onima posvećenima povećanju energetske učinkovi</w:t>
            </w:r>
            <w:r>
              <w:rPr>
                <w:noProof/>
              </w:rPr>
              <w:t>tosti. Poziv je namijenjen lokalnim upravnim jedinicama koje se nalaze u područjima u kojima je vršna vrijednost ubrzanja tla za potres a(g), prema zoniranskoj karti rumunjskog državnog područja iz Kodeksa seizmičkog dizajna P100 – 1 veća ili jednaka 0,2 g</w:t>
            </w:r>
            <w:r>
              <w:rPr>
                <w:noProof/>
              </w:rPr>
              <w:t xml:space="preserve"> za IMR = 25 godina. </w:t>
            </w:r>
          </w:p>
          <w:p w14:paraId="1E07A06C" w14:textId="77777777" w:rsidR="003F46B9" w:rsidRDefault="0065662E">
            <w:pPr>
              <w:pStyle w:val="P68B1DB1-ListParagraph13"/>
              <w:numPr>
                <w:ilvl w:val="0"/>
                <w:numId w:val="46"/>
              </w:numPr>
              <w:spacing w:after="0" w:line="240" w:lineRule="auto"/>
              <w:ind w:left="178" w:hanging="218"/>
              <w:jc w:val="both"/>
              <w:rPr>
                <w:rFonts w:eastAsia="Times New Roman" w:cs="Times New Roman"/>
                <w:noProof/>
              </w:rPr>
            </w:pPr>
            <w:r>
              <w:rPr>
                <w:noProof/>
              </w:rPr>
              <w:t xml:space="preserve">poziv na umjerenu (80 %) i dubinsku (20 %) energetsku obnovu projekata energetske obnove namijenjenih središnjim javnim tijelima, okružnim vijećima, općinama okružnog sjedišta i drugim općinama, uključujući šest sektora Bukurešta. </w:t>
            </w:r>
          </w:p>
          <w:p w14:paraId="25A21B37" w14:textId="77777777" w:rsidR="003F46B9" w:rsidRDefault="0065662E">
            <w:pPr>
              <w:pStyle w:val="P68B1DB1-Normal5"/>
              <w:spacing w:after="0" w:line="240" w:lineRule="auto"/>
              <w:jc w:val="both"/>
              <w:rPr>
                <w:rFonts w:eastAsia="Times New Roman" w:cs="Times New Roman"/>
                <w:noProof/>
              </w:rPr>
            </w:pPr>
            <w:r>
              <w:rPr>
                <w:noProof/>
              </w:rPr>
              <w:t>Zg</w:t>
            </w:r>
            <w:r>
              <w:rPr>
                <w:noProof/>
              </w:rPr>
              <w:t>rade razvrstane u razrede rizika od potresa RsI i RsII isključuju se iz ugovora dodijeljenih u drugom pozivu.</w:t>
            </w:r>
          </w:p>
          <w:p w14:paraId="56FAC780" w14:textId="77777777" w:rsidR="003F46B9" w:rsidRDefault="0065662E">
            <w:pPr>
              <w:pStyle w:val="P68B1DB1-Normal5"/>
              <w:spacing w:after="0" w:line="240" w:lineRule="auto"/>
              <w:jc w:val="both"/>
              <w:rPr>
                <w:rFonts w:eastAsia="Times New Roman" w:cs="Times New Roman"/>
                <w:noProof/>
              </w:rPr>
            </w:pPr>
            <w:r>
              <w:rPr>
                <w:noProof/>
              </w:rPr>
              <w:t>Dva poziva na podnošenje prijedloga uključuju kriterije odabira kojima se propisuje da se u svim ugovorima navodi relevantni zahtjev energetske uč</w:t>
            </w:r>
            <w:r>
              <w:rPr>
                <w:noProof/>
              </w:rPr>
              <w:t>inkovitosti za minimalno smanjenje potrošnje energije za grijanje za najmanje 50 % u usporedbi s godišnjom potrošnjom energije za grijanje prije obnove za svaku zgradu (osim za zgradu sa statusom kulturnog dobra), čime se ostvaruje ušteda primarne energije</w:t>
            </w:r>
            <w:r>
              <w:rPr>
                <w:noProof/>
              </w:rPr>
              <w:t xml:space="preserve"> od najmanje 30 % (umjerena obnova) u odnosu na stanje prije obnove. U drugom pozivu zahtijeva se da se 20 % proračuna potroši na projekte kojima se ostvaruje ušteda primarne energije od najmanje 60 % (dubinska obnova) u usporedbi sa stanjem prije obnove.</w:t>
            </w:r>
          </w:p>
          <w:p w14:paraId="6DC44E04" w14:textId="77777777" w:rsidR="003F46B9" w:rsidRDefault="0065662E">
            <w:pPr>
              <w:pStyle w:val="P68B1DB1-Normal5"/>
              <w:spacing w:after="0" w:line="240" w:lineRule="auto"/>
              <w:jc w:val="both"/>
              <w:rPr>
                <w:rFonts w:eastAsia="Times New Roman" w:cs="Times New Roman"/>
                <w:noProof/>
              </w:rPr>
            </w:pPr>
            <w:r>
              <w:rPr>
                <w:noProof/>
              </w:rPr>
              <w:t>Ulaganja ne obuhvaćaju zamjenu plinskih kotlova.</w:t>
            </w:r>
          </w:p>
          <w:p w14:paraId="1EF1EB76" w14:textId="77777777" w:rsidR="003F46B9" w:rsidRDefault="0065662E">
            <w:pPr>
              <w:pStyle w:val="P68B1DB1-Normal5"/>
              <w:spacing w:before="120" w:after="0" w:line="240" w:lineRule="auto"/>
              <w:jc w:val="both"/>
              <w:rPr>
                <w:rFonts w:eastAsia="Times New Roman" w:cs="Times New Roman"/>
                <w:noProof/>
              </w:rPr>
            </w:pPr>
            <w:r>
              <w:rPr>
                <w:noProof/>
              </w:rPr>
              <w:t>Ako sredstva ostanu neugovorena nakon prvog kruga, preostala sredstva pod istim se uvjetima stavljaju na raspolaganje svim općinama po redoslijedu prijave.</w:t>
            </w:r>
          </w:p>
        </w:tc>
      </w:tr>
      <w:tr w:rsidR="003F46B9" w14:paraId="226D802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6AC75C6" w14:textId="77777777" w:rsidR="003F46B9" w:rsidRDefault="0065662E">
            <w:pPr>
              <w:pStyle w:val="P68B1DB1-Normal5"/>
              <w:spacing w:after="0" w:line="240" w:lineRule="auto"/>
              <w:jc w:val="center"/>
              <w:rPr>
                <w:rFonts w:eastAsia="Times New Roman" w:cs="Times New Roman"/>
                <w:noProof/>
              </w:rPr>
            </w:pPr>
            <w:r>
              <w:rPr>
                <w:noProof/>
              </w:rPr>
              <w:t>99</w:t>
            </w:r>
          </w:p>
        </w:tc>
        <w:tc>
          <w:tcPr>
            <w:tcW w:w="1560" w:type="dxa"/>
            <w:tcBorders>
              <w:top w:val="nil"/>
              <w:left w:val="single" w:sz="4" w:space="0" w:color="auto"/>
              <w:bottom w:val="single" w:sz="4" w:space="0" w:color="auto"/>
              <w:right w:val="single" w:sz="4" w:space="0" w:color="auto"/>
            </w:tcBorders>
            <w:shd w:val="clear" w:color="auto" w:fill="C6EFCE"/>
            <w:noWrap/>
          </w:tcPr>
          <w:p w14:paraId="112F086C"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w:t>
            </w:r>
            <w:r>
              <w:rPr>
                <w:noProof/>
              </w:rPr>
              <w:t>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5462C26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BC86824"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obnovu radi povećanja energetske učinkovitosti i integriranu obnovu (seizmička konsolidacija i energetska učinkovitost) stambenih </w:t>
            </w:r>
            <w:r>
              <w:rPr>
                <w:noProof/>
              </w:rPr>
              <w:t>zgrada</w:t>
            </w:r>
          </w:p>
        </w:tc>
        <w:tc>
          <w:tcPr>
            <w:tcW w:w="1843" w:type="dxa"/>
            <w:tcBorders>
              <w:top w:val="single" w:sz="4" w:space="0" w:color="auto"/>
              <w:left w:val="nil"/>
              <w:bottom w:val="single" w:sz="4" w:space="0" w:color="auto"/>
              <w:right w:val="single" w:sz="4" w:space="0" w:color="auto"/>
            </w:tcBorders>
            <w:shd w:val="clear" w:color="auto" w:fill="C6EFCE"/>
            <w:noWrap/>
          </w:tcPr>
          <w:p w14:paraId="025029EA"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418" w:type="dxa"/>
            <w:tcBorders>
              <w:top w:val="single" w:sz="4" w:space="0" w:color="auto"/>
              <w:left w:val="nil"/>
              <w:bottom w:val="single" w:sz="4" w:space="0" w:color="auto"/>
              <w:right w:val="single" w:sz="4" w:space="0" w:color="auto"/>
            </w:tcBorders>
            <w:shd w:val="clear" w:color="auto" w:fill="C6EFCE"/>
            <w:noWrap/>
          </w:tcPr>
          <w:p w14:paraId="58649ACC"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6936512"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7F992FAA"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2C67B94"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037FA91F"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5387C142" w14:textId="77777777" w:rsidR="003F46B9" w:rsidRDefault="0065662E">
            <w:pPr>
              <w:pStyle w:val="P68B1DB1-Normal5"/>
              <w:spacing w:after="0" w:line="240" w:lineRule="auto"/>
              <w:jc w:val="both"/>
              <w:rPr>
                <w:rFonts w:eastAsia="Times New Roman" w:cs="Times New Roman"/>
                <w:noProof/>
              </w:rPr>
            </w:pPr>
            <w:r>
              <w:rPr>
                <w:noProof/>
              </w:rPr>
              <w:t>Potpisivanje ugovora o obnovi radi povećanja energetske učinkovitosti i integriranoj obnovi (seizmička konsolidacija i energetska učinkovitost) za prelazak na zelene i otporne zgrade (stambene zgrade)</w:t>
            </w:r>
            <w:r>
              <w:rPr>
                <w:noProof/>
              </w:rPr>
              <w:t xml:space="preserve"> provodi se u skladu s uvjetima ključnih etapa 95 i 97.</w:t>
            </w:r>
          </w:p>
          <w:p w14:paraId="1A0DE742"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01D7B5CB"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DD951D2" w14:textId="77777777" w:rsidR="003F46B9" w:rsidRDefault="0065662E">
            <w:pPr>
              <w:pStyle w:val="P68B1DB1-Normal5"/>
              <w:spacing w:after="0" w:line="240" w:lineRule="auto"/>
              <w:jc w:val="center"/>
              <w:rPr>
                <w:rFonts w:eastAsia="Times New Roman" w:cs="Times New Roman"/>
                <w:noProof/>
              </w:rPr>
            </w:pPr>
            <w:r>
              <w:rPr>
                <w:noProof/>
              </w:rPr>
              <w:t>100</w:t>
            </w:r>
          </w:p>
        </w:tc>
        <w:tc>
          <w:tcPr>
            <w:tcW w:w="1560" w:type="dxa"/>
            <w:tcBorders>
              <w:top w:val="nil"/>
              <w:left w:val="single" w:sz="4" w:space="0" w:color="auto"/>
              <w:bottom w:val="single" w:sz="4" w:space="0" w:color="auto"/>
              <w:right w:val="single" w:sz="4" w:space="0" w:color="auto"/>
            </w:tcBorders>
            <w:shd w:val="clear" w:color="auto" w:fill="C6EFCE"/>
            <w:noWrap/>
          </w:tcPr>
          <w:p w14:paraId="7524CB57"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1F99B19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663E6709"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obnovu radi povećanja </w:t>
            </w:r>
            <w:r>
              <w:rPr>
                <w:noProof/>
              </w:rPr>
              <w:t>energetske učinkovitosti i integriranu obnovu (seizmička konsolidacija i energetska učinkovitost) za javne zgrade</w:t>
            </w:r>
          </w:p>
        </w:tc>
        <w:tc>
          <w:tcPr>
            <w:tcW w:w="1843" w:type="dxa"/>
            <w:tcBorders>
              <w:top w:val="single" w:sz="4" w:space="0" w:color="auto"/>
              <w:left w:val="nil"/>
              <w:bottom w:val="single" w:sz="4" w:space="0" w:color="auto"/>
              <w:right w:val="single" w:sz="4" w:space="0" w:color="auto"/>
            </w:tcBorders>
            <w:shd w:val="clear" w:color="auto" w:fill="C6EFCE"/>
            <w:noWrap/>
          </w:tcPr>
          <w:p w14:paraId="0303B02C"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418" w:type="dxa"/>
            <w:tcBorders>
              <w:top w:val="single" w:sz="4" w:space="0" w:color="auto"/>
              <w:left w:val="nil"/>
              <w:bottom w:val="single" w:sz="4" w:space="0" w:color="auto"/>
              <w:right w:val="single" w:sz="4" w:space="0" w:color="auto"/>
            </w:tcBorders>
            <w:shd w:val="clear" w:color="auto" w:fill="C6EFCE"/>
            <w:noWrap/>
          </w:tcPr>
          <w:p w14:paraId="3F8A2AAD"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2940C83"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74B0CA04"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3D42DFC8"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498FDDE3" w14:textId="77777777" w:rsidR="003F46B9" w:rsidRDefault="0065662E">
            <w:pPr>
              <w:pStyle w:val="P68B1DB1-Normal5"/>
              <w:spacing w:after="0" w:line="240" w:lineRule="auto"/>
              <w:jc w:val="both"/>
              <w:rPr>
                <w:rFonts w:eastAsia="Times New Roman" w:cs="Times New Roman"/>
                <w:noProof/>
              </w:rPr>
            </w:pPr>
            <w:r>
              <w:rPr>
                <w:noProof/>
              </w:rPr>
              <w:t>2022</w:t>
            </w:r>
          </w:p>
        </w:tc>
        <w:tc>
          <w:tcPr>
            <w:tcW w:w="1418" w:type="dxa"/>
            <w:tcBorders>
              <w:top w:val="nil"/>
              <w:left w:val="single" w:sz="4" w:space="0" w:color="auto"/>
              <w:bottom w:val="single" w:sz="4" w:space="0" w:color="auto"/>
              <w:right w:val="single" w:sz="4" w:space="0" w:color="auto"/>
            </w:tcBorders>
            <w:shd w:val="clear" w:color="auto" w:fill="C6EFCE"/>
            <w:noWrap/>
          </w:tcPr>
          <w:p w14:paraId="2F402C53" w14:textId="77777777" w:rsidR="003F46B9" w:rsidRDefault="0065662E">
            <w:pPr>
              <w:pStyle w:val="P68B1DB1-Normal5"/>
              <w:spacing w:after="0" w:line="240" w:lineRule="auto"/>
              <w:jc w:val="both"/>
              <w:rPr>
                <w:rFonts w:eastAsia="Times New Roman" w:cs="Times New Roman"/>
                <w:noProof/>
              </w:rPr>
            </w:pPr>
            <w:r>
              <w:rPr>
                <w:noProof/>
              </w:rPr>
              <w:t>Potpisivanje ugovora o obnovi radi povećanja energetske učinkovitosti i integriranoj obnovi (</w:t>
            </w:r>
            <w:r>
              <w:rPr>
                <w:noProof/>
              </w:rPr>
              <w:t>seizmička konsolidacija i energetska učinkovitost) za prelazak na zelene i otporne zgrade (javne zgrade) provodi se u skladu s uvjetima ključnih etapa 96 i 98.</w:t>
            </w:r>
          </w:p>
          <w:p w14:paraId="4BF14458"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00D749A7"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B65EDB5" w14:textId="77777777" w:rsidR="003F46B9" w:rsidRDefault="0065662E">
            <w:pPr>
              <w:pStyle w:val="P68B1DB1-Normal5"/>
              <w:spacing w:after="0" w:line="240" w:lineRule="auto"/>
              <w:jc w:val="center"/>
              <w:rPr>
                <w:rFonts w:eastAsia="Times New Roman" w:cs="Times New Roman"/>
                <w:noProof/>
              </w:rPr>
            </w:pPr>
            <w:r>
              <w:rPr>
                <w:noProof/>
              </w:rPr>
              <w:t>101</w:t>
            </w:r>
          </w:p>
        </w:tc>
        <w:tc>
          <w:tcPr>
            <w:tcW w:w="1560" w:type="dxa"/>
            <w:tcBorders>
              <w:top w:val="nil"/>
              <w:left w:val="single" w:sz="4" w:space="0" w:color="auto"/>
              <w:bottom w:val="single" w:sz="4" w:space="0" w:color="auto"/>
              <w:right w:val="single" w:sz="4" w:space="0" w:color="auto"/>
            </w:tcBorders>
            <w:shd w:val="clear" w:color="auto" w:fill="C6EFCE"/>
            <w:noWrap/>
          </w:tcPr>
          <w:p w14:paraId="205D251B"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306539F4"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366D0182" w14:textId="77777777" w:rsidR="003F46B9" w:rsidRDefault="0065662E">
            <w:pPr>
              <w:pStyle w:val="P68B1DB1-Normal5"/>
              <w:spacing w:after="0" w:line="240" w:lineRule="auto"/>
              <w:jc w:val="both"/>
              <w:rPr>
                <w:rFonts w:eastAsia="Times New Roman" w:cs="Times New Roman"/>
                <w:noProof/>
              </w:rPr>
            </w:pPr>
            <w:r>
              <w:rPr>
                <w:noProof/>
              </w:rPr>
              <w:t xml:space="preserve">Završena energetska obnova višeobiteljskih stambenih zgrada </w:t>
            </w:r>
          </w:p>
        </w:tc>
        <w:tc>
          <w:tcPr>
            <w:tcW w:w="1843" w:type="dxa"/>
            <w:tcBorders>
              <w:top w:val="single" w:sz="4" w:space="0" w:color="auto"/>
              <w:left w:val="nil"/>
              <w:bottom w:val="single" w:sz="4" w:space="0" w:color="auto"/>
              <w:right w:val="single" w:sz="4" w:space="0" w:color="auto"/>
            </w:tcBorders>
            <w:shd w:val="clear" w:color="auto" w:fill="C6EFCE"/>
            <w:noWrap/>
          </w:tcPr>
          <w:p w14:paraId="0EDFB717"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377F9F2F" w14:textId="77777777" w:rsidR="003F46B9" w:rsidRDefault="0065662E">
            <w:pPr>
              <w:pStyle w:val="P68B1DB1-Normal5"/>
              <w:spacing w:after="0" w:line="240" w:lineRule="auto"/>
              <w:jc w:val="both"/>
              <w:rPr>
                <w:rFonts w:eastAsia="Times New Roman" w:cs="Times New Roman"/>
                <w:noProof/>
              </w:rPr>
            </w:pPr>
            <w:r>
              <w:rPr>
                <w:noProof/>
              </w:rPr>
              <w:t>Broj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360A9FE6"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50A4FB84" w14:textId="2FB03784" w:rsidR="003F46B9" w:rsidRDefault="0065662E">
            <w:pPr>
              <w:pStyle w:val="P68B1DB1-Normal5"/>
              <w:spacing w:after="0" w:line="240" w:lineRule="auto"/>
              <w:jc w:val="both"/>
              <w:rPr>
                <w:rFonts w:eastAsia="Times New Roman" w:cs="Times New Roman"/>
                <w:noProof/>
              </w:rPr>
            </w:pPr>
            <w:r>
              <w:rPr>
                <w:noProof/>
              </w:rPr>
              <w:t>2 050 865</w:t>
            </w:r>
          </w:p>
        </w:tc>
        <w:tc>
          <w:tcPr>
            <w:tcW w:w="1134" w:type="dxa"/>
            <w:tcBorders>
              <w:top w:val="nil"/>
              <w:left w:val="single" w:sz="4" w:space="0" w:color="auto"/>
              <w:bottom w:val="single" w:sz="4" w:space="0" w:color="auto"/>
              <w:right w:val="single" w:sz="4" w:space="0" w:color="auto"/>
            </w:tcBorders>
            <w:shd w:val="clear" w:color="auto" w:fill="C6EFCE"/>
            <w:noWrap/>
          </w:tcPr>
          <w:p w14:paraId="6451E34C" w14:textId="164E9C92"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3489CD7A" w14:textId="60D949CE" w:rsidR="003F46B9" w:rsidRDefault="0065662E">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59C8642" w14:textId="77777777" w:rsidR="003F46B9" w:rsidRDefault="0065662E">
            <w:pPr>
              <w:pStyle w:val="P68B1DB1-Normal5"/>
              <w:spacing w:after="0" w:line="240" w:lineRule="auto"/>
              <w:jc w:val="both"/>
              <w:rPr>
                <w:rFonts w:eastAsia="Times New Roman" w:cs="Times New Roman"/>
                <w:noProof/>
              </w:rPr>
            </w:pPr>
            <w:r>
              <w:rPr>
                <w:noProof/>
              </w:rPr>
              <w:t>En</w:t>
            </w:r>
            <w:r>
              <w:rPr>
                <w:noProof/>
              </w:rPr>
              <w:t>ergetska obnova stambenih zgrada u skladu s uvjetima iz ključnih etapa 95 i 97</w:t>
            </w:r>
          </w:p>
        </w:tc>
      </w:tr>
      <w:tr w:rsidR="003F46B9" w14:paraId="58D97D5C"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0AA55F" w14:textId="77777777" w:rsidR="003F46B9" w:rsidRDefault="0065662E">
            <w:pPr>
              <w:pStyle w:val="P68B1DB1-Normal5"/>
              <w:spacing w:after="0" w:line="240" w:lineRule="auto"/>
              <w:jc w:val="center"/>
              <w:rPr>
                <w:rFonts w:eastAsia="Times New Roman" w:cs="Times New Roman"/>
                <w:noProof/>
              </w:rPr>
            </w:pPr>
            <w:r>
              <w:rPr>
                <w:noProof/>
              </w:rPr>
              <w:t>103</w:t>
            </w:r>
          </w:p>
        </w:tc>
        <w:tc>
          <w:tcPr>
            <w:tcW w:w="1560" w:type="dxa"/>
            <w:tcBorders>
              <w:top w:val="nil"/>
              <w:left w:val="single" w:sz="4" w:space="0" w:color="auto"/>
              <w:bottom w:val="single" w:sz="4" w:space="0" w:color="auto"/>
              <w:right w:val="single" w:sz="4" w:space="0" w:color="auto"/>
            </w:tcBorders>
            <w:shd w:val="clear" w:color="auto" w:fill="C6EFCE"/>
            <w:noWrap/>
          </w:tcPr>
          <w:p w14:paraId="2576EA35" w14:textId="77777777" w:rsidR="003F46B9" w:rsidRDefault="0065662E">
            <w:pPr>
              <w:pStyle w:val="P68B1DB1-Normal5"/>
              <w:spacing w:after="0" w:line="240" w:lineRule="auto"/>
              <w:jc w:val="both"/>
              <w:rPr>
                <w:rFonts w:eastAsia="Times New Roman" w:cs="Times New Roman"/>
                <w:noProof/>
              </w:rPr>
            </w:pPr>
            <w:r>
              <w:rPr>
                <w:noProof/>
              </w:rPr>
              <w:t>Ulaganje 1. Uspostava fonda za val 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5E03ABAC"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4DDDDD12" w14:textId="77777777" w:rsidR="003F46B9" w:rsidRDefault="0065662E">
            <w:pPr>
              <w:pStyle w:val="P68B1DB1-Normal5"/>
              <w:spacing w:after="0" w:line="240" w:lineRule="auto"/>
              <w:jc w:val="both"/>
              <w:rPr>
                <w:rFonts w:eastAsia="Times New Roman" w:cs="Times New Roman"/>
                <w:noProof/>
              </w:rPr>
            </w:pPr>
            <w:r>
              <w:rPr>
                <w:noProof/>
              </w:rPr>
              <w:t>Završena energetska obnova višeo</w:t>
            </w:r>
            <w:r>
              <w:rPr>
                <w:noProof/>
              </w:rPr>
              <w:t xml:space="preserve">biteljskih stambenih zgrada </w:t>
            </w:r>
          </w:p>
        </w:tc>
        <w:tc>
          <w:tcPr>
            <w:tcW w:w="1843" w:type="dxa"/>
            <w:tcBorders>
              <w:top w:val="single" w:sz="4" w:space="0" w:color="auto"/>
              <w:left w:val="nil"/>
              <w:bottom w:val="single" w:sz="4" w:space="0" w:color="auto"/>
              <w:right w:val="single" w:sz="4" w:space="0" w:color="auto"/>
            </w:tcBorders>
            <w:shd w:val="clear" w:color="auto" w:fill="C6EFCE"/>
            <w:noWrap/>
          </w:tcPr>
          <w:p w14:paraId="5376D17B"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04F42A3" w14:textId="77777777" w:rsidR="003F46B9" w:rsidRDefault="0065662E">
            <w:pPr>
              <w:pStyle w:val="P68B1DB1-Normal5"/>
              <w:spacing w:after="0" w:line="240" w:lineRule="auto"/>
              <w:jc w:val="both"/>
              <w:rPr>
                <w:rFonts w:eastAsia="Times New Roman" w:cs="Times New Roman"/>
                <w:noProof/>
              </w:rPr>
            </w:pPr>
            <w:r>
              <w:rPr>
                <w:noProof/>
              </w:rPr>
              <w:t>Broj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4BBC30B8" w14:textId="65A0F2F4" w:rsidR="003F46B9" w:rsidRDefault="0065662E">
            <w:pPr>
              <w:pStyle w:val="P68B1DB1-Normal5"/>
              <w:spacing w:after="0" w:line="240" w:lineRule="auto"/>
              <w:jc w:val="both"/>
              <w:rPr>
                <w:rFonts w:eastAsia="Times New Roman" w:cs="Times New Roman"/>
                <w:noProof/>
              </w:rPr>
            </w:pPr>
            <w:r>
              <w:rPr>
                <w:noProof/>
              </w:rPr>
              <w:t>2 050 865</w:t>
            </w:r>
          </w:p>
        </w:tc>
        <w:tc>
          <w:tcPr>
            <w:tcW w:w="850" w:type="dxa"/>
            <w:tcBorders>
              <w:top w:val="single" w:sz="4" w:space="0" w:color="auto"/>
              <w:left w:val="nil"/>
              <w:bottom w:val="single" w:sz="4" w:space="0" w:color="auto"/>
              <w:right w:val="single" w:sz="4" w:space="0" w:color="auto"/>
            </w:tcBorders>
            <w:shd w:val="clear" w:color="auto" w:fill="C6EFCE"/>
            <w:noWrap/>
          </w:tcPr>
          <w:p w14:paraId="0DA5E3F4" w14:textId="6A957752" w:rsidR="003F46B9" w:rsidRDefault="0065662E">
            <w:pPr>
              <w:pStyle w:val="P68B1DB1-Normal5"/>
              <w:spacing w:after="0" w:line="240" w:lineRule="auto"/>
              <w:jc w:val="both"/>
              <w:rPr>
                <w:rFonts w:eastAsia="Times New Roman" w:cs="Times New Roman"/>
                <w:noProof/>
              </w:rPr>
            </w:pPr>
            <w:r>
              <w:rPr>
                <w:noProof/>
              </w:rPr>
              <w:t>3 204 478</w:t>
            </w:r>
          </w:p>
        </w:tc>
        <w:tc>
          <w:tcPr>
            <w:tcW w:w="1134" w:type="dxa"/>
            <w:tcBorders>
              <w:top w:val="nil"/>
              <w:left w:val="single" w:sz="4" w:space="0" w:color="auto"/>
              <w:bottom w:val="single" w:sz="4" w:space="0" w:color="auto"/>
              <w:right w:val="single" w:sz="4" w:space="0" w:color="auto"/>
            </w:tcBorders>
            <w:shd w:val="clear" w:color="auto" w:fill="C6EFCE"/>
            <w:noWrap/>
          </w:tcPr>
          <w:p w14:paraId="3026CAB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5B3B24AB" w14:textId="77777777" w:rsidR="003F46B9" w:rsidRDefault="0065662E">
            <w:pPr>
              <w:pStyle w:val="P68B1DB1-Normal5"/>
              <w:spacing w:after="0" w:line="240" w:lineRule="auto"/>
              <w:jc w:val="both"/>
              <w:rPr>
                <w:rFonts w:eastAsia="Times New Roman" w:cs="Times New Roman"/>
                <w:noProof/>
              </w:rPr>
            </w:pPr>
            <w:r>
              <w:rPr>
                <w:noProof/>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06FAA6B1" w14:textId="77777777" w:rsidR="003F46B9" w:rsidRDefault="0065662E">
            <w:pPr>
              <w:pStyle w:val="P68B1DB1-Normal5"/>
              <w:spacing w:after="0" w:line="240" w:lineRule="auto"/>
              <w:jc w:val="both"/>
              <w:rPr>
                <w:rFonts w:eastAsia="Times New Roman" w:cs="Times New Roman"/>
                <w:noProof/>
              </w:rPr>
            </w:pPr>
            <w:r>
              <w:rPr>
                <w:noProof/>
              </w:rPr>
              <w:t>Energetska obnova stambenih zgrada u skladu s uvjetima iz ključnih etapa 95 i 97</w:t>
            </w:r>
          </w:p>
        </w:tc>
      </w:tr>
      <w:tr w:rsidR="003F46B9" w14:paraId="51AB19FE"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AAB20F1" w14:textId="77777777" w:rsidR="003F46B9" w:rsidRDefault="0065662E">
            <w:pPr>
              <w:pStyle w:val="P68B1DB1-Normal5"/>
              <w:spacing w:after="0" w:line="240" w:lineRule="auto"/>
              <w:jc w:val="center"/>
              <w:rPr>
                <w:rFonts w:eastAsia="Times New Roman" w:cs="Times New Roman"/>
                <w:noProof/>
              </w:rPr>
            </w:pPr>
            <w:r>
              <w:rPr>
                <w:noProof/>
              </w:rPr>
              <w:t>104</w:t>
            </w:r>
          </w:p>
        </w:tc>
        <w:tc>
          <w:tcPr>
            <w:tcW w:w="1560" w:type="dxa"/>
            <w:tcBorders>
              <w:top w:val="nil"/>
              <w:left w:val="single" w:sz="4" w:space="0" w:color="auto"/>
              <w:bottom w:val="single" w:sz="4" w:space="0" w:color="auto"/>
              <w:right w:val="single" w:sz="4" w:space="0" w:color="auto"/>
            </w:tcBorders>
            <w:shd w:val="clear" w:color="auto" w:fill="C6EFCE"/>
            <w:noWrap/>
          </w:tcPr>
          <w:p w14:paraId="021B9452" w14:textId="77777777" w:rsidR="003F46B9" w:rsidRDefault="0065662E">
            <w:pPr>
              <w:pStyle w:val="P68B1DB1-Normal5"/>
              <w:spacing w:after="0" w:line="240" w:lineRule="auto"/>
              <w:jc w:val="both"/>
              <w:rPr>
                <w:rFonts w:eastAsia="Times New Roman" w:cs="Times New Roman"/>
                <w:noProof/>
              </w:rPr>
            </w:pPr>
            <w:r>
              <w:rPr>
                <w:noProof/>
              </w:rPr>
              <w:t xml:space="preserve">Ulaganje 1. Uspostava fonda za val obnove za financiranje radova na poboljšanju energetske </w:t>
            </w:r>
            <w:r>
              <w:rPr>
                <w:noProof/>
              </w:rPr>
              <w:t>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7715CE4D"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1A9848E1" w14:textId="77777777" w:rsidR="003F46B9" w:rsidRDefault="0065662E">
            <w:pPr>
              <w:pStyle w:val="P68B1DB1-Normal5"/>
              <w:spacing w:after="0" w:line="240" w:lineRule="auto"/>
              <w:jc w:val="both"/>
              <w:rPr>
                <w:rFonts w:eastAsia="Times New Roman" w:cs="Times New Roman"/>
                <w:noProof/>
              </w:rPr>
            </w:pPr>
            <w:r>
              <w:rPr>
                <w:noProof/>
              </w:rPr>
              <w:t xml:space="preserve">Završena energetska obnova javnih zgrada </w:t>
            </w:r>
          </w:p>
        </w:tc>
        <w:tc>
          <w:tcPr>
            <w:tcW w:w="1843" w:type="dxa"/>
            <w:tcBorders>
              <w:top w:val="single" w:sz="4" w:space="0" w:color="auto"/>
              <w:left w:val="nil"/>
              <w:bottom w:val="single" w:sz="4" w:space="0" w:color="auto"/>
              <w:right w:val="single" w:sz="4" w:space="0" w:color="auto"/>
            </w:tcBorders>
            <w:shd w:val="clear" w:color="auto" w:fill="C6EFCE"/>
            <w:noWrap/>
          </w:tcPr>
          <w:p w14:paraId="5F308F51"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64F6FD60" w14:textId="77777777" w:rsidR="003F46B9" w:rsidRDefault="0065662E">
            <w:pPr>
              <w:pStyle w:val="P68B1DB1-Normal5"/>
              <w:spacing w:after="0" w:line="240" w:lineRule="auto"/>
              <w:jc w:val="both"/>
              <w:rPr>
                <w:rFonts w:eastAsia="Times New Roman" w:cs="Times New Roman"/>
                <w:noProof/>
              </w:rPr>
            </w:pPr>
            <w:r>
              <w:rPr>
                <w:noProof/>
              </w:rPr>
              <w:t>Broj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72633BBD"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3F7C921" w14:textId="030F6839" w:rsidR="003F46B9" w:rsidRDefault="0065662E">
            <w:pPr>
              <w:pStyle w:val="P68B1DB1-Normal5"/>
              <w:spacing w:after="0" w:line="240" w:lineRule="auto"/>
              <w:jc w:val="both"/>
              <w:rPr>
                <w:rFonts w:eastAsia="Times New Roman" w:cs="Times New Roman"/>
                <w:noProof/>
              </w:rPr>
            </w:pPr>
            <w:r>
              <w:rPr>
                <w:noProof/>
              </w:rPr>
              <w:t>1 204 553</w:t>
            </w:r>
          </w:p>
        </w:tc>
        <w:tc>
          <w:tcPr>
            <w:tcW w:w="1134" w:type="dxa"/>
            <w:tcBorders>
              <w:top w:val="nil"/>
              <w:left w:val="single" w:sz="4" w:space="0" w:color="auto"/>
              <w:bottom w:val="single" w:sz="4" w:space="0" w:color="auto"/>
              <w:right w:val="single" w:sz="4" w:space="0" w:color="auto"/>
            </w:tcBorders>
            <w:shd w:val="clear" w:color="auto" w:fill="C6EFCE"/>
            <w:noWrap/>
          </w:tcPr>
          <w:p w14:paraId="33EBE06A" w14:textId="011E079C"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7B0D0BC9" w14:textId="7816A84A" w:rsidR="003F46B9" w:rsidRDefault="0065662E">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3E8A1096" w14:textId="77777777" w:rsidR="003F46B9" w:rsidRDefault="0065662E">
            <w:pPr>
              <w:pStyle w:val="P68B1DB1-Normal5"/>
              <w:spacing w:after="0" w:line="240" w:lineRule="auto"/>
              <w:jc w:val="both"/>
              <w:rPr>
                <w:rFonts w:eastAsia="Times New Roman" w:cs="Times New Roman"/>
                <w:noProof/>
              </w:rPr>
            </w:pPr>
            <w:r>
              <w:rPr>
                <w:noProof/>
              </w:rPr>
              <w:t>Energetska obnova javnih zgrada u skladu s uvjetima iz ključnih etapa 96 i 98</w:t>
            </w:r>
          </w:p>
        </w:tc>
      </w:tr>
      <w:tr w:rsidR="003F46B9" w14:paraId="5AA383F6"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A60E936" w14:textId="77777777" w:rsidR="003F46B9" w:rsidRDefault="0065662E">
            <w:pPr>
              <w:pStyle w:val="P68B1DB1-Normal5"/>
              <w:spacing w:after="0" w:line="240" w:lineRule="auto"/>
              <w:jc w:val="center"/>
              <w:rPr>
                <w:rFonts w:eastAsia="Times New Roman" w:cs="Times New Roman"/>
                <w:noProof/>
              </w:rPr>
            </w:pPr>
            <w:r>
              <w:rPr>
                <w:noProof/>
              </w:rPr>
              <w:t>106</w:t>
            </w:r>
          </w:p>
        </w:tc>
        <w:tc>
          <w:tcPr>
            <w:tcW w:w="1560" w:type="dxa"/>
            <w:tcBorders>
              <w:top w:val="nil"/>
              <w:left w:val="single" w:sz="4" w:space="0" w:color="auto"/>
              <w:bottom w:val="single" w:sz="4" w:space="0" w:color="auto"/>
              <w:right w:val="single" w:sz="4" w:space="0" w:color="auto"/>
            </w:tcBorders>
            <w:shd w:val="clear" w:color="auto" w:fill="C6EFCE"/>
            <w:noWrap/>
          </w:tcPr>
          <w:p w14:paraId="12DF8347" w14:textId="77777777" w:rsidR="003F46B9" w:rsidRDefault="0065662E">
            <w:pPr>
              <w:pStyle w:val="P68B1DB1-Normal5"/>
              <w:spacing w:after="0" w:line="240" w:lineRule="auto"/>
              <w:jc w:val="both"/>
              <w:rPr>
                <w:rFonts w:eastAsia="Times New Roman" w:cs="Times New Roman"/>
                <w:noProof/>
              </w:rPr>
            </w:pPr>
            <w:r>
              <w:rPr>
                <w:noProof/>
              </w:rPr>
              <w:t>Ulaganje 1.</w:t>
            </w:r>
          </w:p>
          <w:p w14:paraId="23BBF949" w14:textId="77777777" w:rsidR="003F46B9" w:rsidRDefault="0065662E">
            <w:pPr>
              <w:pStyle w:val="P68B1DB1-Normal5"/>
              <w:spacing w:after="0" w:line="240" w:lineRule="auto"/>
              <w:jc w:val="both"/>
              <w:rPr>
                <w:rFonts w:eastAsia="Times New Roman" w:cs="Times New Roman"/>
                <w:noProof/>
              </w:rPr>
            </w:pPr>
            <w:r>
              <w:rPr>
                <w:noProof/>
              </w:rPr>
              <w:t xml:space="preserve">Uspostava fonda za val </w:t>
            </w:r>
            <w:r>
              <w:rPr>
                <w:noProof/>
              </w:rPr>
              <w:t>obnove za financiranje radova na poboljšanju energetske učinkovitosti postojećeg fonda zgrada</w:t>
            </w:r>
          </w:p>
        </w:tc>
        <w:tc>
          <w:tcPr>
            <w:tcW w:w="1275" w:type="dxa"/>
            <w:tcBorders>
              <w:top w:val="nil"/>
              <w:left w:val="single" w:sz="4" w:space="0" w:color="auto"/>
              <w:bottom w:val="single" w:sz="4" w:space="0" w:color="auto"/>
              <w:right w:val="single" w:sz="4" w:space="0" w:color="auto"/>
            </w:tcBorders>
            <w:shd w:val="clear" w:color="auto" w:fill="C6EFCE"/>
            <w:noWrap/>
          </w:tcPr>
          <w:p w14:paraId="7D572BB9"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14355FFB" w14:textId="77777777" w:rsidR="003F46B9" w:rsidRDefault="0065662E">
            <w:pPr>
              <w:pStyle w:val="P68B1DB1-Normal5"/>
              <w:spacing w:after="0" w:line="240" w:lineRule="auto"/>
              <w:jc w:val="both"/>
              <w:rPr>
                <w:rFonts w:eastAsia="Times New Roman" w:cs="Times New Roman"/>
                <w:noProof/>
              </w:rPr>
            </w:pPr>
            <w:r>
              <w:rPr>
                <w:noProof/>
              </w:rPr>
              <w:t xml:space="preserve">Završena energetska obnova javnih zgrada </w:t>
            </w:r>
          </w:p>
        </w:tc>
        <w:tc>
          <w:tcPr>
            <w:tcW w:w="1843" w:type="dxa"/>
            <w:tcBorders>
              <w:top w:val="single" w:sz="4" w:space="0" w:color="auto"/>
              <w:left w:val="nil"/>
              <w:bottom w:val="single" w:sz="4" w:space="0" w:color="auto"/>
              <w:right w:val="single" w:sz="4" w:space="0" w:color="auto"/>
            </w:tcBorders>
            <w:shd w:val="clear" w:color="auto" w:fill="C6EFCE"/>
            <w:noWrap/>
          </w:tcPr>
          <w:p w14:paraId="5EAFD8C1"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B1B4346" w14:textId="77777777" w:rsidR="003F46B9" w:rsidRDefault="0065662E">
            <w:pPr>
              <w:pStyle w:val="P68B1DB1-Normal5"/>
              <w:spacing w:after="0" w:line="240" w:lineRule="auto"/>
              <w:jc w:val="both"/>
              <w:rPr>
                <w:rFonts w:eastAsia="Times New Roman" w:cs="Times New Roman"/>
                <w:noProof/>
              </w:rPr>
            </w:pPr>
            <w:r>
              <w:rPr>
                <w:noProof/>
              </w:rPr>
              <w:t>Broj (m</w:t>
            </w:r>
            <w:r>
              <w:rPr>
                <w:noProof/>
                <w:vertAlign w:val="superscript"/>
              </w:rPr>
              <w:t>2</w:t>
            </w:r>
            <w:r>
              <w:rPr>
                <w:noProof/>
              </w:rPr>
              <w:t>)</w:t>
            </w:r>
          </w:p>
        </w:tc>
        <w:tc>
          <w:tcPr>
            <w:tcW w:w="1134" w:type="dxa"/>
            <w:tcBorders>
              <w:top w:val="single" w:sz="4" w:space="0" w:color="auto"/>
              <w:left w:val="nil"/>
              <w:bottom w:val="single" w:sz="4" w:space="0" w:color="auto"/>
              <w:right w:val="single" w:sz="4" w:space="0" w:color="auto"/>
            </w:tcBorders>
            <w:shd w:val="clear" w:color="auto" w:fill="C6EFCE"/>
            <w:noWrap/>
          </w:tcPr>
          <w:p w14:paraId="7FF0A220" w14:textId="5F714532" w:rsidR="003F46B9" w:rsidRDefault="0065662E">
            <w:pPr>
              <w:pStyle w:val="P68B1DB1-Normal5"/>
              <w:spacing w:after="0" w:line="240" w:lineRule="auto"/>
              <w:jc w:val="both"/>
              <w:rPr>
                <w:rFonts w:eastAsia="Times New Roman" w:cs="Times New Roman"/>
                <w:noProof/>
              </w:rPr>
            </w:pPr>
            <w:r>
              <w:rPr>
                <w:noProof/>
              </w:rPr>
              <w:t>1 204 553</w:t>
            </w:r>
          </w:p>
        </w:tc>
        <w:tc>
          <w:tcPr>
            <w:tcW w:w="850" w:type="dxa"/>
            <w:tcBorders>
              <w:top w:val="single" w:sz="4" w:space="0" w:color="auto"/>
              <w:left w:val="nil"/>
              <w:bottom w:val="single" w:sz="4" w:space="0" w:color="auto"/>
              <w:right w:val="single" w:sz="4" w:space="0" w:color="auto"/>
            </w:tcBorders>
            <w:shd w:val="clear" w:color="auto" w:fill="C6EFCE"/>
            <w:noWrap/>
          </w:tcPr>
          <w:p w14:paraId="4D88B3B0" w14:textId="5CB5FE0E" w:rsidR="003F46B9" w:rsidRDefault="0065662E">
            <w:pPr>
              <w:pStyle w:val="P68B1DB1-Normal5"/>
              <w:spacing w:after="0" w:line="240" w:lineRule="auto"/>
              <w:jc w:val="both"/>
              <w:rPr>
                <w:rFonts w:eastAsia="Times New Roman" w:cs="Times New Roman"/>
                <w:noProof/>
              </w:rPr>
            </w:pPr>
            <w:r>
              <w:rPr>
                <w:noProof/>
              </w:rPr>
              <w:t>1 797 841</w:t>
            </w:r>
          </w:p>
          <w:p w14:paraId="10624FC4"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269ACA1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1" w:type="dxa"/>
            <w:tcBorders>
              <w:top w:val="nil"/>
              <w:left w:val="nil"/>
              <w:bottom w:val="single" w:sz="4" w:space="0" w:color="auto"/>
              <w:right w:val="single" w:sz="4" w:space="0" w:color="auto"/>
            </w:tcBorders>
            <w:shd w:val="clear" w:color="auto" w:fill="C6EFCE"/>
            <w:noWrap/>
          </w:tcPr>
          <w:p w14:paraId="1B480E41" w14:textId="77777777" w:rsidR="003F46B9" w:rsidRDefault="0065662E">
            <w:pPr>
              <w:pStyle w:val="P68B1DB1-Normal5"/>
              <w:spacing w:after="0" w:line="240" w:lineRule="auto"/>
              <w:jc w:val="both"/>
              <w:rPr>
                <w:rFonts w:eastAsia="Times New Roman" w:cs="Times New Roman"/>
                <w:noProof/>
              </w:rPr>
            </w:pPr>
            <w:r>
              <w:rPr>
                <w:noProof/>
              </w:rPr>
              <w:t>2026</w:t>
            </w:r>
          </w:p>
        </w:tc>
        <w:tc>
          <w:tcPr>
            <w:tcW w:w="1418" w:type="dxa"/>
            <w:tcBorders>
              <w:top w:val="nil"/>
              <w:left w:val="single" w:sz="4" w:space="0" w:color="auto"/>
              <w:bottom w:val="single" w:sz="4" w:space="0" w:color="auto"/>
              <w:right w:val="single" w:sz="4" w:space="0" w:color="auto"/>
            </w:tcBorders>
            <w:shd w:val="clear" w:color="auto" w:fill="C6EFCE"/>
            <w:noWrap/>
          </w:tcPr>
          <w:p w14:paraId="3657A00B" w14:textId="77777777" w:rsidR="003F46B9" w:rsidRDefault="0065662E">
            <w:pPr>
              <w:pStyle w:val="P68B1DB1-Normal5"/>
              <w:spacing w:after="0" w:line="240" w:lineRule="auto"/>
              <w:jc w:val="both"/>
              <w:rPr>
                <w:rFonts w:eastAsia="Times New Roman" w:cs="Times New Roman"/>
                <w:noProof/>
              </w:rPr>
            </w:pPr>
            <w:r>
              <w:rPr>
                <w:noProof/>
              </w:rPr>
              <w:t xml:space="preserve">Energetska obnova javnih zgrada u skladu s uvjetima iz ključnih </w:t>
            </w:r>
            <w:r>
              <w:rPr>
                <w:noProof/>
              </w:rPr>
              <w:t xml:space="preserve">etapa 96 i 98 </w:t>
            </w:r>
          </w:p>
        </w:tc>
      </w:tr>
      <w:tr w:rsidR="003F46B9" w14:paraId="1EFE0F67"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E0A5686" w14:textId="77777777" w:rsidR="003F46B9" w:rsidRDefault="0065662E">
            <w:pPr>
              <w:pStyle w:val="P68B1DB1-Normal5"/>
              <w:spacing w:after="0" w:line="240" w:lineRule="auto"/>
              <w:jc w:val="center"/>
              <w:rPr>
                <w:rFonts w:eastAsia="Times New Roman" w:cs="Times New Roman"/>
                <w:noProof/>
              </w:rPr>
            </w:pPr>
            <w:r>
              <w:rPr>
                <w:noProof/>
              </w:rPr>
              <w:t>107</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7DA62A91" w14:textId="77777777" w:rsidR="003F46B9" w:rsidRDefault="0065662E">
            <w:pPr>
              <w:pStyle w:val="P68B1DB1-Normal5"/>
              <w:spacing w:after="0" w:line="240" w:lineRule="auto"/>
              <w:jc w:val="both"/>
              <w:rPr>
                <w:rFonts w:eastAsia="Times New Roman" w:cs="Times New Roman"/>
                <w:noProof/>
              </w:rPr>
            </w:pPr>
            <w:r>
              <w:rPr>
                <w:noProof/>
              </w:rPr>
              <w:t>Ulaganje 2. Provedba nacionalnog registra zgrada</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6ABBFF59"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493FF124" w14:textId="1D18CB55" w:rsidR="003F46B9" w:rsidRDefault="0065662E">
            <w:pPr>
              <w:spacing w:after="0" w:line="240" w:lineRule="auto"/>
              <w:jc w:val="both"/>
              <w:rPr>
                <w:rFonts w:ascii="Times New Roman" w:eastAsia="Times New Roman" w:hAnsi="Times New Roman" w:cs="Times New Roman"/>
                <w:noProof/>
                <w:sz w:val="24"/>
              </w:rPr>
            </w:pPr>
            <w:r>
              <w:rPr>
                <w:noProof/>
              </w:rPr>
              <w:t>Uspostavljen je i operativan</w:t>
            </w:r>
            <w:r>
              <w:rPr>
                <w:rFonts w:ascii="Times New Roman" w:hAnsi="Times New Roman"/>
                <w:noProof/>
                <w:sz w:val="24"/>
              </w:rPr>
              <w:t xml:space="preserve">nacionalni digitalni registar zgrada. </w:t>
            </w:r>
            <w:r>
              <w:rPr>
                <w:noProof/>
              </w:rPr>
              <w:br/>
            </w:r>
          </w:p>
        </w:tc>
        <w:tc>
          <w:tcPr>
            <w:tcW w:w="1843" w:type="dxa"/>
            <w:tcBorders>
              <w:top w:val="single" w:sz="4" w:space="0" w:color="auto"/>
              <w:left w:val="nil"/>
              <w:bottom w:val="single" w:sz="4" w:space="0" w:color="auto"/>
              <w:right w:val="single" w:sz="4" w:space="0" w:color="auto"/>
            </w:tcBorders>
            <w:shd w:val="clear" w:color="auto" w:fill="C6EFCE"/>
            <w:noWrap/>
          </w:tcPr>
          <w:p w14:paraId="3512DCED" w14:textId="77777777" w:rsidR="003F46B9" w:rsidRDefault="0065662E">
            <w:pPr>
              <w:pStyle w:val="P68B1DB1-Normal5"/>
              <w:spacing w:after="0" w:line="240" w:lineRule="auto"/>
              <w:jc w:val="both"/>
              <w:rPr>
                <w:rFonts w:eastAsia="Times New Roman" w:cs="Times New Roman"/>
                <w:noProof/>
              </w:rPr>
            </w:pPr>
            <w:r>
              <w:rPr>
                <w:noProof/>
              </w:rPr>
              <w:t xml:space="preserve">Nacionalni digitalni registar zgrada dostupan je na internetu, s pilot-odjeljak koji uključuje informacije </w:t>
            </w:r>
            <w:r>
              <w:rPr>
                <w:noProof/>
              </w:rPr>
              <w:t>o zgradama obnovljenima u okviru nacionalnog plana za oporavak i otpornost.</w:t>
            </w:r>
          </w:p>
        </w:tc>
        <w:tc>
          <w:tcPr>
            <w:tcW w:w="1418" w:type="dxa"/>
            <w:tcBorders>
              <w:top w:val="single" w:sz="4" w:space="0" w:color="auto"/>
              <w:left w:val="nil"/>
              <w:bottom w:val="single" w:sz="4" w:space="0" w:color="auto"/>
              <w:right w:val="single" w:sz="4" w:space="0" w:color="auto"/>
            </w:tcBorders>
            <w:shd w:val="clear" w:color="auto" w:fill="C6EFCE"/>
            <w:noWrap/>
          </w:tcPr>
          <w:p w14:paraId="2FB24AB0"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5E80C90"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1236ED3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0374F5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single" w:sz="4" w:space="0" w:color="auto"/>
              <w:left w:val="nil"/>
              <w:bottom w:val="single" w:sz="4" w:space="0" w:color="auto"/>
              <w:right w:val="single" w:sz="4" w:space="0" w:color="auto"/>
            </w:tcBorders>
            <w:shd w:val="clear" w:color="auto" w:fill="C6EFCE"/>
            <w:noWrap/>
          </w:tcPr>
          <w:p w14:paraId="44EAA553" w14:textId="77777777" w:rsidR="003F46B9" w:rsidRDefault="0065662E">
            <w:pPr>
              <w:pStyle w:val="P68B1DB1-Normal5"/>
              <w:spacing w:after="0" w:line="240" w:lineRule="auto"/>
              <w:jc w:val="both"/>
              <w:rPr>
                <w:rFonts w:eastAsia="Times New Roman" w:cs="Times New Roman"/>
                <w:noProof/>
              </w:rPr>
            </w:pPr>
            <w:r>
              <w:rPr>
                <w:noProof/>
              </w:rPr>
              <w:t>2024</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8D54541" w14:textId="77777777" w:rsidR="003F46B9" w:rsidRDefault="0065662E">
            <w:pPr>
              <w:pStyle w:val="P68B1DB1-Normal5"/>
              <w:spacing w:after="0" w:line="240" w:lineRule="auto"/>
              <w:jc w:val="both"/>
              <w:rPr>
                <w:rFonts w:eastAsia="Times New Roman" w:cs="Times New Roman"/>
                <w:noProof/>
              </w:rPr>
            </w:pPr>
            <w:r>
              <w:rPr>
                <w:noProof/>
              </w:rPr>
              <w:t>Informacijski sustav registra sadržava georeferenciranu bazu podataka javnih i privatnih zgrada koja nadopunjuje geoportal INSPIRE, koja je povezana i i</w:t>
            </w:r>
            <w:r>
              <w:rPr>
                <w:noProof/>
              </w:rPr>
              <w:t>nteroperabilna s gradskom bazom podataka na lokalnoj razini i drugim nacionalnim sustavima registara. Energetska putovnica zgrade dio je očevidnika i sadržava sve informacije o intervencijama povezanima s energijom u digitalnom obliku. Dnevnici su dio naci</w:t>
            </w:r>
            <w:r>
              <w:rPr>
                <w:noProof/>
              </w:rPr>
              <w:t>onalnog registra zgrada kao integrirani sustav.</w:t>
            </w:r>
          </w:p>
          <w:p w14:paraId="28CEC23B" w14:textId="77777777" w:rsidR="003F46B9" w:rsidRDefault="0065662E">
            <w:pPr>
              <w:pStyle w:val="P68B1DB1-Normal5"/>
              <w:spacing w:after="0" w:line="240" w:lineRule="auto"/>
              <w:jc w:val="both"/>
              <w:rPr>
                <w:rFonts w:eastAsia="Times New Roman" w:cs="Times New Roman"/>
                <w:noProof/>
              </w:rPr>
            </w:pPr>
            <w:r>
              <w:rPr>
                <w:noProof/>
              </w:rPr>
              <w:t>Svrha je registra praćenje podataka o energetskoj obnovi (ušteda energije, smanjenje emisija) te podataka o osjetljivosti na potrese i druge značajke zgrade.</w:t>
            </w:r>
          </w:p>
        </w:tc>
      </w:tr>
      <w:tr w:rsidR="003F46B9" w14:paraId="5270027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3A19E37" w14:textId="77777777" w:rsidR="003F46B9" w:rsidRDefault="0065662E">
            <w:pPr>
              <w:pStyle w:val="P68B1DB1-Normal5"/>
              <w:spacing w:after="0" w:line="240" w:lineRule="auto"/>
              <w:jc w:val="center"/>
              <w:rPr>
                <w:rFonts w:eastAsia="Times New Roman" w:cs="Times New Roman"/>
                <w:noProof/>
              </w:rPr>
            </w:pPr>
            <w:r>
              <w:rPr>
                <w:noProof/>
              </w:rPr>
              <w:t>108</w:t>
            </w:r>
          </w:p>
        </w:tc>
        <w:tc>
          <w:tcPr>
            <w:tcW w:w="1560" w:type="dxa"/>
            <w:tcBorders>
              <w:top w:val="single" w:sz="4" w:space="0" w:color="auto"/>
              <w:left w:val="single" w:sz="4" w:space="0" w:color="auto"/>
              <w:bottom w:val="single" w:sz="4" w:space="0" w:color="auto"/>
              <w:right w:val="single" w:sz="4" w:space="0" w:color="auto"/>
            </w:tcBorders>
            <w:shd w:val="clear" w:color="auto" w:fill="C6EFCE"/>
            <w:noWrap/>
          </w:tcPr>
          <w:p w14:paraId="3A3F5582" w14:textId="77777777" w:rsidR="003F46B9" w:rsidRDefault="0065662E">
            <w:pPr>
              <w:pStyle w:val="P68B1DB1-Normal5"/>
              <w:spacing w:after="0" w:line="240" w:lineRule="auto"/>
              <w:jc w:val="both"/>
              <w:rPr>
                <w:rFonts w:eastAsia="Times New Roman" w:cs="Times New Roman"/>
                <w:noProof/>
              </w:rPr>
            </w:pPr>
            <w:r>
              <w:rPr>
                <w:noProof/>
              </w:rPr>
              <w:t>Ulaganje 3. Jačanje stručne sposobnosti stručnjaka i radnika u sektoru obnove razvojem osposobljavanja u području energetske učinkovitosti u građevinarstvu</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14:paraId="2AC0388A"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14:paraId="2B45D795" w14:textId="77777777" w:rsidR="003F46B9" w:rsidRDefault="0065662E">
            <w:pPr>
              <w:pStyle w:val="P68B1DB1-Normal5"/>
              <w:spacing w:after="0" w:line="240" w:lineRule="auto"/>
              <w:jc w:val="both"/>
              <w:rPr>
                <w:rFonts w:eastAsia="Times New Roman" w:cs="Times New Roman"/>
                <w:noProof/>
              </w:rPr>
            </w:pPr>
            <w:r>
              <w:rPr>
                <w:noProof/>
              </w:rPr>
              <w:t>Uspostava programa certificiranja u području energetskih svojstava zgrada</w:t>
            </w:r>
          </w:p>
        </w:tc>
        <w:tc>
          <w:tcPr>
            <w:tcW w:w="1843" w:type="dxa"/>
            <w:tcBorders>
              <w:top w:val="single" w:sz="4" w:space="0" w:color="auto"/>
              <w:left w:val="nil"/>
              <w:bottom w:val="single" w:sz="4" w:space="0" w:color="auto"/>
              <w:right w:val="single" w:sz="4" w:space="0" w:color="auto"/>
            </w:tcBorders>
            <w:shd w:val="clear" w:color="auto" w:fill="C6EFCE"/>
            <w:noWrap/>
          </w:tcPr>
          <w:p w14:paraId="316C339D"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F04E8A0"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1A5D0CC2"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7EBF1EA7" w14:textId="77777777" w:rsidR="003F46B9" w:rsidRDefault="0065662E">
            <w:pPr>
              <w:pStyle w:val="P68B1DB1-Normal5"/>
              <w:spacing w:after="0" w:line="240" w:lineRule="auto"/>
              <w:jc w:val="both"/>
              <w:rPr>
                <w:rFonts w:eastAsia="Times New Roman" w:cs="Times New Roman"/>
                <w:noProof/>
              </w:rPr>
            </w:pPr>
            <w:r>
              <w:rPr>
                <w:noProof/>
              </w:rPr>
              <w:t>10</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0507E502" w14:textId="77777777" w:rsidR="003F46B9" w:rsidRDefault="0065662E">
            <w:pPr>
              <w:pStyle w:val="P68B1DB1-Normal5"/>
              <w:spacing w:after="0" w:line="240" w:lineRule="auto"/>
              <w:jc w:val="both"/>
              <w:rPr>
                <w:rFonts w:eastAsia="Times New Roman" w:cs="Times New Roman"/>
                <w:noProof/>
              </w:rPr>
            </w:pPr>
            <w:r>
              <w:rPr>
                <w:noProof/>
              </w:rPr>
              <w:t>TROMJESE</w:t>
            </w:r>
            <w:r>
              <w:rPr>
                <w:noProof/>
              </w:rPr>
              <w:t>ČJE</w:t>
            </w:r>
          </w:p>
        </w:tc>
        <w:tc>
          <w:tcPr>
            <w:tcW w:w="851" w:type="dxa"/>
            <w:tcBorders>
              <w:top w:val="single" w:sz="4" w:space="0" w:color="auto"/>
              <w:left w:val="nil"/>
              <w:bottom w:val="single" w:sz="4" w:space="0" w:color="auto"/>
              <w:right w:val="single" w:sz="4" w:space="0" w:color="auto"/>
            </w:tcBorders>
            <w:shd w:val="clear" w:color="auto" w:fill="C6EFCE"/>
            <w:noWrap/>
          </w:tcPr>
          <w:p w14:paraId="1AE9266A" w14:textId="77777777" w:rsidR="003F46B9" w:rsidRDefault="0065662E">
            <w:pPr>
              <w:pStyle w:val="P68B1DB1-Normal5"/>
              <w:spacing w:after="0" w:line="240" w:lineRule="auto"/>
              <w:jc w:val="both"/>
              <w:rPr>
                <w:rFonts w:eastAsia="Times New Roman" w:cs="Times New Roman"/>
                <w:noProof/>
              </w:rPr>
            </w:pPr>
            <w:r>
              <w:rPr>
                <w:noProof/>
              </w:rPr>
              <w:t>2023</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7D737C2F" w14:textId="77777777" w:rsidR="003F46B9" w:rsidRDefault="0065662E">
            <w:pPr>
              <w:pStyle w:val="P68B1DB1-Normal5"/>
              <w:spacing w:after="0" w:line="240" w:lineRule="auto"/>
              <w:jc w:val="both"/>
              <w:rPr>
                <w:rFonts w:eastAsia="Times New Roman" w:cs="Times New Roman"/>
                <w:noProof/>
              </w:rPr>
            </w:pPr>
            <w:r>
              <w:rPr>
                <w:noProof/>
              </w:rPr>
              <w:t>Uspostavlja se najmanje 10 programa certificiranja za radnike i stručnjake u građevinarstvu. Certifikati se pružaju u programima osposobljavanja u obliku kratkih tečajeva u programima cjeloživotnog učenja koji se provode u različitim regijama koje</w:t>
            </w:r>
            <w:r>
              <w:rPr>
                <w:noProof/>
              </w:rPr>
              <w:t xml:space="preserve"> su ravnomjerno raspoređene na rumunjskom državnom području. Osposobljavanje je usmjereno na poboljšanje vještina stručnjaka i radnika u kontekstu energetske obnove zgrada.</w:t>
            </w:r>
          </w:p>
        </w:tc>
      </w:tr>
      <w:tr w:rsidR="003F46B9" w14:paraId="78563255"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E1AB47E" w14:textId="77777777" w:rsidR="003F46B9" w:rsidRDefault="0065662E">
            <w:pPr>
              <w:pStyle w:val="P68B1DB1-Normal5"/>
              <w:spacing w:after="0" w:line="240" w:lineRule="auto"/>
              <w:jc w:val="center"/>
              <w:rPr>
                <w:rFonts w:eastAsia="Times New Roman" w:cs="Times New Roman"/>
                <w:noProof/>
              </w:rPr>
            </w:pPr>
            <w:r>
              <w:rPr>
                <w:noProof/>
              </w:rPr>
              <w:t>109</w:t>
            </w:r>
          </w:p>
        </w:tc>
        <w:tc>
          <w:tcPr>
            <w:tcW w:w="1560" w:type="dxa"/>
            <w:tcBorders>
              <w:top w:val="nil"/>
              <w:left w:val="single" w:sz="4" w:space="0" w:color="auto"/>
              <w:bottom w:val="single" w:sz="4" w:space="0" w:color="auto"/>
              <w:right w:val="single" w:sz="4" w:space="0" w:color="auto"/>
            </w:tcBorders>
            <w:shd w:val="clear" w:color="auto" w:fill="C6EFCE"/>
            <w:noWrap/>
          </w:tcPr>
          <w:p w14:paraId="518B20E3" w14:textId="77777777" w:rsidR="003F46B9" w:rsidRDefault="0065662E">
            <w:pPr>
              <w:pStyle w:val="P68B1DB1-Normal5"/>
              <w:spacing w:after="0" w:line="240" w:lineRule="auto"/>
              <w:jc w:val="both"/>
              <w:rPr>
                <w:rFonts w:eastAsia="Times New Roman" w:cs="Times New Roman"/>
                <w:noProof/>
              </w:rPr>
            </w:pPr>
            <w:r>
              <w:rPr>
                <w:noProof/>
              </w:rPr>
              <w:t xml:space="preserve">Ulaganje 3. Jačanje stručne sposobnosti stručnjaka i radnika u sektoru obnove </w:t>
            </w:r>
            <w:r>
              <w:rPr>
                <w:noProof/>
              </w:rPr>
              <w:t>razvojem osposobljavanja u području energetske učinkovitosti u građevinarstvu</w:t>
            </w:r>
          </w:p>
        </w:tc>
        <w:tc>
          <w:tcPr>
            <w:tcW w:w="1275" w:type="dxa"/>
            <w:tcBorders>
              <w:top w:val="nil"/>
              <w:left w:val="single" w:sz="4" w:space="0" w:color="auto"/>
              <w:bottom w:val="single" w:sz="4" w:space="0" w:color="auto"/>
              <w:right w:val="single" w:sz="4" w:space="0" w:color="auto"/>
            </w:tcBorders>
            <w:shd w:val="clear" w:color="auto" w:fill="C6EFCE"/>
            <w:noWrap/>
          </w:tcPr>
          <w:p w14:paraId="61797982"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0C37504A" w14:textId="77777777" w:rsidR="003F46B9" w:rsidRDefault="0065662E">
            <w:pPr>
              <w:pStyle w:val="P68B1DB1-Normal5"/>
              <w:spacing w:after="0" w:line="240" w:lineRule="auto"/>
              <w:jc w:val="both"/>
              <w:rPr>
                <w:rFonts w:eastAsia="Times New Roman" w:cs="Times New Roman"/>
                <w:noProof/>
              </w:rPr>
            </w:pPr>
            <w:r>
              <w:rPr>
                <w:noProof/>
              </w:rPr>
              <w:t xml:space="preserve">Najmanje 8000 stručnjaka i radnika s certifikatom za završetak osposobljavanja u području energetske učinkovitosti </w:t>
            </w:r>
          </w:p>
        </w:tc>
        <w:tc>
          <w:tcPr>
            <w:tcW w:w="1843" w:type="dxa"/>
            <w:tcBorders>
              <w:top w:val="single" w:sz="4" w:space="0" w:color="auto"/>
              <w:left w:val="nil"/>
              <w:bottom w:val="single" w:sz="4" w:space="0" w:color="auto"/>
              <w:right w:val="single" w:sz="4" w:space="0" w:color="auto"/>
            </w:tcBorders>
            <w:shd w:val="clear" w:color="auto" w:fill="C6EFCE"/>
            <w:noWrap/>
          </w:tcPr>
          <w:p w14:paraId="410FD51D"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176F9626"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2EDFF6C3"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10A7134" w14:textId="77777777" w:rsidR="003F46B9" w:rsidRDefault="0065662E">
            <w:pPr>
              <w:pStyle w:val="P68B1DB1-Normal5"/>
              <w:spacing w:after="0" w:line="240" w:lineRule="auto"/>
              <w:jc w:val="both"/>
              <w:rPr>
                <w:rFonts w:eastAsia="Times New Roman" w:cs="Times New Roman"/>
                <w:noProof/>
              </w:rPr>
            </w:pPr>
            <w:r>
              <w:rPr>
                <w:noProof/>
              </w:rPr>
              <w:t>8 000</w:t>
            </w:r>
          </w:p>
        </w:tc>
        <w:tc>
          <w:tcPr>
            <w:tcW w:w="1134" w:type="dxa"/>
            <w:tcBorders>
              <w:top w:val="nil"/>
              <w:left w:val="single" w:sz="4" w:space="0" w:color="auto"/>
              <w:bottom w:val="single" w:sz="4" w:space="0" w:color="auto"/>
              <w:right w:val="single" w:sz="4" w:space="0" w:color="auto"/>
            </w:tcBorders>
            <w:shd w:val="clear" w:color="auto" w:fill="C6EFCE"/>
            <w:noWrap/>
          </w:tcPr>
          <w:p w14:paraId="68A5B3FA"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37F660BA" w14:textId="77777777" w:rsidR="003F46B9" w:rsidRDefault="0065662E">
            <w:pPr>
              <w:pStyle w:val="P68B1DB1-Normal5"/>
              <w:spacing w:after="0" w:line="240" w:lineRule="auto"/>
              <w:jc w:val="both"/>
              <w:rPr>
                <w:rFonts w:eastAsia="Times New Roman" w:cs="Times New Roman"/>
                <w:noProof/>
              </w:rPr>
            </w:pPr>
            <w:r>
              <w:rPr>
                <w:noProof/>
              </w:rPr>
              <w:t>2023</w:t>
            </w:r>
          </w:p>
        </w:tc>
        <w:tc>
          <w:tcPr>
            <w:tcW w:w="1418" w:type="dxa"/>
            <w:tcBorders>
              <w:top w:val="nil"/>
              <w:left w:val="single" w:sz="4" w:space="0" w:color="auto"/>
              <w:bottom w:val="single" w:sz="4" w:space="0" w:color="auto"/>
              <w:right w:val="single" w:sz="4" w:space="0" w:color="auto"/>
            </w:tcBorders>
            <w:shd w:val="clear" w:color="auto" w:fill="C6EFCE"/>
            <w:noWrap/>
          </w:tcPr>
          <w:p w14:paraId="01E9906C" w14:textId="77777777" w:rsidR="003F46B9" w:rsidRDefault="0065662E">
            <w:pPr>
              <w:pStyle w:val="P68B1DB1-Normal5"/>
              <w:spacing w:after="0" w:line="240" w:lineRule="auto"/>
              <w:jc w:val="both"/>
              <w:rPr>
                <w:rFonts w:eastAsia="Times New Roman" w:cs="Times New Roman"/>
                <w:noProof/>
              </w:rPr>
            </w:pPr>
            <w:r>
              <w:rPr>
                <w:noProof/>
              </w:rPr>
              <w:t xml:space="preserve">Najmanje 8000 </w:t>
            </w:r>
            <w:r>
              <w:rPr>
                <w:noProof/>
              </w:rPr>
              <w:t>stručnjaka i radnika u građevinskom sektoru mora imati kratkotrajnu certifikaciju tečaja za završetak osposobljavanja u vezi s energetskom učinkovitošću. </w:t>
            </w:r>
          </w:p>
        </w:tc>
      </w:tr>
      <w:tr w:rsidR="003F46B9" w14:paraId="609F0399"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DD5E271" w14:textId="77777777" w:rsidR="003F46B9" w:rsidRDefault="0065662E">
            <w:pPr>
              <w:pStyle w:val="P68B1DB1-Normal5"/>
              <w:spacing w:after="0" w:line="240" w:lineRule="auto"/>
              <w:jc w:val="center"/>
              <w:rPr>
                <w:rFonts w:eastAsia="Times New Roman" w:cs="Times New Roman"/>
                <w:noProof/>
              </w:rPr>
            </w:pPr>
            <w:r>
              <w:rPr>
                <w:noProof/>
              </w:rPr>
              <w:t>110</w:t>
            </w:r>
          </w:p>
        </w:tc>
        <w:tc>
          <w:tcPr>
            <w:tcW w:w="1560" w:type="dxa"/>
            <w:tcBorders>
              <w:top w:val="nil"/>
              <w:left w:val="single" w:sz="4" w:space="0" w:color="auto"/>
              <w:bottom w:val="single" w:sz="4" w:space="0" w:color="auto"/>
              <w:right w:val="single" w:sz="4" w:space="0" w:color="auto"/>
            </w:tcBorders>
            <w:shd w:val="clear" w:color="auto" w:fill="C6EFCE"/>
            <w:noWrap/>
          </w:tcPr>
          <w:p w14:paraId="315CC153" w14:textId="77777777" w:rsidR="003F46B9" w:rsidRDefault="0065662E">
            <w:pPr>
              <w:pStyle w:val="P68B1DB1-Normal5"/>
              <w:spacing w:after="0" w:line="240" w:lineRule="auto"/>
              <w:jc w:val="both"/>
              <w:rPr>
                <w:rFonts w:eastAsia="Times New Roman" w:cs="Times New Roman"/>
                <w:noProof/>
              </w:rPr>
            </w:pPr>
            <w:r>
              <w:rPr>
                <w:noProof/>
              </w:rPr>
              <w:t>Ulaganje 4. Kružno gospodarstvo i veća energetska učinkovitost povijesnih zgrada</w:t>
            </w:r>
          </w:p>
        </w:tc>
        <w:tc>
          <w:tcPr>
            <w:tcW w:w="1275" w:type="dxa"/>
            <w:tcBorders>
              <w:top w:val="nil"/>
              <w:left w:val="single" w:sz="4" w:space="0" w:color="auto"/>
              <w:bottom w:val="single" w:sz="4" w:space="0" w:color="auto"/>
              <w:right w:val="single" w:sz="4" w:space="0" w:color="auto"/>
            </w:tcBorders>
            <w:shd w:val="clear" w:color="auto" w:fill="C6EFCE"/>
            <w:noWrap/>
          </w:tcPr>
          <w:p w14:paraId="4E715070"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6C27B6DF" w14:textId="77777777" w:rsidR="003F46B9" w:rsidRDefault="0065662E">
            <w:pPr>
              <w:pStyle w:val="P68B1DB1-Normal5"/>
              <w:spacing w:after="0" w:line="240" w:lineRule="auto"/>
              <w:jc w:val="both"/>
              <w:rPr>
                <w:rFonts w:eastAsia="Times New Roman" w:cs="Times New Roman"/>
                <w:noProof/>
              </w:rPr>
            </w:pPr>
            <w:r>
              <w:rPr>
                <w:noProof/>
              </w:rPr>
              <w:t xml:space="preserve">U </w:t>
            </w:r>
            <w:r>
              <w:rPr>
                <w:noProof/>
              </w:rPr>
              <w:t>funkciji je laboratorij za ispitivanje novih materijala i tehnoloških rješenja za povijesne zgrade.</w:t>
            </w:r>
          </w:p>
        </w:tc>
        <w:tc>
          <w:tcPr>
            <w:tcW w:w="1843" w:type="dxa"/>
            <w:tcBorders>
              <w:top w:val="single" w:sz="4" w:space="0" w:color="auto"/>
              <w:left w:val="nil"/>
              <w:bottom w:val="single" w:sz="4" w:space="0" w:color="auto"/>
              <w:right w:val="single" w:sz="4" w:space="0" w:color="auto"/>
            </w:tcBorders>
            <w:shd w:val="clear" w:color="auto" w:fill="C6EFCE"/>
            <w:noWrap/>
          </w:tcPr>
          <w:p w14:paraId="4A9F6F37" w14:textId="77777777" w:rsidR="003F46B9" w:rsidRDefault="0065662E">
            <w:pPr>
              <w:pStyle w:val="P68B1DB1-Normal5"/>
              <w:spacing w:after="0" w:line="240" w:lineRule="auto"/>
              <w:jc w:val="both"/>
              <w:rPr>
                <w:rFonts w:eastAsia="Times New Roman" w:cs="Times New Roman"/>
                <w:noProof/>
              </w:rPr>
            </w:pPr>
            <w:r>
              <w:rPr>
                <w:noProof/>
              </w:rPr>
              <w:t xml:space="preserve">Laboratorij je operativan </w:t>
            </w:r>
          </w:p>
        </w:tc>
        <w:tc>
          <w:tcPr>
            <w:tcW w:w="1418" w:type="dxa"/>
            <w:tcBorders>
              <w:top w:val="single" w:sz="4" w:space="0" w:color="auto"/>
              <w:left w:val="nil"/>
              <w:bottom w:val="single" w:sz="4" w:space="0" w:color="auto"/>
              <w:right w:val="single" w:sz="4" w:space="0" w:color="auto"/>
            </w:tcBorders>
            <w:shd w:val="clear" w:color="auto" w:fill="C6EFCE"/>
            <w:noWrap/>
          </w:tcPr>
          <w:p w14:paraId="617A6187"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EFC5C00"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2622B51"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2B24888F"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3397B064" w14:textId="77777777" w:rsidR="003F46B9" w:rsidRDefault="0065662E">
            <w:pPr>
              <w:pStyle w:val="P68B1DB1-Normal5"/>
              <w:spacing w:after="0" w:line="240" w:lineRule="auto"/>
              <w:jc w:val="both"/>
              <w:rPr>
                <w:rFonts w:eastAsia="Times New Roman" w:cs="Times New Roman"/>
                <w:noProof/>
              </w:rPr>
            </w:pPr>
            <w:r>
              <w:rPr>
                <w:noProof/>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5D56A905" w14:textId="77777777" w:rsidR="003F46B9" w:rsidRDefault="0065662E">
            <w:pPr>
              <w:pStyle w:val="P68B1DB1-Normal5"/>
              <w:spacing w:after="0" w:line="240" w:lineRule="auto"/>
              <w:jc w:val="both"/>
              <w:rPr>
                <w:rFonts w:eastAsia="Times New Roman" w:cs="Times New Roman"/>
                <w:noProof/>
              </w:rPr>
            </w:pPr>
            <w:r>
              <w:rPr>
                <w:noProof/>
              </w:rPr>
              <w:t>Uspostavlja se organizacijska struktura i postupci upravljanja laboratorijem kako bi se omogućila pro</w:t>
            </w:r>
            <w:r>
              <w:rPr>
                <w:noProof/>
              </w:rPr>
              <w:t>vedba ispitivanja u skladu sa znanstvenim metodama. Rezultati ispitivanja upotrebljavaju se za razvoj tehničkih postupaka metodologije namijenjene povećanju energetske učinkovitosti povijesnih zgrada primjenom tehnika i novih materijala, ovisno o regiji, t</w:t>
            </w:r>
            <w:r>
              <w:rPr>
                <w:noProof/>
              </w:rPr>
              <w:t>radiciji gradnje i fizičkim svojstvima.</w:t>
            </w:r>
          </w:p>
        </w:tc>
      </w:tr>
      <w:tr w:rsidR="003F46B9" w14:paraId="087C4772"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F59FC2B" w14:textId="77777777" w:rsidR="003F46B9" w:rsidRDefault="0065662E">
            <w:pPr>
              <w:pStyle w:val="P68B1DB1-Normal5"/>
              <w:spacing w:after="0" w:line="240" w:lineRule="auto"/>
              <w:jc w:val="center"/>
              <w:rPr>
                <w:rFonts w:eastAsia="Times New Roman" w:cs="Times New Roman"/>
                <w:noProof/>
              </w:rPr>
            </w:pPr>
            <w:r>
              <w:rPr>
                <w:noProof/>
              </w:rPr>
              <w:t>111</w:t>
            </w:r>
          </w:p>
        </w:tc>
        <w:tc>
          <w:tcPr>
            <w:tcW w:w="1560" w:type="dxa"/>
            <w:tcBorders>
              <w:top w:val="nil"/>
              <w:left w:val="single" w:sz="4" w:space="0" w:color="auto"/>
              <w:bottom w:val="single" w:sz="4" w:space="0" w:color="auto"/>
              <w:right w:val="single" w:sz="4" w:space="0" w:color="auto"/>
            </w:tcBorders>
            <w:shd w:val="clear" w:color="auto" w:fill="C6EFCE"/>
            <w:noWrap/>
          </w:tcPr>
          <w:p w14:paraId="4A2BD390" w14:textId="77777777" w:rsidR="003F46B9" w:rsidRDefault="0065662E">
            <w:pPr>
              <w:pStyle w:val="P68B1DB1-Normal5"/>
              <w:spacing w:after="0" w:line="240" w:lineRule="auto"/>
              <w:jc w:val="both"/>
              <w:rPr>
                <w:rFonts w:eastAsia="Times New Roman" w:cs="Times New Roman"/>
                <w:noProof/>
              </w:rPr>
            </w:pPr>
            <w:r>
              <w:rPr>
                <w:noProof/>
              </w:rPr>
              <w:t>Ulaganje 4. Kružno gospodarstvo i veća energetska učinkovitost povijesnih zgrada</w:t>
            </w:r>
          </w:p>
        </w:tc>
        <w:tc>
          <w:tcPr>
            <w:tcW w:w="1275" w:type="dxa"/>
            <w:tcBorders>
              <w:top w:val="nil"/>
              <w:left w:val="single" w:sz="4" w:space="0" w:color="auto"/>
              <w:bottom w:val="single" w:sz="4" w:space="0" w:color="auto"/>
              <w:right w:val="single" w:sz="4" w:space="0" w:color="auto"/>
            </w:tcBorders>
            <w:shd w:val="clear" w:color="auto" w:fill="C6EFCE"/>
            <w:noWrap/>
          </w:tcPr>
          <w:p w14:paraId="0E60224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843" w:type="dxa"/>
            <w:tcBorders>
              <w:top w:val="nil"/>
              <w:left w:val="single" w:sz="4" w:space="0" w:color="auto"/>
              <w:bottom w:val="single" w:sz="4" w:space="0" w:color="auto"/>
              <w:right w:val="single" w:sz="4" w:space="0" w:color="auto"/>
            </w:tcBorders>
            <w:shd w:val="clear" w:color="auto" w:fill="C6EFCE"/>
            <w:noWrap/>
          </w:tcPr>
          <w:p w14:paraId="190F5436" w14:textId="77777777" w:rsidR="003F46B9" w:rsidRDefault="0065662E">
            <w:pPr>
              <w:pStyle w:val="P68B1DB1-Normal5"/>
              <w:spacing w:after="0" w:line="240" w:lineRule="auto"/>
              <w:jc w:val="both"/>
              <w:rPr>
                <w:rFonts w:eastAsia="Times New Roman" w:cs="Times New Roman"/>
                <w:noProof/>
              </w:rPr>
            </w:pPr>
            <w:r>
              <w:rPr>
                <w:noProof/>
              </w:rPr>
              <w:t xml:space="preserve">U funkciji je pilot-centar unutar Nacionalnog instituta za baštinu za prikupljanje i ponovnu uporabu povijesnih </w:t>
            </w:r>
            <w:r>
              <w:rPr>
                <w:noProof/>
              </w:rPr>
              <w:t>građevinskih materijala.</w:t>
            </w:r>
          </w:p>
        </w:tc>
        <w:tc>
          <w:tcPr>
            <w:tcW w:w="1843" w:type="dxa"/>
            <w:tcBorders>
              <w:top w:val="single" w:sz="4" w:space="0" w:color="auto"/>
              <w:left w:val="nil"/>
              <w:bottom w:val="single" w:sz="4" w:space="0" w:color="auto"/>
              <w:right w:val="single" w:sz="4" w:space="0" w:color="auto"/>
            </w:tcBorders>
            <w:shd w:val="clear" w:color="auto" w:fill="C6EFCE"/>
            <w:noWrap/>
          </w:tcPr>
          <w:p w14:paraId="7C1E565C" w14:textId="77777777" w:rsidR="003F46B9" w:rsidRDefault="0065662E">
            <w:pPr>
              <w:pStyle w:val="P68B1DB1-Normal5"/>
              <w:spacing w:after="0" w:line="240" w:lineRule="auto"/>
              <w:jc w:val="both"/>
              <w:rPr>
                <w:rFonts w:eastAsia="Times New Roman" w:cs="Times New Roman"/>
                <w:noProof/>
              </w:rPr>
            </w:pPr>
            <w:r>
              <w:rPr>
                <w:noProof/>
              </w:rPr>
              <w:t>Stečena operativna dozvola</w:t>
            </w:r>
          </w:p>
        </w:tc>
        <w:tc>
          <w:tcPr>
            <w:tcW w:w="1418" w:type="dxa"/>
            <w:tcBorders>
              <w:top w:val="single" w:sz="4" w:space="0" w:color="auto"/>
              <w:left w:val="nil"/>
              <w:bottom w:val="single" w:sz="4" w:space="0" w:color="auto"/>
              <w:right w:val="single" w:sz="4" w:space="0" w:color="auto"/>
            </w:tcBorders>
            <w:shd w:val="clear" w:color="auto" w:fill="C6EFCE"/>
            <w:noWrap/>
          </w:tcPr>
          <w:p w14:paraId="32E3F0D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D9B7E2F" w14:textId="77777777" w:rsidR="003F46B9" w:rsidRDefault="003F46B9">
            <w:pPr>
              <w:spacing w:after="0" w:line="240" w:lineRule="auto"/>
              <w:jc w:val="both"/>
              <w:rPr>
                <w:rFonts w:ascii="Times New Roman" w:eastAsia="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0144CA9D"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single" w:sz="4" w:space="0" w:color="auto"/>
              <w:bottom w:val="single" w:sz="4" w:space="0" w:color="auto"/>
              <w:right w:val="single" w:sz="4" w:space="0" w:color="auto"/>
            </w:tcBorders>
            <w:shd w:val="clear" w:color="auto" w:fill="C6EFCE"/>
            <w:noWrap/>
          </w:tcPr>
          <w:p w14:paraId="471D8E2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53E23818" w14:textId="77777777" w:rsidR="003F46B9" w:rsidRDefault="0065662E">
            <w:pPr>
              <w:pStyle w:val="P68B1DB1-Normal5"/>
              <w:spacing w:after="0" w:line="240" w:lineRule="auto"/>
              <w:jc w:val="both"/>
              <w:rPr>
                <w:rFonts w:eastAsia="Times New Roman" w:cs="Times New Roman"/>
                <w:noProof/>
              </w:rPr>
            </w:pPr>
            <w:r>
              <w:rPr>
                <w:noProof/>
              </w:rPr>
              <w:t>2024</w:t>
            </w:r>
          </w:p>
        </w:tc>
        <w:tc>
          <w:tcPr>
            <w:tcW w:w="1418" w:type="dxa"/>
            <w:tcBorders>
              <w:top w:val="nil"/>
              <w:left w:val="single" w:sz="4" w:space="0" w:color="auto"/>
              <w:bottom w:val="single" w:sz="4" w:space="0" w:color="auto"/>
              <w:right w:val="single" w:sz="4" w:space="0" w:color="auto"/>
            </w:tcBorders>
            <w:shd w:val="clear" w:color="auto" w:fill="C6EFCE"/>
            <w:noWrap/>
          </w:tcPr>
          <w:p w14:paraId="288EC730" w14:textId="5A2E0F9A" w:rsidR="003F46B9" w:rsidRDefault="0065662E">
            <w:pPr>
              <w:pStyle w:val="P68B1DB1-Normal5"/>
              <w:spacing w:after="0" w:line="240" w:lineRule="auto"/>
              <w:jc w:val="both"/>
              <w:rPr>
                <w:rFonts w:eastAsia="Times New Roman" w:cs="Times New Roman"/>
                <w:noProof/>
              </w:rPr>
            </w:pPr>
            <w:r>
              <w:rPr>
                <w:noProof/>
              </w:rPr>
              <w:t>Pilot-centar mora biti opremljen infrastrukturom za rastavljanje, odvojeno prikupljanje i razvrstavanje povijesnih materijala, kao i alatima potrebnima za popravak prikupljenih</w:t>
            </w:r>
            <w:r>
              <w:rPr>
                <w:noProof/>
              </w:rPr>
              <w:t xml:space="preserve"> materijala koji proizlaze iz obnove i rušenja povijesnih zgrada. Popravljeni materijali ponovno se upotrebljavaju u budućim radovima na povijesnim zgradama, uključujući one koji se financiraju iz te komponente. Razvoj centra temelji se na kružnom gospodar</w:t>
            </w:r>
            <w:r>
              <w:rPr>
                <w:noProof/>
              </w:rPr>
              <w:t xml:space="preserve">stvu i u skladu je s načelima učinkovitog korištenja resursa. </w:t>
            </w:r>
          </w:p>
        </w:tc>
      </w:tr>
      <w:tr w:rsidR="003F46B9" w14:paraId="19B2376F" w14:textId="77777777">
        <w:trPr>
          <w:trHeight w:val="309"/>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22CD8D13" w14:textId="77777777" w:rsidR="003F46B9" w:rsidRDefault="0065662E">
            <w:pPr>
              <w:pStyle w:val="P68B1DB1-Normal5"/>
              <w:spacing w:after="0" w:line="240" w:lineRule="auto"/>
              <w:jc w:val="center"/>
              <w:rPr>
                <w:rFonts w:eastAsia="Times New Roman" w:cs="Times New Roman"/>
                <w:noProof/>
              </w:rPr>
            </w:pPr>
            <w:r>
              <w:rPr>
                <w:noProof/>
              </w:rPr>
              <w:t>112</w:t>
            </w:r>
          </w:p>
        </w:tc>
        <w:tc>
          <w:tcPr>
            <w:tcW w:w="1560" w:type="dxa"/>
            <w:tcBorders>
              <w:top w:val="nil"/>
              <w:left w:val="single" w:sz="4" w:space="0" w:color="auto"/>
              <w:bottom w:val="single" w:sz="4" w:space="0" w:color="auto"/>
              <w:right w:val="single" w:sz="4" w:space="0" w:color="auto"/>
            </w:tcBorders>
            <w:shd w:val="clear" w:color="auto" w:fill="C6EFCE"/>
            <w:noWrap/>
          </w:tcPr>
          <w:p w14:paraId="42A9CF45" w14:textId="77777777" w:rsidR="003F46B9" w:rsidRDefault="0065662E">
            <w:pPr>
              <w:pStyle w:val="P68B1DB1-Normal5"/>
              <w:spacing w:after="0" w:line="240" w:lineRule="auto"/>
              <w:jc w:val="both"/>
              <w:rPr>
                <w:rFonts w:eastAsia="Times New Roman" w:cs="Times New Roman"/>
                <w:noProof/>
              </w:rPr>
            </w:pPr>
            <w:r>
              <w:rPr>
                <w:noProof/>
              </w:rPr>
              <w:t>Ulaganje 4. Kružno gospodarstvo i veća energetska učinkovitost povijesnih zgrada</w:t>
            </w:r>
          </w:p>
        </w:tc>
        <w:tc>
          <w:tcPr>
            <w:tcW w:w="1275" w:type="dxa"/>
            <w:tcBorders>
              <w:top w:val="nil"/>
              <w:left w:val="single" w:sz="4" w:space="0" w:color="auto"/>
              <w:bottom w:val="single" w:sz="4" w:space="0" w:color="auto"/>
              <w:right w:val="single" w:sz="4" w:space="0" w:color="auto"/>
            </w:tcBorders>
            <w:shd w:val="clear" w:color="auto" w:fill="C6EFCE"/>
            <w:noWrap/>
          </w:tcPr>
          <w:p w14:paraId="07815AD8"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843" w:type="dxa"/>
            <w:tcBorders>
              <w:top w:val="nil"/>
              <w:left w:val="single" w:sz="4" w:space="0" w:color="auto"/>
              <w:bottom w:val="single" w:sz="4" w:space="0" w:color="auto"/>
              <w:right w:val="single" w:sz="4" w:space="0" w:color="auto"/>
            </w:tcBorders>
            <w:shd w:val="clear" w:color="auto" w:fill="C6EFCE"/>
            <w:noWrap/>
          </w:tcPr>
          <w:p w14:paraId="0886BC9B" w14:textId="77777777" w:rsidR="003F46B9" w:rsidRDefault="0065662E">
            <w:pPr>
              <w:pStyle w:val="P68B1DB1-Normal5"/>
              <w:spacing w:after="0" w:line="240" w:lineRule="auto"/>
              <w:jc w:val="both"/>
              <w:rPr>
                <w:rFonts w:eastAsia="Times New Roman" w:cs="Times New Roman"/>
                <w:noProof/>
              </w:rPr>
            </w:pPr>
            <w:r>
              <w:rPr>
                <w:noProof/>
              </w:rPr>
              <w:t xml:space="preserve">Najmanje 200 stručnjaka s certifikatom za završetak osposobljavanja o intervencijama i energetskoj </w:t>
            </w:r>
            <w:r>
              <w:rPr>
                <w:noProof/>
              </w:rPr>
              <w:t>učinkovitosti povijesnih zgrada.</w:t>
            </w:r>
          </w:p>
        </w:tc>
        <w:tc>
          <w:tcPr>
            <w:tcW w:w="1843" w:type="dxa"/>
            <w:tcBorders>
              <w:top w:val="single" w:sz="4" w:space="0" w:color="auto"/>
              <w:left w:val="nil"/>
              <w:bottom w:val="single" w:sz="4" w:space="0" w:color="auto"/>
              <w:right w:val="single" w:sz="4" w:space="0" w:color="auto"/>
            </w:tcBorders>
            <w:shd w:val="clear" w:color="auto" w:fill="C6EFCE"/>
            <w:noWrap/>
          </w:tcPr>
          <w:p w14:paraId="33FE3943" w14:textId="77777777" w:rsidR="003F46B9" w:rsidRDefault="003F46B9">
            <w:pPr>
              <w:spacing w:after="0" w:line="240" w:lineRule="auto"/>
              <w:jc w:val="both"/>
              <w:rPr>
                <w:rFonts w:ascii="Times New Roman" w:eastAsia="Times New Roman" w:hAnsi="Times New Roman" w:cs="Times New Roman"/>
                <w:noProof/>
                <w:sz w:val="24"/>
              </w:rPr>
            </w:pPr>
          </w:p>
        </w:tc>
        <w:tc>
          <w:tcPr>
            <w:tcW w:w="1418" w:type="dxa"/>
            <w:tcBorders>
              <w:top w:val="single" w:sz="4" w:space="0" w:color="auto"/>
              <w:left w:val="nil"/>
              <w:bottom w:val="single" w:sz="4" w:space="0" w:color="auto"/>
              <w:right w:val="single" w:sz="4" w:space="0" w:color="auto"/>
            </w:tcBorders>
            <w:shd w:val="clear" w:color="auto" w:fill="C6EFCE"/>
            <w:noWrap/>
          </w:tcPr>
          <w:p w14:paraId="3AE78699"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5F236B74" w14:textId="77777777" w:rsidR="003F46B9" w:rsidRDefault="0065662E">
            <w:pPr>
              <w:pStyle w:val="P68B1DB1-Normal5"/>
              <w:spacing w:after="0" w:line="240" w:lineRule="auto"/>
              <w:jc w:val="both"/>
              <w:rPr>
                <w:rFonts w:eastAsia="Times New Roman" w:cs="Times New Roman"/>
                <w:noProof/>
              </w:rPr>
            </w:pPr>
            <w:r>
              <w:rPr>
                <w:noProof/>
              </w:rPr>
              <w:t>0</w:t>
            </w:r>
          </w:p>
        </w:tc>
        <w:tc>
          <w:tcPr>
            <w:tcW w:w="850" w:type="dxa"/>
            <w:tcBorders>
              <w:top w:val="single" w:sz="4" w:space="0" w:color="auto"/>
              <w:left w:val="nil"/>
              <w:bottom w:val="single" w:sz="4" w:space="0" w:color="auto"/>
              <w:right w:val="single" w:sz="4" w:space="0" w:color="auto"/>
            </w:tcBorders>
            <w:shd w:val="clear" w:color="auto" w:fill="C6EFCE"/>
            <w:noWrap/>
          </w:tcPr>
          <w:p w14:paraId="6CDE331B" w14:textId="77777777" w:rsidR="003F46B9" w:rsidRDefault="0065662E">
            <w:pPr>
              <w:pStyle w:val="P68B1DB1-Normal5"/>
              <w:spacing w:after="0" w:line="240" w:lineRule="auto"/>
              <w:jc w:val="both"/>
              <w:rPr>
                <w:rFonts w:eastAsia="Times New Roman" w:cs="Times New Roman"/>
                <w:noProof/>
              </w:rPr>
            </w:pPr>
            <w:r>
              <w:rPr>
                <w:noProof/>
              </w:rPr>
              <w:t>200</w:t>
            </w:r>
          </w:p>
        </w:tc>
        <w:tc>
          <w:tcPr>
            <w:tcW w:w="1134" w:type="dxa"/>
            <w:tcBorders>
              <w:top w:val="nil"/>
              <w:left w:val="single" w:sz="4" w:space="0" w:color="auto"/>
              <w:bottom w:val="single" w:sz="4" w:space="0" w:color="auto"/>
              <w:right w:val="single" w:sz="4" w:space="0" w:color="auto"/>
            </w:tcBorders>
            <w:shd w:val="clear" w:color="auto" w:fill="C6EFCE"/>
            <w:noWrap/>
          </w:tcPr>
          <w:p w14:paraId="235B7737"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1" w:type="dxa"/>
            <w:tcBorders>
              <w:top w:val="nil"/>
              <w:left w:val="nil"/>
              <w:bottom w:val="single" w:sz="4" w:space="0" w:color="auto"/>
              <w:right w:val="single" w:sz="4" w:space="0" w:color="auto"/>
            </w:tcBorders>
            <w:shd w:val="clear" w:color="auto" w:fill="C6EFCE"/>
            <w:noWrap/>
          </w:tcPr>
          <w:p w14:paraId="06F93BBF" w14:textId="77777777" w:rsidR="003F46B9" w:rsidRDefault="0065662E">
            <w:pPr>
              <w:pStyle w:val="P68B1DB1-Normal5"/>
              <w:spacing w:after="0" w:line="240" w:lineRule="auto"/>
              <w:jc w:val="both"/>
              <w:rPr>
                <w:rFonts w:eastAsia="Times New Roman" w:cs="Times New Roman"/>
                <w:noProof/>
              </w:rPr>
            </w:pPr>
            <w:r>
              <w:rPr>
                <w:noProof/>
              </w:rPr>
              <w:t>2025</w:t>
            </w:r>
          </w:p>
        </w:tc>
        <w:tc>
          <w:tcPr>
            <w:tcW w:w="1418" w:type="dxa"/>
            <w:tcBorders>
              <w:top w:val="nil"/>
              <w:left w:val="single" w:sz="4" w:space="0" w:color="auto"/>
              <w:bottom w:val="single" w:sz="4" w:space="0" w:color="auto"/>
              <w:right w:val="single" w:sz="4" w:space="0" w:color="auto"/>
            </w:tcBorders>
            <w:shd w:val="clear" w:color="auto" w:fill="C6EFCE"/>
            <w:noWrap/>
          </w:tcPr>
          <w:p w14:paraId="2275BBCC" w14:textId="77777777" w:rsidR="003F46B9" w:rsidRDefault="0065662E">
            <w:pPr>
              <w:pStyle w:val="P68B1DB1-Normal5"/>
              <w:spacing w:after="0" w:line="240" w:lineRule="auto"/>
              <w:jc w:val="both"/>
              <w:rPr>
                <w:rFonts w:eastAsia="Times New Roman" w:cs="Times New Roman"/>
                <w:noProof/>
              </w:rPr>
            </w:pPr>
            <w:r>
              <w:rPr>
                <w:noProof/>
              </w:rPr>
              <w:t>Najmanje 200 stručnjaka mora imati certifikat za završetak osposobljavanja u vezi s energetskom učinkovitošću u području povijesnih zgrada. </w:t>
            </w:r>
          </w:p>
        </w:tc>
      </w:tr>
    </w:tbl>
    <w:p w14:paraId="65056B3F"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108"/>
          <w:headerReference w:type="default" r:id="rId109"/>
          <w:footerReference w:type="even" r:id="rId110"/>
          <w:footerReference w:type="default" r:id="rId111"/>
          <w:headerReference w:type="first" r:id="rId112"/>
          <w:footerReference w:type="first" r:id="rId113"/>
          <w:pgSz w:w="16839" w:h="11907" w:orient="landscape"/>
          <w:pgMar w:top="1417" w:right="1134" w:bottom="1417" w:left="1134" w:header="709" w:footer="709" w:gutter="0"/>
          <w:cols w:space="720"/>
          <w:docGrid w:linePitch="360"/>
        </w:sectPr>
      </w:pPr>
    </w:p>
    <w:p w14:paraId="5207574A"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 DIO 6.: Energija </w:t>
      </w:r>
    </w:p>
    <w:p w14:paraId="7EAC8B45" w14:textId="77777777" w:rsidR="003F46B9" w:rsidRDefault="0065662E">
      <w:pPr>
        <w:pStyle w:val="P68B1DB1-Normal5"/>
        <w:spacing w:before="120" w:after="120" w:line="240" w:lineRule="auto"/>
        <w:jc w:val="both"/>
        <w:rPr>
          <w:rFonts w:cs="Times New Roman"/>
          <w:noProof/>
        </w:rPr>
      </w:pPr>
      <w:r>
        <w:rPr>
          <w:noProof/>
        </w:rPr>
        <w:t>Energetski sektor najveći je izvor (66 %) emisija stakleničkih plinova u Rumunjskoj. Rumunjska u svojem nacionalnom energetskom i klimatskom planu (NECP) procjenjuje potrebe za ulaganjima u energetski sekto</w:t>
      </w:r>
      <w:r>
        <w:rPr>
          <w:noProof/>
        </w:rPr>
        <w:t>r u razdoblju 2021. – 2030. u iznosu od približno 22,6 milijardi EUR kako bi se ostvarili ciljevi politike iz NECP-a za 2030.</w:t>
      </w:r>
    </w:p>
    <w:p w14:paraId="3C67CAA8" w14:textId="77777777" w:rsidR="003F46B9" w:rsidRDefault="0065662E">
      <w:pPr>
        <w:pStyle w:val="P68B1DB1-Normal5"/>
        <w:spacing w:before="120" w:after="120" w:line="240" w:lineRule="auto"/>
        <w:jc w:val="both"/>
        <w:rPr>
          <w:rFonts w:cs="Times New Roman"/>
          <w:noProof/>
        </w:rPr>
      </w:pPr>
      <w:r>
        <w:rPr>
          <w:noProof/>
        </w:rPr>
        <w:t xml:space="preserve">Cilj je komponente riješiti glavne izazove rumunjskog energetskog sektora u pogledu dekarbonizacije i onečišćenja zraka. </w:t>
      </w:r>
      <w:r>
        <w:rPr>
          <w:noProof/>
        </w:rPr>
        <w:t>Konkretno, njome se nastoji ubrzati dekarbonizacija energetskog sektora postupnim ukidanjem elektrana na lignit i ugljen do 2032. te olakšavanjem uvođenja obnovljivih izvora energije i alternativnih izvora energije, kao što je zeleni vodik. Cilj mu je i po</w:t>
      </w:r>
      <w:r>
        <w:rPr>
          <w:noProof/>
        </w:rPr>
        <w:t>većati fleksibilnost elektroenergetske mreže, digitalizirati energetski sektor i smanjiti energetski intenzitet industrije. Komponentom se namjerava poboljšati i korporativno upravljanje poduzećima u državnom vlasništvu u energetskom sektoru.</w:t>
      </w:r>
    </w:p>
    <w:p w14:paraId="74D65AC8" w14:textId="77777777" w:rsidR="003F46B9" w:rsidRDefault="0065662E">
      <w:pPr>
        <w:pStyle w:val="P68B1DB1-Normal5"/>
        <w:spacing w:before="120" w:after="120" w:line="240" w:lineRule="auto"/>
        <w:jc w:val="both"/>
        <w:rPr>
          <w:rFonts w:cs="Times New Roman"/>
          <w:noProof/>
        </w:rPr>
      </w:pPr>
      <w:r>
        <w:rPr>
          <w:noProof/>
        </w:rPr>
        <w:t>Ta ulaganja i</w:t>
      </w:r>
      <w:r>
        <w:rPr>
          <w:noProof/>
        </w:rPr>
        <w:t xml:space="preserve"> reforme odnose se na preporuke Rumunjske iz protekle dvije godine kako bi se investicijska politika usmjerila na [...] niskougljične i energetske učinkovitosti” (4. preporuka za pojedinu zemlju, 2019.) i „usmjere na ulaganja u zelenu [...] tranziciju, pos</w:t>
      </w:r>
      <w:r>
        <w:rPr>
          <w:noProof/>
        </w:rPr>
        <w:t>ebno na čistu i učinkovitu proizvodnju i uporabu energije i okolišne infrastrukture, među ostalim u rudarskim regijama” (3. preporuka za pojedinu zemlju iz 2020.).</w:t>
      </w:r>
    </w:p>
    <w:p w14:paraId="5E659CFF"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w:t>
      </w:r>
      <w:r>
        <w:rPr>
          <w:noProof/>
        </w:rPr>
        <w:t>a u smislu članka 17. Uredbe (EU) 2020/852, uzimajući u obzir opis mjera i korake ublažavanja utvrđene u planu za oporavak i otpornost u skladu s Tehničkim smjernicama DNSH-a (2021/C58/01).</w:t>
      </w:r>
    </w:p>
    <w:p w14:paraId="7B44C3AA"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F.1. </w:t>
      </w:r>
      <w:r>
        <w:rPr>
          <w:noProof/>
        </w:rPr>
        <w:tab/>
      </w:r>
      <w:r>
        <w:rPr>
          <w:rFonts w:ascii="Times New Roman" w:hAnsi="Times New Roman"/>
          <w:b/>
          <w:noProof/>
          <w:sz w:val="24"/>
        </w:rPr>
        <w:t xml:space="preserve">Opis reformi i ulaganja za programe bespovratne financijske </w:t>
      </w:r>
      <w:r>
        <w:rPr>
          <w:rFonts w:ascii="Times New Roman" w:hAnsi="Times New Roman"/>
          <w:b/>
          <w:noProof/>
          <w:sz w:val="24"/>
        </w:rPr>
        <w:t>potpore</w:t>
      </w:r>
    </w:p>
    <w:p w14:paraId="18135994"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 Reforma tržišta električne energije, zamjena ugljena u kombinaciji izvora energije i potpora zakonodavnom i regulatornom okviru za privatna ulaganja u proizvodnju električne energije iz obnovljivih izvora</w:t>
      </w:r>
    </w:p>
    <w:p w14:paraId="39605051" w14:textId="77777777" w:rsidR="003F46B9" w:rsidRDefault="0065662E">
      <w:pPr>
        <w:pStyle w:val="P68B1DB1-Normal5"/>
        <w:spacing w:before="120" w:after="120" w:line="240" w:lineRule="auto"/>
        <w:jc w:val="both"/>
        <w:rPr>
          <w:rFonts w:cs="Times New Roman"/>
          <w:noProof/>
        </w:rPr>
      </w:pPr>
      <w:r>
        <w:rPr>
          <w:noProof/>
        </w:rPr>
        <w:t xml:space="preserve">Cilj je reforme dekarbonizacija </w:t>
      </w:r>
      <w:r>
        <w:rPr>
          <w:noProof/>
        </w:rPr>
        <w:t>energetskog sektora, s naglaskom na proizvodnji energije. Reformom su obuhvaćene dvije glavne mjere: postupno ukidanje ugljena i povećanje kapaciteta za proizvodnju električne energije iz obnovljivih izvora.</w:t>
      </w:r>
    </w:p>
    <w:p w14:paraId="3EF60D31" w14:textId="77777777" w:rsidR="003F46B9" w:rsidRDefault="0065662E">
      <w:pPr>
        <w:pStyle w:val="P68B1DB1-Normal5"/>
        <w:spacing w:before="120" w:after="120" w:line="240" w:lineRule="auto"/>
        <w:jc w:val="both"/>
        <w:rPr>
          <w:rFonts w:cs="Times New Roman"/>
          <w:noProof/>
        </w:rPr>
      </w:pPr>
      <w:r>
        <w:rPr>
          <w:noProof/>
        </w:rPr>
        <w:t>Prvi element reforme usmjeren je na postupno uki</w:t>
      </w:r>
      <w:r>
        <w:rPr>
          <w:noProof/>
        </w:rPr>
        <w:t>danje elektrana na ugljen i lignit do 2032. Zakon o dekarbonizaciji i povezano sekundarno zakonodavstvo kojima se utvrđuje raspored stavljanja izvan pogona ukupnog instaliranog kapaciteta ugljena i lignita stupaju na snagu do 30. lipnja 2022. Kumulativni i</w:t>
      </w:r>
      <w:r>
        <w:rPr>
          <w:noProof/>
        </w:rPr>
        <w:t>nstalirani kapacitet proizvodnje električne energije od 3 780 MW ugljena i lignita stavlja se izvan pogona do 31. prosinca 2025.</w:t>
      </w:r>
    </w:p>
    <w:p w14:paraId="0064DB82" w14:textId="77777777" w:rsidR="003F46B9" w:rsidRDefault="0065662E">
      <w:pPr>
        <w:pStyle w:val="P68B1DB1-Normal5"/>
        <w:spacing w:before="120" w:after="120" w:line="240" w:lineRule="auto"/>
        <w:jc w:val="both"/>
        <w:rPr>
          <w:rFonts w:cs="Times New Roman"/>
          <w:noProof/>
        </w:rPr>
      </w:pPr>
      <w:r>
        <w:rPr>
          <w:noProof/>
        </w:rPr>
        <w:t>Cilj je drugog elementa reforme olakšati i ubrzati uvođenje obnovljivih izvora energije u mješavini izvora energije u Rumunjsko</w:t>
      </w:r>
      <w:r>
        <w:rPr>
          <w:noProof/>
        </w:rPr>
        <w:t>j. Osim prenošenja zakonodavstva Unije, novi zakon o energetici: i) uvesti ugovore za razliku kao glavni mehanizam potpore za ulaganja u proizvodnju energije iz obnovljivih izvora; i. svim proizvođačima energije omogućiti da izravno pregovaraju o ugovorima</w:t>
      </w:r>
      <w:r>
        <w:rPr>
          <w:noProof/>
        </w:rPr>
        <w:t xml:space="preserve"> o kupnji električne energije; pojednostavi postupke izdavanja dozvola i odobrenja za ulaganja u obnovljive izvore energije, utvrđujući kraće i obvezno administrativno vrijeme odgovora i provodeći postupke odgovornosti za nepotrebna kašnjenja; i. uvesti po</w:t>
      </w:r>
      <w:r>
        <w:rPr>
          <w:noProof/>
        </w:rPr>
        <w:t>seban okvir potpore za ulaganja u obnovljive izvore energije na moru u regijama koje se trenutačno nedovoljno iskorištavaju; i v. provesti odgovor na potražnju na tržištu uravnoteženja kako bi se smanjila potrošnja u vršnim satima i povećalo sudjelovanje i</w:t>
      </w:r>
      <w:r>
        <w:rPr>
          <w:noProof/>
        </w:rPr>
        <w:t xml:space="preserve">ndustrijskih potrošača na energetskom tržištu. </w:t>
      </w:r>
    </w:p>
    <w:p w14:paraId="3845C160" w14:textId="77777777" w:rsidR="003F46B9" w:rsidRDefault="0065662E">
      <w:pPr>
        <w:pStyle w:val="P68B1DB1-Normal5"/>
        <w:spacing w:before="120" w:after="120" w:line="240" w:lineRule="auto"/>
        <w:jc w:val="both"/>
        <w:rPr>
          <w:rFonts w:cs="Times New Roman"/>
          <w:noProof/>
        </w:rPr>
      </w:pPr>
      <w:r>
        <w:rPr>
          <w:noProof/>
        </w:rPr>
        <w:t>Novi Zakon o energiji stupa na snagu 30. lipnja 2023. Kao rezultat tih mjera dodatni kapacitet od najmanje 3 000 MW energije iz obnovljivih izvora (vjetar i solarna energija) stavlja se u pogon i spaja na mre</w:t>
      </w:r>
      <w:r>
        <w:rPr>
          <w:noProof/>
        </w:rPr>
        <w:t>žu do 30. lipnja 2026.</w:t>
      </w:r>
    </w:p>
    <w:p w14:paraId="67184DBA" w14:textId="77777777" w:rsidR="003F46B9" w:rsidRDefault="0065662E">
      <w:pPr>
        <w:pStyle w:val="P68B1DB1-Standard6"/>
        <w:spacing w:before="240"/>
        <w:jc w:val="both"/>
        <w:rPr>
          <w:rFonts w:ascii="Times New Roman" w:eastAsiaTheme="majorEastAsia" w:hAnsi="Times New Roman" w:cs="Times New Roman"/>
          <w:noProof/>
        </w:rPr>
      </w:pPr>
      <w:r>
        <w:rPr>
          <w:noProof/>
        </w:rPr>
        <w:t>Reforma 2.</w:t>
      </w:r>
      <w:r>
        <w:rPr>
          <w:rFonts w:ascii="Times New Roman" w:hAnsi="Times New Roman"/>
          <w:noProof/>
        </w:rPr>
        <w:t xml:space="preserve"> Poboljšanje korporativnog upravljanja poduzećima u državnom vlasništvu u energetskom sektoru</w:t>
      </w:r>
    </w:p>
    <w:p w14:paraId="2A6AB63B" w14:textId="77777777" w:rsidR="003F46B9" w:rsidRDefault="0065662E">
      <w:pPr>
        <w:pStyle w:val="P68B1DB1-Normal5"/>
        <w:spacing w:before="120" w:after="120" w:line="240" w:lineRule="auto"/>
        <w:jc w:val="both"/>
        <w:rPr>
          <w:rFonts w:cs="Times New Roman"/>
          <w:noProof/>
        </w:rPr>
      </w:pPr>
      <w:r>
        <w:rPr>
          <w:noProof/>
        </w:rPr>
        <w:t>Reforma je usmjerena na poboljšanje korporativnog upravljanja poduzećima u državnom vlasništvu, s naglaskom na energetski sektor.</w:t>
      </w:r>
      <w:r>
        <w:rPr>
          <w:noProof/>
        </w:rPr>
        <w:t xml:space="preserve"> Reformom se posebno poboljšavaju transparentnost i konkurentnost odabira i imenovanja članova upravnih i/ili nadzornih odbora poduzeća u državnom vlasništvu u energetskom sektoru. Ti se odbori imenuju s četverogodišnjim mandatom, a sustav primitaka temelj</w:t>
      </w:r>
      <w:r>
        <w:rPr>
          <w:noProof/>
        </w:rPr>
        <w:t xml:space="preserve">i se na kvantitativnim i kvalitativnim ciljevima povezanima s financijskom i uslužnom učinkovitošću. </w:t>
      </w:r>
    </w:p>
    <w:p w14:paraId="5ADDD138" w14:textId="77777777" w:rsidR="003F46B9" w:rsidRDefault="0065662E">
      <w:pPr>
        <w:pStyle w:val="P68B1DB1-Normal5"/>
        <w:spacing w:before="120" w:after="120" w:line="240" w:lineRule="auto"/>
        <w:jc w:val="both"/>
        <w:rPr>
          <w:rFonts w:cs="Times New Roman"/>
          <w:noProof/>
        </w:rPr>
      </w:pPr>
      <w:r>
        <w:rPr>
          <w:noProof/>
        </w:rPr>
        <w:t xml:space="preserve">Provedba reforme mora biti dovršena do 31. prosinca 2022. Reformom se dovršava i uvrštenje najmanje 15 % dionica društva Hidroelectrica do 30. lipnja </w:t>
      </w:r>
      <w:r>
        <w:rPr>
          <w:noProof/>
        </w:rPr>
        <w:t>2023.</w:t>
      </w:r>
    </w:p>
    <w:p w14:paraId="0AB03EBE"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3. Izrada zelenog proračuna </w:t>
      </w:r>
    </w:p>
    <w:p w14:paraId="2663B9FE" w14:textId="77777777" w:rsidR="003F46B9" w:rsidRDefault="0065662E">
      <w:pPr>
        <w:pStyle w:val="P68B1DB1-Normal5"/>
        <w:spacing w:before="120" w:after="120" w:line="240" w:lineRule="auto"/>
        <w:jc w:val="both"/>
        <w:rPr>
          <w:rFonts w:cs="Times New Roman"/>
          <w:noProof/>
        </w:rPr>
      </w:pPr>
      <w:r>
        <w:rPr>
          <w:noProof/>
        </w:rPr>
        <w:t>Rumunjska trenutačno ne primjenjuje prakse zelenog proračuna. Cilj je te reforme omogućiti praćenje zelenih proračunskih rashoda i procjenu utjecaja fiskalne politike na okoliš i klimu. U okviru te reforme Minista</w:t>
      </w:r>
      <w:r>
        <w:rPr>
          <w:noProof/>
        </w:rPr>
        <w:t>rstvo financija razvija i primjenjuje metodologiju za procjenu učinka pojedinačnih proračunskih linija na okolišne ciljeve, u skladu s taksonomijom EU-a za održive djelatnosti i Tehničkim smjernicama za načelo nenanošenja bitne štete (2021/C58/01). Reformo</w:t>
      </w:r>
      <w:r>
        <w:rPr>
          <w:noProof/>
        </w:rPr>
        <w:t>m će se povećati kapacitet lokalnih javnih tijela za provedbu zelenih proračunskih praksi.</w:t>
      </w:r>
    </w:p>
    <w:p w14:paraId="5AE31D3D" w14:textId="77777777" w:rsidR="003F46B9" w:rsidRDefault="0065662E">
      <w:pPr>
        <w:pStyle w:val="P68B1DB1-Normal5"/>
        <w:spacing w:before="120" w:after="120" w:line="240" w:lineRule="auto"/>
        <w:jc w:val="both"/>
        <w:rPr>
          <w:rFonts w:cs="Times New Roman"/>
          <w:noProof/>
        </w:rPr>
      </w:pPr>
      <w:r>
        <w:rPr>
          <w:noProof/>
        </w:rPr>
        <w:t xml:space="preserve">Metodologija se donosi, objavljuje i provodi do 30. rujna 2023. </w:t>
      </w:r>
    </w:p>
    <w:p w14:paraId="3D328631" w14:textId="77777777" w:rsidR="003F46B9" w:rsidRDefault="003F46B9">
      <w:pPr>
        <w:spacing w:before="120" w:after="120" w:line="240" w:lineRule="auto"/>
        <w:ind w:left="850"/>
        <w:jc w:val="both"/>
        <w:rPr>
          <w:rFonts w:ascii="Times New Roman" w:hAnsi="Times New Roman" w:cs="Times New Roman"/>
          <w:noProof/>
          <w:sz w:val="24"/>
        </w:rPr>
        <w:sectPr w:rsidR="003F46B9" w:rsidSect="00ED6412">
          <w:headerReference w:type="even" r:id="rId114"/>
          <w:headerReference w:type="default" r:id="rId115"/>
          <w:footerReference w:type="even" r:id="rId116"/>
          <w:footerReference w:type="default" r:id="rId117"/>
          <w:headerReference w:type="first" r:id="rId118"/>
          <w:footerReference w:type="first" r:id="rId119"/>
          <w:pgSz w:w="11906" w:h="16838"/>
          <w:pgMar w:top="1440" w:right="1440" w:bottom="1440" w:left="1440" w:header="708" w:footer="708" w:gutter="0"/>
          <w:cols w:space="708"/>
          <w:docGrid w:linePitch="360"/>
        </w:sectPr>
      </w:pPr>
    </w:p>
    <w:p w14:paraId="5652DE37" w14:textId="77777777" w:rsidR="003F46B9" w:rsidRDefault="0065662E">
      <w:pPr>
        <w:keepNext/>
        <w:spacing w:before="120" w:after="120" w:line="240" w:lineRule="auto"/>
        <w:jc w:val="both"/>
        <w:outlineLvl w:val="1"/>
        <w:rPr>
          <w:rFonts w:ascii="Times New Roman" w:eastAsiaTheme="majorEastAsia" w:hAnsi="Times New Roman" w:cs="Times New Roman"/>
          <w:noProof/>
          <w:sz w:val="24"/>
          <w:u w:val="single"/>
        </w:rPr>
      </w:pPr>
      <w:r>
        <w:rPr>
          <w:rFonts w:ascii="Times New Roman" w:hAnsi="Times New Roman"/>
          <w:b/>
          <w:noProof/>
          <w:sz w:val="24"/>
        </w:rPr>
        <w:t xml:space="preserve">F.2. </w:t>
      </w:r>
      <w:r>
        <w:rPr>
          <w:noProof/>
        </w:rPr>
        <w:tab/>
      </w:r>
      <w:r>
        <w:rPr>
          <w:rFonts w:ascii="Times New Roman" w:hAnsi="Times New Roman"/>
          <w:b/>
          <w:noProof/>
          <w:sz w:val="24"/>
        </w:rPr>
        <w:t>Ključne etape, ciljne vrijednosti i vremen</w:t>
      </w:r>
      <w:r>
        <w:rPr>
          <w:rFonts w:ascii="Times New Roman" w:hAnsi="Times New Roman"/>
          <w:b/>
          <w:noProof/>
          <w:sz w:val="24"/>
        </w:rPr>
        <w:t>ski raspored za praćenje i provedbu programa bespovratne financijske potpore</w:t>
      </w:r>
    </w:p>
    <w:tbl>
      <w:tblPr>
        <w:tblW w:w="15593" w:type="dxa"/>
        <w:jc w:val="center"/>
        <w:tblLayout w:type="fixed"/>
        <w:tblLook w:val="04A0" w:firstRow="1" w:lastRow="0" w:firstColumn="1" w:lastColumn="0" w:noHBand="0" w:noVBand="1"/>
      </w:tblPr>
      <w:tblGrid>
        <w:gridCol w:w="791"/>
        <w:gridCol w:w="1823"/>
        <w:gridCol w:w="1350"/>
        <w:gridCol w:w="1653"/>
        <w:gridCol w:w="1822"/>
        <w:gridCol w:w="1332"/>
        <w:gridCol w:w="1332"/>
        <w:gridCol w:w="793"/>
        <w:gridCol w:w="1051"/>
        <w:gridCol w:w="755"/>
        <w:gridCol w:w="2891"/>
      </w:tblGrid>
      <w:tr w:rsidR="003F46B9" w14:paraId="3B1ABAB9" w14:textId="77777777">
        <w:trPr>
          <w:trHeight w:val="567"/>
          <w:tblHeader/>
          <w:jc w:val="center"/>
        </w:trPr>
        <w:tc>
          <w:tcPr>
            <w:tcW w:w="7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423CAB5"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45CB8"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05C5F4"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87E395" w14:textId="77777777" w:rsidR="003F46B9" w:rsidRDefault="0065662E">
            <w:pPr>
              <w:pStyle w:val="P68B1DB1-Normal1"/>
              <w:spacing w:after="0" w:line="240" w:lineRule="auto"/>
              <w:jc w:val="center"/>
              <w:rPr>
                <w:rFonts w:eastAsia="Times New Roman" w:cs="Times New Roman"/>
                <w:noProof/>
              </w:rPr>
            </w:pPr>
            <w:r>
              <w:rPr>
                <w:noProof/>
              </w:rPr>
              <w:t>Ime</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32789C" w14:textId="4EBF3861"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45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2D49DC54" w14:textId="4BFF0DA5"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806" w:type="dxa"/>
            <w:gridSpan w:val="2"/>
            <w:tcBorders>
              <w:top w:val="single" w:sz="4" w:space="0" w:color="auto"/>
              <w:left w:val="nil"/>
              <w:bottom w:val="single" w:sz="4" w:space="0" w:color="auto"/>
              <w:right w:val="single" w:sz="4" w:space="0" w:color="auto"/>
            </w:tcBorders>
            <w:shd w:val="clear" w:color="auto" w:fill="BDD7EE"/>
            <w:vAlign w:val="center"/>
            <w:hideMark/>
          </w:tcPr>
          <w:p w14:paraId="05964C53" w14:textId="77777777" w:rsidR="003F46B9" w:rsidRDefault="0065662E">
            <w:pPr>
              <w:pStyle w:val="P68B1DB1-Normal1"/>
              <w:spacing w:after="0" w:line="240" w:lineRule="auto"/>
              <w:jc w:val="center"/>
              <w:rPr>
                <w:rFonts w:eastAsia="Times New Roman" w:cs="Times New Roman"/>
                <w:noProof/>
              </w:rPr>
            </w:pPr>
            <w:r>
              <w:rPr>
                <w:noProof/>
              </w:rPr>
              <w:t xml:space="preserve">Okvirni </w:t>
            </w:r>
            <w:r>
              <w:rPr>
                <w:noProof/>
              </w:rPr>
              <w:t>vremenski okvir za dovršetak</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1FABC67"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67206E8" w14:textId="77777777">
        <w:trPr>
          <w:trHeight w:val="522"/>
          <w:tblHeader/>
          <w:jc w:val="center"/>
        </w:trPr>
        <w:tc>
          <w:tcPr>
            <w:tcW w:w="791" w:type="dxa"/>
            <w:vMerge/>
            <w:tcBorders>
              <w:top w:val="single" w:sz="4" w:space="0" w:color="auto"/>
              <w:left w:val="single" w:sz="4" w:space="0" w:color="auto"/>
              <w:bottom w:val="single" w:sz="4" w:space="0" w:color="auto"/>
              <w:right w:val="single" w:sz="4" w:space="0" w:color="auto"/>
            </w:tcBorders>
            <w:hideMark/>
          </w:tcPr>
          <w:p w14:paraId="0B7A1610" w14:textId="77777777" w:rsidR="003F46B9" w:rsidRDefault="003F46B9">
            <w:pPr>
              <w:spacing w:after="0" w:line="240" w:lineRule="auto"/>
              <w:jc w:val="both"/>
              <w:rPr>
                <w:rFonts w:ascii="Times New Roman" w:eastAsia="Times New Roman" w:hAnsi="Times New Roman" w:cs="Times New Roman"/>
                <w:b/>
                <w:noProof/>
                <w:sz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65AD28E5" w14:textId="77777777" w:rsidR="003F46B9" w:rsidRDefault="003F46B9">
            <w:pPr>
              <w:spacing w:after="0" w:line="240" w:lineRule="auto"/>
              <w:jc w:val="both"/>
              <w:rPr>
                <w:rFonts w:ascii="Times New Roman" w:eastAsia="Times New Roman" w:hAnsi="Times New Roman" w:cs="Times New Roman"/>
                <w:b/>
                <w:noProof/>
                <w:sz w:val="24"/>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F06C52A" w14:textId="77777777" w:rsidR="003F46B9" w:rsidRDefault="003F46B9">
            <w:pPr>
              <w:spacing w:after="0" w:line="240" w:lineRule="auto"/>
              <w:jc w:val="both"/>
              <w:rPr>
                <w:rFonts w:ascii="Times New Roman" w:eastAsia="Times New Roman" w:hAnsi="Times New Roman" w:cs="Times New Roman"/>
                <w:b/>
                <w:noProof/>
                <w:sz w:val="24"/>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01C6AC49" w14:textId="77777777" w:rsidR="003F46B9" w:rsidRDefault="003F46B9">
            <w:pPr>
              <w:spacing w:after="0" w:line="240" w:lineRule="auto"/>
              <w:jc w:val="both"/>
              <w:rPr>
                <w:rFonts w:ascii="Times New Roman" w:eastAsia="Times New Roman" w:hAnsi="Times New Roman" w:cs="Times New Roman"/>
                <w:b/>
                <w:noProof/>
                <w:sz w:val="24"/>
              </w:rPr>
            </w:pPr>
          </w:p>
        </w:tc>
        <w:tc>
          <w:tcPr>
            <w:tcW w:w="1822" w:type="dxa"/>
            <w:vMerge/>
            <w:tcBorders>
              <w:top w:val="single" w:sz="4" w:space="0" w:color="auto"/>
              <w:left w:val="single" w:sz="4" w:space="0" w:color="auto"/>
              <w:bottom w:val="single" w:sz="4" w:space="0" w:color="auto"/>
              <w:right w:val="single" w:sz="4" w:space="0" w:color="auto"/>
            </w:tcBorders>
            <w:vAlign w:val="center"/>
            <w:hideMark/>
          </w:tcPr>
          <w:p w14:paraId="3DCC1FB2" w14:textId="77777777" w:rsidR="003F46B9" w:rsidRDefault="003F46B9">
            <w:pPr>
              <w:spacing w:after="0" w:line="240" w:lineRule="auto"/>
              <w:jc w:val="both"/>
              <w:rPr>
                <w:rFonts w:ascii="Times New Roman" w:eastAsia="Times New Roman" w:hAnsi="Times New Roman" w:cs="Times New Roman"/>
                <w:b/>
                <w:noProof/>
                <w:sz w:val="24"/>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5AE8CBD4"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332" w:type="dxa"/>
            <w:tcBorders>
              <w:top w:val="nil"/>
              <w:left w:val="nil"/>
              <w:bottom w:val="single" w:sz="4" w:space="0" w:color="auto"/>
              <w:right w:val="single" w:sz="4" w:space="0" w:color="auto"/>
            </w:tcBorders>
            <w:shd w:val="clear" w:color="auto" w:fill="BDD7EE"/>
            <w:vAlign w:val="center"/>
            <w:hideMark/>
          </w:tcPr>
          <w:p w14:paraId="2FE05E88" w14:textId="77777777"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793" w:type="dxa"/>
            <w:tcBorders>
              <w:top w:val="nil"/>
              <w:left w:val="nil"/>
              <w:bottom w:val="single" w:sz="4" w:space="0" w:color="auto"/>
              <w:right w:val="single" w:sz="4" w:space="0" w:color="auto"/>
            </w:tcBorders>
            <w:shd w:val="clear" w:color="auto" w:fill="BDD7EE"/>
            <w:vAlign w:val="center"/>
            <w:hideMark/>
          </w:tcPr>
          <w:p w14:paraId="4D974B11"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051" w:type="dxa"/>
            <w:tcBorders>
              <w:top w:val="nil"/>
              <w:left w:val="nil"/>
              <w:bottom w:val="single" w:sz="4" w:space="0" w:color="auto"/>
              <w:right w:val="single" w:sz="4" w:space="0" w:color="auto"/>
            </w:tcBorders>
            <w:shd w:val="clear" w:color="auto" w:fill="BDD7EE"/>
            <w:vAlign w:val="center"/>
            <w:hideMark/>
          </w:tcPr>
          <w:p w14:paraId="4027A5D7"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755" w:type="dxa"/>
            <w:tcBorders>
              <w:top w:val="nil"/>
              <w:left w:val="nil"/>
              <w:bottom w:val="single" w:sz="4" w:space="0" w:color="auto"/>
              <w:right w:val="single" w:sz="4" w:space="0" w:color="auto"/>
            </w:tcBorders>
            <w:shd w:val="clear" w:color="auto" w:fill="BDD7EE"/>
            <w:vAlign w:val="center"/>
            <w:hideMark/>
          </w:tcPr>
          <w:p w14:paraId="4C11FAB4"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2891" w:type="dxa"/>
            <w:vMerge/>
            <w:tcBorders>
              <w:top w:val="single" w:sz="4" w:space="0" w:color="auto"/>
              <w:bottom w:val="single" w:sz="4" w:space="0" w:color="auto"/>
              <w:right w:val="single" w:sz="4" w:space="0" w:color="auto"/>
            </w:tcBorders>
            <w:vAlign w:val="center"/>
            <w:hideMark/>
          </w:tcPr>
          <w:p w14:paraId="68CB9DCF"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2BFDC50B"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F7FE406" w14:textId="77777777" w:rsidR="003F46B9" w:rsidRDefault="0065662E">
            <w:pPr>
              <w:pStyle w:val="P68B1DB1-Normal5"/>
              <w:spacing w:after="0" w:line="240" w:lineRule="auto"/>
              <w:jc w:val="both"/>
              <w:rPr>
                <w:rFonts w:eastAsia="Times New Roman" w:cs="Times New Roman"/>
                <w:noProof/>
              </w:rPr>
            </w:pPr>
            <w:r>
              <w:rPr>
                <w:noProof/>
              </w:rPr>
              <w:t xml:space="preserve"> 113</w:t>
            </w:r>
          </w:p>
        </w:tc>
        <w:tc>
          <w:tcPr>
            <w:tcW w:w="1823" w:type="dxa"/>
            <w:tcBorders>
              <w:top w:val="single" w:sz="4" w:space="0" w:color="auto"/>
              <w:left w:val="nil"/>
              <w:bottom w:val="single" w:sz="4" w:space="0" w:color="auto"/>
              <w:right w:val="single" w:sz="4" w:space="0" w:color="auto"/>
            </w:tcBorders>
            <w:shd w:val="clear" w:color="auto" w:fill="C6EFCE"/>
            <w:noWrap/>
          </w:tcPr>
          <w:p w14:paraId="285B89AE"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za privatna ulaganja u proizvodnju električne energije iz obnovljivih izvora </w:t>
            </w:r>
          </w:p>
        </w:tc>
        <w:tc>
          <w:tcPr>
            <w:tcW w:w="1350" w:type="dxa"/>
            <w:tcBorders>
              <w:top w:val="single" w:sz="4" w:space="0" w:color="auto"/>
              <w:left w:val="nil"/>
              <w:bottom w:val="single" w:sz="4" w:space="0" w:color="auto"/>
              <w:right w:val="single" w:sz="4" w:space="0" w:color="auto"/>
            </w:tcBorders>
            <w:shd w:val="clear" w:color="auto" w:fill="C6EFCE"/>
            <w:noWrap/>
          </w:tcPr>
          <w:p w14:paraId="5ABDA755"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53" w:type="dxa"/>
            <w:tcBorders>
              <w:top w:val="single" w:sz="4" w:space="0" w:color="auto"/>
              <w:left w:val="nil"/>
              <w:bottom w:val="single" w:sz="4" w:space="0" w:color="auto"/>
              <w:right w:val="single" w:sz="4" w:space="0" w:color="auto"/>
            </w:tcBorders>
            <w:shd w:val="clear" w:color="auto" w:fill="C6EFCE"/>
            <w:noWrap/>
          </w:tcPr>
          <w:p w14:paraId="38C960E4" w14:textId="77777777" w:rsidR="003F46B9" w:rsidRDefault="0065662E">
            <w:pPr>
              <w:pStyle w:val="P68B1DB1-Normal5"/>
              <w:spacing w:after="0" w:line="240" w:lineRule="auto"/>
              <w:jc w:val="both"/>
              <w:rPr>
                <w:rFonts w:eastAsia="Times New Roman" w:cs="Times New Roman"/>
                <w:noProof/>
              </w:rPr>
            </w:pPr>
            <w:r>
              <w:rPr>
                <w:noProof/>
              </w:rPr>
              <w:t>Stavljanje izvan pogona kapacite</w:t>
            </w:r>
            <w:r>
              <w:rPr>
                <w:noProof/>
              </w:rPr>
              <w:t xml:space="preserve">ta za proizvodnju električne energije iz ugljena </w:t>
            </w:r>
          </w:p>
        </w:tc>
        <w:tc>
          <w:tcPr>
            <w:tcW w:w="1822" w:type="dxa"/>
            <w:tcBorders>
              <w:top w:val="single" w:sz="4" w:space="0" w:color="auto"/>
              <w:left w:val="nil"/>
              <w:bottom w:val="single" w:sz="4" w:space="0" w:color="auto"/>
              <w:right w:val="single" w:sz="4" w:space="0" w:color="auto"/>
            </w:tcBorders>
            <w:shd w:val="clear" w:color="auto" w:fill="C6EFCE"/>
            <w:noWrap/>
          </w:tcPr>
          <w:p w14:paraId="2096CBB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541210DC" w14:textId="77777777" w:rsidR="003F46B9" w:rsidRDefault="0065662E">
            <w:pPr>
              <w:pStyle w:val="P68B1DB1-Normal5"/>
              <w:spacing w:after="0" w:line="240" w:lineRule="auto"/>
              <w:jc w:val="both"/>
              <w:rPr>
                <w:rFonts w:eastAsia="Times New Roman" w:cs="Times New Roman"/>
                <w:noProof/>
              </w:rPr>
            </w:pPr>
            <w:r>
              <w:rPr>
                <w:noProof/>
              </w:rPr>
              <w:t>Megavati (MW)</w:t>
            </w:r>
          </w:p>
        </w:tc>
        <w:tc>
          <w:tcPr>
            <w:tcW w:w="1332" w:type="dxa"/>
            <w:tcBorders>
              <w:top w:val="single" w:sz="4" w:space="0" w:color="auto"/>
              <w:left w:val="nil"/>
              <w:bottom w:val="single" w:sz="4" w:space="0" w:color="auto"/>
              <w:right w:val="single" w:sz="4" w:space="0" w:color="auto"/>
            </w:tcBorders>
            <w:shd w:val="clear" w:color="auto" w:fill="C6EFCE"/>
            <w:noWrap/>
          </w:tcPr>
          <w:p w14:paraId="541D988B" w14:textId="77777777" w:rsidR="003F46B9" w:rsidRDefault="0065662E">
            <w:pPr>
              <w:pStyle w:val="P68B1DB1-Normal5"/>
              <w:spacing w:after="0" w:line="240" w:lineRule="auto"/>
              <w:jc w:val="both"/>
              <w:rPr>
                <w:rFonts w:eastAsia="Times New Roman" w:cs="Times New Roman"/>
                <w:noProof/>
              </w:rPr>
            </w:pPr>
            <w:r>
              <w:rPr>
                <w:noProof/>
              </w:rPr>
              <w:t> 0</w:t>
            </w:r>
          </w:p>
        </w:tc>
        <w:tc>
          <w:tcPr>
            <w:tcW w:w="793" w:type="dxa"/>
            <w:tcBorders>
              <w:top w:val="single" w:sz="4" w:space="0" w:color="auto"/>
              <w:left w:val="nil"/>
              <w:bottom w:val="single" w:sz="4" w:space="0" w:color="auto"/>
              <w:right w:val="single" w:sz="4" w:space="0" w:color="auto"/>
            </w:tcBorders>
            <w:shd w:val="clear" w:color="auto" w:fill="C6EFCE"/>
            <w:noWrap/>
          </w:tcPr>
          <w:p w14:paraId="0E71F76C" w14:textId="77777777" w:rsidR="003F46B9" w:rsidRDefault="0065662E">
            <w:pPr>
              <w:pStyle w:val="P68B1DB1-Normal5"/>
              <w:spacing w:after="0" w:line="240" w:lineRule="auto"/>
              <w:jc w:val="both"/>
              <w:rPr>
                <w:rFonts w:eastAsia="Times New Roman" w:cs="Times New Roman"/>
                <w:noProof/>
              </w:rPr>
            </w:pPr>
            <w:r>
              <w:rPr>
                <w:noProof/>
              </w:rPr>
              <w:t>1 695</w:t>
            </w:r>
          </w:p>
        </w:tc>
        <w:tc>
          <w:tcPr>
            <w:tcW w:w="1051" w:type="dxa"/>
            <w:tcBorders>
              <w:top w:val="single" w:sz="4" w:space="0" w:color="auto"/>
              <w:left w:val="nil"/>
              <w:bottom w:val="single" w:sz="4" w:space="0" w:color="auto"/>
              <w:right w:val="single" w:sz="4" w:space="0" w:color="auto"/>
            </w:tcBorders>
            <w:shd w:val="clear" w:color="auto" w:fill="C6EFCE"/>
            <w:noWrap/>
          </w:tcPr>
          <w:p w14:paraId="452DA56E"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03303379" w14:textId="77777777" w:rsidR="003F46B9" w:rsidRDefault="0065662E">
            <w:pPr>
              <w:pStyle w:val="P68B1DB1-Normal5"/>
              <w:spacing w:after="0" w:line="240" w:lineRule="auto"/>
              <w:jc w:val="both"/>
              <w:rPr>
                <w:rFonts w:eastAsia="Times New Roman" w:cs="Times New Roman"/>
                <w:noProof/>
              </w:rPr>
            </w:pPr>
            <w:r>
              <w:rPr>
                <w:noProof/>
              </w:rPr>
              <w:t>2021</w:t>
            </w:r>
          </w:p>
        </w:tc>
        <w:tc>
          <w:tcPr>
            <w:tcW w:w="2891" w:type="dxa"/>
            <w:tcBorders>
              <w:top w:val="single" w:sz="4" w:space="0" w:color="auto"/>
              <w:left w:val="nil"/>
              <w:bottom w:val="single" w:sz="4" w:space="0" w:color="auto"/>
              <w:right w:val="single" w:sz="4" w:space="0" w:color="auto"/>
            </w:tcBorders>
            <w:shd w:val="clear" w:color="auto" w:fill="C6EFCE"/>
            <w:noWrap/>
          </w:tcPr>
          <w:p w14:paraId="6B335982" w14:textId="77777777" w:rsidR="003F46B9" w:rsidRDefault="0065662E">
            <w:pPr>
              <w:pStyle w:val="P68B1DB1-Normal5"/>
              <w:spacing w:after="0" w:line="240" w:lineRule="auto"/>
              <w:jc w:val="both"/>
              <w:rPr>
                <w:rFonts w:eastAsia="Times New Roman" w:cs="Times New Roman"/>
                <w:noProof/>
              </w:rPr>
            </w:pPr>
            <w:r>
              <w:rPr>
                <w:noProof/>
              </w:rPr>
              <w:t>Povučeno je 1 695 MW instaliranog kapaciteta za proizvodnju električne energije iz ugljena.</w:t>
            </w:r>
          </w:p>
        </w:tc>
      </w:tr>
      <w:tr w:rsidR="003F46B9" w14:paraId="30E7EB37"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17D084B" w14:textId="77777777" w:rsidR="003F46B9" w:rsidRDefault="0065662E">
            <w:pPr>
              <w:pStyle w:val="P68B1DB1-Normal5"/>
              <w:spacing w:after="0" w:line="240" w:lineRule="auto"/>
              <w:jc w:val="both"/>
              <w:rPr>
                <w:rFonts w:eastAsia="Times New Roman" w:cs="Times New Roman"/>
                <w:noProof/>
              </w:rPr>
            </w:pPr>
            <w:r>
              <w:rPr>
                <w:noProof/>
              </w:rPr>
              <w:t>114</w:t>
            </w:r>
          </w:p>
        </w:tc>
        <w:tc>
          <w:tcPr>
            <w:tcW w:w="1823" w:type="dxa"/>
            <w:tcBorders>
              <w:top w:val="single" w:sz="4" w:space="0" w:color="auto"/>
              <w:left w:val="nil"/>
              <w:bottom w:val="single" w:sz="4" w:space="0" w:color="auto"/>
              <w:right w:val="single" w:sz="4" w:space="0" w:color="auto"/>
            </w:tcBorders>
            <w:shd w:val="clear" w:color="auto" w:fill="C6EFCE"/>
            <w:noWrap/>
          </w:tcPr>
          <w:p w14:paraId="74B40227"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za privatna ulaganja u proizvodnju električne energije iz obnovljivih izvora </w:t>
            </w:r>
          </w:p>
        </w:tc>
        <w:tc>
          <w:tcPr>
            <w:tcW w:w="1350" w:type="dxa"/>
            <w:tcBorders>
              <w:top w:val="single" w:sz="4" w:space="0" w:color="auto"/>
              <w:left w:val="nil"/>
              <w:bottom w:val="single" w:sz="4" w:space="0" w:color="auto"/>
              <w:right w:val="single" w:sz="4" w:space="0" w:color="auto"/>
            </w:tcBorders>
            <w:shd w:val="clear" w:color="auto" w:fill="C6EFCE"/>
            <w:noWrap/>
          </w:tcPr>
          <w:p w14:paraId="38C39B5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432C08BD"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o </w:t>
            </w:r>
            <w:r>
              <w:rPr>
                <w:noProof/>
              </w:rPr>
              <w:t>dekarbonizaciji kojim se donosi kalendar postupnog ukidanja ugljena/lignita</w:t>
            </w:r>
          </w:p>
        </w:tc>
        <w:tc>
          <w:tcPr>
            <w:tcW w:w="1822" w:type="dxa"/>
            <w:tcBorders>
              <w:top w:val="single" w:sz="4" w:space="0" w:color="auto"/>
              <w:left w:val="nil"/>
              <w:bottom w:val="single" w:sz="4" w:space="0" w:color="auto"/>
              <w:right w:val="single" w:sz="4" w:space="0" w:color="auto"/>
            </w:tcBorders>
            <w:shd w:val="clear" w:color="auto" w:fill="C6EFCE"/>
            <w:noWrap/>
          </w:tcPr>
          <w:p w14:paraId="0B581F38"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w:t>
            </w:r>
          </w:p>
        </w:tc>
        <w:tc>
          <w:tcPr>
            <w:tcW w:w="1332" w:type="dxa"/>
            <w:tcBorders>
              <w:top w:val="single" w:sz="4" w:space="0" w:color="auto"/>
              <w:left w:val="nil"/>
              <w:bottom w:val="single" w:sz="4" w:space="0" w:color="auto"/>
              <w:right w:val="single" w:sz="4" w:space="0" w:color="auto"/>
            </w:tcBorders>
            <w:shd w:val="clear" w:color="auto" w:fill="C6EFCE"/>
            <w:noWrap/>
          </w:tcPr>
          <w:p w14:paraId="4EB251A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9F44BB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C0A6F1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5754D8F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6D144F20" w14:textId="77777777" w:rsidR="003F46B9" w:rsidRDefault="0065662E">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F2C5ED5" w14:textId="77777777" w:rsidR="003F46B9" w:rsidRDefault="0065662E">
            <w:pPr>
              <w:pStyle w:val="P68B1DB1-Normal5"/>
              <w:spacing w:after="0" w:line="240" w:lineRule="auto"/>
              <w:jc w:val="both"/>
              <w:rPr>
                <w:rFonts w:eastAsia="Times New Roman" w:cs="Times New Roman"/>
                <w:noProof/>
              </w:rPr>
            </w:pPr>
            <w:r>
              <w:rPr>
                <w:noProof/>
              </w:rPr>
              <w:t xml:space="preserve">Do drugog tromjesečja 2022. na snagu stupa zakon o dekarbonizaciji (i svako sekundarno zakonodavstvo) </w:t>
            </w:r>
            <w:r>
              <w:rPr>
                <w:noProof/>
              </w:rPr>
              <w:t>s vremenskim rasporedom do 2032. za:</w:t>
            </w:r>
          </w:p>
          <w:p w14:paraId="243EF3E9" w14:textId="77777777" w:rsidR="003F46B9" w:rsidRDefault="0065662E">
            <w:pPr>
              <w:pStyle w:val="P68B1DB1-ListParagraph13"/>
              <w:numPr>
                <w:ilvl w:val="0"/>
                <w:numId w:val="48"/>
              </w:numPr>
              <w:spacing w:after="0" w:line="240" w:lineRule="auto"/>
              <w:ind w:left="187" w:hanging="218"/>
              <w:jc w:val="both"/>
              <w:rPr>
                <w:rFonts w:eastAsia="Times New Roman" w:cs="Times New Roman"/>
                <w:noProof/>
              </w:rPr>
            </w:pPr>
            <w:r>
              <w:rPr>
                <w:noProof/>
              </w:rPr>
              <w:t>Stavljanje izvan pogona ukupnog instaliranog kapaciteta za proizvodnju električne energije na ugljen/lignit (tj. 4 590 MW).</w:t>
            </w:r>
          </w:p>
          <w:p w14:paraId="1E200604" w14:textId="77777777" w:rsidR="003F46B9" w:rsidRDefault="0065662E">
            <w:pPr>
              <w:pStyle w:val="P68B1DB1-ListParagraph13"/>
              <w:numPr>
                <w:ilvl w:val="0"/>
                <w:numId w:val="48"/>
              </w:numPr>
              <w:spacing w:after="0" w:line="240" w:lineRule="auto"/>
              <w:ind w:left="187" w:hanging="218"/>
              <w:jc w:val="both"/>
              <w:rPr>
                <w:rFonts w:eastAsia="Times New Roman" w:cs="Times New Roman"/>
                <w:noProof/>
              </w:rPr>
            </w:pPr>
            <w:r>
              <w:rPr>
                <w:noProof/>
              </w:rPr>
              <w:t xml:space="preserve">Mjere koje se odnose na sanaciju rudnika koje treba zatvoriti (npr. spašavanje tla u rudarskim </w:t>
            </w:r>
            <w:r>
              <w:rPr>
                <w:noProof/>
              </w:rPr>
              <w:t>područjima kao što su površinski sloj tla i obnova vegetacije, naslagani otpad, upotreba zemljišta za oblikovanje zemljišta nakon zatvaranja).</w:t>
            </w:r>
          </w:p>
          <w:p w14:paraId="4D938F29" w14:textId="77777777" w:rsidR="003F46B9" w:rsidRDefault="0065662E">
            <w:pPr>
              <w:pStyle w:val="P68B1DB1-ListParagraph13"/>
              <w:numPr>
                <w:ilvl w:val="0"/>
                <w:numId w:val="48"/>
              </w:numPr>
              <w:spacing w:after="0" w:line="240" w:lineRule="auto"/>
              <w:ind w:left="187" w:hanging="218"/>
              <w:jc w:val="both"/>
              <w:rPr>
                <w:rFonts w:eastAsia="Times New Roman" w:cs="Times New Roman"/>
                <w:noProof/>
              </w:rPr>
            </w:pPr>
            <w:r>
              <w:rPr>
                <w:noProof/>
              </w:rPr>
              <w:t>Mjere za usavršavanje (profesionalna prenamjena i prekvalifikacija) i druge mjere sa socioekonomskim učinkom na p</w:t>
            </w:r>
            <w:r>
              <w:rPr>
                <w:noProof/>
              </w:rPr>
              <w:t xml:space="preserve">ogođene zajednice. </w:t>
            </w:r>
          </w:p>
        </w:tc>
      </w:tr>
      <w:tr w:rsidR="003F46B9" w14:paraId="5982C74D"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377638" w14:textId="77777777" w:rsidR="003F46B9" w:rsidRDefault="0065662E">
            <w:pPr>
              <w:pStyle w:val="P68B1DB1-Normal5"/>
              <w:spacing w:after="0" w:line="240" w:lineRule="auto"/>
              <w:jc w:val="both"/>
              <w:rPr>
                <w:rFonts w:eastAsia="Times New Roman" w:cs="Times New Roman"/>
                <w:noProof/>
              </w:rPr>
            </w:pPr>
            <w:r>
              <w:rPr>
                <w:noProof/>
              </w:rPr>
              <w:t>115</w:t>
            </w:r>
          </w:p>
        </w:tc>
        <w:tc>
          <w:tcPr>
            <w:tcW w:w="1823" w:type="dxa"/>
            <w:tcBorders>
              <w:top w:val="single" w:sz="4" w:space="0" w:color="auto"/>
              <w:left w:val="nil"/>
              <w:bottom w:val="single" w:sz="4" w:space="0" w:color="auto"/>
              <w:right w:val="single" w:sz="4" w:space="0" w:color="auto"/>
            </w:tcBorders>
            <w:shd w:val="clear" w:color="auto" w:fill="C6EFCE"/>
            <w:noWrap/>
          </w:tcPr>
          <w:p w14:paraId="06BF2900" w14:textId="77777777" w:rsidR="003F46B9" w:rsidRDefault="0065662E">
            <w:pPr>
              <w:pStyle w:val="P68B1DB1-Normal5"/>
              <w:spacing w:after="0" w:line="240" w:lineRule="auto"/>
              <w:jc w:val="both"/>
              <w:rPr>
                <w:rFonts w:eastAsia="Times New Roman" w:cs="Times New Roman"/>
                <w:noProof/>
              </w:rPr>
            </w:pPr>
            <w:r>
              <w:rPr>
                <w:noProof/>
              </w:rPr>
              <w:t>Reforma 1. Reforma tržišta električne energije, zamjena ugljena u kombinaciji izvora energije i potpora zakonodavnom i regulatornom okviru za privatna ulaganja u proizvodnju 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6E9492A1"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53" w:type="dxa"/>
            <w:tcBorders>
              <w:top w:val="single" w:sz="4" w:space="0" w:color="auto"/>
              <w:left w:val="nil"/>
              <w:bottom w:val="single" w:sz="4" w:space="0" w:color="auto"/>
              <w:right w:val="single" w:sz="4" w:space="0" w:color="auto"/>
            </w:tcBorders>
            <w:shd w:val="clear" w:color="auto" w:fill="C6EFCE"/>
            <w:noWrap/>
          </w:tcPr>
          <w:p w14:paraId="54CA1C14" w14:textId="77777777" w:rsidR="003F46B9" w:rsidRDefault="0065662E">
            <w:pPr>
              <w:pStyle w:val="P68B1DB1-Normal5"/>
              <w:spacing w:after="0" w:line="240" w:lineRule="auto"/>
              <w:jc w:val="both"/>
              <w:rPr>
                <w:rFonts w:eastAsia="Times New Roman" w:cs="Times New Roman"/>
                <w:noProof/>
              </w:rPr>
            </w:pPr>
            <w:r>
              <w:rPr>
                <w:noProof/>
              </w:rPr>
              <w:t>Stavljanje izvan pogona kapaciteta za proizvodnju električne energije iz lignita</w:t>
            </w:r>
          </w:p>
        </w:tc>
        <w:tc>
          <w:tcPr>
            <w:tcW w:w="1822" w:type="dxa"/>
            <w:tcBorders>
              <w:top w:val="single" w:sz="4" w:space="0" w:color="auto"/>
              <w:left w:val="nil"/>
              <w:bottom w:val="single" w:sz="4" w:space="0" w:color="auto"/>
              <w:right w:val="single" w:sz="4" w:space="0" w:color="auto"/>
            </w:tcBorders>
            <w:shd w:val="clear" w:color="auto" w:fill="C6EFCE"/>
            <w:noWrap/>
          </w:tcPr>
          <w:p w14:paraId="68A41330"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7981162A" w14:textId="77777777" w:rsidR="003F46B9" w:rsidRDefault="0065662E">
            <w:pPr>
              <w:pStyle w:val="P68B1DB1-Normal5"/>
              <w:spacing w:after="0" w:line="240" w:lineRule="auto"/>
              <w:jc w:val="both"/>
              <w:rPr>
                <w:rFonts w:eastAsia="Times New Roman" w:cs="Times New Roman"/>
                <w:noProof/>
              </w:rPr>
            </w:pPr>
            <w:r>
              <w:rPr>
                <w:noProof/>
              </w:rPr>
              <w:t>Megavati (MW)</w:t>
            </w:r>
          </w:p>
        </w:tc>
        <w:tc>
          <w:tcPr>
            <w:tcW w:w="1332" w:type="dxa"/>
            <w:tcBorders>
              <w:top w:val="single" w:sz="4" w:space="0" w:color="auto"/>
              <w:left w:val="nil"/>
              <w:bottom w:val="single" w:sz="4" w:space="0" w:color="auto"/>
              <w:right w:val="single" w:sz="4" w:space="0" w:color="auto"/>
            </w:tcBorders>
            <w:shd w:val="clear" w:color="auto" w:fill="C6EFCE"/>
            <w:noWrap/>
          </w:tcPr>
          <w:p w14:paraId="683C4184" w14:textId="77777777" w:rsidR="003F46B9" w:rsidRDefault="0065662E">
            <w:pPr>
              <w:pStyle w:val="P68B1DB1-Normal5"/>
              <w:spacing w:after="0" w:line="240" w:lineRule="auto"/>
              <w:jc w:val="both"/>
              <w:rPr>
                <w:rFonts w:eastAsia="Times New Roman" w:cs="Times New Roman"/>
                <w:noProof/>
              </w:rPr>
            </w:pPr>
            <w:r>
              <w:rPr>
                <w:noProof/>
              </w:rPr>
              <w:t>1 695</w:t>
            </w:r>
          </w:p>
        </w:tc>
        <w:tc>
          <w:tcPr>
            <w:tcW w:w="793" w:type="dxa"/>
            <w:tcBorders>
              <w:top w:val="single" w:sz="4" w:space="0" w:color="auto"/>
              <w:left w:val="nil"/>
              <w:bottom w:val="single" w:sz="4" w:space="0" w:color="auto"/>
              <w:right w:val="single" w:sz="4" w:space="0" w:color="auto"/>
            </w:tcBorders>
            <w:shd w:val="clear" w:color="auto" w:fill="C6EFCE"/>
            <w:noWrap/>
          </w:tcPr>
          <w:p w14:paraId="6AAA5352" w14:textId="77777777" w:rsidR="003F46B9" w:rsidRDefault="0065662E">
            <w:pPr>
              <w:pStyle w:val="P68B1DB1-Normal5"/>
              <w:spacing w:after="0" w:line="240" w:lineRule="auto"/>
              <w:jc w:val="both"/>
              <w:rPr>
                <w:rFonts w:eastAsia="Times New Roman" w:cs="Times New Roman"/>
                <w:noProof/>
              </w:rPr>
            </w:pPr>
            <w:r>
              <w:rPr>
                <w:noProof/>
              </w:rPr>
              <w:t>2 355</w:t>
            </w:r>
          </w:p>
        </w:tc>
        <w:tc>
          <w:tcPr>
            <w:tcW w:w="1051" w:type="dxa"/>
            <w:tcBorders>
              <w:top w:val="single" w:sz="4" w:space="0" w:color="auto"/>
              <w:left w:val="nil"/>
              <w:bottom w:val="single" w:sz="4" w:space="0" w:color="auto"/>
              <w:right w:val="single" w:sz="4" w:space="0" w:color="auto"/>
            </w:tcBorders>
            <w:shd w:val="clear" w:color="auto" w:fill="C6EFCE"/>
            <w:noWrap/>
          </w:tcPr>
          <w:p w14:paraId="234B5FFC"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1DAE0F4E" w14:textId="77777777" w:rsidR="003F46B9" w:rsidRDefault="0065662E">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tcPr>
          <w:p w14:paraId="398DE520" w14:textId="1AB80E3F"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Ugašen je kumulativni instalirani kapacitet proizvodnje električne energije od 2 355 MW ugljena i lignita, od čega se 2025.</w:t>
            </w:r>
            <w:r>
              <w:rPr>
                <w:rFonts w:ascii="Times New Roman" w:hAnsi="Times New Roman"/>
                <w:noProof/>
                <w:sz w:val="24"/>
              </w:rPr>
              <w:t xml:space="preserve"> MW stavlja izvan pogona, a 330 MW mora biti uhvaćeno.</w:t>
            </w:r>
            <w:r>
              <w:rPr>
                <w:noProof/>
              </w:rPr>
              <w:t xml:space="preserve"> </w:t>
            </w:r>
            <w:r>
              <w:rPr>
                <w:rFonts w:ascii="Times New Roman" w:hAnsi="Times New Roman"/>
                <w:noProof/>
                <w:sz w:val="24"/>
              </w:rPr>
              <w:t>Molbalirani kapacitet stavlja se izvan pogona do 2025. te se aktivira i aktivira kako bi proizveo samo u posebnim okolnostima utvrđenima u članku 4. Zakona o dekarbonizaciji i u potpunosti u skladu s r</w:t>
            </w:r>
            <w:r>
              <w:rPr>
                <w:rFonts w:ascii="Times New Roman" w:hAnsi="Times New Roman"/>
                <w:noProof/>
                <w:sz w:val="24"/>
              </w:rPr>
              <w:t>elevantnim pravom EU-a, uključujući pravila o državnim potporama.</w:t>
            </w:r>
          </w:p>
          <w:p w14:paraId="139BC289"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5229A3ED"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0924C465" w14:textId="77777777" w:rsidR="003F46B9" w:rsidRDefault="0065662E">
            <w:pPr>
              <w:pStyle w:val="P68B1DB1-Normal5"/>
              <w:spacing w:after="0" w:line="240" w:lineRule="auto"/>
              <w:jc w:val="both"/>
              <w:rPr>
                <w:rFonts w:eastAsia="Times New Roman" w:cs="Times New Roman"/>
                <w:noProof/>
              </w:rPr>
            </w:pPr>
            <w:r>
              <w:rPr>
                <w:noProof/>
              </w:rPr>
              <w:t> 116</w:t>
            </w:r>
          </w:p>
        </w:tc>
        <w:tc>
          <w:tcPr>
            <w:tcW w:w="1823" w:type="dxa"/>
            <w:tcBorders>
              <w:top w:val="single" w:sz="4" w:space="0" w:color="auto"/>
              <w:left w:val="nil"/>
              <w:bottom w:val="single" w:sz="4" w:space="0" w:color="auto"/>
              <w:right w:val="single" w:sz="4" w:space="0" w:color="auto"/>
            </w:tcBorders>
            <w:shd w:val="clear" w:color="auto" w:fill="C6EFCE"/>
            <w:noWrap/>
          </w:tcPr>
          <w:p w14:paraId="628F0DFD"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za privatna ulaganja u proizvodnju </w:t>
            </w:r>
            <w:r>
              <w:rPr>
                <w:noProof/>
              </w:rPr>
              <w:t>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25187EB3"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37C1600F" w14:textId="77777777" w:rsidR="003F46B9" w:rsidRDefault="0065662E">
            <w:pPr>
              <w:pStyle w:val="P68B1DB1-Normal5"/>
              <w:spacing w:after="0" w:line="240" w:lineRule="auto"/>
              <w:jc w:val="both"/>
              <w:rPr>
                <w:rFonts w:eastAsia="Times New Roman" w:cs="Times New Roman"/>
                <w:noProof/>
              </w:rPr>
            </w:pPr>
            <w:r>
              <w:rPr>
                <w:noProof/>
              </w:rPr>
              <w:t>Stupanje na snagu novog zakona o energiji</w:t>
            </w:r>
          </w:p>
        </w:tc>
        <w:tc>
          <w:tcPr>
            <w:tcW w:w="1822" w:type="dxa"/>
            <w:tcBorders>
              <w:top w:val="single" w:sz="4" w:space="0" w:color="auto"/>
              <w:left w:val="nil"/>
              <w:bottom w:val="single" w:sz="4" w:space="0" w:color="auto"/>
              <w:right w:val="single" w:sz="4" w:space="0" w:color="auto"/>
            </w:tcBorders>
            <w:shd w:val="clear" w:color="auto" w:fill="C6EFCE"/>
            <w:noWrap/>
          </w:tcPr>
          <w:p w14:paraId="108F00C9"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energiji</w:t>
            </w:r>
          </w:p>
        </w:tc>
        <w:tc>
          <w:tcPr>
            <w:tcW w:w="1332" w:type="dxa"/>
            <w:tcBorders>
              <w:top w:val="single" w:sz="4" w:space="0" w:color="auto"/>
              <w:left w:val="nil"/>
              <w:bottom w:val="single" w:sz="4" w:space="0" w:color="auto"/>
              <w:right w:val="single" w:sz="4" w:space="0" w:color="auto"/>
            </w:tcBorders>
            <w:shd w:val="clear" w:color="auto" w:fill="C6EFCE"/>
            <w:noWrap/>
          </w:tcPr>
          <w:p w14:paraId="591DD09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7D9470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15873E5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006EBB0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33093928" w14:textId="77777777" w:rsidR="003F46B9" w:rsidRDefault="0065662E">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03E28FEC" w14:textId="38A54D80"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Stupanje na snagu novog Zakona o energiji (i svakog potrebnog sekundarnog zakonodavstva) kojim se: </w:t>
            </w:r>
            <w:r>
              <w:rPr>
                <w:noProof/>
              </w:rPr>
              <w:br/>
            </w:r>
            <w:r>
              <w:rPr>
                <w:rFonts w:ascii="Times New Roman" w:hAnsi="Times New Roman"/>
                <w:noProof/>
                <w:sz w:val="24"/>
              </w:rPr>
              <w:t>—Provedba ugovora za razliku (CfD),</w:t>
            </w:r>
          </w:p>
          <w:p w14:paraId="25B80E4A" w14:textId="77777777" w:rsidR="003F46B9" w:rsidRDefault="0065662E">
            <w:pPr>
              <w:pStyle w:val="P68B1DB1-ListParagraph13"/>
              <w:numPr>
                <w:ilvl w:val="0"/>
                <w:numId w:val="47"/>
              </w:numPr>
              <w:spacing w:after="0" w:line="240" w:lineRule="auto"/>
              <w:ind w:left="187" w:hanging="218"/>
              <w:jc w:val="both"/>
              <w:rPr>
                <w:rFonts w:eastAsia="Times New Roman" w:cs="Times New Roman"/>
                <w:noProof/>
              </w:rPr>
            </w:pPr>
            <w:r>
              <w:rPr>
                <w:noProof/>
              </w:rPr>
              <w:t>Uspostaviti ugovore o kupnji energije iz obnovljivih izvora;</w:t>
            </w:r>
          </w:p>
          <w:p w14:paraId="2108FBE6" w14:textId="77777777" w:rsidR="003F46B9" w:rsidRDefault="0065662E">
            <w:pPr>
              <w:pStyle w:val="P68B1DB1-ListParagraph13"/>
              <w:numPr>
                <w:ilvl w:val="0"/>
                <w:numId w:val="47"/>
              </w:numPr>
              <w:spacing w:after="0" w:line="240" w:lineRule="auto"/>
              <w:ind w:left="187" w:hanging="218"/>
              <w:jc w:val="both"/>
              <w:rPr>
                <w:rFonts w:eastAsia="Times New Roman" w:cs="Times New Roman"/>
                <w:noProof/>
              </w:rPr>
            </w:pPr>
            <w:r>
              <w:rPr>
                <w:noProof/>
              </w:rPr>
              <w:t>Pojednostavniti postupke izdavanja dozvola i izdavanja dozv</w:t>
            </w:r>
            <w:r>
              <w:rPr>
                <w:noProof/>
              </w:rPr>
              <w:t>ola za ulaganja u obnovljive izvore energije, kratko i obvezujuće vrijeme administrativnog odgovora i postupke odgovornosti za nepotrebna kašnjenja, smanjenje potrebne dokumentacije i postupaka, uvođenje novog namjenskog okvira za odobalna postrojenja za p</w:t>
            </w:r>
            <w:r>
              <w:rPr>
                <w:noProof/>
              </w:rPr>
              <w:t xml:space="preserve">roizvodnju energije iz obnovljivih izvora; </w:t>
            </w:r>
          </w:p>
          <w:p w14:paraId="70B45B90" w14:textId="77777777" w:rsidR="003F46B9" w:rsidRDefault="0065662E">
            <w:pPr>
              <w:pStyle w:val="P68B1DB1-ListParagraph13"/>
              <w:numPr>
                <w:ilvl w:val="0"/>
                <w:numId w:val="47"/>
              </w:numPr>
              <w:spacing w:after="0" w:line="240" w:lineRule="auto"/>
              <w:ind w:left="187" w:hanging="218"/>
              <w:jc w:val="both"/>
              <w:rPr>
                <w:rFonts w:eastAsia="Times New Roman" w:cs="Times New Roman"/>
                <w:noProof/>
              </w:rPr>
            </w:pPr>
            <w:r>
              <w:rPr>
                <w:noProof/>
              </w:rPr>
              <w:t>provedba popratnog odgovora na potražnju na tržištu uravnoteženja.</w:t>
            </w:r>
          </w:p>
        </w:tc>
      </w:tr>
      <w:tr w:rsidR="003F46B9" w14:paraId="61723D59"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2282A007" w14:textId="77777777" w:rsidR="003F46B9" w:rsidRDefault="0065662E">
            <w:pPr>
              <w:pStyle w:val="P68B1DB1-Normal5"/>
              <w:spacing w:after="0" w:line="240" w:lineRule="auto"/>
              <w:jc w:val="both"/>
              <w:rPr>
                <w:rFonts w:eastAsia="Times New Roman" w:cs="Times New Roman"/>
                <w:noProof/>
              </w:rPr>
            </w:pPr>
            <w:r>
              <w:rPr>
                <w:noProof/>
              </w:rPr>
              <w:t>117</w:t>
            </w:r>
          </w:p>
        </w:tc>
        <w:tc>
          <w:tcPr>
            <w:tcW w:w="1823" w:type="dxa"/>
            <w:tcBorders>
              <w:top w:val="single" w:sz="4" w:space="0" w:color="auto"/>
              <w:left w:val="nil"/>
              <w:bottom w:val="single" w:sz="4" w:space="0" w:color="auto"/>
              <w:right w:val="single" w:sz="4" w:space="0" w:color="auto"/>
            </w:tcBorders>
            <w:shd w:val="clear" w:color="auto" w:fill="C6EFCE"/>
            <w:noWrap/>
          </w:tcPr>
          <w:p w14:paraId="0841F9B9"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w:t>
            </w:r>
            <w:r>
              <w:rPr>
                <w:noProof/>
              </w:rPr>
              <w:t>za privatna ulaganja u proizvodnju 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6615E521"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7104024B"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razliku za obnovljive izvore energije </w:t>
            </w:r>
          </w:p>
        </w:tc>
        <w:tc>
          <w:tcPr>
            <w:tcW w:w="1822" w:type="dxa"/>
            <w:tcBorders>
              <w:top w:val="single" w:sz="4" w:space="0" w:color="auto"/>
              <w:left w:val="nil"/>
              <w:bottom w:val="single" w:sz="4" w:space="0" w:color="auto"/>
              <w:right w:val="single" w:sz="4" w:space="0" w:color="auto"/>
            </w:tcBorders>
            <w:shd w:val="clear" w:color="auto" w:fill="C6EFCE"/>
            <w:noWrap/>
          </w:tcPr>
          <w:p w14:paraId="41D8F93F" w14:textId="77777777" w:rsidR="003F46B9" w:rsidRDefault="0065662E">
            <w:pPr>
              <w:pStyle w:val="P68B1DB1-Normal5"/>
              <w:spacing w:after="0" w:line="240" w:lineRule="auto"/>
              <w:jc w:val="both"/>
              <w:rPr>
                <w:rFonts w:eastAsia="Times New Roman" w:cs="Times New Roman"/>
                <w:noProof/>
              </w:rPr>
            </w:pPr>
            <w:r>
              <w:rPr>
                <w:noProof/>
              </w:rPr>
              <w:t>Potpisivanje svih ugovora</w:t>
            </w:r>
          </w:p>
        </w:tc>
        <w:tc>
          <w:tcPr>
            <w:tcW w:w="1332" w:type="dxa"/>
            <w:tcBorders>
              <w:top w:val="single" w:sz="4" w:space="0" w:color="auto"/>
              <w:left w:val="nil"/>
              <w:bottom w:val="single" w:sz="4" w:space="0" w:color="auto"/>
              <w:right w:val="single" w:sz="4" w:space="0" w:color="auto"/>
            </w:tcBorders>
            <w:shd w:val="clear" w:color="auto" w:fill="C6EFCE"/>
            <w:noWrap/>
          </w:tcPr>
          <w:p w14:paraId="3BDEC56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6C488A6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35F2D79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404619B8"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5C557B76" w14:textId="77777777" w:rsidR="003F46B9" w:rsidRDefault="0065662E">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66E52FB" w14:textId="635C71AE"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Potpisivanje ugovora nakon prvog kruga natječajnih postupaka za dodjelu ugovora za razliku radi promicanja proizvodnje električne energije (najmanje 1 500 MW instaliranog kapaciteta) iz obnovljivih izvora, u skladu s Tehničkim smjernicama o nenanošenju bit</w:t>
            </w:r>
            <w:r>
              <w:rPr>
                <w:rFonts w:ascii="Times New Roman" w:hAnsi="Times New Roman"/>
                <w:noProof/>
                <w:sz w:val="24"/>
              </w:rPr>
              <w:t>ne štete (2021/C58/01) koje će se</w:t>
            </w:r>
            <w:r>
              <w:rPr>
                <w:noProof/>
              </w:rPr>
              <w:t xml:space="preserve"> financirati iz drugih fondova EU-a. </w:t>
            </w:r>
          </w:p>
        </w:tc>
      </w:tr>
      <w:tr w:rsidR="003F46B9" w14:paraId="5862F0C0"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A87B2F" w14:textId="77777777" w:rsidR="003F46B9" w:rsidRDefault="0065662E">
            <w:pPr>
              <w:pStyle w:val="P68B1DB1-Normal5"/>
              <w:spacing w:after="0" w:line="240" w:lineRule="auto"/>
              <w:jc w:val="both"/>
              <w:rPr>
                <w:rFonts w:eastAsia="Times New Roman" w:cs="Times New Roman"/>
                <w:noProof/>
              </w:rPr>
            </w:pPr>
            <w:r>
              <w:rPr>
                <w:noProof/>
              </w:rPr>
              <w:t>118</w:t>
            </w:r>
          </w:p>
        </w:tc>
        <w:tc>
          <w:tcPr>
            <w:tcW w:w="1823" w:type="dxa"/>
            <w:tcBorders>
              <w:top w:val="single" w:sz="4" w:space="0" w:color="auto"/>
              <w:left w:val="nil"/>
              <w:bottom w:val="single" w:sz="4" w:space="0" w:color="auto"/>
              <w:right w:val="single" w:sz="4" w:space="0" w:color="auto"/>
            </w:tcBorders>
            <w:shd w:val="clear" w:color="auto" w:fill="C6EFCE"/>
            <w:noWrap/>
          </w:tcPr>
          <w:p w14:paraId="388AC3F1"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za privatna ulaganja u proizvodnju </w:t>
            </w:r>
            <w:r>
              <w:rPr>
                <w:noProof/>
              </w:rPr>
              <w:t>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3E8BD6C8"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15BB9585"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razliku za obnovljive izvore energije </w:t>
            </w:r>
          </w:p>
        </w:tc>
        <w:tc>
          <w:tcPr>
            <w:tcW w:w="1822" w:type="dxa"/>
            <w:tcBorders>
              <w:top w:val="single" w:sz="4" w:space="0" w:color="auto"/>
              <w:left w:val="nil"/>
              <w:bottom w:val="single" w:sz="4" w:space="0" w:color="auto"/>
              <w:right w:val="single" w:sz="4" w:space="0" w:color="auto"/>
            </w:tcBorders>
            <w:shd w:val="clear" w:color="auto" w:fill="C6EFCE"/>
            <w:noWrap/>
          </w:tcPr>
          <w:p w14:paraId="5863C124" w14:textId="77777777" w:rsidR="003F46B9" w:rsidRDefault="0065662E">
            <w:pPr>
              <w:pStyle w:val="P68B1DB1-Normal5"/>
              <w:spacing w:after="0" w:line="240" w:lineRule="auto"/>
              <w:jc w:val="both"/>
              <w:rPr>
                <w:rFonts w:eastAsia="Times New Roman" w:cs="Times New Roman"/>
                <w:noProof/>
              </w:rPr>
            </w:pPr>
            <w:r>
              <w:rPr>
                <w:noProof/>
              </w:rPr>
              <w:t>Potpisivanje dodjele svih ugovora</w:t>
            </w:r>
          </w:p>
        </w:tc>
        <w:tc>
          <w:tcPr>
            <w:tcW w:w="1332" w:type="dxa"/>
            <w:tcBorders>
              <w:top w:val="single" w:sz="4" w:space="0" w:color="auto"/>
              <w:left w:val="nil"/>
              <w:bottom w:val="single" w:sz="4" w:space="0" w:color="auto"/>
              <w:right w:val="single" w:sz="4" w:space="0" w:color="auto"/>
            </w:tcBorders>
            <w:shd w:val="clear" w:color="auto" w:fill="C6EFCE"/>
            <w:noWrap/>
          </w:tcPr>
          <w:p w14:paraId="05F57A44"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356043AB" w14:textId="77777777" w:rsidR="003F46B9" w:rsidRDefault="003F46B9">
            <w:pPr>
              <w:spacing w:after="0" w:line="240" w:lineRule="auto"/>
              <w:jc w:val="both"/>
              <w:rPr>
                <w:rFonts w:ascii="Times New Roman" w:eastAsia="Times New Roman" w:hAnsi="Times New Roman" w:cs="Times New Roman"/>
                <w:noProof/>
                <w:sz w:val="24"/>
              </w:rPr>
            </w:pPr>
          </w:p>
        </w:tc>
        <w:tc>
          <w:tcPr>
            <w:tcW w:w="793" w:type="dxa"/>
            <w:tcBorders>
              <w:top w:val="single" w:sz="4" w:space="0" w:color="auto"/>
              <w:left w:val="nil"/>
              <w:bottom w:val="single" w:sz="4" w:space="0" w:color="auto"/>
              <w:right w:val="single" w:sz="4" w:space="0" w:color="auto"/>
            </w:tcBorders>
            <w:shd w:val="clear" w:color="auto" w:fill="C6EFCE"/>
            <w:noWrap/>
          </w:tcPr>
          <w:p w14:paraId="4910BD1B" w14:textId="77777777" w:rsidR="003F46B9" w:rsidRDefault="003F46B9">
            <w:pPr>
              <w:spacing w:after="0" w:line="240" w:lineRule="auto"/>
              <w:jc w:val="both"/>
              <w:rPr>
                <w:rFonts w:ascii="Times New Roman" w:eastAsia="Times New Roman" w:hAnsi="Times New Roman" w:cs="Times New Roman"/>
                <w:noProof/>
                <w:sz w:val="24"/>
              </w:rPr>
            </w:pPr>
          </w:p>
        </w:tc>
        <w:tc>
          <w:tcPr>
            <w:tcW w:w="1051" w:type="dxa"/>
            <w:tcBorders>
              <w:top w:val="single" w:sz="4" w:space="0" w:color="auto"/>
              <w:left w:val="nil"/>
              <w:bottom w:val="single" w:sz="4" w:space="0" w:color="auto"/>
              <w:right w:val="single" w:sz="4" w:space="0" w:color="auto"/>
            </w:tcBorders>
            <w:shd w:val="clear" w:color="auto" w:fill="C6EFCE"/>
            <w:noWrap/>
          </w:tcPr>
          <w:p w14:paraId="22338150"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2CF49EFF" w14:textId="77777777" w:rsidR="003F46B9" w:rsidRDefault="0065662E">
            <w:pPr>
              <w:pStyle w:val="P68B1DB1-Normal5"/>
              <w:spacing w:after="0" w:line="240" w:lineRule="auto"/>
              <w:jc w:val="both"/>
              <w:rPr>
                <w:rFonts w:eastAsia="Times New Roman" w:cs="Times New Roman"/>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F847AAC" w14:textId="2D1D39F4"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Potpisivanje ugovora nakon drugog kruga postupaka javne nabave za dodjelu ugovora za razliku radi promicanja proizvodnje električne energije (najmanje 2 000 MW dodatnog instaliranog kapaciteta) iz obnovljivih izvora, u skladu s Tehničkim smjernicama o nena</w:t>
            </w:r>
            <w:r>
              <w:rPr>
                <w:rFonts w:ascii="Times New Roman" w:hAnsi="Times New Roman"/>
                <w:noProof/>
                <w:sz w:val="24"/>
              </w:rPr>
              <w:t>nošenju bitne štete (2021/C58/01) koje će se</w:t>
            </w:r>
            <w:r>
              <w:rPr>
                <w:noProof/>
              </w:rPr>
              <w:t xml:space="preserve"> financirati iz drugih fondova EU-a. </w:t>
            </w:r>
          </w:p>
        </w:tc>
      </w:tr>
      <w:tr w:rsidR="003F46B9" w14:paraId="7C624723"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6BACE8A" w14:textId="77777777" w:rsidR="003F46B9" w:rsidRDefault="0065662E">
            <w:pPr>
              <w:pStyle w:val="P68B1DB1-Normal5"/>
              <w:spacing w:after="0" w:line="240" w:lineRule="auto"/>
              <w:jc w:val="both"/>
              <w:rPr>
                <w:rFonts w:eastAsia="Times New Roman" w:cs="Times New Roman"/>
                <w:noProof/>
              </w:rPr>
            </w:pPr>
            <w:r>
              <w:rPr>
                <w:noProof/>
              </w:rPr>
              <w:t>119</w:t>
            </w:r>
          </w:p>
        </w:tc>
        <w:tc>
          <w:tcPr>
            <w:tcW w:w="1823" w:type="dxa"/>
            <w:tcBorders>
              <w:top w:val="single" w:sz="4" w:space="0" w:color="auto"/>
              <w:left w:val="nil"/>
              <w:bottom w:val="single" w:sz="4" w:space="0" w:color="auto"/>
              <w:right w:val="single" w:sz="4" w:space="0" w:color="auto"/>
            </w:tcBorders>
            <w:shd w:val="clear" w:color="auto" w:fill="C6EFCE"/>
            <w:noWrap/>
          </w:tcPr>
          <w:p w14:paraId="27926757"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okviru za privatna ulaganja u </w:t>
            </w:r>
            <w:r>
              <w:rPr>
                <w:noProof/>
              </w:rPr>
              <w:t>proizvodnju 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36933AF7"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53" w:type="dxa"/>
            <w:tcBorders>
              <w:top w:val="single" w:sz="4" w:space="0" w:color="auto"/>
              <w:left w:val="nil"/>
              <w:bottom w:val="single" w:sz="4" w:space="0" w:color="auto"/>
              <w:right w:val="single" w:sz="4" w:space="0" w:color="auto"/>
            </w:tcBorders>
            <w:shd w:val="clear" w:color="auto" w:fill="C6EFCE"/>
            <w:noWrap/>
          </w:tcPr>
          <w:p w14:paraId="4949DEB6" w14:textId="77777777" w:rsidR="003F46B9" w:rsidRDefault="0065662E">
            <w:pPr>
              <w:pStyle w:val="P68B1DB1-Normal5"/>
              <w:spacing w:after="0" w:line="240" w:lineRule="auto"/>
              <w:jc w:val="both"/>
              <w:rPr>
                <w:rFonts w:eastAsia="Times New Roman" w:cs="Times New Roman"/>
                <w:noProof/>
              </w:rPr>
            </w:pPr>
            <w:r>
              <w:rPr>
                <w:noProof/>
              </w:rPr>
              <w:t xml:space="preserve">Stavljanje izvan pogona kapaciteta za proizvodnju električne energije na lignit </w:t>
            </w:r>
          </w:p>
        </w:tc>
        <w:tc>
          <w:tcPr>
            <w:tcW w:w="1822" w:type="dxa"/>
            <w:tcBorders>
              <w:top w:val="single" w:sz="4" w:space="0" w:color="auto"/>
              <w:left w:val="nil"/>
              <w:bottom w:val="single" w:sz="4" w:space="0" w:color="auto"/>
              <w:right w:val="single" w:sz="4" w:space="0" w:color="auto"/>
            </w:tcBorders>
            <w:shd w:val="clear" w:color="auto" w:fill="C6EFCE"/>
            <w:noWrap/>
          </w:tcPr>
          <w:p w14:paraId="31F1C2C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22CB5F1C" w14:textId="77777777" w:rsidR="003F46B9" w:rsidRDefault="0065662E">
            <w:pPr>
              <w:pStyle w:val="P68B1DB1-Normal5"/>
              <w:spacing w:after="0" w:line="240" w:lineRule="auto"/>
              <w:jc w:val="both"/>
              <w:rPr>
                <w:rFonts w:eastAsia="Times New Roman" w:cs="Times New Roman"/>
                <w:noProof/>
              </w:rPr>
            </w:pPr>
            <w:r>
              <w:rPr>
                <w:noProof/>
              </w:rPr>
              <w:t>Megavati (MW)</w:t>
            </w:r>
          </w:p>
        </w:tc>
        <w:tc>
          <w:tcPr>
            <w:tcW w:w="1332" w:type="dxa"/>
            <w:tcBorders>
              <w:top w:val="single" w:sz="4" w:space="0" w:color="auto"/>
              <w:left w:val="nil"/>
              <w:bottom w:val="single" w:sz="4" w:space="0" w:color="auto"/>
              <w:right w:val="single" w:sz="4" w:space="0" w:color="auto"/>
            </w:tcBorders>
            <w:shd w:val="clear" w:color="auto" w:fill="C6EFCE"/>
            <w:noWrap/>
          </w:tcPr>
          <w:p w14:paraId="6F0C7BD4" w14:textId="6D6C3D53" w:rsidR="003F46B9" w:rsidRDefault="0065662E">
            <w:pPr>
              <w:pStyle w:val="P68B1DB1-Normal5"/>
              <w:spacing w:after="0" w:line="240" w:lineRule="auto"/>
              <w:jc w:val="both"/>
              <w:rPr>
                <w:rFonts w:eastAsia="Times New Roman" w:cs="Times New Roman"/>
                <w:noProof/>
              </w:rPr>
            </w:pPr>
            <w:r>
              <w:rPr>
                <w:noProof/>
              </w:rPr>
              <w:t>2 025 </w:t>
            </w:r>
          </w:p>
        </w:tc>
        <w:tc>
          <w:tcPr>
            <w:tcW w:w="793" w:type="dxa"/>
            <w:tcBorders>
              <w:top w:val="single" w:sz="4" w:space="0" w:color="auto"/>
              <w:left w:val="nil"/>
              <w:bottom w:val="single" w:sz="4" w:space="0" w:color="auto"/>
              <w:right w:val="single" w:sz="4" w:space="0" w:color="auto"/>
            </w:tcBorders>
            <w:shd w:val="clear" w:color="auto" w:fill="C6EFCE"/>
            <w:noWrap/>
          </w:tcPr>
          <w:p w14:paraId="4CF758DE" w14:textId="77777777" w:rsidR="003F46B9" w:rsidRDefault="0065662E">
            <w:pPr>
              <w:pStyle w:val="P68B1DB1-Normal5"/>
              <w:spacing w:after="0" w:line="240" w:lineRule="auto"/>
              <w:jc w:val="both"/>
              <w:rPr>
                <w:rFonts w:eastAsia="Times New Roman" w:cs="Times New Roman"/>
                <w:noProof/>
              </w:rPr>
            </w:pPr>
            <w:r>
              <w:rPr>
                <w:noProof/>
              </w:rPr>
              <w:t>3 780</w:t>
            </w:r>
          </w:p>
        </w:tc>
        <w:tc>
          <w:tcPr>
            <w:tcW w:w="1051" w:type="dxa"/>
            <w:tcBorders>
              <w:top w:val="single" w:sz="4" w:space="0" w:color="auto"/>
              <w:left w:val="nil"/>
              <w:bottom w:val="single" w:sz="4" w:space="0" w:color="auto"/>
              <w:right w:val="single" w:sz="4" w:space="0" w:color="auto"/>
            </w:tcBorders>
            <w:shd w:val="clear" w:color="auto" w:fill="C6EFCE"/>
            <w:noWrap/>
          </w:tcPr>
          <w:p w14:paraId="4819295F"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0854EA7F" w14:textId="77777777" w:rsidR="003F46B9" w:rsidRDefault="0065662E">
            <w:pPr>
              <w:pStyle w:val="P68B1DB1-Normal5"/>
              <w:spacing w:after="0" w:line="240" w:lineRule="auto"/>
              <w:jc w:val="both"/>
              <w:rPr>
                <w:rFonts w:eastAsia="Times New Roman" w:cs="Times New Roman"/>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tcPr>
          <w:p w14:paraId="3CB4BA77" w14:textId="5F8FC5B5"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Kumulativni instalirani kapacitet proizvodnje električne </w:t>
            </w:r>
            <w:r>
              <w:rPr>
                <w:rFonts w:ascii="Times New Roman" w:hAnsi="Times New Roman"/>
                <w:noProof/>
                <w:sz w:val="24"/>
              </w:rPr>
              <w:t xml:space="preserve">energije na ugljen i lignit od 3 780 MW stavljen je izvan pogona i djelomično zamijenjen s 1 300 MW otpornim na buduće promjene, fleksibilnom i učinkovitom proizvodnjom električne energije na plin ili kombiniranom toplinom i električnom energijom na plin, </w:t>
            </w:r>
            <w:r>
              <w:rPr>
                <w:rFonts w:ascii="Times New Roman" w:hAnsi="Times New Roman"/>
                <w:noProof/>
                <w:sz w:val="24"/>
              </w:rPr>
              <w:t>što je omogućilo financiranje upotrebe plinova iz obnovljivih izvora i niskougljičnih plinova</w:t>
            </w:r>
            <w:r>
              <w:rPr>
                <w:noProof/>
              </w:rPr>
              <w:t xml:space="preserve"> iz drugih fondova EU-a. </w:t>
            </w:r>
          </w:p>
        </w:tc>
      </w:tr>
      <w:tr w:rsidR="003F46B9" w14:paraId="5134EAF9"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614FF6BC" w14:textId="77777777" w:rsidR="003F46B9" w:rsidRDefault="0065662E">
            <w:pPr>
              <w:pStyle w:val="P68B1DB1-Normal5"/>
              <w:spacing w:after="0" w:line="240" w:lineRule="auto"/>
              <w:jc w:val="both"/>
              <w:rPr>
                <w:rFonts w:eastAsia="Times New Roman" w:cs="Times New Roman"/>
                <w:noProof/>
              </w:rPr>
            </w:pPr>
            <w:r>
              <w:rPr>
                <w:noProof/>
              </w:rPr>
              <w:t>120</w:t>
            </w:r>
          </w:p>
        </w:tc>
        <w:tc>
          <w:tcPr>
            <w:tcW w:w="1823" w:type="dxa"/>
            <w:tcBorders>
              <w:top w:val="single" w:sz="4" w:space="0" w:color="auto"/>
              <w:left w:val="nil"/>
              <w:bottom w:val="single" w:sz="4" w:space="0" w:color="auto"/>
              <w:right w:val="single" w:sz="4" w:space="0" w:color="auto"/>
            </w:tcBorders>
            <w:shd w:val="clear" w:color="auto" w:fill="C6EFCE"/>
            <w:noWrap/>
          </w:tcPr>
          <w:p w14:paraId="53B96F39" w14:textId="77777777" w:rsidR="003F46B9" w:rsidRDefault="0065662E">
            <w:pPr>
              <w:pStyle w:val="P68B1DB1-Normal5"/>
              <w:spacing w:after="0" w:line="240" w:lineRule="auto"/>
              <w:jc w:val="both"/>
              <w:rPr>
                <w:rFonts w:eastAsia="Times New Roman" w:cs="Times New Roman"/>
                <w:noProof/>
              </w:rPr>
            </w:pPr>
            <w:r>
              <w:rPr>
                <w:noProof/>
              </w:rPr>
              <w:t xml:space="preserve">Reforma 1. Reforma tržišta električne energije, zamjena ugljena u kombinaciji izvora energije i potpora zakonodavnom i regulatornom </w:t>
            </w:r>
            <w:r>
              <w:rPr>
                <w:noProof/>
              </w:rPr>
              <w:t>okviru za privatna ulaganja u proizvodnju električne energije iz obnovljivih izvora</w:t>
            </w:r>
          </w:p>
        </w:tc>
        <w:tc>
          <w:tcPr>
            <w:tcW w:w="1350" w:type="dxa"/>
            <w:tcBorders>
              <w:top w:val="single" w:sz="4" w:space="0" w:color="auto"/>
              <w:left w:val="nil"/>
              <w:bottom w:val="single" w:sz="4" w:space="0" w:color="auto"/>
              <w:right w:val="single" w:sz="4" w:space="0" w:color="auto"/>
            </w:tcBorders>
            <w:shd w:val="clear" w:color="auto" w:fill="C6EFCE"/>
            <w:noWrap/>
          </w:tcPr>
          <w:p w14:paraId="0BECD140"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53" w:type="dxa"/>
            <w:tcBorders>
              <w:top w:val="single" w:sz="4" w:space="0" w:color="auto"/>
              <w:left w:val="nil"/>
              <w:bottom w:val="single" w:sz="4" w:space="0" w:color="auto"/>
              <w:right w:val="single" w:sz="4" w:space="0" w:color="auto"/>
            </w:tcBorders>
            <w:shd w:val="clear" w:color="auto" w:fill="C6EFCE"/>
            <w:noWrap/>
          </w:tcPr>
          <w:p w14:paraId="17243B2D" w14:textId="77777777" w:rsidR="003F46B9" w:rsidRDefault="0065662E">
            <w:pPr>
              <w:pStyle w:val="P68B1DB1-Normal5"/>
              <w:spacing w:after="0" w:line="240" w:lineRule="auto"/>
              <w:jc w:val="both"/>
              <w:rPr>
                <w:rFonts w:eastAsia="Times New Roman" w:cs="Times New Roman"/>
                <w:noProof/>
              </w:rPr>
            </w:pPr>
            <w:r>
              <w:rPr>
                <w:noProof/>
              </w:rPr>
              <w:t xml:space="preserve">Naručeni dodatni kapaciteti za proizvodnju energije iz obnovljivih izvora </w:t>
            </w:r>
          </w:p>
        </w:tc>
        <w:tc>
          <w:tcPr>
            <w:tcW w:w="1822" w:type="dxa"/>
            <w:tcBorders>
              <w:top w:val="single" w:sz="4" w:space="0" w:color="auto"/>
              <w:left w:val="nil"/>
              <w:bottom w:val="single" w:sz="4" w:space="0" w:color="auto"/>
              <w:right w:val="single" w:sz="4" w:space="0" w:color="auto"/>
            </w:tcBorders>
            <w:shd w:val="clear" w:color="auto" w:fill="C6EFCE"/>
            <w:noWrap/>
          </w:tcPr>
          <w:p w14:paraId="63FEE64B"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44D5A6E2" w14:textId="77777777" w:rsidR="003F46B9" w:rsidRDefault="0065662E">
            <w:pPr>
              <w:pStyle w:val="P68B1DB1-Normal5"/>
              <w:spacing w:after="0" w:line="240" w:lineRule="auto"/>
              <w:jc w:val="both"/>
              <w:rPr>
                <w:rFonts w:eastAsia="Times New Roman" w:cs="Times New Roman"/>
                <w:noProof/>
              </w:rPr>
            </w:pPr>
            <w:r>
              <w:rPr>
                <w:noProof/>
              </w:rPr>
              <w:t>Megavati (MW)</w:t>
            </w:r>
          </w:p>
        </w:tc>
        <w:tc>
          <w:tcPr>
            <w:tcW w:w="1332" w:type="dxa"/>
            <w:tcBorders>
              <w:top w:val="single" w:sz="4" w:space="0" w:color="auto"/>
              <w:left w:val="nil"/>
              <w:bottom w:val="single" w:sz="4" w:space="0" w:color="auto"/>
              <w:right w:val="single" w:sz="4" w:space="0" w:color="auto"/>
            </w:tcBorders>
            <w:shd w:val="clear" w:color="auto" w:fill="C6EFCE"/>
            <w:noWrap/>
          </w:tcPr>
          <w:p w14:paraId="53700B8F" w14:textId="77777777" w:rsidR="003F46B9" w:rsidRDefault="0065662E">
            <w:pPr>
              <w:pStyle w:val="P68B1DB1-Normal5"/>
              <w:spacing w:after="0" w:line="240" w:lineRule="auto"/>
              <w:jc w:val="both"/>
              <w:rPr>
                <w:rFonts w:eastAsia="Times New Roman" w:cs="Times New Roman"/>
                <w:noProof/>
              </w:rPr>
            </w:pPr>
            <w:r>
              <w:rPr>
                <w:noProof/>
              </w:rPr>
              <w:t>4 408</w:t>
            </w:r>
          </w:p>
        </w:tc>
        <w:tc>
          <w:tcPr>
            <w:tcW w:w="793" w:type="dxa"/>
            <w:tcBorders>
              <w:top w:val="single" w:sz="4" w:space="0" w:color="auto"/>
              <w:left w:val="nil"/>
              <w:bottom w:val="single" w:sz="4" w:space="0" w:color="auto"/>
              <w:right w:val="single" w:sz="4" w:space="0" w:color="auto"/>
            </w:tcBorders>
            <w:shd w:val="clear" w:color="auto" w:fill="C6EFCE"/>
            <w:noWrap/>
          </w:tcPr>
          <w:p w14:paraId="0C785687" w14:textId="77777777" w:rsidR="003F46B9" w:rsidRDefault="0065662E">
            <w:pPr>
              <w:pStyle w:val="P68B1DB1-Normal5"/>
              <w:spacing w:after="0" w:line="240" w:lineRule="auto"/>
              <w:jc w:val="both"/>
              <w:rPr>
                <w:rFonts w:eastAsia="Times New Roman" w:cs="Times New Roman"/>
                <w:noProof/>
              </w:rPr>
            </w:pPr>
            <w:r>
              <w:rPr>
                <w:noProof/>
              </w:rPr>
              <w:t>7 408</w:t>
            </w:r>
          </w:p>
        </w:tc>
        <w:tc>
          <w:tcPr>
            <w:tcW w:w="1051" w:type="dxa"/>
            <w:tcBorders>
              <w:top w:val="single" w:sz="4" w:space="0" w:color="auto"/>
              <w:left w:val="nil"/>
              <w:bottom w:val="single" w:sz="4" w:space="0" w:color="auto"/>
              <w:right w:val="single" w:sz="4" w:space="0" w:color="auto"/>
            </w:tcBorders>
            <w:shd w:val="clear" w:color="auto" w:fill="C6EFCE"/>
            <w:noWrap/>
          </w:tcPr>
          <w:p w14:paraId="7F9C29E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25002084" w14:textId="77777777" w:rsidR="003F46B9" w:rsidRDefault="0065662E">
            <w:pPr>
              <w:pStyle w:val="P68B1DB1-Normal5"/>
              <w:spacing w:after="0" w:line="240" w:lineRule="auto"/>
              <w:jc w:val="both"/>
              <w:rPr>
                <w:rFonts w:eastAsia="Times New Roman" w:cs="Times New Roman"/>
                <w:noProof/>
              </w:rPr>
            </w:pPr>
            <w:r>
              <w:rPr>
                <w:noProof/>
              </w:rPr>
              <w:t>2026</w:t>
            </w:r>
          </w:p>
        </w:tc>
        <w:tc>
          <w:tcPr>
            <w:tcW w:w="2891" w:type="dxa"/>
            <w:tcBorders>
              <w:top w:val="single" w:sz="4" w:space="0" w:color="auto"/>
              <w:left w:val="nil"/>
              <w:bottom w:val="single" w:sz="4" w:space="0" w:color="auto"/>
              <w:right w:val="single" w:sz="4" w:space="0" w:color="auto"/>
            </w:tcBorders>
            <w:shd w:val="clear" w:color="auto" w:fill="C6EFCE"/>
            <w:noWrap/>
          </w:tcPr>
          <w:p w14:paraId="10EC3834" w14:textId="55BCB3AD" w:rsidR="003F46B9" w:rsidRDefault="0065662E">
            <w:pPr>
              <w:pStyle w:val="P68B1DB1-Normal5"/>
              <w:spacing w:after="0" w:line="240" w:lineRule="auto"/>
              <w:jc w:val="both"/>
              <w:rPr>
                <w:rFonts w:eastAsia="Times New Roman" w:cs="Times New Roman"/>
                <w:noProof/>
              </w:rPr>
            </w:pPr>
            <w:r>
              <w:rPr>
                <w:noProof/>
              </w:rPr>
              <w:t xml:space="preserve">Najmanje 3 000 MW dodatnog kapaciteta iz </w:t>
            </w:r>
            <w:r>
              <w:rPr>
                <w:noProof/>
              </w:rPr>
              <w:t>obnovljivih izvora (vjetar i solarna energija) u usporedbi s postojećim instaliranim kapacitetom (vjetar i solarna energija) stavljeno je u pogon i priključeno na mrežu, što će se djelomično financirati iz drugih fondova EU-a.</w:t>
            </w:r>
          </w:p>
        </w:tc>
      </w:tr>
      <w:tr w:rsidR="003F46B9" w14:paraId="01870DD3"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76272241" w14:textId="77777777" w:rsidR="003F46B9" w:rsidRDefault="0065662E">
            <w:pPr>
              <w:pStyle w:val="P68B1DB1-Normal5"/>
              <w:spacing w:after="0" w:line="240" w:lineRule="auto"/>
              <w:jc w:val="both"/>
              <w:rPr>
                <w:rFonts w:eastAsia="Times New Roman" w:cs="Times New Roman"/>
                <w:noProof/>
              </w:rPr>
            </w:pPr>
            <w:r>
              <w:rPr>
                <w:noProof/>
              </w:rPr>
              <w:t>121</w:t>
            </w:r>
          </w:p>
        </w:tc>
        <w:tc>
          <w:tcPr>
            <w:tcW w:w="1823" w:type="dxa"/>
            <w:tcBorders>
              <w:top w:val="single" w:sz="4" w:space="0" w:color="auto"/>
              <w:left w:val="nil"/>
              <w:bottom w:val="single" w:sz="4" w:space="0" w:color="auto"/>
              <w:right w:val="single" w:sz="4" w:space="0" w:color="auto"/>
            </w:tcBorders>
            <w:shd w:val="clear" w:color="auto" w:fill="C6EFCE"/>
            <w:noWrap/>
          </w:tcPr>
          <w:p w14:paraId="565A029C" w14:textId="77777777" w:rsidR="003F46B9" w:rsidRDefault="0065662E">
            <w:pPr>
              <w:pStyle w:val="P68B1DB1-Normal5"/>
              <w:spacing w:after="0" w:line="240" w:lineRule="auto"/>
              <w:jc w:val="both"/>
              <w:rPr>
                <w:rFonts w:eastAsia="Times New Roman" w:cs="Times New Roman"/>
                <w:noProof/>
              </w:rPr>
            </w:pPr>
            <w:r>
              <w:rPr>
                <w:noProof/>
              </w:rPr>
              <w:t xml:space="preserve">Reforma 2. Poboljšanje korporativnog upravljanja poduzećima u državnom vlasništvu u energetskom sektoru </w:t>
            </w:r>
          </w:p>
        </w:tc>
        <w:tc>
          <w:tcPr>
            <w:tcW w:w="1350" w:type="dxa"/>
            <w:tcBorders>
              <w:top w:val="single" w:sz="4" w:space="0" w:color="auto"/>
              <w:left w:val="nil"/>
              <w:bottom w:val="single" w:sz="4" w:space="0" w:color="auto"/>
              <w:right w:val="single" w:sz="4" w:space="0" w:color="auto"/>
            </w:tcBorders>
            <w:shd w:val="clear" w:color="auto" w:fill="C6EFCE"/>
            <w:noWrap/>
          </w:tcPr>
          <w:p w14:paraId="56230332"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183E7DEB" w14:textId="77777777" w:rsidR="003F46B9" w:rsidRDefault="0065662E">
            <w:pPr>
              <w:pStyle w:val="P68B1DB1-Normal5"/>
              <w:spacing w:after="0" w:line="240" w:lineRule="auto"/>
              <w:jc w:val="both"/>
              <w:rPr>
                <w:rFonts w:eastAsia="Times New Roman" w:cs="Times New Roman"/>
                <w:noProof/>
              </w:rPr>
            </w:pPr>
            <w:r>
              <w:rPr>
                <w:noProof/>
              </w:rPr>
              <w:t>Poboljšanje korporativnog upravljanja poduzećima u državnom vlasništvu u energetskom sektoru</w:t>
            </w:r>
          </w:p>
        </w:tc>
        <w:tc>
          <w:tcPr>
            <w:tcW w:w="1822" w:type="dxa"/>
            <w:tcBorders>
              <w:top w:val="single" w:sz="4" w:space="0" w:color="auto"/>
              <w:left w:val="nil"/>
              <w:bottom w:val="single" w:sz="4" w:space="0" w:color="auto"/>
              <w:right w:val="single" w:sz="4" w:space="0" w:color="auto"/>
            </w:tcBorders>
            <w:shd w:val="clear" w:color="auto" w:fill="C6EFCE"/>
            <w:noWrap/>
          </w:tcPr>
          <w:p w14:paraId="3071514D" w14:textId="77777777" w:rsidR="003F46B9" w:rsidRDefault="0065662E">
            <w:pPr>
              <w:pStyle w:val="P68B1DB1-Normal5"/>
              <w:spacing w:after="0" w:line="240" w:lineRule="auto"/>
              <w:jc w:val="both"/>
              <w:rPr>
                <w:rFonts w:eastAsia="Times New Roman" w:cs="Times New Roman"/>
                <w:noProof/>
              </w:rPr>
            </w:pPr>
            <w:r>
              <w:rPr>
                <w:noProof/>
              </w:rPr>
              <w:t>Završen je odabir i imenovanje upravnih odbora</w:t>
            </w:r>
          </w:p>
        </w:tc>
        <w:tc>
          <w:tcPr>
            <w:tcW w:w="1332" w:type="dxa"/>
            <w:tcBorders>
              <w:top w:val="single" w:sz="4" w:space="0" w:color="auto"/>
              <w:left w:val="nil"/>
              <w:bottom w:val="single" w:sz="4" w:space="0" w:color="auto"/>
              <w:right w:val="single" w:sz="4" w:space="0" w:color="auto"/>
            </w:tcBorders>
            <w:shd w:val="clear" w:color="auto" w:fill="C6EFCE"/>
            <w:noWrap/>
          </w:tcPr>
          <w:p w14:paraId="0648C1E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4386F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299DBFF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23D9775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68C30E14" w14:textId="77777777" w:rsidR="003F46B9" w:rsidRDefault="0065662E">
            <w:pPr>
              <w:pStyle w:val="P68B1DB1-Normal5"/>
              <w:spacing w:after="0" w:line="240" w:lineRule="auto"/>
              <w:jc w:val="both"/>
              <w:rPr>
                <w:rFonts w:eastAsia="Times New Roman" w:cs="Times New Roman"/>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vAlign w:val="bottom"/>
          </w:tcPr>
          <w:p w14:paraId="1E000330" w14:textId="77777777" w:rsidR="003F46B9" w:rsidRDefault="0065662E">
            <w:pPr>
              <w:pStyle w:val="P68B1DB1-Normal5"/>
              <w:spacing w:after="0" w:line="240" w:lineRule="auto"/>
              <w:jc w:val="both"/>
              <w:rPr>
                <w:rFonts w:eastAsia="Times New Roman" w:cs="Times New Roman"/>
                <w:noProof/>
              </w:rPr>
            </w:pPr>
            <w:r>
              <w:rPr>
                <w:noProof/>
              </w:rPr>
              <w:t xml:space="preserve">Odabir i imenovanje članova upravnih i/ili nadzornih odbora svih nacionalnih poduzeća u državnom vlasništvu u nadležnosti Ministarstva energetike (npr. Hidroelectrica, Romgaz, Nuclearelectrica) na temelju transparentnog i </w:t>
            </w:r>
            <w:r>
              <w:rPr>
                <w:noProof/>
              </w:rPr>
              <w:t>natjecateljskog postupka s mandatom od četiri godine i sustavom naknada koji se temelji na kvantitativnim i kvalitativnim ciljevima povezanima s financijskim (kao što su prihodi i povrat, sudjelovanje državnog proračuna) i uspješnosti usluga (npr. na temel</w:t>
            </w:r>
            <w:r>
              <w:rPr>
                <w:noProof/>
              </w:rPr>
              <w:t>ju reprezentativne ankete o zadovoljstvu korisnika koju je provelo neovisno tijelo).</w:t>
            </w:r>
          </w:p>
        </w:tc>
      </w:tr>
      <w:tr w:rsidR="003F46B9" w14:paraId="79B5BED1"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352A12C6" w14:textId="77777777" w:rsidR="003F46B9" w:rsidRDefault="0065662E">
            <w:pPr>
              <w:pStyle w:val="P68B1DB1-Normal5"/>
              <w:spacing w:after="0" w:line="240" w:lineRule="auto"/>
              <w:jc w:val="both"/>
              <w:rPr>
                <w:rFonts w:eastAsia="Times New Roman" w:cs="Times New Roman"/>
                <w:noProof/>
              </w:rPr>
            </w:pPr>
            <w:r>
              <w:rPr>
                <w:noProof/>
              </w:rPr>
              <w:t>122</w:t>
            </w:r>
          </w:p>
        </w:tc>
        <w:tc>
          <w:tcPr>
            <w:tcW w:w="1823" w:type="dxa"/>
            <w:tcBorders>
              <w:top w:val="single" w:sz="4" w:space="0" w:color="auto"/>
              <w:left w:val="nil"/>
              <w:bottom w:val="single" w:sz="4" w:space="0" w:color="auto"/>
              <w:right w:val="single" w:sz="4" w:space="0" w:color="auto"/>
            </w:tcBorders>
            <w:shd w:val="clear" w:color="auto" w:fill="C6EFCE"/>
            <w:noWrap/>
          </w:tcPr>
          <w:p w14:paraId="2A1EF579" w14:textId="77777777" w:rsidR="003F46B9" w:rsidRDefault="0065662E">
            <w:pPr>
              <w:pStyle w:val="P68B1DB1-Normal5"/>
              <w:spacing w:after="0" w:line="240" w:lineRule="auto"/>
              <w:jc w:val="both"/>
              <w:rPr>
                <w:rFonts w:eastAsia="Times New Roman" w:cs="Times New Roman"/>
                <w:noProof/>
              </w:rPr>
            </w:pPr>
            <w:r>
              <w:rPr>
                <w:noProof/>
              </w:rPr>
              <w:t xml:space="preserve">Reforma 2. Poboljšanje korporativnog upravljanja poduzećima u državnom vlasništvu u energetskom sektoru </w:t>
            </w:r>
          </w:p>
        </w:tc>
        <w:tc>
          <w:tcPr>
            <w:tcW w:w="1350" w:type="dxa"/>
            <w:tcBorders>
              <w:top w:val="single" w:sz="4" w:space="0" w:color="auto"/>
              <w:left w:val="nil"/>
              <w:bottom w:val="single" w:sz="4" w:space="0" w:color="auto"/>
              <w:right w:val="single" w:sz="4" w:space="0" w:color="auto"/>
            </w:tcBorders>
            <w:shd w:val="clear" w:color="auto" w:fill="C6EFCE"/>
            <w:noWrap/>
          </w:tcPr>
          <w:p w14:paraId="00BBE323"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43056C13" w14:textId="77777777" w:rsidR="003F46B9" w:rsidRDefault="0065662E">
            <w:pPr>
              <w:pStyle w:val="P68B1DB1-Normal5"/>
              <w:spacing w:after="0" w:line="240" w:lineRule="auto"/>
              <w:jc w:val="both"/>
              <w:rPr>
                <w:rFonts w:eastAsia="Times New Roman" w:cs="Times New Roman"/>
                <w:noProof/>
              </w:rPr>
            </w:pPr>
            <w:r>
              <w:rPr>
                <w:noProof/>
              </w:rPr>
              <w:t xml:space="preserve">Uvrštenje najmanje 15 % dionica društva </w:t>
            </w:r>
            <w:r>
              <w:rPr>
                <w:noProof/>
              </w:rPr>
              <w:t>Hidroelectrica dovršeno</w:t>
            </w:r>
          </w:p>
        </w:tc>
        <w:tc>
          <w:tcPr>
            <w:tcW w:w="1822" w:type="dxa"/>
            <w:tcBorders>
              <w:top w:val="single" w:sz="4" w:space="0" w:color="auto"/>
              <w:left w:val="nil"/>
              <w:bottom w:val="single" w:sz="4" w:space="0" w:color="auto"/>
              <w:right w:val="single" w:sz="4" w:space="0" w:color="auto"/>
            </w:tcBorders>
            <w:shd w:val="clear" w:color="auto" w:fill="C6EFCE"/>
            <w:noWrap/>
          </w:tcPr>
          <w:p w14:paraId="420FF97F" w14:textId="77777777" w:rsidR="003F46B9" w:rsidRDefault="0065662E">
            <w:pPr>
              <w:pStyle w:val="P68B1DB1-Normal5"/>
              <w:spacing w:after="0" w:line="240" w:lineRule="auto"/>
              <w:jc w:val="both"/>
              <w:rPr>
                <w:rFonts w:eastAsia="Times New Roman" w:cs="Times New Roman"/>
                <w:noProof/>
              </w:rPr>
            </w:pPr>
            <w:r>
              <w:rPr>
                <w:noProof/>
              </w:rPr>
              <w:t>Završetak početne javne ponude</w:t>
            </w:r>
          </w:p>
        </w:tc>
        <w:tc>
          <w:tcPr>
            <w:tcW w:w="1332" w:type="dxa"/>
            <w:tcBorders>
              <w:top w:val="single" w:sz="4" w:space="0" w:color="auto"/>
              <w:left w:val="nil"/>
              <w:bottom w:val="single" w:sz="4" w:space="0" w:color="auto"/>
              <w:right w:val="single" w:sz="4" w:space="0" w:color="auto"/>
            </w:tcBorders>
            <w:shd w:val="clear" w:color="auto" w:fill="C6EFCE"/>
            <w:noWrap/>
          </w:tcPr>
          <w:p w14:paraId="79E349A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8CDD8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93" w:type="dxa"/>
            <w:tcBorders>
              <w:top w:val="single" w:sz="4" w:space="0" w:color="auto"/>
              <w:left w:val="nil"/>
              <w:bottom w:val="single" w:sz="4" w:space="0" w:color="auto"/>
              <w:right w:val="single" w:sz="4" w:space="0" w:color="auto"/>
            </w:tcBorders>
            <w:shd w:val="clear" w:color="auto" w:fill="C6EFCE"/>
            <w:noWrap/>
          </w:tcPr>
          <w:p w14:paraId="7A1AC89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51" w:type="dxa"/>
            <w:tcBorders>
              <w:top w:val="single" w:sz="4" w:space="0" w:color="auto"/>
              <w:left w:val="nil"/>
              <w:bottom w:val="single" w:sz="4" w:space="0" w:color="auto"/>
              <w:right w:val="single" w:sz="4" w:space="0" w:color="auto"/>
            </w:tcBorders>
            <w:shd w:val="clear" w:color="auto" w:fill="C6EFCE"/>
            <w:noWrap/>
          </w:tcPr>
          <w:p w14:paraId="708F7A6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4B572745" w14:textId="77777777" w:rsidR="003F46B9" w:rsidRDefault="0065662E">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698A4CEB" w14:textId="77777777" w:rsidR="003F46B9" w:rsidRDefault="0065662E">
            <w:pPr>
              <w:pStyle w:val="P68B1DB1-Normal5"/>
              <w:spacing w:after="0" w:line="240" w:lineRule="auto"/>
              <w:jc w:val="both"/>
              <w:rPr>
                <w:rFonts w:eastAsia="Times New Roman" w:cs="Times New Roman"/>
                <w:noProof/>
              </w:rPr>
            </w:pPr>
            <w:r>
              <w:rPr>
                <w:noProof/>
              </w:rPr>
              <w:t>Nakon objave prospekta o uvrštenju na burzu se trguje udjelom od najmanje 15 % društva Hidroelectrica nakon inicijalne javne ponude.</w:t>
            </w:r>
          </w:p>
        </w:tc>
      </w:tr>
      <w:tr w:rsidR="003F46B9" w14:paraId="25E8758B" w14:textId="77777777">
        <w:trPr>
          <w:trHeight w:val="309"/>
          <w:jc w:val="center"/>
        </w:trPr>
        <w:tc>
          <w:tcPr>
            <w:tcW w:w="791" w:type="dxa"/>
            <w:tcBorders>
              <w:top w:val="single" w:sz="4" w:space="0" w:color="auto"/>
              <w:left w:val="single" w:sz="4" w:space="0" w:color="auto"/>
              <w:bottom w:val="single" w:sz="4" w:space="0" w:color="auto"/>
              <w:right w:val="single" w:sz="4" w:space="0" w:color="auto"/>
            </w:tcBorders>
            <w:shd w:val="clear" w:color="auto" w:fill="C6EFCE"/>
            <w:noWrap/>
          </w:tcPr>
          <w:p w14:paraId="4C6643E6" w14:textId="77777777" w:rsidR="003F46B9" w:rsidRDefault="0065662E">
            <w:pPr>
              <w:pStyle w:val="P68B1DB1-Normal5"/>
              <w:spacing w:after="0" w:line="240" w:lineRule="auto"/>
              <w:jc w:val="both"/>
              <w:rPr>
                <w:rFonts w:eastAsia="Times New Roman" w:cs="Times New Roman"/>
                <w:noProof/>
              </w:rPr>
            </w:pPr>
            <w:r>
              <w:rPr>
                <w:noProof/>
              </w:rPr>
              <w:t>123</w:t>
            </w:r>
          </w:p>
        </w:tc>
        <w:tc>
          <w:tcPr>
            <w:tcW w:w="1823" w:type="dxa"/>
            <w:tcBorders>
              <w:top w:val="single" w:sz="4" w:space="0" w:color="auto"/>
              <w:left w:val="nil"/>
              <w:bottom w:val="single" w:sz="4" w:space="0" w:color="auto"/>
              <w:right w:val="single" w:sz="4" w:space="0" w:color="auto"/>
            </w:tcBorders>
            <w:shd w:val="clear" w:color="auto" w:fill="C6EFCE"/>
            <w:noWrap/>
          </w:tcPr>
          <w:p w14:paraId="0A479EA8" w14:textId="77777777" w:rsidR="003F46B9" w:rsidRDefault="0065662E">
            <w:pPr>
              <w:pStyle w:val="P68B1DB1-Normal5"/>
              <w:spacing w:after="0" w:line="240" w:lineRule="auto"/>
              <w:jc w:val="both"/>
              <w:rPr>
                <w:rFonts w:eastAsia="Times New Roman" w:cs="Times New Roman"/>
                <w:noProof/>
              </w:rPr>
            </w:pPr>
            <w:r>
              <w:rPr>
                <w:noProof/>
              </w:rPr>
              <w:t xml:space="preserve">Reforma 3. Izrada zelenog proračuna </w:t>
            </w:r>
          </w:p>
        </w:tc>
        <w:tc>
          <w:tcPr>
            <w:tcW w:w="1350" w:type="dxa"/>
            <w:tcBorders>
              <w:top w:val="single" w:sz="4" w:space="0" w:color="auto"/>
              <w:left w:val="nil"/>
              <w:bottom w:val="single" w:sz="4" w:space="0" w:color="auto"/>
              <w:right w:val="single" w:sz="4" w:space="0" w:color="auto"/>
            </w:tcBorders>
            <w:shd w:val="clear" w:color="auto" w:fill="C6EFCE"/>
            <w:noWrap/>
          </w:tcPr>
          <w:p w14:paraId="789E4D2C"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53" w:type="dxa"/>
            <w:tcBorders>
              <w:top w:val="single" w:sz="4" w:space="0" w:color="auto"/>
              <w:left w:val="nil"/>
              <w:bottom w:val="single" w:sz="4" w:space="0" w:color="auto"/>
              <w:right w:val="single" w:sz="4" w:space="0" w:color="auto"/>
            </w:tcBorders>
            <w:shd w:val="clear" w:color="auto" w:fill="C6EFCE"/>
            <w:noWrap/>
          </w:tcPr>
          <w:p w14:paraId="6C038F63" w14:textId="77777777" w:rsidR="003F46B9" w:rsidRDefault="0065662E">
            <w:pPr>
              <w:pStyle w:val="P68B1DB1-Normal5"/>
              <w:spacing w:after="0" w:line="240" w:lineRule="auto"/>
              <w:jc w:val="both"/>
              <w:rPr>
                <w:rFonts w:eastAsia="Times New Roman" w:cs="Times New Roman"/>
                <w:noProof/>
              </w:rPr>
            </w:pPr>
            <w:r>
              <w:rPr>
                <w:noProof/>
              </w:rPr>
              <w:t>Dovršetak i primjena metodologije zelenog proračunskog planiranja</w:t>
            </w:r>
          </w:p>
        </w:tc>
        <w:tc>
          <w:tcPr>
            <w:tcW w:w="1822" w:type="dxa"/>
            <w:tcBorders>
              <w:top w:val="single" w:sz="4" w:space="0" w:color="auto"/>
              <w:left w:val="nil"/>
              <w:bottom w:val="single" w:sz="4" w:space="0" w:color="auto"/>
              <w:right w:val="single" w:sz="4" w:space="0" w:color="auto"/>
            </w:tcBorders>
            <w:shd w:val="clear" w:color="auto" w:fill="C6EFCE"/>
            <w:noWrap/>
          </w:tcPr>
          <w:p w14:paraId="5FA0B349" w14:textId="77777777" w:rsidR="003F46B9" w:rsidRDefault="0065662E">
            <w:pPr>
              <w:pStyle w:val="P68B1DB1-Normal5"/>
              <w:spacing w:after="0" w:line="240" w:lineRule="auto"/>
              <w:jc w:val="both"/>
              <w:rPr>
                <w:rFonts w:eastAsia="Times New Roman" w:cs="Times New Roman"/>
                <w:noProof/>
              </w:rPr>
            </w:pPr>
            <w:r>
              <w:rPr>
                <w:noProof/>
              </w:rPr>
              <w:t>Razvoj i početak primjene metodologije planiranja zelenog proračuna</w:t>
            </w:r>
          </w:p>
        </w:tc>
        <w:tc>
          <w:tcPr>
            <w:tcW w:w="1332" w:type="dxa"/>
            <w:tcBorders>
              <w:top w:val="single" w:sz="4" w:space="0" w:color="auto"/>
              <w:left w:val="nil"/>
              <w:bottom w:val="single" w:sz="4" w:space="0" w:color="auto"/>
              <w:right w:val="single" w:sz="4" w:space="0" w:color="auto"/>
            </w:tcBorders>
            <w:shd w:val="clear" w:color="auto" w:fill="C6EFCE"/>
            <w:noWrap/>
          </w:tcPr>
          <w:p w14:paraId="330AEE22"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single" w:sz="4" w:space="0" w:color="auto"/>
              <w:left w:val="nil"/>
              <w:bottom w:val="single" w:sz="4" w:space="0" w:color="auto"/>
              <w:right w:val="single" w:sz="4" w:space="0" w:color="auto"/>
            </w:tcBorders>
            <w:shd w:val="clear" w:color="auto" w:fill="C6EFCE"/>
            <w:noWrap/>
          </w:tcPr>
          <w:p w14:paraId="455E566F" w14:textId="77777777" w:rsidR="003F46B9" w:rsidRDefault="003F46B9">
            <w:pPr>
              <w:spacing w:after="0" w:line="240" w:lineRule="auto"/>
              <w:jc w:val="both"/>
              <w:rPr>
                <w:rFonts w:ascii="Times New Roman" w:eastAsia="Times New Roman" w:hAnsi="Times New Roman" w:cs="Times New Roman"/>
                <w:noProof/>
                <w:sz w:val="24"/>
              </w:rPr>
            </w:pPr>
          </w:p>
        </w:tc>
        <w:tc>
          <w:tcPr>
            <w:tcW w:w="793" w:type="dxa"/>
            <w:tcBorders>
              <w:top w:val="single" w:sz="4" w:space="0" w:color="auto"/>
              <w:left w:val="nil"/>
              <w:bottom w:val="single" w:sz="4" w:space="0" w:color="auto"/>
              <w:right w:val="single" w:sz="4" w:space="0" w:color="auto"/>
            </w:tcBorders>
            <w:shd w:val="clear" w:color="auto" w:fill="C6EFCE"/>
            <w:noWrap/>
          </w:tcPr>
          <w:p w14:paraId="4F26B01F" w14:textId="77777777" w:rsidR="003F46B9" w:rsidRDefault="003F46B9">
            <w:pPr>
              <w:spacing w:after="0" w:line="240" w:lineRule="auto"/>
              <w:jc w:val="both"/>
              <w:rPr>
                <w:rFonts w:ascii="Times New Roman" w:eastAsia="Times New Roman" w:hAnsi="Times New Roman" w:cs="Times New Roman"/>
                <w:noProof/>
                <w:sz w:val="24"/>
              </w:rPr>
            </w:pPr>
          </w:p>
        </w:tc>
        <w:tc>
          <w:tcPr>
            <w:tcW w:w="1051" w:type="dxa"/>
            <w:tcBorders>
              <w:top w:val="single" w:sz="4" w:space="0" w:color="auto"/>
              <w:left w:val="nil"/>
              <w:bottom w:val="single" w:sz="4" w:space="0" w:color="auto"/>
              <w:right w:val="single" w:sz="4" w:space="0" w:color="auto"/>
            </w:tcBorders>
            <w:shd w:val="clear" w:color="auto" w:fill="C6EFCE"/>
            <w:noWrap/>
          </w:tcPr>
          <w:p w14:paraId="1A3F804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55" w:type="dxa"/>
            <w:tcBorders>
              <w:top w:val="single" w:sz="4" w:space="0" w:color="auto"/>
              <w:left w:val="nil"/>
              <w:bottom w:val="single" w:sz="4" w:space="0" w:color="auto"/>
              <w:right w:val="single" w:sz="4" w:space="0" w:color="auto"/>
            </w:tcBorders>
            <w:shd w:val="clear" w:color="auto" w:fill="C6EFCE"/>
            <w:noWrap/>
          </w:tcPr>
          <w:p w14:paraId="11284C81" w14:textId="77777777" w:rsidR="003F46B9" w:rsidRDefault="0065662E">
            <w:pPr>
              <w:pStyle w:val="P68B1DB1-Normal5"/>
              <w:spacing w:after="0" w:line="240" w:lineRule="auto"/>
              <w:jc w:val="both"/>
              <w:rPr>
                <w:rFonts w:eastAsia="Times New Roman" w:cs="Times New Roman"/>
                <w:noProof/>
              </w:rPr>
            </w:pPr>
            <w:r>
              <w:rPr>
                <w:noProof/>
              </w:rPr>
              <w:t>2023</w:t>
            </w:r>
          </w:p>
        </w:tc>
        <w:tc>
          <w:tcPr>
            <w:tcW w:w="2891" w:type="dxa"/>
            <w:tcBorders>
              <w:top w:val="single" w:sz="4" w:space="0" w:color="auto"/>
              <w:left w:val="nil"/>
              <w:bottom w:val="single" w:sz="4" w:space="0" w:color="auto"/>
              <w:right w:val="single" w:sz="4" w:space="0" w:color="auto"/>
            </w:tcBorders>
            <w:shd w:val="clear" w:color="auto" w:fill="C6EFCE"/>
            <w:noWrap/>
          </w:tcPr>
          <w:p w14:paraId="520BB340" w14:textId="77777777" w:rsidR="003F46B9" w:rsidRDefault="0065662E">
            <w:pPr>
              <w:pStyle w:val="P68B1DB1-Normal5"/>
              <w:spacing w:after="0" w:line="240" w:lineRule="auto"/>
              <w:jc w:val="both"/>
              <w:rPr>
                <w:rFonts w:eastAsia="Times New Roman" w:cs="Times New Roman"/>
                <w:noProof/>
              </w:rPr>
            </w:pPr>
            <w:r>
              <w:rPr>
                <w:noProof/>
              </w:rPr>
              <w:t>Ministarstvo financija dovršava i primjenjuje metodologiju za procjenu učinka pojedinačnih</w:t>
            </w:r>
            <w:r>
              <w:rPr>
                <w:noProof/>
              </w:rPr>
              <w:t xml:space="preserve"> proračunskih linija na okolišne ciljeve u skladu s taksonomijom EU-a za održive djelatnosti i Tehničkim smjernicama o nenanošenju bitne štete (2021/C58/01). Metodologija se donosi, objavljuje i počinje primjenjivati te omogućuje praćenje rashoda zelenog p</w:t>
            </w:r>
            <w:r>
              <w:rPr>
                <w:noProof/>
              </w:rPr>
              <w:t>roračuna i procjene utjecaja fiskalne politike na okoliš i klimu.</w:t>
            </w:r>
          </w:p>
        </w:tc>
      </w:tr>
    </w:tbl>
    <w:p w14:paraId="5824EF86" w14:textId="77777777" w:rsidR="003F46B9" w:rsidRDefault="003F46B9">
      <w:pPr>
        <w:keepNext/>
        <w:spacing w:before="120" w:after="120" w:line="240" w:lineRule="auto"/>
        <w:jc w:val="both"/>
        <w:outlineLvl w:val="1"/>
        <w:rPr>
          <w:rFonts w:ascii="Times New Roman" w:eastAsiaTheme="majorEastAsia" w:hAnsi="Times New Roman" w:cs="Times New Roman"/>
          <w:b/>
          <w:noProof/>
          <w:sz w:val="24"/>
        </w:rPr>
        <w:sectPr w:rsidR="003F46B9">
          <w:headerReference w:type="even" r:id="rId120"/>
          <w:headerReference w:type="default" r:id="rId121"/>
          <w:footerReference w:type="even" r:id="rId122"/>
          <w:footerReference w:type="default" r:id="rId123"/>
          <w:headerReference w:type="first" r:id="rId124"/>
          <w:footerReference w:type="first" r:id="rId125"/>
          <w:pgSz w:w="16839" w:h="11907" w:orient="landscape"/>
          <w:pgMar w:top="1417" w:right="1134" w:bottom="1417" w:left="1134" w:header="709" w:footer="709" w:gutter="0"/>
          <w:cols w:space="720"/>
          <w:docGrid w:linePitch="360"/>
        </w:sectPr>
      </w:pPr>
    </w:p>
    <w:p w14:paraId="1C05D2E8"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F.3. </w:t>
      </w:r>
      <w:r>
        <w:rPr>
          <w:noProof/>
        </w:rPr>
        <w:tab/>
      </w:r>
      <w:r>
        <w:rPr>
          <w:rFonts w:ascii="Times New Roman" w:hAnsi="Times New Roman"/>
          <w:b/>
          <w:noProof/>
          <w:sz w:val="24"/>
        </w:rPr>
        <w:t xml:space="preserve">Opis reformi i ulaganja za zajam </w:t>
      </w:r>
    </w:p>
    <w:p w14:paraId="2678BEFD"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4. Razvoj povoljnog zakonodavnog i regulatornog okvira za buduće tehnologije, posebno </w:t>
      </w:r>
      <w:r>
        <w:rPr>
          <w:rFonts w:ascii="Times New Roman" w:hAnsi="Times New Roman"/>
          <w:noProof/>
        </w:rPr>
        <w:t>rješenja</w:t>
      </w:r>
      <w:r>
        <w:rPr>
          <w:noProof/>
        </w:rPr>
        <w:t>za vodik i skladištenje</w:t>
      </w:r>
    </w:p>
    <w:p w14:paraId="0143A5F0" w14:textId="77777777" w:rsidR="003F46B9" w:rsidRDefault="0065662E">
      <w:pPr>
        <w:pStyle w:val="P68B1DB1-Normal5"/>
        <w:spacing w:before="120" w:after="120" w:line="240" w:lineRule="auto"/>
        <w:jc w:val="both"/>
        <w:rPr>
          <w:rFonts w:cs="Times New Roman"/>
          <w:noProof/>
        </w:rPr>
      </w:pPr>
      <w:r>
        <w:rPr>
          <w:noProof/>
        </w:rPr>
        <w:t>Cilj je reforme izmijeniti postojeći zakonodavni i regulatorni okvir kako bi se uvele mjere za potporu i olakšavanje uvođenja vodi</w:t>
      </w:r>
      <w:r>
        <w:rPr>
          <w:noProof/>
        </w:rPr>
        <w:t>ka iz obnovljivih izvora, s naglaskom na prometnom i energetskom sektoru (plin i električna energija). Reformom se posebno razvijaju nacionalna strategija za vodik i strateški akcijski plan kojima se utvrđuje vremenski raspored za provedbu mjera iz Strateg</w:t>
      </w:r>
      <w:r>
        <w:rPr>
          <w:noProof/>
        </w:rPr>
        <w:t>ije. Reformom se uklanjaju sve zakonodavne i administrativne prepreke za razvoj tehnologije vodika iz obnovljivih izvora i doprinosi postizanju budućih nacionalnih i europskih ciljeva za proizvodnju, skladištenje, prijevoz i uporabu vodika iz obnovljivih i</w:t>
      </w:r>
      <w:r>
        <w:rPr>
          <w:noProof/>
        </w:rPr>
        <w:t>zvora do 2030.</w:t>
      </w:r>
    </w:p>
    <w:p w14:paraId="1B419A3E" w14:textId="77777777" w:rsidR="003F46B9" w:rsidRDefault="0065662E">
      <w:pPr>
        <w:pStyle w:val="P68B1DB1-Normal5"/>
        <w:spacing w:before="120" w:after="120" w:line="240" w:lineRule="auto"/>
        <w:jc w:val="both"/>
        <w:rPr>
          <w:rFonts w:cs="Times New Roman"/>
          <w:noProof/>
        </w:rPr>
      </w:pPr>
      <w:r>
        <w:rPr>
          <w:noProof/>
        </w:rPr>
        <w:t>Na temelju propisa uređaji prilagođeni vodiku (kao što su kotlovi) i oprema obvezni su od 1. siječnja 2026. za sve nove instalacije.</w:t>
      </w:r>
    </w:p>
    <w:p w14:paraId="3EC6FCE3" w14:textId="77777777" w:rsidR="003F46B9" w:rsidRDefault="0065662E">
      <w:pPr>
        <w:pStyle w:val="P68B1DB1-Normal5"/>
        <w:spacing w:before="120" w:after="120" w:line="240" w:lineRule="auto"/>
        <w:jc w:val="both"/>
        <w:rPr>
          <w:rFonts w:cs="Times New Roman"/>
          <w:noProof/>
        </w:rPr>
      </w:pPr>
      <w:r>
        <w:rPr>
          <w:noProof/>
        </w:rPr>
        <w:t>U skladu s člankom 7. stavkom 2. Uredbe o oporavku i otpornosti Rumunjska je zatražila tehničku potporu u ok</w:t>
      </w:r>
      <w:r>
        <w:rPr>
          <w:noProof/>
        </w:rPr>
        <w:t>viru Instrumenta za tehničku pomoć za razvoj nacionalne strategije za vodik, uključujući utvrđivanje skupa politika za usmjeravanje, koordinaciju i mobilizaciju javnih i privatnih ulaganja u područjima proizvodnje, skladištenja, prijevoza i potrošnje/upora</w:t>
      </w:r>
      <w:r>
        <w:rPr>
          <w:noProof/>
        </w:rPr>
        <w:t>be vodika (plinova iz obnovljivih izvora), uključujući reviziju</w:t>
      </w:r>
      <w:r>
        <w:rPr>
          <w:b/>
          <w:noProof/>
        </w:rPr>
        <w:t xml:space="preserve"> </w:t>
      </w:r>
      <w:r>
        <w:rPr>
          <w:noProof/>
        </w:rPr>
        <w:t>zakonodavnog okvira potrebnog za poticanje tog područja. Izmjene zakonodavnog i regulatornog okvira na temelju nacionalne strategije za vodik i relevantnog akcijskog plana moraju biti dovršene</w:t>
      </w:r>
      <w:r>
        <w:rPr>
          <w:noProof/>
        </w:rPr>
        <w:t xml:space="preserve"> do 31. ožujka 2023.</w:t>
      </w:r>
    </w:p>
    <w:p w14:paraId="72E076ED"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5. Smanjenje energetskog intenziteta gospodarstva razvojem održivog mehanizma za poticanje energetske učinkovitosti u industriji </w:t>
      </w:r>
    </w:p>
    <w:p w14:paraId="283F5E2E" w14:textId="77777777" w:rsidR="003F46B9" w:rsidRDefault="0065662E">
      <w:pPr>
        <w:pStyle w:val="P68B1DB1-Normal5"/>
        <w:spacing w:before="120" w:after="120" w:line="240" w:lineRule="auto"/>
        <w:jc w:val="both"/>
        <w:rPr>
          <w:rFonts w:cs="Times New Roman"/>
          <w:noProof/>
        </w:rPr>
      </w:pPr>
      <w:r>
        <w:rPr>
          <w:noProof/>
        </w:rPr>
        <w:t>Cilj je reforme olakšati ulaganja u energetsku učinkovitost industrije i povećati otpornost indus</w:t>
      </w:r>
      <w:r>
        <w:rPr>
          <w:noProof/>
        </w:rPr>
        <w:t xml:space="preserve">trijskog sektora. </w:t>
      </w:r>
    </w:p>
    <w:p w14:paraId="220CDCC2" w14:textId="77777777" w:rsidR="003F46B9" w:rsidRDefault="0065662E">
      <w:pPr>
        <w:pStyle w:val="P68B1DB1-Normal5"/>
        <w:spacing w:before="120" w:after="120" w:line="240" w:lineRule="auto"/>
        <w:jc w:val="both"/>
        <w:rPr>
          <w:rFonts w:cs="Times New Roman"/>
          <w:noProof/>
        </w:rPr>
      </w:pPr>
      <w:r>
        <w:rPr>
          <w:noProof/>
        </w:rPr>
        <w:t>Reformom se: i) ukloniti prepreke za sklapanje ugovora o energetskom učinku; uvesti nadzor tržišta za energetsku učinkovitost kako bi se osigurala sukladnost proizvoda sa standardima ekološkog dizajna, iii. poboljšati svijest MSP-ova o m</w:t>
      </w:r>
      <w:r>
        <w:rPr>
          <w:noProof/>
        </w:rPr>
        <w:t xml:space="preserve">jerama, programima i koristima energetske učinkovitosti; i. uspostaviti sustav praćenja za provedbu preporuka iz energetskih pregleda u sektorima obuhvaćenima ETS-om; V) uvesti nove standarde za zelene financijske instrumente. </w:t>
      </w:r>
    </w:p>
    <w:p w14:paraId="627DD458" w14:textId="77777777" w:rsidR="003F46B9" w:rsidRDefault="0065662E">
      <w:pPr>
        <w:pStyle w:val="P68B1DB1-Normal5"/>
        <w:spacing w:before="120" w:after="120" w:line="240" w:lineRule="auto"/>
        <w:jc w:val="both"/>
        <w:rPr>
          <w:rFonts w:cs="Times New Roman"/>
          <w:noProof/>
        </w:rPr>
      </w:pPr>
      <w:r>
        <w:rPr>
          <w:noProof/>
        </w:rPr>
        <w:t>Provedba reforme mora biti d</w:t>
      </w:r>
      <w:r>
        <w:rPr>
          <w:noProof/>
        </w:rPr>
        <w:t>ovršena do 31. prosinca 2022.</w:t>
      </w:r>
    </w:p>
    <w:p w14:paraId="104813F5" w14:textId="77777777" w:rsidR="003F46B9" w:rsidRDefault="0065662E">
      <w:pPr>
        <w:pStyle w:val="P68B1DB1-Standard6"/>
        <w:spacing w:before="240"/>
        <w:jc w:val="both"/>
        <w:rPr>
          <w:rFonts w:ascii="Times New Roman" w:eastAsiaTheme="majorEastAsia" w:hAnsi="Times New Roman" w:cs="Times New Roman"/>
          <w:noProof/>
        </w:rPr>
      </w:pPr>
      <w:r>
        <w:rPr>
          <w:noProof/>
        </w:rPr>
        <w:t>Reforma 6. Povećanje konkurentnosti i dekarbonizacije sektora grijanja i hlađenja</w:t>
      </w:r>
    </w:p>
    <w:p w14:paraId="38324544" w14:textId="77777777" w:rsidR="003F46B9" w:rsidRDefault="0065662E">
      <w:pPr>
        <w:pStyle w:val="P68B1DB1-Normal5"/>
        <w:spacing w:before="120" w:after="120" w:line="240" w:lineRule="auto"/>
        <w:jc w:val="both"/>
        <w:rPr>
          <w:rFonts w:cs="Times New Roman"/>
          <w:noProof/>
        </w:rPr>
      </w:pPr>
      <w:r>
        <w:rPr>
          <w:noProof/>
        </w:rPr>
        <w:t xml:space="preserve">Cilj je reforme doprinijeti dekarbonizaciji sektora grijanja i hlađenja. </w:t>
      </w:r>
    </w:p>
    <w:p w14:paraId="7B98226F" w14:textId="77777777" w:rsidR="003F46B9" w:rsidRDefault="0065662E">
      <w:pPr>
        <w:pStyle w:val="P68B1DB1-Normal5"/>
        <w:spacing w:before="120" w:after="120" w:line="240" w:lineRule="auto"/>
        <w:jc w:val="both"/>
        <w:rPr>
          <w:rFonts w:cs="Times New Roman"/>
          <w:noProof/>
        </w:rPr>
      </w:pPr>
      <w:r>
        <w:rPr>
          <w:noProof/>
        </w:rPr>
        <w:t>Reformom se: i. pojasniti okvir odgovornosti između središnjih i lokal</w:t>
      </w:r>
      <w:r>
        <w:rPr>
          <w:noProof/>
        </w:rPr>
        <w:t>nih tijela za upravljanje sektorom grijanja i hlađenja te proširiti primjenu Akta o korporativnom upravljanju na opskrbljivače centraliziranim grijanjem; osigurati održivost i sljedivost biomase kako bi se spriječio negativan učinak upotrebe bioenergije na</w:t>
      </w:r>
      <w:r>
        <w:rPr>
          <w:noProof/>
        </w:rPr>
        <w:t xml:space="preserve"> bioraznolikost i šume te diversificirati kombinaciju izvora energije u grijanju i hlađenju izvan šumske biomase; omogućiti stambenim zgradama i njihovim udruženjima stanara da proizvode i prodaju višak solarne energije, a možda i energije vjetra u fleksib</w:t>
      </w:r>
      <w:r>
        <w:rPr>
          <w:noProof/>
        </w:rPr>
        <w:t>ilnijim oblicima, i to stvaranjem sustava neto mjerenja, pojednostavnjenjem postupaka povezivanja i uvođenjem poticaja.</w:t>
      </w:r>
    </w:p>
    <w:p w14:paraId="166DE946" w14:textId="77777777" w:rsidR="003F46B9" w:rsidRDefault="0065662E">
      <w:pPr>
        <w:pStyle w:val="P68B1DB1-Normal5"/>
        <w:spacing w:before="120" w:after="120" w:line="240" w:lineRule="auto"/>
        <w:jc w:val="both"/>
        <w:rPr>
          <w:rFonts w:cs="Times New Roman"/>
          <w:noProof/>
        </w:rPr>
      </w:pPr>
      <w:r>
        <w:rPr>
          <w:noProof/>
        </w:rPr>
        <w:t>Provedba reforme mora biti dovršena do 31. prosinca 2023.</w:t>
      </w:r>
    </w:p>
    <w:p w14:paraId="119ADA1B" w14:textId="65455BB4" w:rsidR="003F46B9" w:rsidRDefault="0065662E">
      <w:pPr>
        <w:pStyle w:val="P68B1DB1-Standard6"/>
        <w:spacing w:before="240"/>
        <w:jc w:val="both"/>
        <w:rPr>
          <w:rFonts w:ascii="Times New Roman" w:eastAsiaTheme="majorEastAsia" w:hAnsi="Times New Roman" w:cs="Times New Roman"/>
          <w:noProof/>
        </w:rPr>
      </w:pPr>
      <w:r>
        <w:rPr>
          <w:noProof/>
        </w:rPr>
        <w:t xml:space="preserve">Ulaganje 2: Kapaciteti za proizvodnju zelenog vodika za upotrebu kao </w:t>
      </w:r>
      <w:r>
        <w:rPr>
          <w:noProof/>
        </w:rPr>
        <w:t>skladištenje električne energije i/ili za dekarbonizaciju industrije</w:t>
      </w:r>
    </w:p>
    <w:p w14:paraId="6F1F696F" w14:textId="74E08485" w:rsidR="003F46B9" w:rsidRDefault="0065662E">
      <w:pPr>
        <w:pStyle w:val="P68B1DB1-Normal5"/>
        <w:spacing w:before="120" w:after="120" w:line="240" w:lineRule="auto"/>
        <w:jc w:val="both"/>
        <w:rPr>
          <w:rFonts w:cs="Times New Roman"/>
          <w:noProof/>
        </w:rPr>
      </w:pPr>
      <w:r>
        <w:rPr>
          <w:noProof/>
        </w:rPr>
        <w:t>Cilj je tog ulaganja pridonijeti uvođenju zelenog vodika u skladu sa Strategijom EU-a za vodik postavljanjem kapaciteta za proizvodnju zelenog vodika od najmanje 60 MW H2</w:t>
      </w:r>
      <w:r>
        <w:rPr>
          <w:noProof/>
          <w:vertAlign w:val="subscript"/>
        </w:rPr>
        <w:t>u</w:t>
      </w:r>
      <w:r>
        <w:rPr>
          <w:noProof/>
        </w:rPr>
        <w:t xml:space="preserve"> elektrolizatori</w:t>
      </w:r>
      <w:r>
        <w:rPr>
          <w:noProof/>
        </w:rPr>
        <w:t>ma koji proizvode najmanje 10000 tona vodika iz obnovljivih izvora.</w:t>
      </w:r>
    </w:p>
    <w:p w14:paraId="231CC4C2"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31. prosinca 2025. </w:t>
      </w:r>
    </w:p>
    <w:p w14:paraId="21B4FCA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3: Razvoj fleksibilne i visokoučinkovite proizvodnje električne i toplinske energije na plin (CHP) u centraliziranom gr</w:t>
      </w:r>
      <w:r>
        <w:rPr>
          <w:noProof/>
        </w:rPr>
        <w:t>ijanju kako bi se postigla temeljita dekarbonizacija</w:t>
      </w:r>
    </w:p>
    <w:p w14:paraId="374D52A8" w14:textId="77777777" w:rsidR="003F46B9" w:rsidRDefault="0065662E">
      <w:pPr>
        <w:pStyle w:val="P68B1DB1-Normal5"/>
        <w:spacing w:before="120" w:after="120" w:line="240" w:lineRule="auto"/>
        <w:jc w:val="both"/>
        <w:rPr>
          <w:rFonts w:cs="Times New Roman"/>
          <w:noProof/>
        </w:rPr>
      </w:pPr>
      <w:r>
        <w:rPr>
          <w:noProof/>
        </w:rPr>
        <w:t>Cilj je ulaganja pridonijeti svladavanju izazova s kojima se Rumunjska suočava pri prelasku s izvora energije iz ugljena i lignita. Ulaganjem se posebno osigurava opskrba potrošača toplinskom energijom u</w:t>
      </w:r>
      <w:r>
        <w:rPr>
          <w:noProof/>
        </w:rPr>
        <w:t xml:space="preserve"> kontekstu postupnog ukidanja proizvodnje električne i toplinske energije na ugljen.</w:t>
      </w:r>
    </w:p>
    <w:p w14:paraId="2C68D584" w14:textId="77777777" w:rsidR="003F46B9" w:rsidRDefault="0065662E">
      <w:pPr>
        <w:pStyle w:val="P68B1DB1-Normal5"/>
        <w:spacing w:before="120" w:after="120" w:line="240" w:lineRule="auto"/>
        <w:jc w:val="both"/>
        <w:rPr>
          <w:rFonts w:cs="Times New Roman"/>
          <w:noProof/>
        </w:rPr>
      </w:pPr>
      <w:r>
        <w:rPr>
          <w:noProof/>
        </w:rPr>
        <w:t>Ulaganje dovodi do postavljanja kapaciteta za proizvodnju električne energije od najmanje 300 MWe koji je otporan na buduće promjene, fleksibilan i visokoučinkovit kombini</w:t>
      </w:r>
      <w:r>
        <w:rPr>
          <w:noProof/>
        </w:rPr>
        <w:t xml:space="preserve">rani plinski pogon koji je omogućen za uporabu plinova iz obnovljivih izvora i niskougljičnih plinova. </w:t>
      </w:r>
    </w:p>
    <w:p w14:paraId="70FEA1B9" w14:textId="367865C3" w:rsidR="003F46B9" w:rsidRDefault="003F46B9">
      <w:pPr>
        <w:spacing w:before="120" w:after="120" w:line="240" w:lineRule="auto"/>
        <w:jc w:val="both"/>
        <w:rPr>
          <w:rFonts w:ascii="Times New Roman" w:hAnsi="Times New Roman"/>
          <w:noProof/>
          <w:sz w:val="24"/>
        </w:rPr>
      </w:pPr>
    </w:p>
    <w:p w14:paraId="5439D26D" w14:textId="4E1E06FB" w:rsidR="003F46B9" w:rsidRDefault="0065662E">
      <w:pPr>
        <w:pStyle w:val="P68B1DB1-Normal21"/>
        <w:spacing w:before="120" w:after="120" w:line="240" w:lineRule="auto"/>
        <w:jc w:val="both"/>
        <w:rPr>
          <w:noProof/>
        </w:rPr>
      </w:pPr>
      <w:r>
        <w:rPr>
          <w:noProof/>
        </w:rPr>
        <w:t xml:space="preserve">Očekuje se da se tom mjerom ne nanosi znatna šteta okolišnim ciljevima u smislu članka 17. Uredbe (EU) 2020/852, uzimajući u obzir opis mjere i korake </w:t>
      </w:r>
      <w:r>
        <w:rPr>
          <w:noProof/>
        </w:rPr>
        <w:t>ublažavanja utvrđene u planu za oporavak i otpornost u skladu s Tehničkim smjernicama DNSH-a (2021/C58/01). To se osigurava sljedećim popratnim mjerama: </w:t>
      </w:r>
    </w:p>
    <w:p w14:paraId="494A90BD" w14:textId="77777777" w:rsidR="003F46B9" w:rsidRDefault="0065662E">
      <w:pPr>
        <w:pStyle w:val="P68B1DB1-Normal21"/>
        <w:numPr>
          <w:ilvl w:val="0"/>
          <w:numId w:val="236"/>
        </w:numPr>
        <w:spacing w:before="120" w:after="120" w:line="240" w:lineRule="auto"/>
        <w:jc w:val="both"/>
        <w:rPr>
          <w:noProof/>
        </w:rPr>
      </w:pPr>
      <w:r>
        <w:rPr>
          <w:noProof/>
        </w:rPr>
        <w:t xml:space="preserve">Reforma 4. u sastavnici 6 u kombinaciji s ulaganjem 2 u sastavnici 6 uključuje vjerodostojne planove </w:t>
      </w:r>
      <w:r>
        <w:rPr>
          <w:noProof/>
        </w:rPr>
        <w:t>za povećanje uporabe plinova iz obnovljivih izvora i niskougljičnih plinova donošenjem i provedbom nacionalne strategije i akcijskog plana za vodik te postavljanjem kapaciteta za proizvodnju vodika iz obnovljivih izvora; and </w:t>
      </w:r>
    </w:p>
    <w:p w14:paraId="4C9F8723" w14:textId="17D07E91" w:rsidR="003F46B9" w:rsidRDefault="0065662E">
      <w:pPr>
        <w:pStyle w:val="P68B1DB1-Normal21"/>
        <w:numPr>
          <w:ilvl w:val="0"/>
          <w:numId w:val="236"/>
        </w:numPr>
        <w:spacing w:before="120" w:after="120" w:line="240" w:lineRule="auto"/>
        <w:jc w:val="both"/>
        <w:rPr>
          <w:noProof/>
        </w:rPr>
      </w:pPr>
      <w:r>
        <w:rPr>
          <w:noProof/>
        </w:rPr>
        <w:t>Reforma 1. u 6. komponenti dov</w:t>
      </w:r>
      <w:r>
        <w:rPr>
          <w:noProof/>
        </w:rPr>
        <w:t>odi do zatvaranja postrojenja za proizvodnju električne i toplinske energije iz ugljena i lignita, što je znatno više ugljika od visokoučinkovite kombinirane toplinske i električne energije na plin u okviru tog ulaganja. Ukupna količina od 3 780 MW kapacit</w:t>
      </w:r>
      <w:r>
        <w:rPr>
          <w:noProof/>
        </w:rPr>
        <w:t>eta na ugljen/lignit zatvara se do 31. prosinca 2025., a kapacitet je znatno veći od kombinirane toplinske i električne energije na plin od 300 MW koju treba ugraditi u okviru tog ulaganja i od 1 300 MW plinskog kapaciteta koji se planira ugraditi kao zamj</w:t>
      </w:r>
      <w:r>
        <w:rPr>
          <w:noProof/>
        </w:rPr>
        <w:t>ena; and </w:t>
      </w:r>
    </w:p>
    <w:p w14:paraId="1F1039CF" w14:textId="438B1398" w:rsidR="003F46B9" w:rsidRDefault="0065662E">
      <w:pPr>
        <w:pStyle w:val="P68B1DB1-Normal21"/>
        <w:numPr>
          <w:ilvl w:val="0"/>
          <w:numId w:val="236"/>
        </w:numPr>
        <w:spacing w:before="120" w:after="120" w:line="240" w:lineRule="auto"/>
        <w:jc w:val="both"/>
        <w:rPr>
          <w:noProof/>
        </w:rPr>
      </w:pPr>
      <w:r>
        <w:rPr>
          <w:noProof/>
        </w:rPr>
        <w:t xml:space="preserve">Reformom 1. u sastavnici 6 do 2026. instalira se najmanje 3 000 MW dodatnog kapaciteta za proizvodnju energije iz obnovljivih izvora, što pokazuje da Rumunjska ima vjerodostojnu putanju za povećanje udjela obnovljivih izvora energije prema cilju </w:t>
      </w:r>
      <w:r>
        <w:rPr>
          <w:noProof/>
        </w:rPr>
        <w:t>za energiju iz obnovljivih izvora do 2030. utvrđenom u nacionalnom energetskom i klimatskom planu. Budući da Rumunjska namjerava povećati taj cilj, drugi krug dražbi za dodjelu ugovora za razliku za obnovljive izvore energije pokreće se do 30. lipnja 2025.</w:t>
      </w:r>
      <w:r>
        <w:rPr>
          <w:noProof/>
        </w:rPr>
        <w:t xml:space="preserve"> kako bi se pokazala vjerodostojna putanja za povećanje udjela obnovljivih izvora energije prema povećanom cilju; and </w:t>
      </w:r>
    </w:p>
    <w:p w14:paraId="4C8689D9" w14:textId="77777777" w:rsidR="003F46B9" w:rsidRDefault="0065662E">
      <w:pPr>
        <w:pStyle w:val="P68B1DB1-Normal21"/>
        <w:numPr>
          <w:ilvl w:val="0"/>
          <w:numId w:val="236"/>
        </w:numPr>
        <w:spacing w:before="120" w:after="120" w:line="240" w:lineRule="auto"/>
        <w:jc w:val="both"/>
        <w:rPr>
          <w:noProof/>
        </w:rPr>
      </w:pPr>
      <w:r>
        <w:rPr>
          <w:noProof/>
        </w:rPr>
        <w:t>Reforma 1. u 6. komponenti uključuje konkretne reforme i ulaganja za povećanje udjela obnovljivih izvora energije, kao što su provedba ug</w:t>
      </w:r>
      <w:r>
        <w:rPr>
          <w:noProof/>
        </w:rPr>
        <w:t>ovora za razliku, sklapanje ugovora o kupnji energije iz obnovljivih izvora, pojednostavnjenje postupaka izdavanja dozvola i izdavanja dozvola za ulaganja u obnovljive izvore energije, kratko i obvezujuće vrijeme administrativnog odgovora i postupci odgovo</w:t>
      </w:r>
      <w:r>
        <w:rPr>
          <w:noProof/>
        </w:rPr>
        <w:t>rnosti za nepotrebna kašnjenja, smanjenje potrebne dokumentacije i postupaka te uvođenje novog namjenskog okvira za postrojenja za proizvodnju energije iz obnovljivih izvora na moru. </w:t>
      </w:r>
    </w:p>
    <w:p w14:paraId="0F35DB41" w14:textId="77777777" w:rsidR="003F46B9" w:rsidRDefault="0065662E">
      <w:pPr>
        <w:pStyle w:val="P68B1DB1-Normal5"/>
        <w:spacing w:before="120" w:after="120" w:line="240" w:lineRule="auto"/>
        <w:jc w:val="both"/>
        <w:rPr>
          <w:rFonts w:eastAsia="Calibri" w:cs="Times New Roman"/>
          <w:noProof/>
        </w:rPr>
      </w:pPr>
      <w:r>
        <w:rPr>
          <w:noProof/>
        </w:rPr>
        <w:t>Osim toga, nacionalni program kontrole onečišćenja zraka (NAPCP), koji j</w:t>
      </w:r>
      <w:r>
        <w:rPr>
          <w:noProof/>
        </w:rPr>
        <w:t>e trebao biti podnesen Komisiji do travnja 2019. kao pravni zahtjev EU-a na temelju Direktive (EU) 2016/2284, odobrava se do 30. lipnja 2022. (vidjeti bilješku 1. u reformi 1. komponente održivog prijevoza).</w:t>
      </w:r>
    </w:p>
    <w:p w14:paraId="20290C3B" w14:textId="77777777" w:rsidR="003F46B9" w:rsidRDefault="0065662E">
      <w:pPr>
        <w:pStyle w:val="P68B1DB1-Normal5"/>
        <w:spacing w:before="120" w:after="120" w:line="240" w:lineRule="auto"/>
        <w:jc w:val="both"/>
        <w:rPr>
          <w:rFonts w:cs="Times New Roman"/>
          <w:noProof/>
        </w:rPr>
      </w:pPr>
      <w:r>
        <w:rPr>
          <w:noProof/>
          <w:bdr w:val="none" w:sz="0" w:space="0" w:color="auto" w:frame="1"/>
        </w:rPr>
        <w:t xml:space="preserve">Provedba </w:t>
      </w:r>
      <w:r>
        <w:rPr>
          <w:noProof/>
        </w:rPr>
        <w:t xml:space="preserve"> </w:t>
      </w:r>
      <w:r>
        <w:rPr>
          <w:noProof/>
          <w:bdr w:val="none" w:sz="0" w:space="0" w:color="auto" w:frame="1"/>
        </w:rPr>
        <w:t>ulaganja mora biti dovršena do 30. lip</w:t>
      </w:r>
      <w:r>
        <w:rPr>
          <w:noProof/>
          <w:bdr w:val="none" w:sz="0" w:space="0" w:color="auto" w:frame="1"/>
        </w:rPr>
        <w:t>nja 2026.</w:t>
      </w:r>
    </w:p>
    <w:p w14:paraId="61C6EF13"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4. Industrijski lanac proizvodnje i/ili sastavljanja i/ili recikliranja baterija, ćelija i fotonaponskih ploča (uključujući pomoćnu opremu) te novi kapaciteti za skladištenje električne energije</w:t>
      </w:r>
    </w:p>
    <w:p w14:paraId="27CE9C39" w14:textId="77777777" w:rsidR="003F46B9" w:rsidRDefault="0065662E">
      <w:pPr>
        <w:pStyle w:val="P68B1DB1-Normal5"/>
        <w:spacing w:before="120" w:after="120" w:line="240" w:lineRule="auto"/>
        <w:jc w:val="both"/>
        <w:rPr>
          <w:rFonts w:cs="Times New Roman"/>
          <w:noProof/>
        </w:rPr>
      </w:pPr>
      <w:r>
        <w:rPr>
          <w:noProof/>
        </w:rPr>
        <w:t>Cilj je ulaganja povećati fleksibilnost el</w:t>
      </w:r>
      <w:r>
        <w:rPr>
          <w:noProof/>
        </w:rPr>
        <w:t>ektroenergetske mreže i doprinijeti integraciji dodatnih kapaciteta za proizvodnju energije iz obnovljivih izvora.</w:t>
      </w:r>
    </w:p>
    <w:p w14:paraId="3C4BF4E6" w14:textId="77777777" w:rsidR="003F46B9" w:rsidRDefault="0065662E">
      <w:pPr>
        <w:pStyle w:val="P68B1DB1-Normal5"/>
        <w:spacing w:before="120" w:after="120" w:line="240" w:lineRule="auto"/>
        <w:jc w:val="both"/>
        <w:rPr>
          <w:rFonts w:cs="Times New Roman"/>
          <w:noProof/>
        </w:rPr>
      </w:pPr>
      <w:r>
        <w:rPr>
          <w:noProof/>
        </w:rPr>
        <w:t xml:space="preserve">Ulaganje ima tri podulaganja: </w:t>
      </w:r>
    </w:p>
    <w:p w14:paraId="48FEEC41" w14:textId="43E4C5B4" w:rsidR="003F46B9" w:rsidRDefault="0065662E">
      <w:pPr>
        <w:pStyle w:val="P68B1DB1-Normal12"/>
        <w:numPr>
          <w:ilvl w:val="0"/>
          <w:numId w:val="2"/>
        </w:numPr>
        <w:spacing w:before="120" w:after="120" w:line="240" w:lineRule="auto"/>
        <w:ind w:left="360"/>
        <w:jc w:val="both"/>
        <w:rPr>
          <w:rFonts w:cs="Times New Roman"/>
          <w:noProof/>
        </w:rPr>
      </w:pPr>
      <w:r>
        <w:rPr>
          <w:noProof/>
        </w:rPr>
        <w:t>Prvim podulaganjem u vrijednosni lanac baterija (proizvodnja, sastavljanje i recikliranje) postiže se ukupni g</w:t>
      </w:r>
      <w:r>
        <w:rPr>
          <w:noProof/>
        </w:rPr>
        <w:t>odišnji kapacitet proizvodnje i sastavljanja baterija od najmanje 2 GW do 30. lipnja 2026. nakon poziva na podnošenje projekata s kriterijima odabira kojima se osigurava usklađenost s Tehničkim smjernicama o nenanošenju bitne štete (2021/C58/01). Ti kriter</w:t>
      </w:r>
      <w:r>
        <w:rPr>
          <w:noProof/>
        </w:rPr>
        <w:t>iji posebno isključuju aktivnosti povezane s odlagalištima otpada, spalionicama</w:t>
      </w:r>
      <w:r>
        <w:rPr>
          <w:noProof/>
        </w:rPr>
        <w:footnoteReference w:id="3"/>
      </w:r>
      <w:r>
        <w:rPr>
          <w:noProof/>
        </w:rPr>
        <w:t xml:space="preserve"> i postrojenjima za mehaničko-biološku obradu</w:t>
      </w:r>
      <w:r>
        <w:rPr>
          <w:noProof/>
        </w:rPr>
        <w:footnoteReference w:id="4"/>
      </w:r>
      <w:r>
        <w:rPr>
          <w:noProof/>
        </w:rPr>
        <w:t xml:space="preserve"> iz potpore u okviru ove mjere, kao i aktivnosti povezane s vađenjem sirovina.</w:t>
      </w:r>
    </w:p>
    <w:p w14:paraId="76BA4523" w14:textId="3A815864" w:rsidR="003F46B9" w:rsidRDefault="0065662E">
      <w:pPr>
        <w:pStyle w:val="P68B1DB1-Normal12"/>
        <w:numPr>
          <w:ilvl w:val="0"/>
          <w:numId w:val="2"/>
        </w:numPr>
        <w:spacing w:before="120" w:after="120" w:line="240" w:lineRule="auto"/>
        <w:ind w:left="360"/>
        <w:jc w:val="both"/>
        <w:rPr>
          <w:rFonts w:cs="Times New Roman"/>
          <w:noProof/>
        </w:rPr>
      </w:pPr>
      <w:r>
        <w:rPr>
          <w:noProof/>
        </w:rPr>
        <w:t>U okviru drugog podulaganja u lanac vrijednosti fot</w:t>
      </w:r>
      <w:r>
        <w:rPr>
          <w:noProof/>
        </w:rPr>
        <w:t>onaponskih ćelija i ploča (proizvodnja, sastavljanje i recikliranje) mora se ostvariti ukupni godišnji kapacitet od najmanje 200 MW fotonaponskih ćelija i ploča do 30. lipnja 2026., nakon poziva na podnošenje projekata s kriterijima odabira kojima se osigu</w:t>
      </w:r>
      <w:r>
        <w:rPr>
          <w:noProof/>
        </w:rPr>
        <w:t>rava usklađenost s tehničkim smjernicama o nenanošenju bitne štete (2021/C58/01). Ti kriteriji posebno isključuju aktivnosti povezane s odlagalištima otpada, spalionicama</w:t>
      </w:r>
      <w:r>
        <w:rPr>
          <w:noProof/>
        </w:rPr>
        <w:footnoteReference w:id="5"/>
      </w:r>
      <w:r>
        <w:rPr>
          <w:noProof/>
        </w:rPr>
        <w:t xml:space="preserve"> i postrojenjima za mehaničko-biološku obradu</w:t>
      </w:r>
      <w:r>
        <w:rPr>
          <w:noProof/>
        </w:rPr>
        <w:footnoteReference w:id="6"/>
      </w:r>
      <w:r>
        <w:rPr>
          <w:noProof/>
        </w:rPr>
        <w:t xml:space="preserve"> iz potpore u okviru ove mjere, kao i a</w:t>
      </w:r>
      <w:r>
        <w:rPr>
          <w:noProof/>
        </w:rPr>
        <w:t>ktivnosti povezane s vađenjem sirovina.</w:t>
      </w:r>
    </w:p>
    <w:p w14:paraId="62FB5383" w14:textId="0F28D18B" w:rsidR="003F46B9" w:rsidRDefault="0065662E">
      <w:pPr>
        <w:pStyle w:val="P68B1DB1-Normal12"/>
        <w:numPr>
          <w:ilvl w:val="0"/>
          <w:numId w:val="2"/>
        </w:numPr>
        <w:spacing w:before="120" w:after="120" w:line="240" w:lineRule="auto"/>
        <w:ind w:left="360"/>
        <w:jc w:val="both"/>
        <w:rPr>
          <w:rFonts w:cs="Times New Roman"/>
          <w:noProof/>
        </w:rPr>
      </w:pPr>
      <w:r>
        <w:rPr>
          <w:noProof/>
        </w:rPr>
        <w:t>Cilj je trećeg podulaganja postaviti ukupni kapacitet za skladištenje električne energije od najmanje 240 MW (ili 480 MWh) do 30. lipnja 2026., nakon poziva na podnošenje projekata s kriterijima odabira kojima se osi</w:t>
      </w:r>
      <w:r>
        <w:rPr>
          <w:noProof/>
        </w:rPr>
        <w:t>gurava usklađenost s Tehničkim smjernicama o nenanošenju bitne štete (2021/C58/01).</w:t>
      </w:r>
    </w:p>
    <w:p w14:paraId="5EBFB5E9" w14:textId="05AF6943"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7BB28601"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Osiguravanje energetske učinkovitosti u industrijskom sektoru.</w:t>
      </w:r>
    </w:p>
    <w:p w14:paraId="0ACBD6D1" w14:textId="77777777" w:rsidR="003F46B9" w:rsidRDefault="0065662E">
      <w:pPr>
        <w:pStyle w:val="P68B1DB1-Normal5"/>
        <w:spacing w:before="120" w:after="120" w:line="240" w:lineRule="auto"/>
        <w:jc w:val="both"/>
        <w:rPr>
          <w:rFonts w:cs="Times New Roman"/>
          <w:noProof/>
        </w:rPr>
      </w:pPr>
      <w:r>
        <w:rPr>
          <w:noProof/>
        </w:rPr>
        <w:t>Cilj je ulaganja povećati energetsku uči</w:t>
      </w:r>
      <w:r>
        <w:rPr>
          <w:noProof/>
        </w:rPr>
        <w:t>nkovitost industrije, kao što su smanjenje potrošnje energije, razvoj sustava za digitalizaciju mjerenja potrošnje energije i povećanje vlastite potrošnje energije i topline.</w:t>
      </w:r>
    </w:p>
    <w:p w14:paraId="48FCCC8B" w14:textId="3565D10F" w:rsidR="003F46B9" w:rsidRDefault="0065662E">
      <w:pPr>
        <w:pStyle w:val="P68B1DB1-Normal5"/>
        <w:spacing w:before="120" w:after="120" w:line="240" w:lineRule="auto"/>
        <w:jc w:val="both"/>
        <w:rPr>
          <w:rFonts w:cs="Times New Roman"/>
          <w:noProof/>
        </w:rPr>
      </w:pPr>
      <w:r>
        <w:rPr>
          <w:noProof/>
        </w:rPr>
        <w:t>Ulaganjem se za najmanje 30 projekata postiže smanjenje izravnih i neizravnih emi</w:t>
      </w:r>
      <w:r>
        <w:rPr>
          <w:noProof/>
        </w:rPr>
        <w:t>sija stakleničkih plinova za najmanje 30 % u usporedbi s ex ante emisijama, što će se pratiti putem informatičke platforme za centralizaciju i analizu nacionalne potrošnje energije.</w:t>
      </w:r>
    </w:p>
    <w:p w14:paraId="253FC850" w14:textId="77777777" w:rsidR="003F46B9" w:rsidRDefault="0065662E">
      <w:pPr>
        <w:pStyle w:val="P68B1DB1-Normal5"/>
        <w:spacing w:before="120" w:after="120" w:line="240" w:lineRule="auto"/>
        <w:jc w:val="both"/>
        <w:rPr>
          <w:rFonts w:cs="Times New Roman"/>
          <w:noProof/>
        </w:rPr>
      </w:pPr>
      <w:r>
        <w:rPr>
          <w:noProof/>
        </w:rPr>
        <w:t>Kako bi se osiguralo da je mjera u skladu s Tehničkim smjernicama o nenano</w:t>
      </w:r>
      <w:r>
        <w:rPr>
          <w:noProof/>
        </w:rPr>
        <w:t>šenju bitne štete (2021/C58/01), kriteriji prihvatljivosti sadržani u opisu budućih poziva na podnošenje prijedloga za projekte isključuju sljedeći popis aktivnosti: i. djelatnosti povezane s fosilnim gorivima, uključujući uporabu na kraju proizvodnog lanc</w:t>
      </w:r>
      <w:r>
        <w:rPr>
          <w:noProof/>
        </w:rPr>
        <w:t>a</w:t>
      </w:r>
      <w:r>
        <w:rPr>
          <w:noProof/>
        </w:rPr>
        <w:footnoteReference w:id="7"/>
      </w:r>
      <w:r>
        <w:rPr>
          <w:noProof/>
        </w:rPr>
        <w:t>; ii. aktivnosti u okviru sustava EU-a za trgovanje emisijama (ETS) kojima se postižu predviđene emisije stakleničkih plinova koje nisu niže od relevantnih referentnih vrijednosti</w:t>
      </w:r>
      <w:r>
        <w:rPr>
          <w:noProof/>
        </w:rPr>
        <w:footnoteReference w:id="8"/>
      </w:r>
      <w:r>
        <w:rPr>
          <w:noProof/>
        </w:rPr>
        <w:t>; iii. aktivnosti povezane s odlagalištima otpada, spalionicama</w:t>
      </w:r>
      <w:r>
        <w:rPr>
          <w:noProof/>
        </w:rPr>
        <w:footnoteReference w:id="9"/>
      </w:r>
      <w:r>
        <w:rPr>
          <w:noProof/>
        </w:rPr>
        <w:t xml:space="preserve"> i postroj</w:t>
      </w:r>
      <w:r>
        <w:rPr>
          <w:noProof/>
        </w:rPr>
        <w:t>enjima za mehaničko-biološku obradu</w:t>
      </w:r>
      <w:r>
        <w:rPr>
          <w:noProof/>
        </w:rPr>
        <w:footnoteReference w:id="10"/>
      </w:r>
      <w:r>
        <w:rPr>
          <w:noProof/>
        </w:rPr>
        <w:t>; i iv. djelatnosti u kojima dugoročno odlaganje otpada može naštetiti okolišu. U opisu poslova dodatno se zahtijeva da se mogu odabrati samo djelatnosti koje su u skladu s relevantnim zakonodavstvom EU-a i nacionalnim z</w:t>
      </w:r>
      <w:r>
        <w:rPr>
          <w:noProof/>
        </w:rPr>
        <w:t xml:space="preserve">akonodavstvom u području okoliša. </w:t>
      </w:r>
    </w:p>
    <w:p w14:paraId="1AF47A69"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3008BD5A" w14:textId="77777777" w:rsidR="003F46B9" w:rsidRDefault="003F46B9">
      <w:pPr>
        <w:spacing w:before="120" w:after="120" w:line="240" w:lineRule="auto"/>
        <w:ind w:left="850"/>
        <w:jc w:val="both"/>
        <w:rPr>
          <w:rFonts w:ascii="Times New Roman" w:hAnsi="Times New Roman" w:cs="Times New Roman"/>
          <w:i/>
          <w:noProof/>
          <w:sz w:val="24"/>
        </w:rPr>
      </w:pPr>
    </w:p>
    <w:p w14:paraId="5A54E9CE" w14:textId="77777777" w:rsidR="003F46B9" w:rsidRDefault="003F46B9">
      <w:pPr>
        <w:spacing w:before="120" w:after="120" w:line="240" w:lineRule="auto"/>
        <w:ind w:left="850"/>
        <w:jc w:val="both"/>
        <w:rPr>
          <w:rFonts w:ascii="Times New Roman" w:hAnsi="Times New Roman" w:cs="Times New Roman"/>
          <w:i/>
          <w:noProof/>
          <w:sz w:val="24"/>
        </w:rPr>
        <w:sectPr w:rsidR="003F46B9">
          <w:headerReference w:type="even" r:id="rId126"/>
          <w:headerReference w:type="default" r:id="rId127"/>
          <w:footerReference w:type="even" r:id="rId128"/>
          <w:footerReference w:type="default" r:id="rId129"/>
          <w:headerReference w:type="first" r:id="rId130"/>
          <w:footerReference w:type="first" r:id="rId131"/>
          <w:pgSz w:w="11907" w:h="16839"/>
          <w:pgMar w:top="1134" w:right="1417" w:bottom="1134" w:left="1417" w:header="709" w:footer="709" w:gutter="0"/>
          <w:cols w:space="720"/>
          <w:docGrid w:linePitch="360"/>
        </w:sectPr>
      </w:pPr>
    </w:p>
    <w:p w14:paraId="069A61F3"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F.4. </w:t>
      </w:r>
      <w:r>
        <w:rPr>
          <w:noProof/>
        </w:rPr>
        <w:tab/>
      </w:r>
      <w:r>
        <w:rPr>
          <w:rFonts w:ascii="Times New Roman" w:hAnsi="Times New Roman"/>
          <w:b/>
          <w:noProof/>
          <w:sz w:val="24"/>
        </w:rPr>
        <w:t xml:space="preserve">Ključne etape, ciljne vrijednosti, pokazatelji i vremenski raspored za praćenje i provedbu zajma </w:t>
      </w:r>
    </w:p>
    <w:tbl>
      <w:tblPr>
        <w:tblW w:w="15593" w:type="dxa"/>
        <w:jc w:val="center"/>
        <w:tblLayout w:type="fixed"/>
        <w:tblLook w:val="04A0" w:firstRow="1" w:lastRow="0" w:firstColumn="1" w:lastColumn="0" w:noHBand="0" w:noVBand="1"/>
      </w:tblPr>
      <w:tblGrid>
        <w:gridCol w:w="818"/>
        <w:gridCol w:w="1895"/>
        <w:gridCol w:w="1222"/>
        <w:gridCol w:w="1759"/>
        <w:gridCol w:w="1625"/>
        <w:gridCol w:w="1088"/>
        <w:gridCol w:w="1357"/>
        <w:gridCol w:w="819"/>
        <w:gridCol w:w="1088"/>
        <w:gridCol w:w="818"/>
        <w:gridCol w:w="3104"/>
      </w:tblGrid>
      <w:tr w:rsidR="003F46B9" w14:paraId="4E65D18E" w14:textId="77777777">
        <w:trPr>
          <w:trHeight w:val="445"/>
          <w:tblHeader/>
          <w:jc w:val="center"/>
        </w:trPr>
        <w:tc>
          <w:tcPr>
            <w:tcW w:w="8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AC6025" w14:textId="77777777" w:rsidR="003F46B9" w:rsidRDefault="0065662E">
            <w:pPr>
              <w:pStyle w:val="P68B1DB1-Normal1"/>
              <w:spacing w:after="0" w:line="240" w:lineRule="auto"/>
              <w:jc w:val="both"/>
              <w:rPr>
                <w:rFonts w:eastAsia="Times New Roman" w:cs="Times New Roman"/>
                <w:noProof/>
              </w:rPr>
            </w:pPr>
            <w:r>
              <w:rPr>
                <w:noProof/>
              </w:rPr>
              <w:t>Sljedeće NUM.</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F16679"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F513B0"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0117B5" w14:textId="77777777" w:rsidR="003F46B9" w:rsidRDefault="0065662E">
            <w:pPr>
              <w:pStyle w:val="P68B1DB1-Normal1"/>
              <w:spacing w:after="0" w:line="240" w:lineRule="auto"/>
              <w:jc w:val="center"/>
              <w:rPr>
                <w:rFonts w:eastAsia="Times New Roman" w:cs="Times New Roman"/>
                <w:noProof/>
              </w:rPr>
            </w:pPr>
            <w:r>
              <w:rPr>
                <w:noProof/>
              </w:rPr>
              <w:t>Ime</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F7739C" w14:textId="29E62270"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26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21B275A" w14:textId="05C71834"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06" w:type="dxa"/>
            <w:gridSpan w:val="2"/>
            <w:tcBorders>
              <w:top w:val="single" w:sz="4" w:space="0" w:color="auto"/>
              <w:left w:val="nil"/>
              <w:bottom w:val="single" w:sz="4" w:space="0" w:color="auto"/>
              <w:right w:val="single" w:sz="4" w:space="0" w:color="auto"/>
            </w:tcBorders>
            <w:shd w:val="clear" w:color="auto" w:fill="BDD7EE"/>
            <w:vAlign w:val="center"/>
            <w:hideMark/>
          </w:tcPr>
          <w:p w14:paraId="56C16EF3"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dovršetak</w:t>
            </w:r>
          </w:p>
        </w:tc>
        <w:tc>
          <w:tcPr>
            <w:tcW w:w="3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5CA5683"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3D56030C" w14:textId="77777777">
        <w:trPr>
          <w:trHeight w:val="358"/>
          <w:tblHeader/>
          <w:jc w:val="center"/>
        </w:trPr>
        <w:tc>
          <w:tcPr>
            <w:tcW w:w="818" w:type="dxa"/>
            <w:vMerge/>
            <w:tcBorders>
              <w:top w:val="single" w:sz="4" w:space="0" w:color="auto"/>
              <w:left w:val="single" w:sz="4" w:space="0" w:color="auto"/>
              <w:bottom w:val="single" w:sz="4" w:space="0" w:color="auto"/>
              <w:right w:val="single" w:sz="4" w:space="0" w:color="auto"/>
            </w:tcBorders>
            <w:hideMark/>
          </w:tcPr>
          <w:p w14:paraId="332518FE" w14:textId="77777777" w:rsidR="003F46B9" w:rsidRDefault="003F46B9">
            <w:pPr>
              <w:spacing w:after="0" w:line="240" w:lineRule="auto"/>
              <w:jc w:val="both"/>
              <w:rPr>
                <w:rFonts w:ascii="Times New Roman" w:eastAsia="Times New Roman" w:hAnsi="Times New Roman" w:cs="Times New Roman"/>
                <w:b/>
                <w:noProof/>
                <w:sz w:val="24"/>
              </w:rPr>
            </w:pPr>
          </w:p>
        </w:tc>
        <w:tc>
          <w:tcPr>
            <w:tcW w:w="1895" w:type="dxa"/>
            <w:vMerge/>
            <w:tcBorders>
              <w:top w:val="single" w:sz="4" w:space="0" w:color="auto"/>
              <w:left w:val="single" w:sz="4" w:space="0" w:color="auto"/>
              <w:bottom w:val="single" w:sz="4" w:space="0" w:color="auto"/>
              <w:right w:val="single" w:sz="4" w:space="0" w:color="auto"/>
            </w:tcBorders>
            <w:vAlign w:val="center"/>
            <w:hideMark/>
          </w:tcPr>
          <w:p w14:paraId="313C8B09" w14:textId="77777777" w:rsidR="003F46B9" w:rsidRDefault="003F46B9">
            <w:pPr>
              <w:spacing w:after="0" w:line="240" w:lineRule="auto"/>
              <w:jc w:val="both"/>
              <w:rPr>
                <w:rFonts w:ascii="Times New Roman" w:eastAsia="Times New Roman" w:hAnsi="Times New Roman" w:cs="Times New Roman"/>
                <w:b/>
                <w:noProof/>
                <w:sz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7AAEAC09" w14:textId="77777777" w:rsidR="003F46B9" w:rsidRDefault="003F46B9">
            <w:pPr>
              <w:spacing w:after="0" w:line="240" w:lineRule="auto"/>
              <w:jc w:val="both"/>
              <w:rPr>
                <w:rFonts w:ascii="Times New Roman" w:eastAsia="Times New Roman" w:hAnsi="Times New Roman" w:cs="Times New Roman"/>
                <w:b/>
                <w:noProof/>
                <w:sz w:val="24"/>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A0AD852" w14:textId="77777777" w:rsidR="003F46B9" w:rsidRDefault="003F46B9">
            <w:pPr>
              <w:spacing w:after="0" w:line="240" w:lineRule="auto"/>
              <w:jc w:val="both"/>
              <w:rPr>
                <w:rFonts w:ascii="Times New Roman" w:eastAsia="Times New Roman" w:hAnsi="Times New Roman" w:cs="Times New Roman"/>
                <w:b/>
                <w:noProof/>
                <w:sz w:val="24"/>
              </w:rPr>
            </w:pPr>
          </w:p>
        </w:tc>
        <w:tc>
          <w:tcPr>
            <w:tcW w:w="1625" w:type="dxa"/>
            <w:vMerge/>
            <w:tcBorders>
              <w:top w:val="single" w:sz="4" w:space="0" w:color="auto"/>
              <w:left w:val="single" w:sz="4" w:space="0" w:color="auto"/>
              <w:bottom w:val="single" w:sz="4" w:space="0" w:color="auto"/>
              <w:right w:val="single" w:sz="4" w:space="0" w:color="auto"/>
            </w:tcBorders>
            <w:vAlign w:val="center"/>
            <w:hideMark/>
          </w:tcPr>
          <w:p w14:paraId="2D198FCA" w14:textId="77777777" w:rsidR="003F46B9" w:rsidRDefault="003F46B9">
            <w:pPr>
              <w:spacing w:after="0" w:line="240" w:lineRule="auto"/>
              <w:jc w:val="both"/>
              <w:rPr>
                <w:rFonts w:ascii="Times New Roman" w:eastAsia="Times New Roman" w:hAnsi="Times New Roman" w:cs="Times New Roman"/>
                <w:b/>
                <w:noProof/>
                <w:sz w:val="24"/>
              </w:rPr>
            </w:pPr>
          </w:p>
        </w:tc>
        <w:tc>
          <w:tcPr>
            <w:tcW w:w="1088" w:type="dxa"/>
            <w:tcBorders>
              <w:top w:val="nil"/>
              <w:left w:val="single" w:sz="4" w:space="0" w:color="auto"/>
              <w:bottom w:val="single" w:sz="4" w:space="0" w:color="auto"/>
              <w:right w:val="single" w:sz="4" w:space="0" w:color="auto"/>
            </w:tcBorders>
            <w:shd w:val="clear" w:color="auto" w:fill="BDD7EE"/>
            <w:vAlign w:val="center"/>
            <w:hideMark/>
          </w:tcPr>
          <w:p w14:paraId="48AE1598" w14:textId="77777777" w:rsidR="003F46B9" w:rsidRDefault="0065662E">
            <w:pPr>
              <w:pStyle w:val="P68B1DB1-Normal1"/>
              <w:spacing w:after="0" w:line="240" w:lineRule="auto"/>
              <w:jc w:val="both"/>
              <w:rPr>
                <w:rFonts w:eastAsia="Times New Roman" w:cs="Times New Roman"/>
                <w:noProof/>
              </w:rPr>
            </w:pPr>
            <w:r>
              <w:rPr>
                <w:noProof/>
              </w:rPr>
              <w:t>Jedinica mjere</w:t>
            </w:r>
          </w:p>
        </w:tc>
        <w:tc>
          <w:tcPr>
            <w:tcW w:w="1357" w:type="dxa"/>
            <w:tcBorders>
              <w:top w:val="nil"/>
              <w:left w:val="nil"/>
              <w:bottom w:val="single" w:sz="4" w:space="0" w:color="auto"/>
              <w:right w:val="single" w:sz="4" w:space="0" w:color="auto"/>
            </w:tcBorders>
            <w:shd w:val="clear" w:color="auto" w:fill="BDD7EE"/>
            <w:vAlign w:val="center"/>
            <w:hideMark/>
          </w:tcPr>
          <w:p w14:paraId="597F408F" w14:textId="77777777" w:rsidR="003F46B9" w:rsidRDefault="0065662E">
            <w:pPr>
              <w:pStyle w:val="P68B1DB1-Normal1"/>
              <w:spacing w:after="0" w:line="240" w:lineRule="auto"/>
              <w:jc w:val="both"/>
              <w:rPr>
                <w:rFonts w:eastAsia="Times New Roman" w:cs="Times New Roman"/>
                <w:noProof/>
              </w:rPr>
            </w:pPr>
            <w:r>
              <w:rPr>
                <w:noProof/>
              </w:rPr>
              <w:t xml:space="preserve">Osnovna vrijednost </w:t>
            </w:r>
          </w:p>
        </w:tc>
        <w:tc>
          <w:tcPr>
            <w:tcW w:w="819" w:type="dxa"/>
            <w:tcBorders>
              <w:top w:val="nil"/>
              <w:left w:val="nil"/>
              <w:bottom w:val="single" w:sz="4" w:space="0" w:color="auto"/>
              <w:right w:val="single" w:sz="4" w:space="0" w:color="auto"/>
            </w:tcBorders>
            <w:shd w:val="clear" w:color="auto" w:fill="BDD7EE"/>
            <w:vAlign w:val="center"/>
            <w:hideMark/>
          </w:tcPr>
          <w:p w14:paraId="01DC8DB6" w14:textId="77777777" w:rsidR="003F46B9" w:rsidRDefault="0065662E">
            <w:pPr>
              <w:pStyle w:val="P68B1DB1-Normal1"/>
              <w:spacing w:after="0" w:line="240" w:lineRule="auto"/>
              <w:jc w:val="both"/>
              <w:rPr>
                <w:rFonts w:eastAsia="Times New Roman" w:cs="Times New Roman"/>
                <w:noProof/>
              </w:rPr>
            </w:pPr>
            <w:r>
              <w:rPr>
                <w:noProof/>
              </w:rPr>
              <w:t xml:space="preserve">Cilj </w:t>
            </w:r>
          </w:p>
        </w:tc>
        <w:tc>
          <w:tcPr>
            <w:tcW w:w="1088" w:type="dxa"/>
            <w:tcBorders>
              <w:top w:val="nil"/>
              <w:left w:val="nil"/>
              <w:bottom w:val="single" w:sz="4" w:space="0" w:color="auto"/>
              <w:right w:val="single" w:sz="4" w:space="0" w:color="auto"/>
            </w:tcBorders>
            <w:shd w:val="clear" w:color="auto" w:fill="BDD7EE"/>
            <w:vAlign w:val="center"/>
            <w:hideMark/>
          </w:tcPr>
          <w:p w14:paraId="053537D8" w14:textId="77777777" w:rsidR="003F46B9" w:rsidRDefault="0065662E">
            <w:pPr>
              <w:pStyle w:val="P68B1DB1-Normal1"/>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BDD7EE"/>
            <w:vAlign w:val="center"/>
            <w:hideMark/>
          </w:tcPr>
          <w:p w14:paraId="65ABF9D7" w14:textId="77777777" w:rsidR="003F46B9" w:rsidRDefault="0065662E">
            <w:pPr>
              <w:pStyle w:val="P68B1DB1-Normal1"/>
              <w:spacing w:after="0" w:line="240" w:lineRule="auto"/>
              <w:jc w:val="both"/>
              <w:rPr>
                <w:rFonts w:eastAsia="Times New Roman" w:cs="Times New Roman"/>
                <w:noProof/>
              </w:rPr>
            </w:pPr>
            <w:r>
              <w:rPr>
                <w:noProof/>
              </w:rPr>
              <w:t>Godina</w:t>
            </w:r>
          </w:p>
        </w:tc>
        <w:tc>
          <w:tcPr>
            <w:tcW w:w="3104" w:type="dxa"/>
            <w:vMerge/>
            <w:tcBorders>
              <w:top w:val="single" w:sz="4" w:space="0" w:color="auto"/>
              <w:bottom w:val="single" w:sz="4" w:space="0" w:color="auto"/>
              <w:right w:val="single" w:sz="4" w:space="0" w:color="auto"/>
            </w:tcBorders>
            <w:vAlign w:val="center"/>
            <w:hideMark/>
          </w:tcPr>
          <w:p w14:paraId="119C8990"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29B2A95A" w14:textId="77777777">
        <w:trPr>
          <w:trHeight w:val="313"/>
          <w:jc w:val="center"/>
        </w:trPr>
        <w:tc>
          <w:tcPr>
            <w:tcW w:w="818" w:type="dxa"/>
            <w:tcBorders>
              <w:top w:val="single" w:sz="4" w:space="0" w:color="auto"/>
              <w:left w:val="single" w:sz="4" w:space="0" w:color="auto"/>
              <w:bottom w:val="single" w:sz="4" w:space="0" w:color="auto"/>
              <w:right w:val="single" w:sz="4" w:space="0" w:color="auto"/>
            </w:tcBorders>
            <w:shd w:val="clear" w:color="auto" w:fill="C6EFCE"/>
            <w:noWrap/>
            <w:hideMark/>
          </w:tcPr>
          <w:p w14:paraId="27BFC3DE" w14:textId="63604765" w:rsidR="003F46B9" w:rsidRDefault="0065662E">
            <w:pPr>
              <w:pStyle w:val="P68B1DB1-Normal5"/>
              <w:spacing w:after="0" w:line="240" w:lineRule="auto"/>
              <w:jc w:val="both"/>
              <w:rPr>
                <w:rFonts w:eastAsia="Times New Roman" w:cs="Times New Roman"/>
                <w:noProof/>
              </w:rPr>
            </w:pPr>
            <w:r>
              <w:rPr>
                <w:noProof/>
              </w:rPr>
              <w:t>126</w:t>
            </w:r>
          </w:p>
        </w:tc>
        <w:tc>
          <w:tcPr>
            <w:tcW w:w="1895" w:type="dxa"/>
            <w:tcBorders>
              <w:top w:val="single" w:sz="4" w:space="0" w:color="auto"/>
              <w:left w:val="nil"/>
              <w:bottom w:val="single" w:sz="4" w:space="0" w:color="auto"/>
              <w:right w:val="single" w:sz="4" w:space="0" w:color="auto"/>
            </w:tcBorders>
            <w:shd w:val="clear" w:color="auto" w:fill="C6EFCE"/>
            <w:noWrap/>
          </w:tcPr>
          <w:p w14:paraId="02C9F3B1" w14:textId="77777777" w:rsidR="003F46B9" w:rsidRDefault="0065662E">
            <w:pPr>
              <w:pStyle w:val="P68B1DB1-Normal5"/>
              <w:spacing w:after="0" w:line="240" w:lineRule="auto"/>
              <w:jc w:val="both"/>
              <w:rPr>
                <w:rFonts w:eastAsia="Times New Roman" w:cs="Times New Roman"/>
                <w:noProof/>
              </w:rPr>
            </w:pPr>
            <w:r>
              <w:rPr>
                <w:noProof/>
              </w:rPr>
              <w:t xml:space="preserve">Reforma 4. Razvoj povoljnog zakonodavnog i regulatornog okvira za buduće tehnologije, posebno rješenja za vodik i skladištenje </w:t>
            </w:r>
          </w:p>
        </w:tc>
        <w:tc>
          <w:tcPr>
            <w:tcW w:w="1222" w:type="dxa"/>
            <w:tcBorders>
              <w:top w:val="single" w:sz="4" w:space="0" w:color="auto"/>
              <w:left w:val="nil"/>
              <w:bottom w:val="single" w:sz="4" w:space="0" w:color="auto"/>
              <w:right w:val="single" w:sz="4" w:space="0" w:color="auto"/>
            </w:tcBorders>
            <w:shd w:val="clear" w:color="auto" w:fill="C6EFCE"/>
            <w:noWrap/>
            <w:hideMark/>
          </w:tcPr>
          <w:p w14:paraId="18969130"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single" w:sz="4" w:space="0" w:color="auto"/>
              <w:left w:val="nil"/>
              <w:bottom w:val="single" w:sz="4" w:space="0" w:color="auto"/>
              <w:right w:val="single" w:sz="4" w:space="0" w:color="auto"/>
            </w:tcBorders>
            <w:shd w:val="clear" w:color="auto" w:fill="C6EFCE"/>
            <w:noWrap/>
          </w:tcPr>
          <w:p w14:paraId="634CA7A5" w14:textId="77777777" w:rsidR="003F46B9" w:rsidRDefault="0065662E">
            <w:pPr>
              <w:pStyle w:val="P68B1DB1-Normal5"/>
              <w:spacing w:after="0" w:line="240" w:lineRule="auto"/>
              <w:jc w:val="both"/>
              <w:rPr>
                <w:rFonts w:eastAsia="Times New Roman" w:cs="Times New Roman"/>
                <w:noProof/>
              </w:rPr>
            </w:pPr>
            <w:r>
              <w:rPr>
                <w:noProof/>
              </w:rPr>
              <w:t xml:space="preserve">Stupanje na snagu izmjena zakonodavnog okvira, provedba nacionalne strategije za vodik </w:t>
            </w:r>
          </w:p>
        </w:tc>
        <w:tc>
          <w:tcPr>
            <w:tcW w:w="1625" w:type="dxa"/>
            <w:tcBorders>
              <w:top w:val="single" w:sz="4" w:space="0" w:color="auto"/>
              <w:left w:val="nil"/>
              <w:bottom w:val="single" w:sz="4" w:space="0" w:color="auto"/>
              <w:right w:val="single" w:sz="4" w:space="0" w:color="auto"/>
            </w:tcBorders>
            <w:shd w:val="clear" w:color="auto" w:fill="C6EFCE"/>
            <w:noWrap/>
            <w:hideMark/>
          </w:tcPr>
          <w:p w14:paraId="0EC8412E" w14:textId="77777777" w:rsidR="003F46B9" w:rsidRDefault="0065662E">
            <w:pPr>
              <w:pStyle w:val="P68B1DB1-Normal5"/>
              <w:spacing w:after="0" w:line="240" w:lineRule="auto"/>
              <w:jc w:val="both"/>
              <w:rPr>
                <w:rFonts w:eastAsia="Times New Roman" w:cs="Times New Roman"/>
                <w:noProof/>
              </w:rPr>
            </w:pPr>
            <w:r>
              <w:rPr>
                <w:noProof/>
              </w:rPr>
              <w:t xml:space="preserve">Zakonska odredba o stupanju na snagu izmjena zakonodavnog okvira </w:t>
            </w:r>
          </w:p>
        </w:tc>
        <w:tc>
          <w:tcPr>
            <w:tcW w:w="1088" w:type="dxa"/>
            <w:tcBorders>
              <w:top w:val="nil"/>
              <w:left w:val="nil"/>
              <w:bottom w:val="single" w:sz="4" w:space="0" w:color="auto"/>
              <w:right w:val="single" w:sz="4" w:space="0" w:color="auto"/>
            </w:tcBorders>
            <w:shd w:val="clear" w:color="auto" w:fill="C6EFCE"/>
            <w:noWrap/>
            <w:hideMark/>
          </w:tcPr>
          <w:p w14:paraId="33794C3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4F6CBC6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1984BBF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142CF3C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1B91512B" w14:textId="77777777" w:rsidR="003F46B9" w:rsidRDefault="0065662E">
            <w:pPr>
              <w:pStyle w:val="P68B1DB1-Normal5"/>
              <w:spacing w:after="0" w:line="240" w:lineRule="auto"/>
              <w:jc w:val="both"/>
              <w:rPr>
                <w:rFonts w:eastAsia="Times New Roman" w:cs="Times New Roman"/>
                <w:noProof/>
              </w:rPr>
            </w:pPr>
            <w:r>
              <w:rPr>
                <w:noProof/>
              </w:rPr>
              <w:t>2023</w:t>
            </w:r>
          </w:p>
        </w:tc>
        <w:tc>
          <w:tcPr>
            <w:tcW w:w="3104" w:type="dxa"/>
            <w:tcBorders>
              <w:top w:val="single" w:sz="4" w:space="0" w:color="auto"/>
              <w:left w:val="nil"/>
              <w:bottom w:val="single" w:sz="4" w:space="0" w:color="auto"/>
              <w:right w:val="single" w:sz="4" w:space="0" w:color="auto"/>
            </w:tcBorders>
            <w:shd w:val="clear" w:color="auto" w:fill="C6EFCE"/>
            <w:noWrap/>
            <w:hideMark/>
          </w:tcPr>
          <w:p w14:paraId="30E3AEB8" w14:textId="77777777" w:rsidR="003F46B9" w:rsidRDefault="0065662E">
            <w:pPr>
              <w:pStyle w:val="P68B1DB1-Normal5"/>
              <w:spacing w:after="0" w:line="240" w:lineRule="auto"/>
              <w:jc w:val="both"/>
              <w:rPr>
                <w:rFonts w:eastAsia="Times New Roman" w:cs="Times New Roman"/>
                <w:noProof/>
              </w:rPr>
            </w:pPr>
            <w:r>
              <w:rPr>
                <w:noProof/>
              </w:rPr>
              <w:t xml:space="preserve">Stupanje na snagu izmjena regulatornog okvira na temelju nacionalne strategije </w:t>
            </w:r>
            <w:r>
              <w:rPr>
                <w:noProof/>
              </w:rPr>
              <w:t>za vodik i relevantnog akcijskog plana. Izmjenama se uklanjaju sve zakonodavne i administrativne prepreke razvoju tehnologije vodika iz obnovljivih izvora i provode mjere potrebne za razvoj cijelog vrijednosnog lanca vodika iz obnovljivih izvora, uključuju</w:t>
            </w:r>
            <w:r>
              <w:rPr>
                <w:noProof/>
              </w:rPr>
              <w:t>ći obveznu uporabu uređaja i opreme spremnih za vodik od strane krajnjih korisnika do 1. siječnja 2026.</w:t>
            </w:r>
          </w:p>
        </w:tc>
      </w:tr>
      <w:tr w:rsidR="003F46B9" w14:paraId="29ACA9B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617B9BC" w14:textId="77777777" w:rsidR="003F46B9" w:rsidRDefault="0065662E">
            <w:pPr>
              <w:pStyle w:val="P68B1DB1-Normal5"/>
              <w:spacing w:after="0" w:line="240" w:lineRule="auto"/>
              <w:jc w:val="both"/>
              <w:rPr>
                <w:rFonts w:eastAsia="Times New Roman" w:cs="Times New Roman"/>
                <w:noProof/>
              </w:rPr>
            </w:pPr>
            <w:r>
              <w:rPr>
                <w:noProof/>
              </w:rPr>
              <w:t>127</w:t>
            </w:r>
          </w:p>
        </w:tc>
        <w:tc>
          <w:tcPr>
            <w:tcW w:w="1895" w:type="dxa"/>
            <w:tcBorders>
              <w:top w:val="nil"/>
              <w:left w:val="nil"/>
              <w:bottom w:val="single" w:sz="4" w:space="0" w:color="auto"/>
              <w:right w:val="single" w:sz="4" w:space="0" w:color="auto"/>
            </w:tcBorders>
            <w:shd w:val="clear" w:color="auto" w:fill="C6EFCE"/>
            <w:noWrap/>
          </w:tcPr>
          <w:p w14:paraId="173D4B8C" w14:textId="77777777" w:rsidR="003F46B9" w:rsidRDefault="0065662E">
            <w:pPr>
              <w:pStyle w:val="P68B1DB1-Normal5"/>
              <w:spacing w:after="0" w:line="240" w:lineRule="auto"/>
              <w:jc w:val="both"/>
              <w:rPr>
                <w:rFonts w:eastAsia="Times New Roman" w:cs="Times New Roman"/>
                <w:noProof/>
              </w:rPr>
            </w:pPr>
            <w:r>
              <w:rPr>
                <w:noProof/>
              </w:rPr>
              <w:t xml:space="preserve">Reforma 5. Smanjenje energetskog intenziteta gospodarstva razvojem održivog mehanizma za poticanje energetske učinkovitosti u industriji. </w:t>
            </w:r>
          </w:p>
        </w:tc>
        <w:tc>
          <w:tcPr>
            <w:tcW w:w="1222" w:type="dxa"/>
            <w:tcBorders>
              <w:top w:val="nil"/>
              <w:left w:val="nil"/>
              <w:bottom w:val="single" w:sz="4" w:space="0" w:color="auto"/>
              <w:right w:val="single" w:sz="4" w:space="0" w:color="auto"/>
            </w:tcBorders>
            <w:shd w:val="clear" w:color="auto" w:fill="C6EFCE"/>
            <w:noWrap/>
            <w:hideMark/>
          </w:tcPr>
          <w:p w14:paraId="25880311"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6DEA6868" w14:textId="77777777" w:rsidR="003F46B9" w:rsidRDefault="0065662E">
            <w:pPr>
              <w:pStyle w:val="P68B1DB1-Normal5"/>
              <w:spacing w:after="0" w:line="240" w:lineRule="auto"/>
              <w:jc w:val="both"/>
              <w:rPr>
                <w:rFonts w:eastAsia="Times New Roman" w:cs="Times New Roman"/>
                <w:noProof/>
              </w:rPr>
            </w:pPr>
            <w:r>
              <w:rPr>
                <w:noProof/>
              </w:rPr>
              <w:t>Stupanje na snagu zakonodavnog okvira kojim se uvode mjere za olakšavanje ulaganja u energetsku učinkovitost u industriji</w:t>
            </w:r>
          </w:p>
        </w:tc>
        <w:tc>
          <w:tcPr>
            <w:tcW w:w="1625" w:type="dxa"/>
            <w:tcBorders>
              <w:top w:val="nil"/>
              <w:left w:val="nil"/>
              <w:bottom w:val="single" w:sz="4" w:space="0" w:color="auto"/>
              <w:right w:val="single" w:sz="4" w:space="0" w:color="auto"/>
            </w:tcBorders>
            <w:shd w:val="clear" w:color="auto" w:fill="C6EFCE"/>
            <w:noWrap/>
            <w:hideMark/>
          </w:tcPr>
          <w:p w14:paraId="54B457B0"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w:t>
            </w:r>
          </w:p>
        </w:tc>
        <w:tc>
          <w:tcPr>
            <w:tcW w:w="1088" w:type="dxa"/>
            <w:tcBorders>
              <w:top w:val="nil"/>
              <w:left w:val="nil"/>
              <w:bottom w:val="single" w:sz="4" w:space="0" w:color="auto"/>
              <w:right w:val="single" w:sz="4" w:space="0" w:color="auto"/>
            </w:tcBorders>
            <w:shd w:val="clear" w:color="auto" w:fill="C6EFCE"/>
            <w:noWrap/>
            <w:hideMark/>
          </w:tcPr>
          <w:p w14:paraId="2594E929" w14:textId="77777777" w:rsidR="003F46B9" w:rsidRDefault="003F46B9">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5CC184C9" w14:textId="77777777" w:rsidR="003F46B9" w:rsidRDefault="003F46B9">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07100A62" w14:textId="77777777" w:rsidR="003F46B9" w:rsidRDefault="003F46B9">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0D6B12A5"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18" w:type="dxa"/>
            <w:tcBorders>
              <w:top w:val="nil"/>
              <w:left w:val="nil"/>
              <w:bottom w:val="single" w:sz="4" w:space="0" w:color="auto"/>
              <w:right w:val="single" w:sz="4" w:space="0" w:color="auto"/>
            </w:tcBorders>
            <w:shd w:val="clear" w:color="auto" w:fill="C6EFCE"/>
            <w:noWrap/>
            <w:hideMark/>
          </w:tcPr>
          <w:p w14:paraId="5FB6EA87" w14:textId="77777777" w:rsidR="003F46B9" w:rsidRDefault="0065662E">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07502BCA" w14:textId="77777777" w:rsidR="003F46B9" w:rsidRDefault="0065662E">
            <w:pPr>
              <w:pStyle w:val="P68B1DB1-Normal5"/>
              <w:spacing w:after="0" w:line="240" w:lineRule="auto"/>
              <w:jc w:val="both"/>
              <w:rPr>
                <w:rFonts w:eastAsia="Times New Roman" w:cs="Times New Roman"/>
                <w:noProof/>
              </w:rPr>
            </w:pPr>
            <w:r>
              <w:rPr>
                <w:noProof/>
              </w:rPr>
              <w:t>Stupanje na snagu zakonodavnog okvira k</w:t>
            </w:r>
            <w:r>
              <w:rPr>
                <w:noProof/>
              </w:rPr>
              <w:t>ojim se uvode mjere za olakšavanje ulaganja u energetsku učinkovitost u industriji. Reformom se: i) ukloniti prepreke za sklapanje ugovora o energetskom učinku; i. uvesti nadzor tržišta i primjenu normi za energetsku učinkovitost kako bi se osigurala sukla</w:t>
            </w:r>
            <w:r>
              <w:rPr>
                <w:noProof/>
              </w:rPr>
              <w:t xml:space="preserve">dnost proizvoda sa standardima ekološkog dizajna, iii. poboljšati svijest MSP-ova o energetskoj učinkovitosti; i. uspostaviti sustav praćenja za provedbu preporuka iz energetskih pregleda u sektorima obuhvaćenima ETS-om; V) uvesti nove standarde za zelene </w:t>
            </w:r>
            <w:r>
              <w:rPr>
                <w:noProof/>
              </w:rPr>
              <w:t>financijske instrumente.</w:t>
            </w:r>
          </w:p>
        </w:tc>
      </w:tr>
      <w:tr w:rsidR="003F46B9" w14:paraId="7493299C"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FF6C5D0" w14:textId="77777777" w:rsidR="003F46B9" w:rsidRDefault="0065662E">
            <w:pPr>
              <w:pStyle w:val="P68B1DB1-Normal5"/>
              <w:spacing w:after="0" w:line="240" w:lineRule="auto"/>
              <w:jc w:val="both"/>
              <w:rPr>
                <w:rFonts w:eastAsia="Times New Roman" w:cs="Times New Roman"/>
                <w:noProof/>
              </w:rPr>
            </w:pPr>
            <w:r>
              <w:rPr>
                <w:noProof/>
              </w:rPr>
              <w:t>128</w:t>
            </w:r>
          </w:p>
        </w:tc>
        <w:tc>
          <w:tcPr>
            <w:tcW w:w="1895" w:type="dxa"/>
            <w:tcBorders>
              <w:top w:val="nil"/>
              <w:left w:val="nil"/>
              <w:bottom w:val="single" w:sz="4" w:space="0" w:color="auto"/>
              <w:right w:val="single" w:sz="4" w:space="0" w:color="auto"/>
            </w:tcBorders>
            <w:shd w:val="clear" w:color="auto" w:fill="C6EFCE"/>
            <w:noWrap/>
          </w:tcPr>
          <w:p w14:paraId="190FA697" w14:textId="77777777" w:rsidR="003F46B9" w:rsidRDefault="0065662E">
            <w:pPr>
              <w:pStyle w:val="P68B1DB1-Normal5"/>
              <w:spacing w:after="0" w:line="240" w:lineRule="auto"/>
              <w:jc w:val="both"/>
              <w:rPr>
                <w:rFonts w:eastAsia="Times New Roman" w:cs="Times New Roman"/>
                <w:noProof/>
              </w:rPr>
            </w:pPr>
            <w:r>
              <w:rPr>
                <w:noProof/>
              </w:rPr>
              <w:t xml:space="preserve">Reforma 6. Povećanje konkurentnosti i dekarbonizacije sektora grijanja i hlađenja </w:t>
            </w:r>
          </w:p>
        </w:tc>
        <w:tc>
          <w:tcPr>
            <w:tcW w:w="1222" w:type="dxa"/>
            <w:tcBorders>
              <w:top w:val="nil"/>
              <w:left w:val="nil"/>
              <w:bottom w:val="single" w:sz="4" w:space="0" w:color="auto"/>
              <w:right w:val="single" w:sz="4" w:space="0" w:color="auto"/>
            </w:tcBorders>
            <w:shd w:val="clear" w:color="auto" w:fill="C6EFCE"/>
            <w:noWrap/>
            <w:hideMark/>
          </w:tcPr>
          <w:p w14:paraId="0876A329"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4A5E0721" w14:textId="77777777" w:rsidR="003F46B9" w:rsidRDefault="0065662E">
            <w:pPr>
              <w:pStyle w:val="P68B1DB1-Normal5"/>
              <w:spacing w:after="0" w:line="240" w:lineRule="auto"/>
              <w:jc w:val="both"/>
              <w:rPr>
                <w:rFonts w:eastAsia="Times New Roman" w:cs="Times New Roman"/>
                <w:noProof/>
              </w:rPr>
            </w:pPr>
            <w:r>
              <w:rPr>
                <w:noProof/>
              </w:rPr>
              <w:t>Stupanje na snagu zakonodavnog okvira kojim se uvode mjere za dekarbonizaciju sektora grijanja i hlađenja</w:t>
            </w:r>
          </w:p>
        </w:tc>
        <w:tc>
          <w:tcPr>
            <w:tcW w:w="1625" w:type="dxa"/>
            <w:tcBorders>
              <w:top w:val="nil"/>
              <w:left w:val="nil"/>
              <w:bottom w:val="single" w:sz="4" w:space="0" w:color="auto"/>
              <w:right w:val="single" w:sz="4" w:space="0" w:color="auto"/>
            </w:tcBorders>
            <w:shd w:val="clear" w:color="auto" w:fill="C6EFCE"/>
            <w:noWrap/>
            <w:hideMark/>
          </w:tcPr>
          <w:p w14:paraId="14444F6A" w14:textId="77777777" w:rsidR="003F46B9" w:rsidRDefault="0065662E">
            <w:pPr>
              <w:pStyle w:val="P68B1DB1-Normal5"/>
              <w:spacing w:after="0" w:line="240" w:lineRule="auto"/>
              <w:jc w:val="both"/>
              <w:rPr>
                <w:rFonts w:eastAsia="Times New Roman" w:cs="Times New Roman"/>
                <w:noProof/>
              </w:rPr>
            </w:pPr>
            <w:r>
              <w:rPr>
                <w:noProof/>
              </w:rPr>
              <w:t xml:space="preserve">Zakonska odredba o </w:t>
            </w:r>
            <w:r>
              <w:rPr>
                <w:noProof/>
              </w:rPr>
              <w:t>stupanju na snagu zakonodavnog akta</w:t>
            </w:r>
          </w:p>
        </w:tc>
        <w:tc>
          <w:tcPr>
            <w:tcW w:w="1088" w:type="dxa"/>
            <w:tcBorders>
              <w:top w:val="nil"/>
              <w:left w:val="nil"/>
              <w:bottom w:val="single" w:sz="4" w:space="0" w:color="auto"/>
              <w:right w:val="single" w:sz="4" w:space="0" w:color="auto"/>
            </w:tcBorders>
            <w:shd w:val="clear" w:color="auto" w:fill="C6EFCE"/>
            <w:noWrap/>
            <w:hideMark/>
          </w:tcPr>
          <w:p w14:paraId="1BA7417E" w14:textId="77777777" w:rsidR="003F46B9" w:rsidRDefault="003F46B9">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7A884A26" w14:textId="77777777" w:rsidR="003F46B9" w:rsidRDefault="003F46B9">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599189AA" w14:textId="77777777" w:rsidR="003F46B9" w:rsidRDefault="003F46B9">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3F5B3452"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18" w:type="dxa"/>
            <w:tcBorders>
              <w:top w:val="nil"/>
              <w:left w:val="nil"/>
              <w:bottom w:val="single" w:sz="4" w:space="0" w:color="auto"/>
              <w:right w:val="single" w:sz="4" w:space="0" w:color="auto"/>
            </w:tcBorders>
            <w:shd w:val="clear" w:color="auto" w:fill="C6EFCE"/>
            <w:noWrap/>
            <w:hideMark/>
          </w:tcPr>
          <w:p w14:paraId="28F30768" w14:textId="77777777" w:rsidR="003F46B9" w:rsidRDefault="0065662E">
            <w:pPr>
              <w:pStyle w:val="P68B1DB1-Normal5"/>
              <w:spacing w:after="0" w:line="240" w:lineRule="auto"/>
              <w:jc w:val="both"/>
              <w:rPr>
                <w:rFonts w:eastAsia="Times New Roman" w:cs="Times New Roman"/>
                <w:noProof/>
              </w:rPr>
            </w:pPr>
            <w:r>
              <w:rPr>
                <w:noProof/>
              </w:rPr>
              <w:t>2023</w:t>
            </w:r>
          </w:p>
        </w:tc>
        <w:tc>
          <w:tcPr>
            <w:tcW w:w="3104" w:type="dxa"/>
            <w:tcBorders>
              <w:top w:val="nil"/>
              <w:left w:val="nil"/>
              <w:bottom w:val="single" w:sz="4" w:space="0" w:color="auto"/>
              <w:right w:val="single" w:sz="4" w:space="0" w:color="auto"/>
            </w:tcBorders>
            <w:shd w:val="clear" w:color="auto" w:fill="C6EFCE"/>
            <w:noWrap/>
            <w:hideMark/>
          </w:tcPr>
          <w:p w14:paraId="0E6FDD8D" w14:textId="77777777" w:rsidR="003F46B9" w:rsidRDefault="0065662E">
            <w:pPr>
              <w:pStyle w:val="P68B1DB1-Normal5"/>
              <w:spacing w:after="0" w:line="240" w:lineRule="auto"/>
              <w:jc w:val="both"/>
              <w:rPr>
                <w:rFonts w:eastAsia="Times New Roman" w:cs="Times New Roman"/>
                <w:noProof/>
              </w:rPr>
            </w:pPr>
            <w:r>
              <w:rPr>
                <w:noProof/>
              </w:rPr>
              <w:t>Stupanje na snagu zakonodavnog okvira kojim se uvode mjere za dekarbonizaciju sektora grijanja i hlađenja. Reformom se: i. pojasniti okvir odgovornosti između središnjih i lokalnih tijela za u</w:t>
            </w:r>
            <w:r>
              <w:rPr>
                <w:noProof/>
              </w:rPr>
              <w:t>pravljanje sektorom grijanja i hlađenja te proširiti primjenu zakona o korporativnom upravljanju na pružatelje centraliziranog grijanja; II) uključivati preispitivanje okvira kako bi se osigurala održivost i sljedivost biomase te spriječili negativni učinc</w:t>
            </w:r>
            <w:r>
              <w:rPr>
                <w:noProof/>
              </w:rPr>
              <w:t>i upotrebe bioenergije na bioraznolikost i šume; diversifikacija kombinacije izvora energije u grijanju i hlađenju daleko od šumske biomase; i. povećati ulogu proizvođača-potrošača u proizvodnji energije iz obnovljivih izvora, uključujući kvantitativnu nak</w:t>
            </w:r>
            <w:r>
              <w:rPr>
                <w:noProof/>
              </w:rPr>
              <w:t xml:space="preserve">nadu. </w:t>
            </w:r>
          </w:p>
        </w:tc>
      </w:tr>
      <w:tr w:rsidR="003F46B9" w14:paraId="31E4912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CB03923" w14:textId="77777777" w:rsidR="003F46B9" w:rsidRDefault="0065662E">
            <w:pPr>
              <w:pStyle w:val="P68B1DB1-Normal5"/>
              <w:spacing w:after="0" w:line="240" w:lineRule="auto"/>
              <w:jc w:val="both"/>
              <w:rPr>
                <w:rFonts w:eastAsia="Times New Roman" w:cs="Times New Roman"/>
                <w:noProof/>
              </w:rPr>
            </w:pPr>
            <w:r>
              <w:rPr>
                <w:noProof/>
              </w:rPr>
              <w:t>129</w:t>
            </w:r>
          </w:p>
        </w:tc>
        <w:tc>
          <w:tcPr>
            <w:tcW w:w="1895" w:type="dxa"/>
            <w:tcBorders>
              <w:top w:val="nil"/>
              <w:left w:val="nil"/>
              <w:bottom w:val="single" w:sz="4" w:space="0" w:color="auto"/>
              <w:right w:val="single" w:sz="4" w:space="0" w:color="auto"/>
            </w:tcBorders>
            <w:shd w:val="clear" w:color="auto" w:fill="C6EFCE"/>
            <w:noWrap/>
          </w:tcPr>
          <w:p w14:paraId="1F8CCA1C" w14:textId="23BE299B" w:rsidR="003F46B9" w:rsidRDefault="0065662E">
            <w:pPr>
              <w:pStyle w:val="P68B1DB1-Normal5"/>
              <w:spacing w:after="0" w:line="240" w:lineRule="auto"/>
              <w:jc w:val="both"/>
              <w:rPr>
                <w:rFonts w:eastAsia="Times New Roman" w:cs="Times New Roman"/>
                <w:noProof/>
              </w:rPr>
            </w:pPr>
            <w:r>
              <w:rPr>
                <w:noProof/>
              </w:rPr>
              <w:t xml:space="preserve">Kapaciteti za proizvodnju zelenog vodika za upotrebu kao skladištenje električne energije i za dekarbonizaciju industrije </w:t>
            </w:r>
          </w:p>
        </w:tc>
        <w:tc>
          <w:tcPr>
            <w:tcW w:w="1222" w:type="dxa"/>
            <w:tcBorders>
              <w:top w:val="nil"/>
              <w:left w:val="nil"/>
              <w:bottom w:val="single" w:sz="4" w:space="0" w:color="auto"/>
              <w:right w:val="single" w:sz="4" w:space="0" w:color="auto"/>
            </w:tcBorders>
            <w:shd w:val="clear" w:color="auto" w:fill="C6EFCE"/>
            <w:noWrap/>
            <w:hideMark/>
          </w:tcPr>
          <w:p w14:paraId="77325834" w14:textId="77777777" w:rsidR="003F46B9" w:rsidRDefault="0065662E">
            <w:pPr>
              <w:pStyle w:val="P68B1DB1-Normal5"/>
              <w:spacing w:after="0" w:line="240" w:lineRule="auto"/>
              <w:jc w:val="both"/>
              <w:rPr>
                <w:rFonts w:eastAsia="Times New Roman" w:cs="Times New Roman"/>
                <w:noProof/>
              </w:rPr>
            </w:pPr>
            <w:r>
              <w:rPr>
                <w:noProof/>
              </w:rPr>
              <w:t xml:space="preserve">Prekretnica </w:t>
            </w:r>
          </w:p>
        </w:tc>
        <w:tc>
          <w:tcPr>
            <w:tcW w:w="1759" w:type="dxa"/>
            <w:tcBorders>
              <w:top w:val="nil"/>
              <w:left w:val="nil"/>
              <w:bottom w:val="single" w:sz="4" w:space="0" w:color="auto"/>
              <w:right w:val="single" w:sz="4" w:space="0" w:color="auto"/>
            </w:tcBorders>
            <w:shd w:val="clear" w:color="auto" w:fill="C6EFCE"/>
            <w:noWrap/>
          </w:tcPr>
          <w:p w14:paraId="616EC065" w14:textId="14B7A4D1" w:rsidR="003F46B9" w:rsidRDefault="0065662E">
            <w:pPr>
              <w:pStyle w:val="P68B1DB1-Normal5"/>
              <w:spacing w:after="0" w:line="240" w:lineRule="auto"/>
              <w:jc w:val="both"/>
              <w:rPr>
                <w:rFonts w:eastAsia="Times New Roman" w:cs="Times New Roman"/>
                <w:noProof/>
              </w:rPr>
            </w:pPr>
            <w:r>
              <w:rPr>
                <w:noProof/>
              </w:rPr>
              <w:t>Potpisivanje ugovora za izgradnju kapaciteta novih elektrolizatora od</w:t>
            </w:r>
            <w:r>
              <w:rPr>
                <w:noProof/>
                <w:vertAlign w:val="subscript"/>
              </w:rPr>
              <w:t>najmanje</w:t>
            </w:r>
            <w:r>
              <w:rPr>
                <w:noProof/>
              </w:rPr>
              <w:t xml:space="preserve"> 60 MW H2</w:t>
            </w:r>
          </w:p>
        </w:tc>
        <w:tc>
          <w:tcPr>
            <w:tcW w:w="1625" w:type="dxa"/>
            <w:tcBorders>
              <w:top w:val="nil"/>
              <w:left w:val="nil"/>
              <w:bottom w:val="single" w:sz="4" w:space="0" w:color="auto"/>
              <w:right w:val="single" w:sz="4" w:space="0" w:color="auto"/>
            </w:tcBorders>
            <w:shd w:val="clear" w:color="auto" w:fill="C6EFCE"/>
            <w:noWrap/>
            <w:hideMark/>
          </w:tcPr>
          <w:p w14:paraId="70D7C61E"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088" w:type="dxa"/>
            <w:tcBorders>
              <w:top w:val="nil"/>
              <w:left w:val="nil"/>
              <w:bottom w:val="single" w:sz="4" w:space="0" w:color="auto"/>
              <w:right w:val="single" w:sz="4" w:space="0" w:color="auto"/>
            </w:tcBorders>
            <w:shd w:val="clear" w:color="auto" w:fill="C6EFCE"/>
            <w:noWrap/>
            <w:hideMark/>
          </w:tcPr>
          <w:p w14:paraId="20D86E87" w14:textId="77777777" w:rsidR="003F46B9" w:rsidRDefault="003F46B9">
            <w:pPr>
              <w:spacing w:after="0" w:line="240" w:lineRule="auto"/>
              <w:jc w:val="both"/>
              <w:rPr>
                <w:rFonts w:ascii="Times New Roman" w:eastAsia="Times New Roman" w:hAnsi="Times New Roman" w:cs="Times New Roman"/>
                <w:noProof/>
                <w:sz w:val="24"/>
              </w:rPr>
            </w:pPr>
          </w:p>
        </w:tc>
        <w:tc>
          <w:tcPr>
            <w:tcW w:w="1357" w:type="dxa"/>
            <w:tcBorders>
              <w:top w:val="nil"/>
              <w:left w:val="nil"/>
              <w:bottom w:val="single" w:sz="4" w:space="0" w:color="auto"/>
              <w:right w:val="single" w:sz="4" w:space="0" w:color="auto"/>
            </w:tcBorders>
            <w:shd w:val="clear" w:color="auto" w:fill="C6EFCE"/>
            <w:noWrap/>
          </w:tcPr>
          <w:p w14:paraId="2A14EDD0" w14:textId="77777777" w:rsidR="003F46B9" w:rsidRDefault="003F46B9">
            <w:pPr>
              <w:spacing w:after="0" w:line="240" w:lineRule="auto"/>
              <w:jc w:val="both"/>
              <w:rPr>
                <w:rFonts w:ascii="Times New Roman" w:eastAsia="Times New Roman" w:hAnsi="Times New Roman" w:cs="Times New Roman"/>
                <w:noProof/>
                <w:sz w:val="24"/>
              </w:rPr>
            </w:pPr>
          </w:p>
        </w:tc>
        <w:tc>
          <w:tcPr>
            <w:tcW w:w="819" w:type="dxa"/>
            <w:tcBorders>
              <w:top w:val="nil"/>
              <w:left w:val="nil"/>
              <w:bottom w:val="single" w:sz="4" w:space="0" w:color="auto"/>
              <w:right w:val="single" w:sz="4" w:space="0" w:color="auto"/>
            </w:tcBorders>
            <w:shd w:val="clear" w:color="auto" w:fill="C6EFCE"/>
            <w:noWrap/>
          </w:tcPr>
          <w:p w14:paraId="7FF403F3" w14:textId="77777777" w:rsidR="003F46B9" w:rsidRDefault="003F46B9">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hideMark/>
          </w:tcPr>
          <w:p w14:paraId="4F4874BE"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29B3736B" w14:textId="77777777" w:rsidR="003F46B9" w:rsidRDefault="0065662E">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645F93E7" w14:textId="42FFBB40" w:rsidR="003F46B9" w:rsidRDefault="0065662E">
            <w:pPr>
              <w:pStyle w:val="P68B1DB1-Normal5"/>
              <w:spacing w:after="0" w:line="240" w:lineRule="auto"/>
              <w:jc w:val="both"/>
              <w:rPr>
                <w:rFonts w:eastAsia="Times New Roman" w:cs="Times New Roman"/>
                <w:noProof/>
              </w:rPr>
            </w:pPr>
            <w:r>
              <w:rPr>
                <w:noProof/>
              </w:rPr>
              <w:t>Potpisivanje ugovora za izgradnju kapaciteta novih elektrolizatora od najmanje 60 MW H2</w:t>
            </w:r>
            <w:r>
              <w:rPr>
                <w:noProof/>
                <w:vertAlign w:val="subscript"/>
              </w:rPr>
              <w:t>,</w:t>
            </w:r>
            <w:r>
              <w:rPr>
                <w:noProof/>
              </w:rPr>
              <w:t xml:space="preserve"> s očekivanom količinom proizvedenog od najmanje 10000 tona vodika iz obnovljivih izvora.</w:t>
            </w:r>
          </w:p>
          <w:p w14:paraId="17FBCC98"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654A0EAC"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61C1F953" w14:textId="77777777" w:rsidR="003F46B9" w:rsidRDefault="0065662E">
            <w:pPr>
              <w:pStyle w:val="P68B1DB1-Normal5"/>
              <w:spacing w:after="0" w:line="240" w:lineRule="auto"/>
              <w:jc w:val="both"/>
              <w:rPr>
                <w:rFonts w:eastAsia="Times New Roman" w:cs="Times New Roman"/>
                <w:noProof/>
              </w:rPr>
            </w:pPr>
            <w:r>
              <w:rPr>
                <w:noProof/>
              </w:rPr>
              <w:t>131</w:t>
            </w:r>
          </w:p>
        </w:tc>
        <w:tc>
          <w:tcPr>
            <w:tcW w:w="1895" w:type="dxa"/>
            <w:tcBorders>
              <w:top w:val="nil"/>
              <w:left w:val="nil"/>
              <w:bottom w:val="single" w:sz="4" w:space="0" w:color="auto"/>
              <w:right w:val="single" w:sz="4" w:space="0" w:color="auto"/>
            </w:tcBorders>
            <w:shd w:val="clear" w:color="auto" w:fill="C6EFCE"/>
            <w:noWrap/>
            <w:vAlign w:val="bottom"/>
          </w:tcPr>
          <w:p w14:paraId="6986D6D1" w14:textId="67C6A2CA" w:rsidR="003F46B9" w:rsidRDefault="0065662E">
            <w:pPr>
              <w:pStyle w:val="P68B1DB1-Normal5"/>
              <w:spacing w:after="0" w:line="240" w:lineRule="auto"/>
              <w:jc w:val="both"/>
              <w:rPr>
                <w:rFonts w:eastAsia="Times New Roman" w:cs="Times New Roman"/>
                <w:noProof/>
              </w:rPr>
            </w:pPr>
            <w:r>
              <w:rPr>
                <w:noProof/>
              </w:rPr>
              <w:t>Ulaganje 2. n Kapaciteti za proizvodnju zelenog vodika koji će se upotrebljavati kao skladištenje električne energije i za dekarbonizaciju industrije</w:t>
            </w:r>
          </w:p>
        </w:tc>
        <w:tc>
          <w:tcPr>
            <w:tcW w:w="1222" w:type="dxa"/>
            <w:tcBorders>
              <w:top w:val="nil"/>
              <w:left w:val="nil"/>
              <w:bottom w:val="single" w:sz="4" w:space="0" w:color="auto"/>
              <w:right w:val="single" w:sz="4" w:space="0" w:color="auto"/>
            </w:tcBorders>
            <w:shd w:val="clear" w:color="auto" w:fill="C6EFCE"/>
            <w:noWrap/>
          </w:tcPr>
          <w:p w14:paraId="74EBFED1" w14:textId="77777777" w:rsidR="003F46B9" w:rsidRDefault="0065662E">
            <w:pPr>
              <w:pStyle w:val="P68B1DB1-Normal5"/>
              <w:spacing w:after="0" w:line="240" w:lineRule="auto"/>
              <w:jc w:val="both"/>
              <w:rPr>
                <w:rFonts w:eastAsia="Times New Roman" w:cs="Times New Roman"/>
                <w:noProof/>
              </w:rPr>
            </w:pPr>
            <w:r>
              <w:rPr>
                <w:noProof/>
              </w:rPr>
              <w:t xml:space="preserve">Ciljna </w:t>
            </w:r>
          </w:p>
        </w:tc>
        <w:tc>
          <w:tcPr>
            <w:tcW w:w="1759" w:type="dxa"/>
            <w:tcBorders>
              <w:top w:val="nil"/>
              <w:left w:val="nil"/>
              <w:bottom w:val="single" w:sz="4" w:space="0" w:color="auto"/>
              <w:right w:val="single" w:sz="4" w:space="0" w:color="auto"/>
            </w:tcBorders>
            <w:shd w:val="clear" w:color="auto" w:fill="C6EFCE"/>
            <w:noWrap/>
          </w:tcPr>
          <w:p w14:paraId="1C9B9189" w14:textId="77777777" w:rsidR="003F46B9" w:rsidRDefault="0065662E">
            <w:pPr>
              <w:pStyle w:val="P68B1DB1-Normal5"/>
              <w:spacing w:after="0" w:line="240" w:lineRule="auto"/>
              <w:jc w:val="both"/>
              <w:rPr>
                <w:rFonts w:eastAsia="Times New Roman" w:cs="Times New Roman"/>
                <w:noProof/>
              </w:rPr>
            </w:pPr>
            <w:r>
              <w:rPr>
                <w:noProof/>
              </w:rPr>
              <w:t>Proizvodnja zelenog vodika</w:t>
            </w:r>
          </w:p>
        </w:tc>
        <w:tc>
          <w:tcPr>
            <w:tcW w:w="1625" w:type="dxa"/>
            <w:tcBorders>
              <w:top w:val="nil"/>
              <w:left w:val="nil"/>
              <w:bottom w:val="single" w:sz="4" w:space="0" w:color="auto"/>
              <w:right w:val="single" w:sz="4" w:space="0" w:color="auto"/>
            </w:tcBorders>
            <w:shd w:val="clear" w:color="auto" w:fill="C6EFCE"/>
            <w:noWrap/>
          </w:tcPr>
          <w:p w14:paraId="172B071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tcPr>
          <w:p w14:paraId="68BCD546" w14:textId="307CC6FD" w:rsidR="003F46B9" w:rsidRDefault="0065662E">
            <w:pPr>
              <w:pStyle w:val="P68B1DB1-Normal5"/>
              <w:spacing w:after="0" w:line="240" w:lineRule="auto"/>
              <w:jc w:val="both"/>
              <w:rPr>
                <w:rFonts w:eastAsia="Times New Roman" w:cs="Times New Roman"/>
                <w:noProof/>
              </w:rPr>
            </w:pPr>
            <w:r>
              <w:rPr>
                <w:noProof/>
              </w:rPr>
              <w:t>Megavati (MW</w:t>
            </w:r>
            <w:r>
              <w:rPr>
                <w:noProof/>
                <w:vertAlign w:val="subscript"/>
              </w:rPr>
              <w:t>H2</w:t>
            </w: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F4ED44B" w14:textId="77777777" w:rsidR="003F46B9" w:rsidRDefault="0065662E">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E33105E" w14:textId="4209EEC0" w:rsidR="003F46B9" w:rsidRDefault="0065662E">
            <w:pPr>
              <w:pStyle w:val="P68B1DB1-Normal5"/>
              <w:spacing w:after="0" w:line="240" w:lineRule="auto"/>
              <w:jc w:val="both"/>
              <w:rPr>
                <w:rFonts w:eastAsia="Times New Roman" w:cs="Times New Roman"/>
                <w:noProof/>
              </w:rPr>
            </w:pPr>
            <w:r>
              <w:rPr>
                <w:noProof/>
              </w:rPr>
              <w:t>60</w:t>
            </w:r>
          </w:p>
        </w:tc>
        <w:tc>
          <w:tcPr>
            <w:tcW w:w="1088" w:type="dxa"/>
            <w:tcBorders>
              <w:top w:val="nil"/>
              <w:left w:val="nil"/>
              <w:bottom w:val="single" w:sz="4" w:space="0" w:color="auto"/>
              <w:right w:val="single" w:sz="4" w:space="0" w:color="auto"/>
            </w:tcBorders>
            <w:shd w:val="clear" w:color="auto" w:fill="C6EFCE"/>
            <w:noWrap/>
          </w:tcPr>
          <w:p w14:paraId="0807DF29"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18" w:type="dxa"/>
            <w:tcBorders>
              <w:top w:val="nil"/>
              <w:left w:val="nil"/>
              <w:bottom w:val="single" w:sz="4" w:space="0" w:color="auto"/>
              <w:right w:val="single" w:sz="4" w:space="0" w:color="auto"/>
            </w:tcBorders>
            <w:shd w:val="clear" w:color="auto" w:fill="C6EFCE"/>
            <w:noWrap/>
          </w:tcPr>
          <w:p w14:paraId="3108E8DC" w14:textId="77777777" w:rsidR="003F46B9" w:rsidRDefault="0065662E">
            <w:pPr>
              <w:pStyle w:val="P68B1DB1-Normal5"/>
              <w:spacing w:after="0" w:line="240" w:lineRule="auto"/>
              <w:jc w:val="both"/>
              <w:rPr>
                <w:rFonts w:eastAsia="Times New Roman" w:cs="Times New Roman"/>
                <w:noProof/>
              </w:rPr>
            </w:pPr>
            <w:r>
              <w:rPr>
                <w:noProof/>
              </w:rPr>
              <w:t>2025</w:t>
            </w:r>
          </w:p>
        </w:tc>
        <w:tc>
          <w:tcPr>
            <w:tcW w:w="3104" w:type="dxa"/>
            <w:tcBorders>
              <w:top w:val="nil"/>
              <w:left w:val="nil"/>
              <w:bottom w:val="single" w:sz="4" w:space="0" w:color="auto"/>
              <w:right w:val="single" w:sz="4" w:space="0" w:color="auto"/>
            </w:tcBorders>
            <w:shd w:val="clear" w:color="auto" w:fill="C6EFCE"/>
            <w:noWrap/>
          </w:tcPr>
          <w:p w14:paraId="702161C8" w14:textId="471F79B5" w:rsidR="003F46B9" w:rsidRDefault="0065662E">
            <w:pPr>
              <w:pStyle w:val="P68B1DB1-Normal5"/>
              <w:spacing w:after="0" w:line="240" w:lineRule="auto"/>
              <w:jc w:val="both"/>
              <w:rPr>
                <w:rFonts w:eastAsia="Times New Roman" w:cs="Times New Roman"/>
                <w:noProof/>
              </w:rPr>
            </w:pPr>
            <w:r>
              <w:rPr>
                <w:noProof/>
              </w:rPr>
              <w:t>Mora se staviti u rad</w:t>
            </w:r>
            <w:r>
              <w:rPr>
                <w:noProof/>
              </w:rPr>
              <w:t xml:space="preserve"> elektrolizatora kapaciteta od najmanje 60 MW H2</w:t>
            </w:r>
            <w:r>
              <w:rPr>
                <w:noProof/>
                <w:vertAlign w:val="subscript"/>
              </w:rPr>
              <w:t>,</w:t>
            </w:r>
            <w:r>
              <w:rPr>
                <w:noProof/>
              </w:rPr>
              <w:t xml:space="preserve"> s očekivanom količinom proizvedenog od najmanje 10000 tona vodika iz obnovljivih izvora.</w:t>
            </w:r>
          </w:p>
          <w:p w14:paraId="4BB120F4"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2983EAB0"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3A51E275" w14:textId="77777777" w:rsidR="003F46B9" w:rsidRDefault="0065662E">
            <w:pPr>
              <w:pStyle w:val="P68B1DB1-Normal5"/>
              <w:spacing w:after="0" w:line="240" w:lineRule="auto"/>
              <w:jc w:val="both"/>
              <w:rPr>
                <w:rFonts w:eastAsia="Times New Roman" w:cs="Times New Roman"/>
                <w:noProof/>
              </w:rPr>
            </w:pPr>
            <w:r>
              <w:rPr>
                <w:noProof/>
              </w:rPr>
              <w:t>133</w:t>
            </w:r>
          </w:p>
        </w:tc>
        <w:tc>
          <w:tcPr>
            <w:tcW w:w="1895" w:type="dxa"/>
            <w:tcBorders>
              <w:top w:val="nil"/>
              <w:left w:val="nil"/>
              <w:bottom w:val="single" w:sz="4" w:space="0" w:color="auto"/>
              <w:right w:val="single" w:sz="4" w:space="0" w:color="auto"/>
            </w:tcBorders>
            <w:shd w:val="clear" w:color="auto" w:fill="C6EFCE"/>
            <w:noWrap/>
          </w:tcPr>
          <w:p w14:paraId="7269876E" w14:textId="77777777" w:rsidR="003F46B9" w:rsidRDefault="0065662E">
            <w:pPr>
              <w:pStyle w:val="P68B1DB1-Normal5"/>
              <w:spacing w:after="0" w:line="240" w:lineRule="auto"/>
              <w:jc w:val="both"/>
              <w:rPr>
                <w:rFonts w:eastAsia="Times New Roman" w:cs="Times New Roman"/>
                <w:noProof/>
              </w:rPr>
            </w:pPr>
            <w:r>
              <w:rPr>
                <w:noProof/>
              </w:rPr>
              <w:t xml:space="preserve">Ulaganje 3. Razvoj fleksibilne i visokoučinkovite kombinirane proizvodnje toplinske i električne energije na </w:t>
            </w:r>
            <w:r>
              <w:rPr>
                <w:noProof/>
              </w:rPr>
              <w:t>plin (CHP) u centraliziranom grijanju kako bi se postigla temeljita dekarbonizacija</w:t>
            </w:r>
          </w:p>
        </w:tc>
        <w:tc>
          <w:tcPr>
            <w:tcW w:w="1222" w:type="dxa"/>
            <w:tcBorders>
              <w:top w:val="nil"/>
              <w:left w:val="nil"/>
              <w:bottom w:val="single" w:sz="4" w:space="0" w:color="auto"/>
              <w:right w:val="single" w:sz="4" w:space="0" w:color="auto"/>
            </w:tcBorders>
            <w:shd w:val="clear" w:color="auto" w:fill="C6EFCE"/>
            <w:noWrap/>
            <w:hideMark/>
          </w:tcPr>
          <w:p w14:paraId="557D7A80"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49D15DEF" w14:textId="77777777" w:rsidR="003F46B9" w:rsidRDefault="0065662E">
            <w:pPr>
              <w:pStyle w:val="P68B1DB1-Normal5"/>
              <w:spacing w:after="0" w:line="240" w:lineRule="auto"/>
              <w:jc w:val="both"/>
              <w:rPr>
                <w:rFonts w:eastAsia="Times New Roman" w:cs="Times New Roman"/>
                <w:noProof/>
              </w:rPr>
            </w:pPr>
            <w:r>
              <w:rPr>
                <w:noProof/>
              </w:rPr>
              <w:t>Potpisivanje ugovora za projekte visokoučinkovite plinske kogeneracije i centraliziranog grijanja</w:t>
            </w:r>
          </w:p>
        </w:tc>
        <w:tc>
          <w:tcPr>
            <w:tcW w:w="1625" w:type="dxa"/>
            <w:tcBorders>
              <w:top w:val="nil"/>
              <w:left w:val="nil"/>
              <w:bottom w:val="single" w:sz="4" w:space="0" w:color="auto"/>
              <w:right w:val="single" w:sz="4" w:space="0" w:color="auto"/>
            </w:tcBorders>
            <w:shd w:val="clear" w:color="auto" w:fill="C6EFCE"/>
            <w:noWrap/>
            <w:hideMark/>
          </w:tcPr>
          <w:p w14:paraId="000D8713"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088" w:type="dxa"/>
            <w:tcBorders>
              <w:top w:val="nil"/>
              <w:left w:val="nil"/>
              <w:bottom w:val="single" w:sz="4" w:space="0" w:color="auto"/>
              <w:right w:val="single" w:sz="4" w:space="0" w:color="auto"/>
            </w:tcBorders>
            <w:shd w:val="clear" w:color="auto" w:fill="C6EFCE"/>
            <w:noWrap/>
            <w:hideMark/>
          </w:tcPr>
          <w:p w14:paraId="220390F0"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7DDC010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7C20801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5DE2F99"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37D4BA34" w14:textId="77777777" w:rsidR="003F46B9" w:rsidRDefault="0065662E">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76F82A83" w14:textId="77777777" w:rsidR="003F46B9" w:rsidRDefault="0065662E">
            <w:pPr>
              <w:pStyle w:val="P68B1DB1-Normal5"/>
              <w:spacing w:after="0" w:line="240" w:lineRule="auto"/>
              <w:jc w:val="both"/>
              <w:rPr>
                <w:rFonts w:eastAsia="Times New Roman" w:cs="Times New Roman"/>
                <w:noProof/>
              </w:rPr>
            </w:pPr>
            <w:r>
              <w:rPr>
                <w:noProof/>
              </w:rPr>
              <w:t>Potpisivanje ugovora za izgradnju ili naknadnu ugradnju visokoučinkovite plinske kogeneracije u centraliziranom grijanju kako je definirano u Direktivi 2010/31/EU. Kriterijima odabira osigurava se usklađenost s Tehničkim smjernicama o nenanošenju bitne šte</w:t>
            </w:r>
            <w:r>
              <w:rPr>
                <w:noProof/>
              </w:rPr>
              <w:t xml:space="preserve">te (2021/C58/01), a posebno s uvjetima utvrđenima u Prilogu III. Ulaganjima se zamjenjuje barem isti kapacitet postrojenja za proizvodnju električne energije i/ili topline sa znatno većim emisijama ugljika (kao što su ugljen, lignit ili nafta), što dovodi </w:t>
            </w:r>
            <w:r>
              <w:rPr>
                <w:noProof/>
              </w:rPr>
              <w:t xml:space="preserve">do smanjenja emisija stakleničkih plinova. </w:t>
            </w:r>
          </w:p>
        </w:tc>
      </w:tr>
      <w:tr w:rsidR="003F46B9" w14:paraId="5072A924"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44CF2898" w14:textId="77777777" w:rsidR="003F46B9" w:rsidRDefault="0065662E">
            <w:pPr>
              <w:pStyle w:val="P68B1DB1-Normal5"/>
              <w:spacing w:after="0" w:line="240" w:lineRule="auto"/>
              <w:jc w:val="both"/>
              <w:rPr>
                <w:rFonts w:eastAsia="Times New Roman" w:cs="Times New Roman"/>
                <w:noProof/>
              </w:rPr>
            </w:pPr>
            <w:r>
              <w:rPr>
                <w:noProof/>
              </w:rPr>
              <w:t>134</w:t>
            </w:r>
          </w:p>
        </w:tc>
        <w:tc>
          <w:tcPr>
            <w:tcW w:w="1895" w:type="dxa"/>
            <w:tcBorders>
              <w:top w:val="nil"/>
              <w:left w:val="nil"/>
              <w:bottom w:val="single" w:sz="4" w:space="0" w:color="auto"/>
              <w:right w:val="single" w:sz="4" w:space="0" w:color="auto"/>
            </w:tcBorders>
            <w:shd w:val="clear" w:color="auto" w:fill="C6EFCE"/>
            <w:noWrap/>
          </w:tcPr>
          <w:p w14:paraId="5A553412" w14:textId="77777777" w:rsidR="003F46B9" w:rsidRDefault="0065662E">
            <w:pPr>
              <w:pStyle w:val="P68B1DB1-Normal5"/>
              <w:spacing w:after="0" w:line="240" w:lineRule="auto"/>
              <w:jc w:val="both"/>
              <w:rPr>
                <w:rFonts w:eastAsia="Times New Roman" w:cs="Times New Roman"/>
                <w:noProof/>
              </w:rPr>
            </w:pPr>
            <w:r>
              <w:rPr>
                <w:noProof/>
              </w:rPr>
              <w:t>Ulaganje 3. Razvoj fleksibilne i visokoučinkovite kombinirane proizvodnje toplinske i električne energije na plin (CHP) u centraliziranom grijanju kako bi se postigla temeljita dekarbonizacija</w:t>
            </w:r>
          </w:p>
        </w:tc>
        <w:tc>
          <w:tcPr>
            <w:tcW w:w="1222" w:type="dxa"/>
            <w:tcBorders>
              <w:top w:val="nil"/>
              <w:left w:val="nil"/>
              <w:bottom w:val="single" w:sz="4" w:space="0" w:color="auto"/>
              <w:right w:val="single" w:sz="4" w:space="0" w:color="auto"/>
            </w:tcBorders>
            <w:shd w:val="clear" w:color="auto" w:fill="C6EFCE"/>
            <w:noWrap/>
            <w:hideMark/>
          </w:tcPr>
          <w:p w14:paraId="11BB831D"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59" w:type="dxa"/>
            <w:tcBorders>
              <w:top w:val="nil"/>
              <w:left w:val="nil"/>
              <w:bottom w:val="single" w:sz="4" w:space="0" w:color="auto"/>
              <w:right w:val="single" w:sz="4" w:space="0" w:color="auto"/>
            </w:tcBorders>
            <w:shd w:val="clear" w:color="auto" w:fill="C6EFCE"/>
            <w:noWrap/>
          </w:tcPr>
          <w:p w14:paraId="61A1AA94" w14:textId="77777777" w:rsidR="003F46B9" w:rsidRDefault="0065662E">
            <w:pPr>
              <w:pStyle w:val="P68B1DB1-Normal5"/>
              <w:spacing w:after="0" w:line="240" w:lineRule="auto"/>
              <w:jc w:val="both"/>
              <w:rPr>
                <w:rFonts w:eastAsia="Times New Roman" w:cs="Times New Roman"/>
                <w:noProof/>
              </w:rPr>
            </w:pPr>
            <w:r>
              <w:rPr>
                <w:noProof/>
              </w:rPr>
              <w:t>Visokoučinkovita kogeneracijska postrojenja i centralizirano grijanje</w:t>
            </w:r>
          </w:p>
        </w:tc>
        <w:tc>
          <w:tcPr>
            <w:tcW w:w="1625" w:type="dxa"/>
            <w:tcBorders>
              <w:top w:val="nil"/>
              <w:left w:val="nil"/>
              <w:bottom w:val="single" w:sz="4" w:space="0" w:color="auto"/>
              <w:right w:val="single" w:sz="4" w:space="0" w:color="auto"/>
            </w:tcBorders>
            <w:shd w:val="clear" w:color="auto" w:fill="C6EFCE"/>
            <w:noWrap/>
            <w:hideMark/>
          </w:tcPr>
          <w:p w14:paraId="1219CEB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31B8831" w14:textId="12190C27" w:rsidR="003F46B9" w:rsidRDefault="0065662E">
            <w:pPr>
              <w:pStyle w:val="P68B1DB1-Normal5"/>
              <w:spacing w:after="0" w:line="240" w:lineRule="auto"/>
              <w:jc w:val="both"/>
              <w:rPr>
                <w:rFonts w:eastAsia="Times New Roman" w:cs="Times New Roman"/>
                <w:noProof/>
              </w:rPr>
            </w:pPr>
            <w:r>
              <w:rPr>
                <w:noProof/>
              </w:rPr>
              <w:t xml:space="preserve">Megavati (MWe) </w:t>
            </w:r>
          </w:p>
        </w:tc>
        <w:tc>
          <w:tcPr>
            <w:tcW w:w="1357" w:type="dxa"/>
            <w:tcBorders>
              <w:top w:val="nil"/>
              <w:left w:val="nil"/>
              <w:bottom w:val="single" w:sz="4" w:space="0" w:color="auto"/>
              <w:right w:val="single" w:sz="4" w:space="0" w:color="auto"/>
            </w:tcBorders>
            <w:shd w:val="clear" w:color="auto" w:fill="C6EFCE"/>
            <w:noWrap/>
          </w:tcPr>
          <w:p w14:paraId="52446723" w14:textId="77777777" w:rsidR="003F46B9" w:rsidRDefault="0065662E">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2535916B" w14:textId="77777777" w:rsidR="003F46B9" w:rsidRDefault="0065662E">
            <w:pPr>
              <w:pStyle w:val="P68B1DB1-Normal5"/>
              <w:spacing w:after="0" w:line="240" w:lineRule="auto"/>
              <w:jc w:val="both"/>
              <w:rPr>
                <w:rFonts w:eastAsia="Times New Roman" w:cs="Times New Roman"/>
                <w:noProof/>
              </w:rPr>
            </w:pPr>
            <w:r>
              <w:rPr>
                <w:noProof/>
              </w:rPr>
              <w:t>300</w:t>
            </w:r>
          </w:p>
        </w:tc>
        <w:tc>
          <w:tcPr>
            <w:tcW w:w="1088" w:type="dxa"/>
            <w:tcBorders>
              <w:top w:val="nil"/>
              <w:left w:val="nil"/>
              <w:bottom w:val="single" w:sz="4" w:space="0" w:color="auto"/>
              <w:right w:val="single" w:sz="4" w:space="0" w:color="auto"/>
            </w:tcBorders>
            <w:shd w:val="clear" w:color="auto" w:fill="C6EFCE"/>
            <w:noWrap/>
            <w:hideMark/>
          </w:tcPr>
          <w:p w14:paraId="13188F5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303FAB70" w14:textId="77777777" w:rsidR="003F46B9" w:rsidRDefault="0065662E">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5A0AF52" w14:textId="77777777" w:rsidR="003F46B9" w:rsidRDefault="0065662E">
            <w:pPr>
              <w:pStyle w:val="P68B1DB1-Normal5"/>
              <w:spacing w:after="0" w:line="240" w:lineRule="auto"/>
              <w:jc w:val="both"/>
              <w:rPr>
                <w:rFonts w:eastAsia="Times New Roman" w:cs="Times New Roman"/>
                <w:noProof/>
              </w:rPr>
            </w:pPr>
            <w:r>
              <w:rPr>
                <w:noProof/>
              </w:rPr>
              <w:t>Puštanje u pogon visokoučinkovite kombinirane toplinske i električne energije u centraliziranom grijanju u skladu s Tehničkim smjernicama o nenan</w:t>
            </w:r>
            <w:r>
              <w:rPr>
                <w:noProof/>
              </w:rPr>
              <w:t>ošenju bitne štete (2021/C58/01), a posebno uvjetima utvrđenima u Prilogu III. u skladu s ključnom etapom 133.</w:t>
            </w:r>
          </w:p>
        </w:tc>
      </w:tr>
      <w:tr w:rsidR="003F46B9" w14:paraId="018BD788"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9CFA770" w14:textId="77777777" w:rsidR="003F46B9" w:rsidRDefault="0065662E">
            <w:pPr>
              <w:pStyle w:val="P68B1DB1-Normal5"/>
              <w:spacing w:after="0" w:line="240" w:lineRule="auto"/>
              <w:jc w:val="both"/>
              <w:rPr>
                <w:rFonts w:eastAsia="Times New Roman" w:cs="Times New Roman"/>
                <w:noProof/>
              </w:rPr>
            </w:pPr>
            <w:r>
              <w:rPr>
                <w:noProof/>
              </w:rPr>
              <w:t>135</w:t>
            </w:r>
          </w:p>
        </w:tc>
        <w:tc>
          <w:tcPr>
            <w:tcW w:w="1895" w:type="dxa"/>
            <w:tcBorders>
              <w:top w:val="nil"/>
              <w:left w:val="nil"/>
              <w:bottom w:val="single" w:sz="4" w:space="0" w:color="auto"/>
              <w:right w:val="single" w:sz="4" w:space="0" w:color="auto"/>
            </w:tcBorders>
            <w:shd w:val="clear" w:color="auto" w:fill="C6EFCE"/>
            <w:noWrap/>
          </w:tcPr>
          <w:p w14:paraId="0E5759F8" w14:textId="77777777" w:rsidR="003F46B9" w:rsidRDefault="0065662E">
            <w:pPr>
              <w:pStyle w:val="P68B1DB1-Normal5"/>
              <w:spacing w:after="0" w:line="240" w:lineRule="auto"/>
              <w:jc w:val="both"/>
              <w:rPr>
                <w:rFonts w:eastAsia="Times New Roman" w:cs="Times New Roman"/>
                <w:noProof/>
              </w:rPr>
            </w:pPr>
            <w:r>
              <w:rPr>
                <w:noProof/>
              </w:rPr>
              <w:t xml:space="preserve">Ulaganje 4. Industrijski lanac proizvodnje i/ili sastavljanja i/ili recikliranja baterija, ćelija i fotonaponskih ploča (uključujući pomoćnu opremu) i novi kapaciteti za skladištenje električne energije </w:t>
            </w:r>
          </w:p>
        </w:tc>
        <w:tc>
          <w:tcPr>
            <w:tcW w:w="1222" w:type="dxa"/>
            <w:tcBorders>
              <w:top w:val="nil"/>
              <w:left w:val="nil"/>
              <w:bottom w:val="single" w:sz="4" w:space="0" w:color="auto"/>
              <w:right w:val="single" w:sz="4" w:space="0" w:color="auto"/>
            </w:tcBorders>
            <w:shd w:val="clear" w:color="auto" w:fill="C6EFCE"/>
            <w:noWrap/>
            <w:hideMark/>
          </w:tcPr>
          <w:p w14:paraId="4823303F"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08FEC0B9" w14:textId="1EC5ED8B" w:rsidR="003F46B9" w:rsidRDefault="0065662E">
            <w:pPr>
              <w:pStyle w:val="P68B1DB1-Normal22"/>
              <w:spacing w:after="0" w:line="240" w:lineRule="auto"/>
              <w:jc w:val="both"/>
              <w:rPr>
                <w:rFonts w:eastAsia="Times New Roman" w:cs="Times New Roman"/>
                <w:noProof/>
                <w:sz w:val="24"/>
              </w:rPr>
            </w:pPr>
            <w:r>
              <w:rPr>
                <w:noProof/>
              </w:rPr>
              <w:t xml:space="preserve">Potpisivanje ugovora za ulaganja u </w:t>
            </w:r>
            <w:r>
              <w:rPr>
                <w:noProof/>
              </w:rPr>
              <w:t>vrijednosne lance baterija i fotonaponskih sustava</w:t>
            </w:r>
          </w:p>
          <w:p w14:paraId="303438E6" w14:textId="77777777" w:rsidR="003F46B9" w:rsidRDefault="003F46B9">
            <w:pPr>
              <w:spacing w:after="0" w:line="240" w:lineRule="auto"/>
              <w:jc w:val="both"/>
              <w:rPr>
                <w:rFonts w:ascii="Times New Roman" w:eastAsia="Times New Roman" w:hAnsi="Times New Roman" w:cs="Times New Roman"/>
                <w:noProof/>
                <w:sz w:val="24"/>
              </w:rPr>
            </w:pPr>
          </w:p>
        </w:tc>
        <w:tc>
          <w:tcPr>
            <w:tcW w:w="1625" w:type="dxa"/>
            <w:tcBorders>
              <w:top w:val="nil"/>
              <w:left w:val="nil"/>
              <w:bottom w:val="single" w:sz="4" w:space="0" w:color="auto"/>
              <w:right w:val="single" w:sz="4" w:space="0" w:color="auto"/>
            </w:tcBorders>
            <w:shd w:val="clear" w:color="auto" w:fill="C6EFCE"/>
            <w:noWrap/>
            <w:hideMark/>
          </w:tcPr>
          <w:p w14:paraId="5E77922A"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088" w:type="dxa"/>
            <w:tcBorders>
              <w:top w:val="nil"/>
              <w:left w:val="nil"/>
              <w:bottom w:val="single" w:sz="4" w:space="0" w:color="auto"/>
              <w:right w:val="single" w:sz="4" w:space="0" w:color="auto"/>
            </w:tcBorders>
            <w:shd w:val="clear" w:color="auto" w:fill="C6EFCE"/>
            <w:noWrap/>
            <w:hideMark/>
          </w:tcPr>
          <w:p w14:paraId="2C2F417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BEEE41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06B053B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358870C4" w14:textId="2A36AD30"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4E5AEE83" w14:textId="0E9ECD0D" w:rsidR="003F46B9" w:rsidRDefault="0065662E">
            <w:pPr>
              <w:pStyle w:val="P68B1DB1-Normal5"/>
              <w:spacing w:after="0" w:line="240" w:lineRule="auto"/>
              <w:jc w:val="both"/>
              <w:rPr>
                <w:rFonts w:eastAsia="Times New Roman" w:cs="Times New Roman"/>
                <w:noProof/>
              </w:rPr>
            </w:pPr>
            <w:r>
              <w:rPr>
                <w:noProof/>
              </w:rPr>
              <w:t>2024</w:t>
            </w:r>
          </w:p>
        </w:tc>
        <w:tc>
          <w:tcPr>
            <w:tcW w:w="3104" w:type="dxa"/>
            <w:tcBorders>
              <w:top w:val="nil"/>
              <w:left w:val="nil"/>
              <w:bottom w:val="single" w:sz="4" w:space="0" w:color="auto"/>
              <w:right w:val="single" w:sz="4" w:space="0" w:color="auto"/>
            </w:tcBorders>
            <w:shd w:val="clear" w:color="auto" w:fill="C6EFCE"/>
            <w:noWrap/>
            <w:hideMark/>
          </w:tcPr>
          <w:p w14:paraId="117CF33B" w14:textId="77777777" w:rsidR="003F46B9" w:rsidRDefault="0065662E">
            <w:pPr>
              <w:pStyle w:val="P68B1DB1-Normal5"/>
              <w:spacing w:after="0" w:line="240" w:lineRule="auto"/>
              <w:jc w:val="both"/>
              <w:rPr>
                <w:rFonts w:eastAsia="Times New Roman" w:cs="Times New Roman"/>
                <w:noProof/>
              </w:rPr>
            </w:pPr>
            <w:r>
              <w:rPr>
                <w:noProof/>
              </w:rPr>
              <w:t>Potpisivanje ugovora za ulaganja u vrijednosni lanac baterija te fotonaponske ćelije i ploče (proizvodnja – sastavljanje – recikliranje). Kriterijima odabira os</w:t>
            </w:r>
            <w:r>
              <w:rPr>
                <w:noProof/>
              </w:rPr>
              <w:t xml:space="preserve">igurava se usklađenost s Tehničkim smjernicama o nenanošenju bitne štete (2021/C58/01), posebno primjenom izuzeća u područjima gospodarenja otpadom i rudarenja sirovina. </w:t>
            </w:r>
          </w:p>
        </w:tc>
      </w:tr>
      <w:tr w:rsidR="003F46B9" w14:paraId="183E226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6CD83F9D" w14:textId="77777777" w:rsidR="003F46B9" w:rsidRDefault="0065662E">
            <w:pPr>
              <w:pStyle w:val="P68B1DB1-Normal5"/>
              <w:spacing w:after="0" w:line="240" w:lineRule="auto"/>
              <w:jc w:val="both"/>
              <w:rPr>
                <w:rFonts w:eastAsia="Times New Roman" w:cs="Times New Roman"/>
                <w:noProof/>
              </w:rPr>
            </w:pPr>
            <w:r>
              <w:rPr>
                <w:noProof/>
              </w:rPr>
              <w:t>136</w:t>
            </w:r>
          </w:p>
        </w:tc>
        <w:tc>
          <w:tcPr>
            <w:tcW w:w="1895" w:type="dxa"/>
            <w:tcBorders>
              <w:top w:val="nil"/>
              <w:left w:val="nil"/>
              <w:bottom w:val="single" w:sz="4" w:space="0" w:color="auto"/>
              <w:right w:val="single" w:sz="4" w:space="0" w:color="auto"/>
            </w:tcBorders>
            <w:shd w:val="clear" w:color="auto" w:fill="C6EFCE"/>
            <w:noWrap/>
            <w:vAlign w:val="bottom"/>
          </w:tcPr>
          <w:p w14:paraId="3F0D679E" w14:textId="77777777" w:rsidR="003F46B9" w:rsidRDefault="0065662E">
            <w:pPr>
              <w:pStyle w:val="P68B1DB1-Normal5"/>
              <w:spacing w:after="0" w:line="240" w:lineRule="auto"/>
              <w:jc w:val="both"/>
              <w:rPr>
                <w:rFonts w:eastAsia="Times New Roman" w:cs="Times New Roman"/>
                <w:noProof/>
              </w:rPr>
            </w:pPr>
            <w:r>
              <w:rPr>
                <w:noProof/>
              </w:rPr>
              <w:t xml:space="preserve">Ulaganje 4. Industrijski lanac proizvodnje i/ili sastavljanja i/ili recikliranja baterija, ćelija i fotonaponskih ploča (uključujući pomoćnu opremu) i novi kapaciteti za skladištenje električne energije </w:t>
            </w:r>
          </w:p>
        </w:tc>
        <w:tc>
          <w:tcPr>
            <w:tcW w:w="1222" w:type="dxa"/>
            <w:tcBorders>
              <w:top w:val="nil"/>
              <w:left w:val="nil"/>
              <w:bottom w:val="single" w:sz="4" w:space="0" w:color="auto"/>
              <w:right w:val="single" w:sz="4" w:space="0" w:color="auto"/>
            </w:tcBorders>
            <w:shd w:val="clear" w:color="auto" w:fill="C6EFCE"/>
            <w:noWrap/>
            <w:hideMark/>
          </w:tcPr>
          <w:p w14:paraId="004CE7E7"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216931AE"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u okviru programa </w:t>
            </w:r>
            <w:r>
              <w:rPr>
                <w:noProof/>
              </w:rPr>
              <w:t>potpore za skladištenje baterija</w:t>
            </w:r>
          </w:p>
        </w:tc>
        <w:tc>
          <w:tcPr>
            <w:tcW w:w="1625" w:type="dxa"/>
            <w:tcBorders>
              <w:top w:val="nil"/>
              <w:left w:val="nil"/>
              <w:bottom w:val="single" w:sz="4" w:space="0" w:color="auto"/>
              <w:right w:val="single" w:sz="4" w:space="0" w:color="auto"/>
            </w:tcBorders>
            <w:shd w:val="clear" w:color="auto" w:fill="C6EFCE"/>
            <w:noWrap/>
            <w:hideMark/>
          </w:tcPr>
          <w:p w14:paraId="5BA3B2DB"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088" w:type="dxa"/>
            <w:tcBorders>
              <w:top w:val="nil"/>
              <w:left w:val="nil"/>
              <w:bottom w:val="single" w:sz="4" w:space="0" w:color="auto"/>
              <w:right w:val="single" w:sz="4" w:space="0" w:color="auto"/>
            </w:tcBorders>
            <w:shd w:val="clear" w:color="auto" w:fill="C6EFCE"/>
            <w:noWrap/>
            <w:hideMark/>
          </w:tcPr>
          <w:p w14:paraId="3211713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62306BB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76A25D6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4DE5D1D1" w14:textId="7D2D318D"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04AF2EF3" w14:textId="49D2F984" w:rsidR="003F46B9" w:rsidRDefault="0065662E">
            <w:pPr>
              <w:pStyle w:val="P68B1DB1-Normal5"/>
              <w:spacing w:after="0" w:line="240" w:lineRule="auto"/>
              <w:jc w:val="both"/>
              <w:rPr>
                <w:rFonts w:eastAsia="Times New Roman" w:cs="Times New Roman"/>
                <w:noProof/>
              </w:rPr>
            </w:pPr>
            <w:r>
              <w:rPr>
                <w:noProof/>
              </w:rPr>
              <w:t>2024</w:t>
            </w:r>
          </w:p>
        </w:tc>
        <w:tc>
          <w:tcPr>
            <w:tcW w:w="3104" w:type="dxa"/>
            <w:tcBorders>
              <w:top w:val="nil"/>
              <w:left w:val="nil"/>
              <w:bottom w:val="single" w:sz="4" w:space="0" w:color="auto"/>
              <w:right w:val="single" w:sz="4" w:space="0" w:color="auto"/>
            </w:tcBorders>
            <w:shd w:val="clear" w:color="auto" w:fill="C6EFCE"/>
            <w:noWrap/>
            <w:hideMark/>
          </w:tcPr>
          <w:p w14:paraId="4FA8C298" w14:textId="7BB9095E" w:rsidR="003F46B9" w:rsidRDefault="0065662E">
            <w:pPr>
              <w:pStyle w:val="P68B1DB1-Normal5"/>
              <w:spacing w:after="0" w:line="240" w:lineRule="auto"/>
              <w:jc w:val="both"/>
              <w:rPr>
                <w:rFonts w:eastAsia="Times New Roman" w:cs="Times New Roman"/>
                <w:noProof/>
              </w:rPr>
            </w:pPr>
            <w:r>
              <w:rPr>
                <w:noProof/>
              </w:rPr>
              <w:t>Potpisivanje ugovora za razvoj kapaciteta baterijskog skladištenja od najmanje 240 MW. Kriterijima odabira osigurava se usklađenost s Tehničkim smjernicama o nenanošenju bitne štete (2021/C58/01), posebno primjenom izuzeća u područjima gospodarenja otpadom</w:t>
            </w:r>
            <w:r>
              <w:rPr>
                <w:noProof/>
              </w:rPr>
              <w:t xml:space="preserve"> i rudarenja sirovina. </w:t>
            </w:r>
          </w:p>
        </w:tc>
      </w:tr>
      <w:tr w:rsidR="003F46B9" w14:paraId="79A36BF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2BA9373" w14:textId="77777777" w:rsidR="003F46B9" w:rsidRDefault="0065662E">
            <w:pPr>
              <w:pStyle w:val="P68B1DB1-Normal5"/>
              <w:spacing w:after="0" w:line="240" w:lineRule="auto"/>
              <w:jc w:val="both"/>
              <w:rPr>
                <w:rFonts w:eastAsia="Times New Roman" w:cs="Times New Roman"/>
                <w:noProof/>
              </w:rPr>
            </w:pPr>
            <w:r>
              <w:rPr>
                <w:noProof/>
              </w:rPr>
              <w:t>137</w:t>
            </w:r>
          </w:p>
        </w:tc>
        <w:tc>
          <w:tcPr>
            <w:tcW w:w="1895" w:type="dxa"/>
            <w:tcBorders>
              <w:top w:val="nil"/>
              <w:left w:val="nil"/>
              <w:bottom w:val="single" w:sz="4" w:space="0" w:color="auto"/>
              <w:right w:val="single" w:sz="4" w:space="0" w:color="auto"/>
            </w:tcBorders>
            <w:shd w:val="clear" w:color="auto" w:fill="C6EFCE"/>
            <w:noWrap/>
            <w:vAlign w:val="bottom"/>
          </w:tcPr>
          <w:p w14:paraId="6AB767EF" w14:textId="77777777" w:rsidR="003F46B9" w:rsidRDefault="0065662E">
            <w:pPr>
              <w:pStyle w:val="P68B1DB1-Normal5"/>
              <w:spacing w:after="0" w:line="240" w:lineRule="auto"/>
              <w:jc w:val="both"/>
              <w:rPr>
                <w:rFonts w:eastAsia="Times New Roman" w:cs="Times New Roman"/>
                <w:noProof/>
              </w:rPr>
            </w:pPr>
            <w:r>
              <w:rPr>
                <w:noProof/>
              </w:rPr>
              <w:t xml:space="preserve">Ulaganje 4. Industrijski lanac proizvodnje i/ili sastavljanja i/ili recikliranja baterija, ćelija i fotonaponskih ploča (uključujući pomoćnu opremu) i novi kapaciteti za skladištenje električne energije </w:t>
            </w:r>
          </w:p>
        </w:tc>
        <w:tc>
          <w:tcPr>
            <w:tcW w:w="1222" w:type="dxa"/>
            <w:tcBorders>
              <w:top w:val="nil"/>
              <w:left w:val="nil"/>
              <w:bottom w:val="single" w:sz="4" w:space="0" w:color="auto"/>
              <w:right w:val="single" w:sz="4" w:space="0" w:color="auto"/>
            </w:tcBorders>
            <w:shd w:val="clear" w:color="auto" w:fill="C6EFCE"/>
            <w:noWrap/>
            <w:hideMark/>
          </w:tcPr>
          <w:p w14:paraId="191B2EC4" w14:textId="77777777" w:rsidR="003F46B9" w:rsidRDefault="0065662E">
            <w:pPr>
              <w:pStyle w:val="P68B1DB1-Normal5"/>
              <w:spacing w:after="0" w:line="240" w:lineRule="auto"/>
              <w:jc w:val="both"/>
              <w:rPr>
                <w:rFonts w:eastAsia="Times New Roman" w:cs="Times New Roman"/>
                <w:noProof/>
              </w:rPr>
            </w:pPr>
            <w:r>
              <w:rPr>
                <w:noProof/>
              </w:rPr>
              <w:t xml:space="preserve">Ciljna </w:t>
            </w:r>
          </w:p>
        </w:tc>
        <w:tc>
          <w:tcPr>
            <w:tcW w:w="1759" w:type="dxa"/>
            <w:tcBorders>
              <w:top w:val="nil"/>
              <w:left w:val="nil"/>
              <w:bottom w:val="single" w:sz="4" w:space="0" w:color="auto"/>
              <w:right w:val="single" w:sz="4" w:space="0" w:color="auto"/>
            </w:tcBorders>
            <w:shd w:val="clear" w:color="auto" w:fill="C6EFCE"/>
            <w:noWrap/>
          </w:tcPr>
          <w:p w14:paraId="42DDE11B" w14:textId="77777777" w:rsidR="003F46B9" w:rsidRDefault="0065662E">
            <w:pPr>
              <w:pStyle w:val="P68B1DB1-Normal5"/>
              <w:spacing w:after="0" w:line="240" w:lineRule="auto"/>
              <w:jc w:val="both"/>
              <w:rPr>
                <w:rFonts w:eastAsia="Times New Roman" w:cs="Times New Roman"/>
                <w:noProof/>
              </w:rPr>
            </w:pPr>
            <w:r>
              <w:rPr>
                <w:noProof/>
              </w:rPr>
              <w:t xml:space="preserve">Postrojenja za </w:t>
            </w:r>
            <w:r>
              <w:rPr>
                <w:noProof/>
              </w:rPr>
              <w:t>proizvodnju i/ili sastavljanje i/ili recikliranje baterija</w:t>
            </w:r>
          </w:p>
        </w:tc>
        <w:tc>
          <w:tcPr>
            <w:tcW w:w="1625" w:type="dxa"/>
            <w:tcBorders>
              <w:top w:val="nil"/>
              <w:left w:val="nil"/>
              <w:bottom w:val="single" w:sz="4" w:space="0" w:color="auto"/>
              <w:right w:val="single" w:sz="4" w:space="0" w:color="auto"/>
            </w:tcBorders>
            <w:shd w:val="clear" w:color="auto" w:fill="C6EFCE"/>
            <w:noWrap/>
            <w:hideMark/>
          </w:tcPr>
          <w:p w14:paraId="5511A2B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209C6BD9" w14:textId="6B5C5657" w:rsidR="003F46B9" w:rsidRDefault="0065662E">
            <w:pPr>
              <w:pStyle w:val="P68B1DB1-Normal5"/>
              <w:spacing w:after="0" w:line="240" w:lineRule="auto"/>
              <w:jc w:val="both"/>
              <w:rPr>
                <w:rFonts w:eastAsia="Times New Roman" w:cs="Times New Roman"/>
                <w:noProof/>
              </w:rPr>
            </w:pPr>
            <w:r>
              <w:rPr>
                <w:noProof/>
              </w:rPr>
              <w:t xml:space="preserve">Gigavati (GW)  </w:t>
            </w:r>
          </w:p>
        </w:tc>
        <w:tc>
          <w:tcPr>
            <w:tcW w:w="1357" w:type="dxa"/>
            <w:tcBorders>
              <w:top w:val="nil"/>
              <w:left w:val="nil"/>
              <w:bottom w:val="single" w:sz="4" w:space="0" w:color="auto"/>
              <w:right w:val="single" w:sz="4" w:space="0" w:color="auto"/>
            </w:tcBorders>
            <w:shd w:val="clear" w:color="auto" w:fill="C6EFCE"/>
            <w:noWrap/>
          </w:tcPr>
          <w:p w14:paraId="2BE2391A" w14:textId="77777777" w:rsidR="003F46B9" w:rsidRDefault="0065662E">
            <w:pPr>
              <w:pStyle w:val="P68B1DB1-Normal5"/>
              <w:spacing w:after="0" w:line="240" w:lineRule="auto"/>
              <w:jc w:val="both"/>
              <w:rPr>
                <w:rFonts w:eastAsia="Times New Roman" w:cs="Times New Roman"/>
                <w:noProof/>
              </w:rPr>
            </w:pPr>
            <w:r>
              <w:rPr>
                <w:noProof/>
              </w:rPr>
              <w:t>0 </w:t>
            </w:r>
          </w:p>
        </w:tc>
        <w:tc>
          <w:tcPr>
            <w:tcW w:w="819" w:type="dxa"/>
            <w:tcBorders>
              <w:top w:val="nil"/>
              <w:left w:val="nil"/>
              <w:bottom w:val="single" w:sz="4" w:space="0" w:color="auto"/>
              <w:right w:val="single" w:sz="4" w:space="0" w:color="auto"/>
            </w:tcBorders>
            <w:shd w:val="clear" w:color="auto" w:fill="C6EFCE"/>
            <w:noWrap/>
          </w:tcPr>
          <w:p w14:paraId="20B5690C" w14:textId="77777777" w:rsidR="003F46B9" w:rsidRDefault="0065662E">
            <w:pPr>
              <w:pStyle w:val="P68B1DB1-Normal5"/>
              <w:spacing w:after="0" w:line="240" w:lineRule="auto"/>
              <w:jc w:val="both"/>
              <w:rPr>
                <w:rFonts w:eastAsia="Times New Roman" w:cs="Times New Roman"/>
                <w:noProof/>
              </w:rPr>
            </w:pPr>
            <w:r>
              <w:rPr>
                <w:noProof/>
              </w:rPr>
              <w:t>2</w:t>
            </w:r>
          </w:p>
        </w:tc>
        <w:tc>
          <w:tcPr>
            <w:tcW w:w="1088" w:type="dxa"/>
            <w:tcBorders>
              <w:top w:val="nil"/>
              <w:left w:val="nil"/>
              <w:bottom w:val="single" w:sz="4" w:space="0" w:color="auto"/>
              <w:right w:val="single" w:sz="4" w:space="0" w:color="auto"/>
            </w:tcBorders>
            <w:shd w:val="clear" w:color="auto" w:fill="C6EFCE"/>
            <w:noWrap/>
            <w:hideMark/>
          </w:tcPr>
          <w:p w14:paraId="6A8BB997" w14:textId="3DBB0A34"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0D5BB398" w14:textId="4B835125" w:rsidR="003F46B9" w:rsidRDefault="0065662E">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2058A9D" w14:textId="04A967A5" w:rsidR="003F46B9" w:rsidRDefault="0065662E">
            <w:pPr>
              <w:pStyle w:val="P68B1DB1-Normal5"/>
              <w:spacing w:after="0" w:line="240" w:lineRule="auto"/>
              <w:jc w:val="both"/>
              <w:rPr>
                <w:rFonts w:eastAsia="Times New Roman" w:cs="Times New Roman"/>
                <w:noProof/>
              </w:rPr>
            </w:pPr>
            <w:r>
              <w:rPr>
                <w:noProof/>
              </w:rPr>
              <w:t xml:space="preserve">Puštanje u pogon postrojenja za proizvodnju i sklapanje baterija ukupnog kapaciteta od najmanje 2 GW godišnje. </w:t>
            </w:r>
          </w:p>
        </w:tc>
      </w:tr>
      <w:tr w:rsidR="003F46B9" w14:paraId="3647E787"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tcPr>
          <w:p w14:paraId="0D7104A0" w14:textId="77777777" w:rsidR="003F46B9" w:rsidRDefault="0065662E">
            <w:pPr>
              <w:pStyle w:val="P68B1DB1-Normal5"/>
              <w:spacing w:after="0" w:line="240" w:lineRule="auto"/>
              <w:jc w:val="both"/>
              <w:rPr>
                <w:rFonts w:eastAsia="Times New Roman" w:cs="Times New Roman"/>
                <w:noProof/>
              </w:rPr>
            </w:pPr>
            <w:r>
              <w:rPr>
                <w:noProof/>
              </w:rPr>
              <w:t>138</w:t>
            </w:r>
          </w:p>
          <w:p w14:paraId="43CB1C35" w14:textId="77777777" w:rsidR="003F46B9" w:rsidRDefault="003F46B9">
            <w:pPr>
              <w:spacing w:after="0" w:line="240" w:lineRule="auto"/>
              <w:jc w:val="both"/>
              <w:rPr>
                <w:rFonts w:ascii="Times New Roman" w:eastAsia="Times New Roman" w:hAnsi="Times New Roman" w:cs="Times New Roman"/>
                <w:noProof/>
                <w:sz w:val="24"/>
              </w:rPr>
            </w:pPr>
          </w:p>
        </w:tc>
        <w:tc>
          <w:tcPr>
            <w:tcW w:w="1895" w:type="dxa"/>
            <w:tcBorders>
              <w:top w:val="nil"/>
              <w:left w:val="nil"/>
              <w:bottom w:val="single" w:sz="4" w:space="0" w:color="auto"/>
              <w:right w:val="single" w:sz="4" w:space="0" w:color="auto"/>
            </w:tcBorders>
            <w:shd w:val="clear" w:color="auto" w:fill="C6EFCE"/>
            <w:noWrap/>
            <w:vAlign w:val="bottom"/>
          </w:tcPr>
          <w:p w14:paraId="6205EBED" w14:textId="77777777" w:rsidR="003F46B9" w:rsidRDefault="0065662E">
            <w:pPr>
              <w:pStyle w:val="P68B1DB1-Normal5"/>
              <w:spacing w:after="0" w:line="240" w:lineRule="auto"/>
              <w:jc w:val="both"/>
              <w:rPr>
                <w:rFonts w:eastAsia="Times New Roman" w:cs="Times New Roman"/>
                <w:noProof/>
              </w:rPr>
            </w:pPr>
            <w:r>
              <w:rPr>
                <w:noProof/>
              </w:rPr>
              <w:t xml:space="preserve">Ulaganje 4. Industrijski lanac </w:t>
            </w:r>
            <w:r>
              <w:rPr>
                <w:noProof/>
              </w:rPr>
              <w:t>proizvodnje i/ili sastavljanja i/ili recikliranja baterija, ćelija i fotonaponskih ploča (uključujući pomoćnu opremu) i novi kapaciteti za skladištenje električne energije</w:t>
            </w:r>
          </w:p>
        </w:tc>
        <w:tc>
          <w:tcPr>
            <w:tcW w:w="1222" w:type="dxa"/>
            <w:tcBorders>
              <w:top w:val="nil"/>
              <w:left w:val="nil"/>
              <w:bottom w:val="single" w:sz="4" w:space="0" w:color="auto"/>
              <w:right w:val="single" w:sz="4" w:space="0" w:color="auto"/>
            </w:tcBorders>
            <w:shd w:val="clear" w:color="auto" w:fill="C6EFCE"/>
            <w:noWrap/>
          </w:tcPr>
          <w:p w14:paraId="1838D8AA"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59" w:type="dxa"/>
            <w:tcBorders>
              <w:top w:val="nil"/>
              <w:left w:val="nil"/>
              <w:bottom w:val="single" w:sz="4" w:space="0" w:color="auto"/>
              <w:right w:val="single" w:sz="4" w:space="0" w:color="auto"/>
            </w:tcBorders>
            <w:shd w:val="clear" w:color="auto" w:fill="C6EFCE"/>
            <w:noWrap/>
          </w:tcPr>
          <w:p w14:paraId="57DCA502" w14:textId="77777777" w:rsidR="003F46B9" w:rsidRDefault="0065662E">
            <w:pPr>
              <w:pStyle w:val="P68B1DB1-Normal5"/>
              <w:spacing w:after="0" w:line="240" w:lineRule="auto"/>
              <w:jc w:val="both"/>
              <w:rPr>
                <w:rFonts w:eastAsia="Times New Roman" w:cs="Times New Roman"/>
                <w:noProof/>
              </w:rPr>
            </w:pPr>
            <w:r>
              <w:rPr>
                <w:noProof/>
              </w:rPr>
              <w:t xml:space="preserve">Naručeni kapacitet fotonaponskih ćelija i ploča </w:t>
            </w:r>
          </w:p>
        </w:tc>
        <w:tc>
          <w:tcPr>
            <w:tcW w:w="1625" w:type="dxa"/>
            <w:tcBorders>
              <w:top w:val="nil"/>
              <w:left w:val="nil"/>
              <w:bottom w:val="single" w:sz="4" w:space="0" w:color="auto"/>
              <w:right w:val="single" w:sz="4" w:space="0" w:color="auto"/>
            </w:tcBorders>
            <w:shd w:val="clear" w:color="auto" w:fill="C6EFCE"/>
            <w:noWrap/>
          </w:tcPr>
          <w:p w14:paraId="46B320DB" w14:textId="77777777" w:rsidR="003F46B9" w:rsidRDefault="003F46B9">
            <w:pPr>
              <w:spacing w:after="0" w:line="240" w:lineRule="auto"/>
              <w:jc w:val="both"/>
              <w:rPr>
                <w:rFonts w:ascii="Times New Roman" w:eastAsia="Times New Roman" w:hAnsi="Times New Roman" w:cs="Times New Roman"/>
                <w:noProof/>
                <w:sz w:val="24"/>
              </w:rPr>
            </w:pPr>
          </w:p>
        </w:tc>
        <w:tc>
          <w:tcPr>
            <w:tcW w:w="1088" w:type="dxa"/>
            <w:tcBorders>
              <w:top w:val="nil"/>
              <w:left w:val="nil"/>
              <w:bottom w:val="single" w:sz="4" w:space="0" w:color="auto"/>
              <w:right w:val="single" w:sz="4" w:space="0" w:color="auto"/>
            </w:tcBorders>
            <w:shd w:val="clear" w:color="auto" w:fill="C6EFCE"/>
            <w:noWrap/>
          </w:tcPr>
          <w:p w14:paraId="6100574F" w14:textId="6ECFC628" w:rsidR="003F46B9" w:rsidRDefault="0065662E">
            <w:pPr>
              <w:pStyle w:val="P68B1DB1-Normal5"/>
              <w:spacing w:after="0" w:line="240" w:lineRule="auto"/>
              <w:jc w:val="both"/>
              <w:rPr>
                <w:rFonts w:eastAsia="Times New Roman" w:cs="Times New Roman"/>
                <w:noProof/>
              </w:rPr>
            </w:pPr>
            <w:r>
              <w:rPr>
                <w:noProof/>
              </w:rPr>
              <w:t xml:space="preserve">Megavati (MW)  </w:t>
            </w:r>
          </w:p>
        </w:tc>
        <w:tc>
          <w:tcPr>
            <w:tcW w:w="1357" w:type="dxa"/>
            <w:tcBorders>
              <w:top w:val="nil"/>
              <w:left w:val="nil"/>
              <w:bottom w:val="single" w:sz="4" w:space="0" w:color="auto"/>
              <w:right w:val="single" w:sz="4" w:space="0" w:color="auto"/>
            </w:tcBorders>
            <w:shd w:val="clear" w:color="auto" w:fill="C6EFCE"/>
            <w:noWrap/>
          </w:tcPr>
          <w:p w14:paraId="65226529" w14:textId="77777777" w:rsidR="003F46B9" w:rsidRDefault="0065662E">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38FD293" w14:textId="77777777" w:rsidR="003F46B9" w:rsidRDefault="0065662E">
            <w:pPr>
              <w:pStyle w:val="P68B1DB1-Normal5"/>
              <w:spacing w:after="0" w:line="240" w:lineRule="auto"/>
              <w:jc w:val="both"/>
              <w:rPr>
                <w:rFonts w:eastAsia="Times New Roman" w:cs="Times New Roman"/>
                <w:noProof/>
              </w:rPr>
            </w:pPr>
            <w:r>
              <w:rPr>
                <w:noProof/>
              </w:rPr>
              <w:t>200</w:t>
            </w:r>
          </w:p>
        </w:tc>
        <w:tc>
          <w:tcPr>
            <w:tcW w:w="1088" w:type="dxa"/>
            <w:tcBorders>
              <w:top w:val="nil"/>
              <w:left w:val="nil"/>
              <w:bottom w:val="single" w:sz="4" w:space="0" w:color="auto"/>
              <w:right w:val="single" w:sz="4" w:space="0" w:color="auto"/>
            </w:tcBorders>
            <w:shd w:val="clear" w:color="auto" w:fill="C6EFCE"/>
            <w:noWrap/>
          </w:tcPr>
          <w:p w14:paraId="6F8E34D4" w14:textId="07CCD3A2" w:rsidR="003F46B9" w:rsidRDefault="0065662E">
            <w:pPr>
              <w:pStyle w:val="P68B1DB1-Normal5"/>
              <w:spacing w:after="0" w:line="240" w:lineRule="auto"/>
              <w:jc w:val="both"/>
              <w:rPr>
                <w:rFonts w:eastAsia="Times New Roman" w:cs="Times New Roman"/>
                <w:noProof/>
              </w:rPr>
            </w:pPr>
            <w:r>
              <w:rPr>
                <w:noProof/>
              </w:rPr>
              <w:t>TROMJ</w:t>
            </w:r>
            <w:r>
              <w:rPr>
                <w:noProof/>
              </w:rPr>
              <w:t xml:space="preserve">ESEČJE </w:t>
            </w:r>
          </w:p>
        </w:tc>
        <w:tc>
          <w:tcPr>
            <w:tcW w:w="818" w:type="dxa"/>
            <w:tcBorders>
              <w:top w:val="nil"/>
              <w:left w:val="nil"/>
              <w:bottom w:val="single" w:sz="4" w:space="0" w:color="auto"/>
              <w:right w:val="single" w:sz="4" w:space="0" w:color="auto"/>
            </w:tcBorders>
            <w:shd w:val="clear" w:color="auto" w:fill="C6EFCE"/>
            <w:noWrap/>
          </w:tcPr>
          <w:p w14:paraId="3D8DAAB8" w14:textId="57DFA380" w:rsidR="003F46B9" w:rsidRDefault="0065662E">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tcPr>
          <w:p w14:paraId="7EDB1880" w14:textId="43182722" w:rsidR="003F46B9" w:rsidRDefault="0065662E">
            <w:pPr>
              <w:pStyle w:val="P68B1DB1-Normal5"/>
              <w:spacing w:after="0" w:line="240" w:lineRule="auto"/>
              <w:jc w:val="both"/>
              <w:rPr>
                <w:rFonts w:eastAsia="Times New Roman" w:cs="Times New Roman"/>
                <w:noProof/>
              </w:rPr>
            </w:pPr>
            <w:r>
              <w:rPr>
                <w:noProof/>
              </w:rPr>
              <w:t>Puštanje u pogon proizvodnje fotonaponskih ćelija i ploča ukupnog kapaciteta od najmanje 200 MW godišnje.</w:t>
            </w:r>
          </w:p>
        </w:tc>
      </w:tr>
      <w:tr w:rsidR="003F46B9" w14:paraId="10E11FD1"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7F89F7C9" w14:textId="77777777" w:rsidR="003F46B9" w:rsidRDefault="0065662E">
            <w:pPr>
              <w:pStyle w:val="P68B1DB1-Normal5"/>
              <w:spacing w:after="0" w:line="240" w:lineRule="auto"/>
              <w:jc w:val="both"/>
              <w:rPr>
                <w:rFonts w:eastAsia="Times New Roman" w:cs="Times New Roman"/>
                <w:noProof/>
              </w:rPr>
            </w:pPr>
            <w:r>
              <w:rPr>
                <w:noProof/>
              </w:rPr>
              <w:t>139</w:t>
            </w:r>
          </w:p>
        </w:tc>
        <w:tc>
          <w:tcPr>
            <w:tcW w:w="1895" w:type="dxa"/>
            <w:tcBorders>
              <w:top w:val="nil"/>
              <w:left w:val="nil"/>
              <w:bottom w:val="single" w:sz="4" w:space="0" w:color="auto"/>
              <w:right w:val="single" w:sz="4" w:space="0" w:color="auto"/>
            </w:tcBorders>
            <w:shd w:val="clear" w:color="auto" w:fill="C6EFCE"/>
            <w:noWrap/>
            <w:vAlign w:val="bottom"/>
          </w:tcPr>
          <w:p w14:paraId="6AF3E0BD" w14:textId="77777777" w:rsidR="003F46B9" w:rsidRDefault="0065662E">
            <w:pPr>
              <w:pStyle w:val="P68B1DB1-Normal5"/>
              <w:spacing w:after="0" w:line="240" w:lineRule="auto"/>
              <w:jc w:val="both"/>
              <w:rPr>
                <w:rFonts w:eastAsia="Times New Roman" w:cs="Times New Roman"/>
                <w:noProof/>
              </w:rPr>
            </w:pPr>
            <w:r>
              <w:rPr>
                <w:noProof/>
              </w:rPr>
              <w:t xml:space="preserve">Ulaganje 4. Industrijski lanac proizvodnje i/ili sastavljanja i/ili </w:t>
            </w:r>
            <w:r>
              <w:rPr>
                <w:noProof/>
              </w:rPr>
              <w:t xml:space="preserve">recikliranja baterija, ćelija i fotonaponskih ploča (uključujući pomoćnu opremu) i novi kapaciteti za skladištenje električne energije </w:t>
            </w:r>
          </w:p>
        </w:tc>
        <w:tc>
          <w:tcPr>
            <w:tcW w:w="1222" w:type="dxa"/>
            <w:tcBorders>
              <w:top w:val="nil"/>
              <w:left w:val="nil"/>
              <w:bottom w:val="single" w:sz="4" w:space="0" w:color="auto"/>
              <w:right w:val="single" w:sz="4" w:space="0" w:color="auto"/>
            </w:tcBorders>
            <w:shd w:val="clear" w:color="auto" w:fill="C6EFCE"/>
            <w:noWrap/>
            <w:hideMark/>
          </w:tcPr>
          <w:p w14:paraId="2901A347" w14:textId="77777777" w:rsidR="003F46B9" w:rsidRDefault="0065662E">
            <w:pPr>
              <w:pStyle w:val="P68B1DB1-Normal5"/>
              <w:spacing w:after="0" w:line="240" w:lineRule="auto"/>
              <w:jc w:val="both"/>
              <w:rPr>
                <w:rFonts w:eastAsia="Times New Roman" w:cs="Times New Roman"/>
                <w:noProof/>
              </w:rPr>
            </w:pPr>
            <w:r>
              <w:rPr>
                <w:noProof/>
              </w:rPr>
              <w:t xml:space="preserve">Ciljna </w:t>
            </w:r>
          </w:p>
        </w:tc>
        <w:tc>
          <w:tcPr>
            <w:tcW w:w="1759" w:type="dxa"/>
            <w:tcBorders>
              <w:top w:val="nil"/>
              <w:left w:val="nil"/>
              <w:bottom w:val="single" w:sz="4" w:space="0" w:color="auto"/>
              <w:right w:val="single" w:sz="4" w:space="0" w:color="auto"/>
            </w:tcBorders>
            <w:shd w:val="clear" w:color="auto" w:fill="C6EFCE"/>
            <w:noWrap/>
          </w:tcPr>
          <w:p w14:paraId="3EE1B4EF" w14:textId="77777777" w:rsidR="003F46B9" w:rsidRDefault="0065662E">
            <w:pPr>
              <w:pStyle w:val="P68B1DB1-Normal5"/>
              <w:spacing w:after="0" w:line="240" w:lineRule="auto"/>
              <w:jc w:val="both"/>
              <w:rPr>
                <w:rFonts w:eastAsia="Times New Roman" w:cs="Times New Roman"/>
                <w:noProof/>
              </w:rPr>
            </w:pPr>
            <w:r>
              <w:rPr>
                <w:noProof/>
              </w:rPr>
              <w:t>Instalirani kapacitet skladištenja električne energije</w:t>
            </w:r>
          </w:p>
        </w:tc>
        <w:tc>
          <w:tcPr>
            <w:tcW w:w="1625" w:type="dxa"/>
            <w:tcBorders>
              <w:top w:val="nil"/>
              <w:left w:val="nil"/>
              <w:bottom w:val="single" w:sz="4" w:space="0" w:color="auto"/>
              <w:right w:val="single" w:sz="4" w:space="0" w:color="auto"/>
            </w:tcBorders>
            <w:shd w:val="clear" w:color="auto" w:fill="C6EFCE"/>
            <w:noWrap/>
            <w:hideMark/>
          </w:tcPr>
          <w:p w14:paraId="73E6FC0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7F5EA1A1" w14:textId="3095F0FD" w:rsidR="003F46B9" w:rsidRDefault="0065662E">
            <w:pPr>
              <w:pStyle w:val="P68B1DB1-Normal5"/>
              <w:spacing w:after="0" w:line="240" w:lineRule="auto"/>
              <w:jc w:val="both"/>
              <w:rPr>
                <w:rFonts w:eastAsia="Times New Roman" w:cs="Times New Roman"/>
                <w:noProof/>
              </w:rPr>
            </w:pPr>
            <w:r>
              <w:rPr>
                <w:noProof/>
              </w:rPr>
              <w:t xml:space="preserve">Megavati (MW)  </w:t>
            </w:r>
          </w:p>
        </w:tc>
        <w:tc>
          <w:tcPr>
            <w:tcW w:w="1357" w:type="dxa"/>
            <w:tcBorders>
              <w:top w:val="nil"/>
              <w:left w:val="nil"/>
              <w:bottom w:val="single" w:sz="4" w:space="0" w:color="auto"/>
              <w:right w:val="single" w:sz="4" w:space="0" w:color="auto"/>
            </w:tcBorders>
            <w:shd w:val="clear" w:color="auto" w:fill="C6EFCE"/>
            <w:noWrap/>
          </w:tcPr>
          <w:p w14:paraId="6C6B93A6" w14:textId="77777777" w:rsidR="003F46B9" w:rsidRDefault="0065662E">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760C3260" w14:textId="77777777" w:rsidR="003F46B9" w:rsidRDefault="0065662E">
            <w:pPr>
              <w:pStyle w:val="P68B1DB1-Normal5"/>
              <w:spacing w:after="0" w:line="240" w:lineRule="auto"/>
              <w:jc w:val="both"/>
              <w:rPr>
                <w:rFonts w:eastAsia="Times New Roman" w:cs="Times New Roman"/>
                <w:noProof/>
              </w:rPr>
            </w:pPr>
            <w:r>
              <w:rPr>
                <w:noProof/>
              </w:rPr>
              <w:t>240</w:t>
            </w:r>
          </w:p>
        </w:tc>
        <w:tc>
          <w:tcPr>
            <w:tcW w:w="1088" w:type="dxa"/>
            <w:tcBorders>
              <w:top w:val="nil"/>
              <w:left w:val="nil"/>
              <w:bottom w:val="single" w:sz="4" w:space="0" w:color="auto"/>
              <w:right w:val="single" w:sz="4" w:space="0" w:color="auto"/>
            </w:tcBorders>
            <w:shd w:val="clear" w:color="auto" w:fill="C6EFCE"/>
            <w:noWrap/>
            <w:hideMark/>
          </w:tcPr>
          <w:p w14:paraId="4CF57C71" w14:textId="39904170"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00B3E6BA" w14:textId="6E2B3AA7" w:rsidR="003F46B9" w:rsidRDefault="0065662E">
            <w:pPr>
              <w:pStyle w:val="P68B1DB1-Normal5"/>
              <w:spacing w:after="0" w:line="240" w:lineRule="auto"/>
              <w:jc w:val="both"/>
              <w:rPr>
                <w:rFonts w:eastAsia="Times New Roman" w:cs="Times New Roman"/>
                <w:noProof/>
              </w:rPr>
            </w:pPr>
            <w:r>
              <w:rPr>
                <w:noProof/>
              </w:rPr>
              <w:t>2026</w:t>
            </w:r>
          </w:p>
        </w:tc>
        <w:tc>
          <w:tcPr>
            <w:tcW w:w="3104" w:type="dxa"/>
            <w:tcBorders>
              <w:top w:val="nil"/>
              <w:left w:val="nil"/>
              <w:bottom w:val="single" w:sz="4" w:space="0" w:color="auto"/>
              <w:right w:val="single" w:sz="4" w:space="0" w:color="auto"/>
            </w:tcBorders>
            <w:shd w:val="clear" w:color="auto" w:fill="C6EFCE"/>
            <w:noWrap/>
            <w:hideMark/>
          </w:tcPr>
          <w:p w14:paraId="10A721B9" w14:textId="10A210AE" w:rsidR="003F46B9" w:rsidRDefault="0065662E">
            <w:pPr>
              <w:pStyle w:val="P68B1DB1-Normal5"/>
              <w:spacing w:after="0" w:line="240" w:lineRule="auto"/>
              <w:jc w:val="both"/>
              <w:rPr>
                <w:rFonts w:eastAsia="Times New Roman" w:cs="Times New Roman"/>
                <w:noProof/>
              </w:rPr>
            </w:pPr>
            <w:r>
              <w:rPr>
                <w:noProof/>
              </w:rPr>
              <w:t>Puštanje u pogon kapaciteta za skladištenje električne energije od najmanje 240 MW, u skladu s uvjetima „ne nanosi bitnu štetu” utvrđenima u tehničkim smjernicama „ne nanosi bitnu štetu” (2021/C58/01) i u ključnoj etapi 136. </w:t>
            </w:r>
          </w:p>
          <w:p w14:paraId="76C579DE"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4A8E9619"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278E4ED9" w14:textId="77777777" w:rsidR="003F46B9" w:rsidRDefault="0065662E">
            <w:pPr>
              <w:pStyle w:val="P68B1DB1-Normal5"/>
              <w:spacing w:after="0" w:line="240" w:lineRule="auto"/>
              <w:jc w:val="both"/>
              <w:rPr>
                <w:rFonts w:eastAsia="Times New Roman" w:cs="Times New Roman"/>
                <w:noProof/>
              </w:rPr>
            </w:pPr>
            <w:r>
              <w:rPr>
                <w:noProof/>
              </w:rPr>
              <w:t>140</w:t>
            </w:r>
          </w:p>
        </w:tc>
        <w:tc>
          <w:tcPr>
            <w:tcW w:w="1895" w:type="dxa"/>
            <w:tcBorders>
              <w:top w:val="nil"/>
              <w:left w:val="nil"/>
              <w:bottom w:val="single" w:sz="4" w:space="0" w:color="auto"/>
              <w:right w:val="single" w:sz="4" w:space="0" w:color="auto"/>
            </w:tcBorders>
            <w:shd w:val="clear" w:color="auto" w:fill="C6EFCE"/>
            <w:noWrap/>
          </w:tcPr>
          <w:p w14:paraId="19739DF8" w14:textId="77777777" w:rsidR="003F46B9" w:rsidRDefault="0065662E">
            <w:pPr>
              <w:pStyle w:val="P68B1DB1-Normal5"/>
              <w:spacing w:after="0" w:line="240" w:lineRule="auto"/>
              <w:jc w:val="both"/>
              <w:rPr>
                <w:rFonts w:eastAsia="Times New Roman" w:cs="Times New Roman"/>
                <w:noProof/>
              </w:rPr>
            </w:pPr>
            <w:r>
              <w:rPr>
                <w:noProof/>
              </w:rPr>
              <w:t>Ulaganje 5. Osiguravanje</w:t>
            </w:r>
            <w:r>
              <w:rPr>
                <w:noProof/>
              </w:rPr>
              <w:t xml:space="preserve"> energetske učinkovitosti u industrijskom sektoru</w:t>
            </w:r>
          </w:p>
        </w:tc>
        <w:tc>
          <w:tcPr>
            <w:tcW w:w="1222" w:type="dxa"/>
            <w:tcBorders>
              <w:top w:val="nil"/>
              <w:left w:val="nil"/>
              <w:bottom w:val="single" w:sz="4" w:space="0" w:color="auto"/>
              <w:right w:val="single" w:sz="4" w:space="0" w:color="auto"/>
            </w:tcBorders>
            <w:shd w:val="clear" w:color="auto" w:fill="C6EFCE"/>
            <w:noWrap/>
            <w:hideMark/>
          </w:tcPr>
          <w:p w14:paraId="03800359"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59" w:type="dxa"/>
            <w:tcBorders>
              <w:top w:val="nil"/>
              <w:left w:val="nil"/>
              <w:bottom w:val="single" w:sz="4" w:space="0" w:color="auto"/>
              <w:right w:val="single" w:sz="4" w:space="0" w:color="auto"/>
            </w:tcBorders>
            <w:shd w:val="clear" w:color="auto" w:fill="C6EFCE"/>
            <w:noWrap/>
          </w:tcPr>
          <w:p w14:paraId="610D0F0C" w14:textId="77777777" w:rsidR="003F46B9" w:rsidRDefault="0065662E">
            <w:pPr>
              <w:pStyle w:val="P68B1DB1-Normal5"/>
              <w:spacing w:after="0" w:line="240" w:lineRule="auto"/>
              <w:jc w:val="both"/>
              <w:rPr>
                <w:rFonts w:eastAsia="Times New Roman" w:cs="Times New Roman"/>
                <w:noProof/>
              </w:rPr>
            </w:pPr>
            <w:r>
              <w:rPr>
                <w:noProof/>
              </w:rPr>
              <w:t xml:space="preserve">Otvaranje poziva na podnošenje ponuda za ulaganja u energetsku učinkovitost u industriji </w:t>
            </w:r>
          </w:p>
        </w:tc>
        <w:tc>
          <w:tcPr>
            <w:tcW w:w="1625" w:type="dxa"/>
            <w:tcBorders>
              <w:top w:val="nil"/>
              <w:left w:val="nil"/>
              <w:bottom w:val="single" w:sz="4" w:space="0" w:color="auto"/>
              <w:right w:val="single" w:sz="4" w:space="0" w:color="auto"/>
            </w:tcBorders>
            <w:shd w:val="clear" w:color="auto" w:fill="C6EFCE"/>
            <w:noWrap/>
            <w:hideMark/>
          </w:tcPr>
          <w:p w14:paraId="4D073585" w14:textId="77777777" w:rsidR="003F46B9" w:rsidRDefault="0065662E">
            <w:pPr>
              <w:pStyle w:val="P68B1DB1-Normal5"/>
              <w:spacing w:after="0" w:line="240" w:lineRule="auto"/>
              <w:jc w:val="both"/>
              <w:rPr>
                <w:rFonts w:eastAsia="Times New Roman" w:cs="Times New Roman"/>
                <w:noProof/>
              </w:rPr>
            </w:pPr>
            <w:r>
              <w:rPr>
                <w:noProof/>
              </w:rPr>
              <w:t>Objava natječajnih specifikacija</w:t>
            </w:r>
          </w:p>
        </w:tc>
        <w:tc>
          <w:tcPr>
            <w:tcW w:w="1088" w:type="dxa"/>
            <w:tcBorders>
              <w:top w:val="nil"/>
              <w:left w:val="nil"/>
              <w:bottom w:val="single" w:sz="4" w:space="0" w:color="auto"/>
              <w:right w:val="single" w:sz="4" w:space="0" w:color="auto"/>
            </w:tcBorders>
            <w:shd w:val="clear" w:color="auto" w:fill="C6EFCE"/>
            <w:noWrap/>
            <w:hideMark/>
          </w:tcPr>
          <w:p w14:paraId="289D1A5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57" w:type="dxa"/>
            <w:tcBorders>
              <w:top w:val="nil"/>
              <w:left w:val="nil"/>
              <w:bottom w:val="single" w:sz="4" w:space="0" w:color="auto"/>
              <w:right w:val="single" w:sz="4" w:space="0" w:color="auto"/>
            </w:tcBorders>
            <w:shd w:val="clear" w:color="auto" w:fill="C6EFCE"/>
            <w:noWrap/>
          </w:tcPr>
          <w:p w14:paraId="2E07579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19" w:type="dxa"/>
            <w:tcBorders>
              <w:top w:val="nil"/>
              <w:left w:val="nil"/>
              <w:bottom w:val="single" w:sz="4" w:space="0" w:color="auto"/>
              <w:right w:val="single" w:sz="4" w:space="0" w:color="auto"/>
            </w:tcBorders>
            <w:shd w:val="clear" w:color="auto" w:fill="C6EFCE"/>
            <w:noWrap/>
          </w:tcPr>
          <w:p w14:paraId="6AB7FE3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2FA167D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18" w:type="dxa"/>
            <w:tcBorders>
              <w:top w:val="nil"/>
              <w:left w:val="nil"/>
              <w:bottom w:val="single" w:sz="4" w:space="0" w:color="auto"/>
              <w:right w:val="single" w:sz="4" w:space="0" w:color="auto"/>
            </w:tcBorders>
            <w:shd w:val="clear" w:color="auto" w:fill="C6EFCE"/>
            <w:noWrap/>
            <w:hideMark/>
          </w:tcPr>
          <w:p w14:paraId="5E1887DA" w14:textId="77777777" w:rsidR="003F46B9" w:rsidRDefault="0065662E">
            <w:pPr>
              <w:pStyle w:val="P68B1DB1-Normal5"/>
              <w:spacing w:after="0" w:line="240" w:lineRule="auto"/>
              <w:jc w:val="both"/>
              <w:rPr>
                <w:rFonts w:eastAsia="Times New Roman" w:cs="Times New Roman"/>
                <w:noProof/>
              </w:rPr>
            </w:pPr>
            <w:r>
              <w:rPr>
                <w:noProof/>
              </w:rPr>
              <w:t>2022</w:t>
            </w:r>
          </w:p>
        </w:tc>
        <w:tc>
          <w:tcPr>
            <w:tcW w:w="3104" w:type="dxa"/>
            <w:tcBorders>
              <w:top w:val="nil"/>
              <w:left w:val="nil"/>
              <w:bottom w:val="single" w:sz="4" w:space="0" w:color="auto"/>
              <w:right w:val="single" w:sz="4" w:space="0" w:color="auto"/>
            </w:tcBorders>
            <w:shd w:val="clear" w:color="auto" w:fill="C6EFCE"/>
            <w:noWrap/>
            <w:hideMark/>
          </w:tcPr>
          <w:p w14:paraId="6E20A89C" w14:textId="77777777" w:rsidR="003F46B9" w:rsidRDefault="0065662E">
            <w:pPr>
              <w:pStyle w:val="P68B1DB1-Normal5"/>
              <w:spacing w:after="0" w:line="240" w:lineRule="auto"/>
              <w:jc w:val="both"/>
              <w:rPr>
                <w:rFonts w:eastAsia="Times New Roman" w:cs="Times New Roman"/>
                <w:noProof/>
              </w:rPr>
            </w:pPr>
            <w:r>
              <w:rPr>
                <w:noProof/>
              </w:rPr>
              <w:t xml:space="preserve">Objava poziva za odabir projekata energetske učinkovitosti u industriji. Kriteriji odabira zahtijevaju: </w:t>
            </w:r>
          </w:p>
          <w:p w14:paraId="75F15085" w14:textId="77777777" w:rsidR="003F46B9" w:rsidRDefault="0065662E">
            <w:pPr>
              <w:pStyle w:val="P68B1DB1-Normal5"/>
              <w:spacing w:after="0" w:line="240" w:lineRule="auto"/>
              <w:jc w:val="both"/>
              <w:rPr>
                <w:rFonts w:eastAsia="Times New Roman" w:cs="Times New Roman"/>
                <w:noProof/>
              </w:rPr>
            </w:pPr>
            <w:r>
              <w:rPr>
                <w:noProof/>
              </w:rPr>
              <w:t>—postizanje smanjenja neizravnih i izravnih emisija stakleničkih plinova za najmanje 30 % u usporedbi s ex ante emisijama, koje treba pratiti putem inf</w:t>
            </w:r>
            <w:r>
              <w:rPr>
                <w:noProof/>
              </w:rPr>
              <w:t>ormatičke platforme za centralizaciju i analizu nacionalne potrošnje energije;</w:t>
            </w:r>
          </w:p>
          <w:p w14:paraId="45AAF53A" w14:textId="77777777" w:rsidR="003F46B9" w:rsidRDefault="0065662E">
            <w:pPr>
              <w:pStyle w:val="P68B1DB1-Normal5"/>
              <w:spacing w:after="0" w:line="240" w:lineRule="auto"/>
              <w:jc w:val="both"/>
              <w:rPr>
                <w:rFonts w:eastAsia="Times New Roman" w:cs="Times New Roman"/>
                <w:noProof/>
              </w:rPr>
            </w:pPr>
            <w:r>
              <w:rPr>
                <w:noProof/>
              </w:rPr>
              <w:t>—usklađenost s Tehničkim smjernicama o nenanošenju bitne štete (2021/C58/01) upotrebom popisa za isključenje i zahtjeva usklađenosti s relevantnim zakonodavstvom EU-a i nacional</w:t>
            </w:r>
            <w:r>
              <w:rPr>
                <w:noProof/>
              </w:rPr>
              <w:t>nim zakonodavstvom u području okoliša.</w:t>
            </w:r>
          </w:p>
        </w:tc>
      </w:tr>
      <w:tr w:rsidR="003F46B9" w14:paraId="13DD6219" w14:textId="77777777">
        <w:trPr>
          <w:trHeight w:val="313"/>
          <w:jc w:val="center"/>
        </w:trPr>
        <w:tc>
          <w:tcPr>
            <w:tcW w:w="818" w:type="dxa"/>
            <w:tcBorders>
              <w:top w:val="nil"/>
              <w:left w:val="single" w:sz="4" w:space="0" w:color="auto"/>
              <w:bottom w:val="single" w:sz="4" w:space="0" w:color="auto"/>
              <w:right w:val="single" w:sz="4" w:space="0" w:color="auto"/>
            </w:tcBorders>
            <w:shd w:val="clear" w:color="auto" w:fill="C6EFCE"/>
            <w:noWrap/>
            <w:hideMark/>
          </w:tcPr>
          <w:p w14:paraId="5B2129BA" w14:textId="77777777" w:rsidR="003F46B9" w:rsidRDefault="0065662E">
            <w:pPr>
              <w:pStyle w:val="P68B1DB1-Normal5"/>
              <w:spacing w:after="0" w:line="240" w:lineRule="auto"/>
              <w:jc w:val="both"/>
              <w:rPr>
                <w:rFonts w:eastAsia="Times New Roman" w:cs="Times New Roman"/>
                <w:noProof/>
              </w:rPr>
            </w:pPr>
            <w:r>
              <w:rPr>
                <w:noProof/>
              </w:rPr>
              <w:t>141</w:t>
            </w:r>
          </w:p>
        </w:tc>
        <w:tc>
          <w:tcPr>
            <w:tcW w:w="1895" w:type="dxa"/>
            <w:tcBorders>
              <w:top w:val="nil"/>
              <w:left w:val="nil"/>
              <w:bottom w:val="single" w:sz="4" w:space="0" w:color="auto"/>
              <w:right w:val="single" w:sz="4" w:space="0" w:color="auto"/>
            </w:tcBorders>
            <w:shd w:val="clear" w:color="auto" w:fill="C6EFCE"/>
            <w:noWrap/>
          </w:tcPr>
          <w:p w14:paraId="224AACF3" w14:textId="77777777" w:rsidR="003F46B9" w:rsidRDefault="0065662E">
            <w:pPr>
              <w:pStyle w:val="P68B1DB1-Normal5"/>
              <w:spacing w:after="0" w:line="240" w:lineRule="auto"/>
              <w:jc w:val="both"/>
              <w:rPr>
                <w:rFonts w:eastAsia="Times New Roman" w:cs="Times New Roman"/>
                <w:noProof/>
              </w:rPr>
            </w:pPr>
            <w:r>
              <w:rPr>
                <w:noProof/>
              </w:rPr>
              <w:t>Ulaganje 5. Osiguravanje energetske učinkovitosti u industrijskom sektoru</w:t>
            </w:r>
          </w:p>
        </w:tc>
        <w:tc>
          <w:tcPr>
            <w:tcW w:w="1222" w:type="dxa"/>
            <w:tcBorders>
              <w:top w:val="nil"/>
              <w:left w:val="nil"/>
              <w:bottom w:val="single" w:sz="4" w:space="0" w:color="auto"/>
              <w:right w:val="single" w:sz="4" w:space="0" w:color="auto"/>
            </w:tcBorders>
            <w:shd w:val="clear" w:color="auto" w:fill="C6EFCE"/>
            <w:noWrap/>
            <w:hideMark/>
          </w:tcPr>
          <w:p w14:paraId="25D99ABB" w14:textId="77777777" w:rsidR="003F46B9" w:rsidRDefault="0065662E">
            <w:pPr>
              <w:pStyle w:val="P68B1DB1-Normal5"/>
              <w:spacing w:after="0" w:line="240" w:lineRule="auto"/>
              <w:jc w:val="both"/>
              <w:rPr>
                <w:rFonts w:eastAsia="Times New Roman" w:cs="Times New Roman"/>
                <w:noProof/>
              </w:rPr>
            </w:pPr>
            <w:r>
              <w:rPr>
                <w:noProof/>
              </w:rPr>
              <w:t xml:space="preserve">Ciljna </w:t>
            </w:r>
          </w:p>
        </w:tc>
        <w:tc>
          <w:tcPr>
            <w:tcW w:w="1759" w:type="dxa"/>
            <w:tcBorders>
              <w:top w:val="nil"/>
              <w:left w:val="nil"/>
              <w:bottom w:val="single" w:sz="4" w:space="0" w:color="auto"/>
              <w:right w:val="single" w:sz="4" w:space="0" w:color="auto"/>
            </w:tcBorders>
            <w:shd w:val="clear" w:color="auto" w:fill="C6EFCE"/>
            <w:noWrap/>
          </w:tcPr>
          <w:p w14:paraId="2811B11B" w14:textId="77777777" w:rsidR="003F46B9" w:rsidRDefault="0065662E">
            <w:pPr>
              <w:pStyle w:val="P68B1DB1-Normal5"/>
              <w:spacing w:after="0" w:line="240" w:lineRule="auto"/>
              <w:jc w:val="both"/>
              <w:rPr>
                <w:rFonts w:eastAsia="Times New Roman" w:cs="Times New Roman"/>
                <w:noProof/>
              </w:rPr>
            </w:pPr>
            <w:r>
              <w:rPr>
                <w:noProof/>
              </w:rPr>
              <w:t>Dovršeni projekti energetske učinkovitosti</w:t>
            </w:r>
          </w:p>
        </w:tc>
        <w:tc>
          <w:tcPr>
            <w:tcW w:w="1625" w:type="dxa"/>
            <w:tcBorders>
              <w:top w:val="nil"/>
              <w:left w:val="nil"/>
              <w:bottom w:val="single" w:sz="4" w:space="0" w:color="auto"/>
              <w:right w:val="single" w:sz="4" w:space="0" w:color="auto"/>
            </w:tcBorders>
            <w:shd w:val="clear" w:color="auto" w:fill="C6EFCE"/>
            <w:noWrap/>
            <w:hideMark/>
          </w:tcPr>
          <w:p w14:paraId="49C422F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88" w:type="dxa"/>
            <w:tcBorders>
              <w:top w:val="nil"/>
              <w:left w:val="nil"/>
              <w:bottom w:val="single" w:sz="4" w:space="0" w:color="auto"/>
              <w:right w:val="single" w:sz="4" w:space="0" w:color="auto"/>
            </w:tcBorders>
            <w:shd w:val="clear" w:color="auto" w:fill="C6EFCE"/>
            <w:noWrap/>
            <w:hideMark/>
          </w:tcPr>
          <w:p w14:paraId="047F1702" w14:textId="77777777" w:rsidR="003F46B9" w:rsidRDefault="0065662E">
            <w:pPr>
              <w:pStyle w:val="P68B1DB1-Normal5"/>
              <w:spacing w:after="0" w:line="240" w:lineRule="auto"/>
              <w:jc w:val="both"/>
              <w:rPr>
                <w:rFonts w:eastAsia="Times New Roman" w:cs="Times New Roman"/>
                <w:noProof/>
              </w:rPr>
            </w:pPr>
            <w:r>
              <w:rPr>
                <w:noProof/>
              </w:rPr>
              <w:t>Broj</w:t>
            </w:r>
          </w:p>
        </w:tc>
        <w:tc>
          <w:tcPr>
            <w:tcW w:w="1357" w:type="dxa"/>
            <w:tcBorders>
              <w:top w:val="nil"/>
              <w:left w:val="nil"/>
              <w:bottom w:val="single" w:sz="4" w:space="0" w:color="auto"/>
              <w:right w:val="single" w:sz="4" w:space="0" w:color="auto"/>
            </w:tcBorders>
            <w:shd w:val="clear" w:color="auto" w:fill="C6EFCE"/>
            <w:noWrap/>
          </w:tcPr>
          <w:p w14:paraId="1AA26C10" w14:textId="77777777" w:rsidR="003F46B9" w:rsidRDefault="0065662E">
            <w:pPr>
              <w:pStyle w:val="P68B1DB1-Normal5"/>
              <w:spacing w:after="0" w:line="240" w:lineRule="auto"/>
              <w:jc w:val="both"/>
              <w:rPr>
                <w:rFonts w:eastAsia="Times New Roman" w:cs="Times New Roman"/>
                <w:noProof/>
              </w:rPr>
            </w:pPr>
            <w:r>
              <w:rPr>
                <w:noProof/>
              </w:rPr>
              <w:t>0</w:t>
            </w:r>
          </w:p>
        </w:tc>
        <w:tc>
          <w:tcPr>
            <w:tcW w:w="819" w:type="dxa"/>
            <w:tcBorders>
              <w:top w:val="nil"/>
              <w:left w:val="nil"/>
              <w:bottom w:val="single" w:sz="4" w:space="0" w:color="auto"/>
              <w:right w:val="single" w:sz="4" w:space="0" w:color="auto"/>
            </w:tcBorders>
            <w:shd w:val="clear" w:color="auto" w:fill="C6EFCE"/>
            <w:noWrap/>
          </w:tcPr>
          <w:p w14:paraId="64186E76" w14:textId="0B761820" w:rsidR="003F46B9" w:rsidRDefault="0065662E">
            <w:pPr>
              <w:pStyle w:val="P68B1DB1-Normal5"/>
              <w:spacing w:after="0" w:line="240" w:lineRule="auto"/>
              <w:jc w:val="both"/>
              <w:rPr>
                <w:rFonts w:eastAsia="Times New Roman" w:cs="Times New Roman"/>
                <w:noProof/>
              </w:rPr>
            </w:pPr>
            <w:r>
              <w:rPr>
                <w:noProof/>
              </w:rPr>
              <w:t>30</w:t>
            </w:r>
          </w:p>
        </w:tc>
        <w:tc>
          <w:tcPr>
            <w:tcW w:w="1088" w:type="dxa"/>
            <w:tcBorders>
              <w:top w:val="nil"/>
              <w:left w:val="nil"/>
              <w:bottom w:val="single" w:sz="4" w:space="0" w:color="auto"/>
              <w:right w:val="single" w:sz="4" w:space="0" w:color="auto"/>
            </w:tcBorders>
            <w:shd w:val="clear" w:color="auto" w:fill="C6EFCE"/>
            <w:noWrap/>
            <w:hideMark/>
          </w:tcPr>
          <w:p w14:paraId="18529E1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18" w:type="dxa"/>
            <w:tcBorders>
              <w:top w:val="nil"/>
              <w:left w:val="nil"/>
              <w:bottom w:val="single" w:sz="4" w:space="0" w:color="auto"/>
              <w:right w:val="single" w:sz="4" w:space="0" w:color="auto"/>
            </w:tcBorders>
            <w:shd w:val="clear" w:color="auto" w:fill="C6EFCE"/>
            <w:noWrap/>
            <w:hideMark/>
          </w:tcPr>
          <w:p w14:paraId="3488213D" w14:textId="77777777" w:rsidR="003F46B9" w:rsidRDefault="0065662E">
            <w:pPr>
              <w:pStyle w:val="P68B1DB1-Normal5"/>
              <w:spacing w:after="0" w:line="240" w:lineRule="auto"/>
              <w:jc w:val="both"/>
              <w:rPr>
                <w:rFonts w:eastAsia="Times New Roman" w:cs="Times New Roman"/>
                <w:noProof/>
              </w:rPr>
            </w:pPr>
            <w:r>
              <w:rPr>
                <w:noProof/>
              </w:rPr>
              <w:t>2025</w:t>
            </w:r>
          </w:p>
        </w:tc>
        <w:tc>
          <w:tcPr>
            <w:tcW w:w="3104" w:type="dxa"/>
            <w:tcBorders>
              <w:top w:val="nil"/>
              <w:left w:val="nil"/>
              <w:bottom w:val="single" w:sz="4" w:space="0" w:color="auto"/>
              <w:right w:val="single" w:sz="4" w:space="0" w:color="auto"/>
            </w:tcBorders>
            <w:shd w:val="clear" w:color="auto" w:fill="C6EFCE"/>
            <w:noWrap/>
            <w:hideMark/>
          </w:tcPr>
          <w:p w14:paraId="656FFA2C" w14:textId="6D6D3ECF" w:rsidR="003F46B9" w:rsidRDefault="0065662E">
            <w:pPr>
              <w:pStyle w:val="P68B1DB1-Normal5"/>
              <w:spacing w:after="0" w:line="240" w:lineRule="auto"/>
              <w:jc w:val="both"/>
              <w:rPr>
                <w:rFonts w:eastAsia="Times New Roman" w:cs="Times New Roman"/>
                <w:noProof/>
              </w:rPr>
            </w:pPr>
            <w:r>
              <w:rPr>
                <w:noProof/>
              </w:rPr>
              <w:t>Dovršetak najmanje 30 projekata energetske učinkovitosti u industriji kojima se postiže smanjenje neizravnih i izravnih emisija stakleničkih plinova za najmanje 30 % u usporedbi s ex ante emisijama koje treba pratiti putem informatičke platforme za central</w:t>
            </w:r>
            <w:r>
              <w:rPr>
                <w:noProof/>
              </w:rPr>
              <w:t xml:space="preserve">izaciju i analizu nacionalne potrošnje energije, u skladu s uvjetima za usklađenost s Tehničkim smjernicama o načelu „ne nanosi bitnu štetu” (2021/C58/01), kako je utvrđeno u ključnoj etapi 140. </w:t>
            </w:r>
          </w:p>
        </w:tc>
      </w:tr>
    </w:tbl>
    <w:p w14:paraId="2F091314"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132"/>
          <w:headerReference w:type="default" r:id="rId133"/>
          <w:footerReference w:type="even" r:id="rId134"/>
          <w:footerReference w:type="default" r:id="rId135"/>
          <w:headerReference w:type="first" r:id="rId136"/>
          <w:footerReference w:type="first" r:id="rId137"/>
          <w:pgSz w:w="16839" w:h="11907" w:orient="landscape"/>
          <w:pgMar w:top="1417" w:right="1134" w:bottom="1417" w:left="1134" w:header="709" w:footer="709" w:gutter="0"/>
          <w:cols w:space="720"/>
          <w:docGrid w:linePitch="360"/>
        </w:sectPr>
      </w:pPr>
    </w:p>
    <w:p w14:paraId="1670CF4D"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7: DIGITALNA TRANSFORMACIJA</w:t>
      </w:r>
    </w:p>
    <w:p w14:paraId="00CD7566" w14:textId="77777777" w:rsidR="003F46B9" w:rsidRDefault="0065662E">
      <w:pPr>
        <w:pStyle w:val="P68B1DB1-Normal5"/>
        <w:spacing w:before="120" w:after="120" w:line="240" w:lineRule="auto"/>
        <w:jc w:val="both"/>
        <w:rPr>
          <w:rFonts w:cs="Times New Roman"/>
          <w:noProof/>
        </w:rPr>
      </w:pPr>
      <w:r>
        <w:rPr>
          <w:noProof/>
        </w:rPr>
        <w:t>Ta komponenta plana za oporavak i otpornost bavi se izazovima digitalizacije povezanima s javnom upravom, kao što su fragmentacija, interoperabilnost kao glavna prepreka razvoju digitalnih usluga usmjerenih na krajnje</w:t>
      </w:r>
      <w:r>
        <w:rPr>
          <w:noProof/>
        </w:rPr>
        <w:t xml:space="preserve"> korisnike, birokratske prepreke pri dobivanju građevinskih dozvola potrebnih za izgradnju mreže, niske osnovne i napredne digitalne vještine te izloženost kiberrizicima. U tom je kontekstu cilj ove komponente suočavanje sa svim tim izazovima i uspostava u</w:t>
      </w:r>
      <w:r>
        <w:rPr>
          <w:noProof/>
        </w:rPr>
        <w:t>sklađene i integrirane digitalne infrastrukture u korist građana i poduzeća, uz istodobno osiguravanje potrebnih alata (kao što su povezivost, razvoj vještina ili kibersigurnost) za prelazak na digitalizirano gospodarstvo i društvo. Konkretno, komponenta u</w:t>
      </w:r>
      <w:r>
        <w:rPr>
          <w:noProof/>
        </w:rPr>
        <w:t>ključuje reforme potrebne za uspostavu državnog oblaka i osiguravanje interoperabilnosti, poboljšanje povezivosti, povećanje zaštite i kibersigurnosti javnih i privatnih subjekata te povećanje digitalnih kompetencija javnog sektora. Ulaganja na kojima se t</w:t>
      </w:r>
      <w:r>
        <w:rPr>
          <w:noProof/>
        </w:rPr>
        <w:t>emelje reforme kreću se od razvoja državnog oblaka do digitalizacije zdravstva, pravosuđa, okoliša, zapošljavanja i socijalne zaštite, javne nabave, nevladinih organizacija, povezivosti za bijela područja, osiguravanja kibersigurnosti za različite struktur</w:t>
      </w:r>
      <w:r>
        <w:rPr>
          <w:noProof/>
        </w:rPr>
        <w:t>e i povećanja vještina u području kibersigurnosti i za državne službenike i stanovništvo u cjelini. Jedno od ključnih ulaganja odnosi se na uvođenje elektroničke osobne iskaznice za rumunjske građane.</w:t>
      </w:r>
    </w:p>
    <w:p w14:paraId="651D74E9" w14:textId="77777777" w:rsidR="003F46B9" w:rsidRDefault="0065662E">
      <w:pPr>
        <w:pStyle w:val="P68B1DB1-Normal5"/>
        <w:spacing w:before="120" w:after="120" w:line="240" w:lineRule="auto"/>
        <w:jc w:val="both"/>
        <w:rPr>
          <w:rFonts w:cs="Times New Roman"/>
          <w:noProof/>
        </w:rPr>
      </w:pPr>
      <w:r>
        <w:rPr>
          <w:noProof/>
        </w:rPr>
        <w:t>Komponenta je strukturirana u četiri reforme i 19 ulaga</w:t>
      </w:r>
      <w:r>
        <w:rPr>
          <w:noProof/>
        </w:rPr>
        <w:t>nja.</w:t>
      </w:r>
    </w:p>
    <w:p w14:paraId="361B0AF4" w14:textId="77777777" w:rsidR="003F46B9" w:rsidRDefault="0065662E">
      <w:pPr>
        <w:pStyle w:val="P68B1DB1-Normal5"/>
        <w:spacing w:before="120" w:after="120" w:line="240" w:lineRule="auto"/>
        <w:jc w:val="both"/>
        <w:rPr>
          <w:rFonts w:cs="Times New Roman"/>
          <w:noProof/>
        </w:rPr>
      </w:pPr>
      <w:r>
        <w:rPr>
          <w:noProof/>
        </w:rPr>
        <w:t>Ta ulaganja i reforme doprinose ispunjavanju preporuka Rumunjske iz proteklih dviju godina o poboljšanju vještina, uključujući digitalne vještine (3. preporuka za pojedinu zemlju, 2019.) te „jačanju vještina i digitalnog učenja” i „usmjerenju ulaganja</w:t>
      </w:r>
      <w:r>
        <w:rPr>
          <w:noProof/>
        </w:rPr>
        <w:t xml:space="preserve"> u zelenu i digitalnu tranziciju, [...], infrastrukturu digitalnih usluga” (2. i 3. preporuke za pojedinu zemlju iz 2020.). </w:t>
      </w:r>
    </w:p>
    <w:p w14:paraId="467FFEB1"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ciljevima u smislu članka 17. Uredbe (EU) 2020/</w:t>
      </w:r>
      <w:r>
        <w:rPr>
          <w:noProof/>
        </w:rPr>
        <w:t>852, uzimajući u obzir opis mjera i korake ublažavanja utvrđene u planu za oporavak i otpornost u skladu s Tehničkim smjernicama DNSH-a (2021/C58/01).</w:t>
      </w:r>
    </w:p>
    <w:p w14:paraId="375AB427" w14:textId="77777777" w:rsidR="003F46B9" w:rsidRDefault="0065662E">
      <w:pPr>
        <w:pStyle w:val="P68B1DB1-Normal1"/>
        <w:keepNext/>
        <w:spacing w:before="120" w:after="120" w:line="240" w:lineRule="auto"/>
        <w:jc w:val="both"/>
        <w:outlineLvl w:val="1"/>
        <w:rPr>
          <w:rFonts w:eastAsiaTheme="majorEastAsia" w:cs="Times New Roman"/>
          <w:noProof/>
        </w:rPr>
      </w:pPr>
      <w:r>
        <w:rPr>
          <w:noProof/>
        </w:rPr>
        <w:t>G.1. Opis reformi i ulaganja za programe bespovratne financijske potpore </w:t>
      </w:r>
    </w:p>
    <w:p w14:paraId="2DBE0C91"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1. Razvoj jedinstvenog </w:t>
      </w:r>
      <w:r>
        <w:rPr>
          <w:noProof/>
        </w:rPr>
        <w:t>okvira za definiranje arhitekture državnog sustava računalstva u oblaku</w:t>
      </w:r>
    </w:p>
    <w:p w14:paraId="6EF4ECB1" w14:textId="11B35A41" w:rsidR="003F46B9" w:rsidRDefault="0065662E">
      <w:pPr>
        <w:pStyle w:val="P68B1DB1-Normal5"/>
        <w:spacing w:before="120" w:after="0" w:line="240" w:lineRule="auto"/>
        <w:jc w:val="both"/>
        <w:textAlignment w:val="baseline"/>
        <w:rPr>
          <w:rFonts w:eastAsia="Times New Roman" w:cs="Times New Roman"/>
          <w:noProof/>
        </w:rPr>
      </w:pPr>
      <w:r>
        <w:rPr>
          <w:noProof/>
        </w:rPr>
        <w:t>Cilj je te reforme modernizirati javnu upravu usvajanjem naprednih tehnologija i usmjeravanjem na potrebe građana i poduzeća, uz istodobno osiguravanje preduvjeta za razvoj politika te</w:t>
      </w:r>
      <w:r>
        <w:rPr>
          <w:noProof/>
        </w:rPr>
        <w:t>meljenih na podacima i povećanje interoperabilnosti postojećih digitalnih tehnologija. Nadalje, reformom se podupire razvoj integrirane arhitekture javnih digitalnih usluga.</w:t>
      </w:r>
    </w:p>
    <w:p w14:paraId="45293038"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te reforme sastoji se od dvaju smjerova djelovanja. Prvo, očekuje se da ć</w:t>
      </w:r>
      <w:r>
        <w:rPr>
          <w:noProof/>
        </w:rPr>
        <w:t>e se stupanjem na snagu Zakona o interoperabilnosti informacijskih sustava detaljno opisati jedinstveni skup standarda i pravila koje javni subjekti primjenjuju za razvoj aplikacija u sigurnom i održivom okruženju, uz istodobno usklađivanje s Europskim okv</w:t>
      </w:r>
      <w:r>
        <w:rPr>
          <w:noProof/>
        </w:rPr>
        <w:t>irom za interoperabilnost. Drugo, očekuje se da će se stupanjem na snagu Zakona o državnom oblaku utvrditi odgovornosti i zadaće povezane s osmišljavanjem, provedbom, razvojem i upravljanjem infrastrukturom, tehnologijama i uslugama u oblaku. Kibersigurnos</w:t>
      </w:r>
      <w:r>
        <w:rPr>
          <w:noProof/>
        </w:rPr>
        <w:t xml:space="preserve">t se osigurava za vanjsku i unutarnju zaštitu oblaka primjenom najnaprednijih i ekonomski najučinkovitijih dostupnih rješenja za kibersigurnost. </w:t>
      </w:r>
    </w:p>
    <w:p w14:paraId="582BC02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Očekuje se da će se u rumunjskom planu za oporavak i otpornost uspostaviti privremena radna skupina koju čine </w:t>
      </w:r>
      <w:r>
        <w:rPr>
          <w:noProof/>
        </w:rPr>
        <w:t>stručnjaci za praćenje i provedbu svih mjera povezanih s digitalnim tehnologijama.</w:t>
      </w:r>
    </w:p>
    <w:p w14:paraId="2177F3B6"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reforme mora biti dovršena do 30. lipnja 2022.</w:t>
      </w:r>
    </w:p>
    <w:p w14:paraId="11CD488A" w14:textId="526D24D2" w:rsidR="003F46B9" w:rsidRDefault="0065662E">
      <w:pPr>
        <w:pStyle w:val="P68B1DB1-Standard6"/>
        <w:spacing w:before="240"/>
        <w:jc w:val="both"/>
        <w:rPr>
          <w:rFonts w:ascii="Times New Roman" w:eastAsiaTheme="majorEastAsia" w:hAnsi="Times New Roman" w:cs="Times New Roman"/>
          <w:noProof/>
        </w:rPr>
      </w:pPr>
      <w:r>
        <w:rPr>
          <w:noProof/>
        </w:rPr>
        <w:t>Reforma 2. Prijelaz na ciljeve EU-a za 2025. u pogledu povezivosti i poticanje privatnih ulaganja u uvođenje mreža vr</w:t>
      </w:r>
      <w:r>
        <w:rPr>
          <w:noProof/>
        </w:rPr>
        <w:t xml:space="preserve">lo velikog kapaciteta </w:t>
      </w:r>
    </w:p>
    <w:p w14:paraId="0B648B30"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te reforme ubrzati uvođenje 5G mreža na nacionalnoj razini, u skladu sa sigurnosnim propisima, i osigurati širokopojasnu pokrivenost za bijela područja (male ruralne općine, izolirane lokalitete, naseljena područja u nepovolj</w:t>
      </w:r>
      <w:r>
        <w:rPr>
          <w:noProof/>
        </w:rPr>
        <w:t>nom položaju), smanjiti digitalni jaz između ruralnih i urbanih područja, smanjiti administrativno opterećenje te pojednostavniti postupke i naknade te stvoriti preduvjete za jednak pristup digitalnim uslugama i pristupu internetu.</w:t>
      </w:r>
    </w:p>
    <w:p w14:paraId="2B3C54A1"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Reforma uključuje nekoli</w:t>
      </w:r>
      <w:r>
        <w:rPr>
          <w:noProof/>
        </w:rPr>
        <w:t>ko mjera:</w:t>
      </w:r>
    </w:p>
    <w:p w14:paraId="4487741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Provedba plana Rumunjske za primjenu paketa instrumenata za povezivost</w:t>
      </w:r>
      <w:r>
        <w:rPr>
          <w:noProof/>
        </w:rPr>
        <w:footnoteReference w:id="11"/>
      </w:r>
      <w:r>
        <w:rPr>
          <w:noProof/>
        </w:rPr>
        <w:t>. Očekuje se da će Rumunjska na razini EU-a provesti 12 od 39 preporuka iz paketa instrumenata.</w:t>
      </w:r>
    </w:p>
    <w:p w14:paraId="1B7C5FE8"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Stupanje na snagu zakona o sigurnosti mreže 5G kojim se predviđa da pružatelji </w:t>
      </w:r>
      <w:r>
        <w:rPr>
          <w:noProof/>
        </w:rPr>
        <w:t>komunikacijskih usluga mogu upotrebljavati tehnologije, opremu i softver u 5G mrežama samo od proizvođača koji su unaprijed odobreni odlukom premijera na temelju mišljenja Vrhovnog vijeća za nacionalnu obranu. Svaki proizvođač 5G opreme i softvera mora pod</w:t>
      </w:r>
      <w:r>
        <w:rPr>
          <w:noProof/>
        </w:rPr>
        <w:t>nijeti zahtjev za to odobrenje koje se dostavlja ministarstvu nadležnom za komunikacije.</w:t>
      </w:r>
    </w:p>
    <w:p w14:paraId="0D7815C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Dražba za dodjelu takozvanih „dozvola za 5G” (tj. u pojasevima 700 MHz, 1 500 MHz i 3,4 – 3,8 GHz). Dugoročne licencije predviđene su u skladu s kriterijima Europskog </w:t>
      </w:r>
      <w:r>
        <w:rPr>
          <w:noProof/>
        </w:rPr>
        <w:t>zakonika elektroničkih komunikacija za učinkovito poticanje 5G tehnologije, promicanje tržišnog natjecanja i prava krajnjih korisnika.</w:t>
      </w:r>
    </w:p>
    <w:p w14:paraId="52E96776"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reforme mora biti dovršena do 30. rujna 2022.</w:t>
      </w:r>
    </w:p>
    <w:p w14:paraId="5F32FBB9" w14:textId="77777777" w:rsidR="003F46B9" w:rsidRDefault="0065662E">
      <w:pPr>
        <w:pStyle w:val="P68B1DB1-Standard6"/>
        <w:spacing w:before="240"/>
        <w:jc w:val="both"/>
        <w:rPr>
          <w:rFonts w:ascii="Times New Roman" w:eastAsiaTheme="majorEastAsia" w:hAnsi="Times New Roman" w:cs="Times New Roman"/>
          <w:noProof/>
        </w:rPr>
      </w:pPr>
      <w:r>
        <w:rPr>
          <w:noProof/>
        </w:rPr>
        <w:t>Reforma 3. Osiguravanje kibersigurnosti javnih i privatnih subjeka</w:t>
      </w:r>
      <w:r>
        <w:rPr>
          <w:noProof/>
        </w:rPr>
        <w:t>ta koji posjeduju infrastrukturu kritične vrijednosti</w:t>
      </w:r>
    </w:p>
    <w:p w14:paraId="41EFCA97"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te reforme nastaviti proces jačanja otpornosti javnih i privatnih subjekata koji posjeduju kritičnu infrastrukturu na kiberrizike. </w:t>
      </w:r>
    </w:p>
    <w:p w14:paraId="273BC94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Provedbom te reforme uspostavlja se pravni i institucijski okv</w:t>
      </w:r>
      <w:r>
        <w:rPr>
          <w:noProof/>
        </w:rPr>
        <w:t>ir za organizaciju i provođenje aktivnosti u području kibersigurnosti i kiberobrane, mehanizmi suradnje i odgovornosti institucija u tim područjima dovršetkom i stupanjem na snagu Zakona o obrani i kibersigurnosti. Nadalje, Nacionalni centar za kibersigurn</w:t>
      </w:r>
      <w:r>
        <w:rPr>
          <w:noProof/>
        </w:rPr>
        <w:t xml:space="preserve">ost koordinira pripremu nacionalne strategije za kibersigurnost za razdoblje 2021. 2026., koja uključuje odredbe o redovitim procjenama i ažuriranjima regulatornog i institucijskog okvira za kibersigurnost čiji je cilj jačanje javno-privatnog i akademskog </w:t>
      </w:r>
      <w:r>
        <w:rPr>
          <w:noProof/>
        </w:rPr>
        <w:t>partnerstva radi povećanja kiberotpornosti društva u cjelini, razvoja kapaciteta za odgovor na kibernapade i otpornosti sustava, mreža i usluga te konsolidacije uloge Rumunjske u arhitekturi kibersigurnosti na međunarodnoj razini.</w:t>
      </w:r>
    </w:p>
    <w:p w14:paraId="3BA5EBD5"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reforme mora bit</w:t>
      </w:r>
      <w:r>
        <w:rPr>
          <w:noProof/>
        </w:rPr>
        <w:t>i dovršena do 31. prosinca 2022.</w:t>
      </w:r>
    </w:p>
    <w:p w14:paraId="67551CF3"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Povećanje digitalne kompetencije za javne usluge i digitalno obrazovanje tijekom cijelog života građana</w:t>
      </w:r>
    </w:p>
    <w:p w14:paraId="4744768F"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te reforme poduprijeti digitalizaciju gospodarstva i prelazak na industriju 4.0 te uskladiti tržište</w:t>
      </w:r>
      <w:r>
        <w:rPr>
          <w:noProof/>
        </w:rPr>
        <w:t xml:space="preserve"> rada s najnovijim kretanjima u tom sektoru.</w:t>
      </w:r>
    </w:p>
    <w:p w14:paraId="28853573"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Reforma se provodi stupanjem na snagu izmjene Kodeksa klasifikacije zanimanja, uključujući definiciju novih digitalnih zanimanja koja su jednakovrijedna drugim državama članicama EU-a. Provodi se analiza i savje</w:t>
      </w:r>
      <w:r>
        <w:rPr>
          <w:noProof/>
        </w:rPr>
        <w:t>tovanje sa sveučilištima i drugim relevantnim dionicima.</w:t>
      </w:r>
    </w:p>
    <w:p w14:paraId="19604D07"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reforme mora biti dovršena do 30. rujna 2022.</w:t>
      </w:r>
    </w:p>
    <w:p w14:paraId="1E77CDA0"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Uvođenje državne infrastrukture oblaka</w:t>
      </w:r>
    </w:p>
    <w:p w14:paraId="751842EC"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uvođenje državne infrastrukture u oblaku upotrebom sigurnih i energetski</w:t>
      </w:r>
      <w:r>
        <w:rPr>
          <w:noProof/>
        </w:rPr>
        <w:t xml:space="preserve"> učinkovitih tehnologija kako bi se osigurala sigurna, interoperabilna i standardna priroda javnih podataka. </w:t>
      </w:r>
    </w:p>
    <w:p w14:paraId="3ECC42BB" w14:textId="26C62C03" w:rsidR="003F46B9" w:rsidRDefault="0065662E">
      <w:pPr>
        <w:pStyle w:val="P68B1DB1-Normal5"/>
        <w:spacing w:before="120" w:after="0" w:line="240" w:lineRule="auto"/>
        <w:jc w:val="both"/>
        <w:textAlignment w:val="baseline"/>
        <w:rPr>
          <w:rFonts w:eastAsia="Times New Roman" w:cs="Times New Roman"/>
          <w:noProof/>
        </w:rPr>
      </w:pPr>
      <w:r>
        <w:rPr>
          <w:noProof/>
        </w:rPr>
        <w:t>Provedba tog ulaganja uključuje: i) izgradnja podatkovnih centara razine IV. projektiranjem za dva glavna podatkovna centra i treće razine po proj</w:t>
      </w:r>
      <w:r>
        <w:rPr>
          <w:noProof/>
        </w:rPr>
        <w:t>ektiranju za sekundarne centre, ii. pružanje posebne komunikacijske i informacijske tehnologije, iii. razvoj i širenje potporne infrastrukture (električna energija, mjere fizičke sigurnosti), iv. uvođenje prilagodljive i visokoraspoložive infrastrukture za</w:t>
      </w:r>
      <w:r>
        <w:rPr>
          <w:noProof/>
        </w:rPr>
        <w:t xml:space="preserve"> informacijske i komunikacijske tehnologije u svakom podatkovnom centru. Podatkovni centri moraju biti u skladu s „Europskim kodeksom ponašanja za energetsku učinkovitost podatkovnih centara”.</w:t>
      </w:r>
      <w:r>
        <w:rPr>
          <w:noProof/>
        </w:rPr>
        <w:footnoteReference w:id="12"/>
      </w:r>
      <w:r>
        <w:rPr>
          <w:noProof/>
        </w:rPr>
        <w:t xml:space="preserve"> </w:t>
      </w:r>
    </w:p>
    <w:p w14:paraId="3D28E876"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ovog ulaganja podupire se procjenom koju provodi van</w:t>
      </w:r>
      <w:r>
        <w:rPr>
          <w:noProof/>
        </w:rPr>
        <w:t>jski konzultant i od koje se očekuje da će pružiti strateške i tehnološke opcije te zakonodavni i regulatorni paket za utvrđivanje ostvarenja Vladinog oblaka, mogućnosti izgradnje, isporuke, instalacije i rada civilne i tehnološke infrastrukture u skladu s</w:t>
      </w:r>
      <w:r>
        <w:rPr>
          <w:noProof/>
        </w:rPr>
        <w:t xml:space="preserve"> rokovima utvrđenima u planu, mapiranje javnih digitalnih aplikacija/usluga koje trenutačno nude državna tijela, osmišljavanje procesa i postupaka koji se provode u fazi proizvodnje i/ili provedbe te plan razvoja/migracije u oblaku za mapirane aplikacije.</w:t>
      </w:r>
    </w:p>
    <w:p w14:paraId="656AB940"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Najmanje 30 javnih institucija mora biti povezano i koristiti se državnim oblakom.</w:t>
      </w:r>
    </w:p>
    <w:p w14:paraId="4A51C9E8" w14:textId="77777777" w:rsidR="003F46B9" w:rsidRDefault="0065662E">
      <w:pPr>
        <w:pStyle w:val="P68B1DB1-Normal5"/>
        <w:spacing w:before="120" w:after="0" w:line="240" w:lineRule="auto"/>
        <w:textAlignment w:val="baseline"/>
        <w:rPr>
          <w:rFonts w:eastAsia="Times New Roman" w:cs="Times New Roman"/>
          <w:noProof/>
        </w:rPr>
        <w:sectPr w:rsidR="003F46B9" w:rsidSect="00ED6412">
          <w:headerReference w:type="even" r:id="rId138"/>
          <w:headerReference w:type="default" r:id="rId139"/>
          <w:footerReference w:type="even" r:id="rId140"/>
          <w:footerReference w:type="default" r:id="rId141"/>
          <w:headerReference w:type="first" r:id="rId142"/>
          <w:footerReference w:type="first" r:id="rId143"/>
          <w:pgSz w:w="11906" w:h="16838"/>
          <w:pgMar w:top="1440" w:right="1440" w:bottom="1440" w:left="1440" w:header="708" w:footer="708" w:gutter="0"/>
          <w:cols w:space="708"/>
          <w:docGrid w:linePitch="360"/>
        </w:sectPr>
      </w:pPr>
      <w:r>
        <w:rPr>
          <w:noProof/>
        </w:rPr>
        <w:t>Provedba ulaganja mora biti dovršena do 31. prosinca 2025.</w:t>
      </w:r>
    </w:p>
    <w:p w14:paraId="3EBB943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Razvoj računalstva u oblaku i migracije </w:t>
      </w:r>
    </w:p>
    <w:p w14:paraId="3D31A7AB"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w:t>
      </w:r>
      <w:r>
        <w:rPr>
          <w:noProof/>
        </w:rPr>
        <w:t>tog ulaganja nadograditi tehnologije koje se upotrebljavaju u javnim institucijama kako bi postale spremne za računalstvo u oblaku, uz razvoj novih aplikacija u oblaku za migraciju u oblaku. </w:t>
      </w:r>
    </w:p>
    <w:p w14:paraId="34FA32F9"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Očekuje se da će provedba tog ulaganja dovesti do minimalnog bro</w:t>
      </w:r>
      <w:r>
        <w:rPr>
          <w:noProof/>
        </w:rPr>
        <w:t>ja aplikacija za migraciju u oblaku/virtualiziranih aplikacija u oblaku, na temelju analize koju će izraditi vanjski konzultant kako bi podržao vladu u uvođenju državnog oblaka. Očekuje se da se najmanje 30 državnih aplikacija digitalnih usluga u oblaku mi</w:t>
      </w:r>
      <w:r>
        <w:rPr>
          <w:noProof/>
        </w:rPr>
        <w:t>grira u okviru platforme kao usluge (PaaS) ili infrastrukture kao usluge (IaaS).</w:t>
      </w:r>
    </w:p>
    <w:p w14:paraId="7D824AD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lipnja 2026.</w:t>
      </w:r>
    </w:p>
    <w:p w14:paraId="0A7E8994" w14:textId="77777777" w:rsidR="003F46B9" w:rsidRDefault="0065662E">
      <w:pPr>
        <w:pStyle w:val="P68B1DB1-Standard6"/>
        <w:spacing w:before="240"/>
        <w:jc w:val="both"/>
        <w:rPr>
          <w:rFonts w:ascii="Times New Roman" w:eastAsia="Times New Roman" w:hAnsi="Times New Roman" w:cs="Times New Roman"/>
          <w:i/>
          <w:noProof/>
        </w:rPr>
      </w:pPr>
      <w:r>
        <w:rPr>
          <w:noProof/>
        </w:rPr>
        <w:t>Ulaganje 3. Razvoj sustava e-zdravstva i telemedicine </w:t>
      </w:r>
    </w:p>
    <w:p w14:paraId="3370BA53"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smanjiti radno vrijeme za pružatelje zdrav</w:t>
      </w:r>
      <w:r>
        <w:rPr>
          <w:noProof/>
        </w:rPr>
        <w:t>stvene zaštite, zaposlenike Nacionalnog zavoda za zdravstveno osiguranje i Zavoda zdravstvenog osiguranja, uz istodobno osiguravanje kibersigurnosti IT platforme za zdravstveno osiguranje (PIA). Dodatno će se ojačati kapacitet središnjih, regionalnih i lok</w:t>
      </w:r>
      <w:r>
        <w:rPr>
          <w:noProof/>
        </w:rPr>
        <w:t xml:space="preserve">alnih zdravstvenih ustanova za digitalno upravljanje zdravstvenim podacima te će se ubrzati prihvaćanje rješenja telemedicine. </w:t>
      </w:r>
    </w:p>
    <w:p w14:paraId="06A8C78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ulaganja i poticanje integracije zdravstvenih ustanova putem digitalne infrastrukture, olakšavanje pristupa podacima za </w:t>
      </w:r>
      <w:r>
        <w:rPr>
          <w:noProof/>
        </w:rPr>
        <w:t xml:space="preserve">Ministarstvo zdravstva i druge dionike (kao što su uprave za javno zdravstvo), smanjenje rascjepkanosti i povećanje kvalitete zdravstvenih podataka. </w:t>
      </w:r>
    </w:p>
    <w:p w14:paraId="13FBB441"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ulaganja povećati pristup ruralnih područja, malih urbanih područja i ranjivih skupina specijalizi</w:t>
      </w:r>
      <w:r>
        <w:rPr>
          <w:noProof/>
        </w:rPr>
        <w:t>ranim savjetovanjima, uz istodobno smanjenje vremena čekanja upotrebom telemedicine. Telemedicina je usmjerena i na povećanje pristupa informacijama i obrazovanju kako bi se spriječile neplanirane trudnoće i planiranje obitelji.</w:t>
      </w:r>
    </w:p>
    <w:p w14:paraId="3A3EE127"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 fazi provedbe tog ulaganj</w:t>
      </w:r>
      <w:r>
        <w:rPr>
          <w:noProof/>
        </w:rPr>
        <w:t>a slijedi se nekoliko koraka. Prvo, provodi se procjena potreba za trenutačnim PIP-om, mapiranje dostupne infrastrukture i postojeći nedostaci. Drugo, PIA se putem softverskog rješenja pretvara iz modularnog i fragmentiranog sustava u sustav koji je intero</w:t>
      </w:r>
      <w:r>
        <w:rPr>
          <w:noProof/>
        </w:rPr>
        <w:t>perabilan, prilagođen korisnicima i optimizira protok podataka, elektroničko praćenje ciljeva, aktivnosti i pokazatelja uspješnosti pružatelja zdravstvene zaštite te s novim funkcijama (kao što je digitalizacija medicinskih dokumenata. Uloga PIA-e proširuj</w:t>
      </w:r>
      <w:r>
        <w:rPr>
          <w:noProof/>
        </w:rPr>
        <w:t>e se izvan Nacionalnog zavoda zdravstvenog osiguranja razvojem dodatnih modula za sve ustanove uključene u zdravstvene politike na nacionalnoj razini za modularne registre bolesti i sučelje za telemedicinu i praćenje pacijenata. Očekuje se potpora komunika</w:t>
      </w:r>
      <w:r>
        <w:rPr>
          <w:noProof/>
        </w:rPr>
        <w:t>ciji između pacijenata i liječnika te između liječnika, s posebnim naglaskom na ranjivim skupinama ili regijama. Ulaganje se temelji na osposobljavanju i nabavi opreme. Nadalje, razvijaju se novi računalni moduli i aplikacije te novi sustavi digitalne regi</w:t>
      </w:r>
      <w:r>
        <w:rPr>
          <w:noProof/>
        </w:rPr>
        <w:t>stracije i upravljanja koji se temelje na interoperabilnim i centraliziranim podacima. Sustav telemedicine osmišljen je tako da pacijentima u ruralnim i malim urbanim područjima omogući pristup specijaliziranim savjetovanjima u stvarnom vremenu i asinkrono</w:t>
      </w:r>
      <w:r>
        <w:rPr>
          <w:noProof/>
        </w:rPr>
        <w:t>.</w:t>
      </w:r>
    </w:p>
    <w:p w14:paraId="19507035"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rujna 2025.</w:t>
      </w:r>
    </w:p>
    <w:p w14:paraId="3DED6F54" w14:textId="77777777" w:rsidR="003F46B9" w:rsidRDefault="003F46B9">
      <w:pPr>
        <w:spacing w:before="120" w:after="0" w:line="240" w:lineRule="auto"/>
        <w:jc w:val="both"/>
        <w:textAlignment w:val="baseline"/>
        <w:rPr>
          <w:rFonts w:ascii="Times New Roman" w:eastAsia="Times New Roman" w:hAnsi="Times New Roman" w:cs="Times New Roman"/>
          <w:noProof/>
          <w:sz w:val="24"/>
        </w:rPr>
        <w:sectPr w:rsidR="003F46B9">
          <w:headerReference w:type="even" r:id="rId144"/>
          <w:headerReference w:type="default" r:id="rId145"/>
          <w:footerReference w:type="even" r:id="rId146"/>
          <w:footerReference w:type="default" r:id="rId147"/>
          <w:headerReference w:type="first" r:id="rId148"/>
          <w:footerReference w:type="first" r:id="rId149"/>
          <w:pgSz w:w="12240" w:h="15840"/>
          <w:pgMar w:top="1134" w:right="1418" w:bottom="1134" w:left="1418" w:header="709" w:footer="709" w:gutter="0"/>
          <w:cols w:space="708"/>
          <w:docGrid w:linePitch="360"/>
        </w:sectPr>
      </w:pPr>
    </w:p>
    <w:p w14:paraId="58D4CDB2"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4. Digitalizacija pravosuđa</w:t>
      </w:r>
    </w:p>
    <w:p w14:paraId="76E3F9E1" w14:textId="34C53B5C"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poduprijeti pripremu i prijelaz rumunjskog pravosudnog sustava na centralizirani elektronički sustav vođenja predmeta. Rumunjska već upotrebljava druge fondove EU-a, sustav ECRIS (elektronički sustav vođenja predmeta), a plan za oporav</w:t>
      </w:r>
      <w:r>
        <w:rPr>
          <w:noProof/>
        </w:rPr>
        <w:t xml:space="preserve">ak i otpornost dopunjuje napore u tom pogledu. </w:t>
      </w:r>
    </w:p>
    <w:p w14:paraId="22F6333D"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sljedećih mjera:</w:t>
      </w:r>
    </w:p>
    <w:p w14:paraId="5A18606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tehnički prijelaz s lokalnih na zajedničke središnje poslužitelje – njime se optimizira upravljanje tehničkim resursima (središnji poslužitelji, podatkovni centri, </w:t>
      </w:r>
      <w:r>
        <w:rPr>
          <w:noProof/>
        </w:rPr>
        <w:t>virtualizacijski poslužitelji) i njihova upotreba.</w:t>
      </w:r>
    </w:p>
    <w:p w14:paraId="743861C8"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nadogradnja i dovršetak tehničke infrastrukture za rad na daljinu i digitalizaciju dokumenata s ciljem povećanja otpornosti pravosudnog sustava.</w:t>
      </w:r>
    </w:p>
    <w:p w14:paraId="320C1F3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poboljšanje kapaciteta u području kibersigurnosti (pružanjem</w:t>
      </w:r>
      <w:r>
        <w:rPr>
          <w:noProof/>
        </w:rPr>
        <w:t xml:space="preserve"> opreme i osposobljavanja) na središnjoj i lokalnoj razini (posebno sudovima, ali i uredima tužitelja). </w:t>
      </w:r>
    </w:p>
    <w:p w14:paraId="1616F1BA"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uvođenje novog sustava kojim se omogućuje sigurno održavanje videokonferencija za sudjelovanje sudaca u internetskim aktivnostima na razini Visokog i k</w:t>
      </w:r>
      <w:r>
        <w:rPr>
          <w:noProof/>
        </w:rPr>
        <w:t>asacijskog suda.</w:t>
      </w:r>
    </w:p>
    <w:p w14:paraId="09443781"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podržati dovršetak sustava ECRIS V, koji je središnji element digitalne transformacije pravosuđa u Rumunjskoj. Razvoj sustava, dio nabave povezanog softvera i pratećeg hardvera te osposobljavanje korisnika financiraju se iz administrativno</w:t>
      </w:r>
      <w:r>
        <w:rPr>
          <w:noProof/>
        </w:rPr>
        <w:t>g kapaciteta operativnog programa. U okviru plana za oporavak i otpornost financiraju se dopunske mjere (kao što su: nabava dijela popratne opreme u okviru projekta virtualizacije kojim se olakšava prijelaz sa sustava ECRIS IV na ECRIS V, uspostava podatko</w:t>
      </w:r>
      <w:r>
        <w:rPr>
          <w:noProof/>
        </w:rPr>
        <w:t xml:space="preserve">vnog centra za pravosuđe u kojem se također nalazi ECRIS V, nabava osobnih računala i druge opreme za krajnje korisnike). </w:t>
      </w:r>
    </w:p>
    <w:p w14:paraId="1911F58E" w14:textId="208E73EE" w:rsidR="003F46B9" w:rsidRDefault="0065662E">
      <w:pPr>
        <w:pStyle w:val="P68B1DB1-Normal5"/>
        <w:spacing w:before="120" w:after="0" w:line="240" w:lineRule="auto"/>
        <w:jc w:val="both"/>
        <w:textAlignment w:val="baseline"/>
        <w:rPr>
          <w:rFonts w:eastAsia="Times New Roman" w:cs="Times New Roman"/>
          <w:noProof/>
        </w:rPr>
      </w:pPr>
      <w:r>
        <w:rPr>
          <w:noProof/>
        </w:rPr>
        <w:t>Tim se ulaganjima podupire strategija za razvoj pravosuđa za razdoblje 2022. 2025., koja uključuje posebne mjere za osiguravanje digi</w:t>
      </w:r>
      <w:r>
        <w:rPr>
          <w:noProof/>
        </w:rPr>
        <w:t>talne interakcije stranke u sporu i svih zainteresiranih subjekata s pravosuđem, elektroničkog potpisa i elektroničkog pečata, dostupnosti poboljšane podatkovne komunikacije za e-datoteke (što je mogućnost za stranke u sporu da elektronički pristupe sudski</w:t>
      </w:r>
      <w:r>
        <w:rPr>
          <w:noProof/>
        </w:rPr>
        <w:t>m spisima), razradu međusektorske međusektorske strategije za digitalizaciju fizičkog arhiva (ključna etapa 421).</w:t>
      </w:r>
    </w:p>
    <w:p w14:paraId="61060A12"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Nove zgrade moraju biti usklađene s ciljem postizanja potražnje za primarnom energijom koja je najmanje 20 % niža od zahtjeva za zgrade gotovo</w:t>
      </w:r>
      <w:r>
        <w:rPr>
          <w:noProof/>
        </w:rPr>
        <w:t xml:space="preserve"> nulte energije (NZEB) u skladu s nacionalnim smjernicama, što se osigurava energetskim certifikatima.</w:t>
      </w:r>
    </w:p>
    <w:p w14:paraId="3FBD4B4D"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lipnja 2026.</w:t>
      </w:r>
    </w:p>
    <w:p w14:paraId="5BFE9EFD"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Digitalizacija u području okoliša</w:t>
      </w:r>
    </w:p>
    <w:p w14:paraId="52263DD4"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tog ulaganja uvesti integrirani IT sustav </w:t>
      </w:r>
      <w:r>
        <w:rPr>
          <w:noProof/>
        </w:rPr>
        <w:t>za potporu održivom razvoju, poboljšanje kvalitete infrastrukture i okoliša, zaštitu prirode i očuvanje biološke raznolikosti.</w:t>
      </w:r>
    </w:p>
    <w:p w14:paraId="201ED9C4" w14:textId="140237D2"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dvije glavne mjere:</w:t>
      </w:r>
    </w:p>
    <w:p w14:paraId="1EAE02B2" w14:textId="78A28309" w:rsidR="003F46B9" w:rsidRDefault="0065662E">
      <w:pPr>
        <w:pStyle w:val="P68B1DB1-Normal5"/>
        <w:numPr>
          <w:ilvl w:val="0"/>
          <w:numId w:val="60"/>
        </w:numPr>
        <w:shd w:val="clear" w:color="auto" w:fill="FFFFFF"/>
        <w:spacing w:before="120" w:after="0" w:line="240" w:lineRule="auto"/>
        <w:ind w:left="426" w:hanging="426"/>
        <w:jc w:val="both"/>
        <w:rPr>
          <w:rFonts w:ascii="Trebuchet MS" w:eastAsia="Times New Roman" w:hAnsi="Trebuchet MS" w:cs="Times New Roman"/>
          <w:noProof/>
        </w:rPr>
      </w:pPr>
      <w:r>
        <w:rPr>
          <w:noProof/>
          <w:bdr w:val="none" w:sz="0" w:space="0" w:color="auto" w:frame="1"/>
        </w:rPr>
        <w:t>razvoj potrebne infrastrukture za nadzor, kontrolu i osiguranje cjelovitosti šuma i pr</w:t>
      </w:r>
      <w:r>
        <w:rPr>
          <w:noProof/>
          <w:bdr w:val="none" w:sz="0" w:space="0" w:color="auto" w:frame="1"/>
        </w:rPr>
        <w:t>ijevoza drva. Taj se sustav provodi u dvije faze (ugradnja i konfiguracija IT sustava te provedba sigurnosnih rješenja za povjerljivost, osposobljavanje, operacionalizacija platforme za istrage i upozorenja). Sustav je integriran sa SUMAL 2.0 (rumunjski su</w:t>
      </w:r>
      <w:r>
        <w:rPr>
          <w:noProof/>
          <w:bdr w:val="none" w:sz="0" w:space="0" w:color="auto" w:frame="1"/>
        </w:rPr>
        <w:t xml:space="preserve">stav za sječu </w:t>
      </w:r>
      <w:r>
        <w:rPr>
          <w:noProof/>
        </w:rPr>
        <w:t>drva</w:t>
      </w:r>
      <w:r>
        <w:rPr>
          <w:noProof/>
          <w:bdr w:val="none" w:sz="0" w:space="0" w:color="auto" w:frame="1"/>
        </w:rPr>
        <w:t>i</w:t>
      </w:r>
      <w:r>
        <w:rPr>
          <w:noProof/>
        </w:rPr>
        <w:t>tragova</w:t>
      </w:r>
      <w:r>
        <w:rPr>
          <w:noProof/>
          <w:bdr w:val="none" w:sz="0" w:space="0" w:color="auto" w:frame="1"/>
        </w:rPr>
        <w:t>) i prati pravne obveze povezane sa sječom i preradom drvne sirovine, pravodobnom obnovom šuma, zdravljem šuma, stanjem očuvanosti šumskih staništa</w:t>
      </w:r>
      <w:r>
        <w:rPr>
          <w:noProof/>
        </w:rPr>
        <w:t xml:space="preserve"> (kao što su gubitak šumskog pokrova i dobitka šumskog pokrova)</w:t>
      </w:r>
      <w:r>
        <w:rPr>
          <w:noProof/>
          <w:bdr w:val="none" w:sz="0" w:space="0" w:color="auto" w:frame="1"/>
        </w:rPr>
        <w:t xml:space="preserve">. </w:t>
      </w:r>
      <w:r>
        <w:rPr>
          <w:noProof/>
        </w:rPr>
        <w:t>Šumska zemljišna k</w:t>
      </w:r>
      <w:r>
        <w:rPr>
          <w:noProof/>
        </w:rPr>
        <w:t>njiga, kako je predviđena nacionalnim sustavom eTerra3 (baza podataka o vlasništvu zemljišta), uključuje se u SUMAL 2.0 putem sučelja za programiranje aplikacija (API) kako bi se dobio potpuni skup podataka o pravima vlasništva i upravljanja. Sustav mora i</w:t>
      </w:r>
      <w:r>
        <w:rPr>
          <w:noProof/>
        </w:rPr>
        <w:t>mati tri glavna sastavna dijela: i. usporedba satelitskih snimaka (automatska i na zahtjev) kako bi se otkrile promjene u šumskoj krošnjama; ii. praćenje prijevoza drvne sirovine s pomoću kamera videonadzora potpomognutih umjetnom inteligencijom; ii. digit</w:t>
      </w:r>
      <w:r>
        <w:rPr>
          <w:noProof/>
        </w:rPr>
        <w:t xml:space="preserve">alni model šuma dobiven zračnim i kopnenim skeniranjem LiDAR (visoka gustoća – više od 30 bodova/sqm).  </w:t>
      </w:r>
      <w:r>
        <w:rPr>
          <w:noProof/>
          <w:bdr w:val="none" w:sz="0" w:space="0" w:color="auto" w:frame="1"/>
        </w:rPr>
        <w:t>Podatkovni centri sustava moraju biti u skladu s „Europskim kodeksom ponašanja za energetsku učinkovitost podatkovnih centara”.</w:t>
      </w:r>
    </w:p>
    <w:p w14:paraId="5CE7A6AE" w14:textId="77777777" w:rsidR="003F46B9" w:rsidRDefault="0065662E">
      <w:pPr>
        <w:pStyle w:val="P68B1DB1-Normal5"/>
        <w:numPr>
          <w:ilvl w:val="0"/>
          <w:numId w:val="2"/>
        </w:numPr>
        <w:spacing w:before="120" w:after="120" w:line="240" w:lineRule="auto"/>
        <w:ind w:left="360"/>
        <w:jc w:val="both"/>
        <w:rPr>
          <w:rFonts w:cs="Times New Roman"/>
          <w:noProof/>
          <w:bdr w:val="none" w:sz="0" w:space="0" w:color="auto" w:frame="1"/>
        </w:rPr>
      </w:pPr>
      <w:r>
        <w:rPr>
          <w:noProof/>
          <w:bdr w:val="none" w:sz="0" w:space="0" w:color="auto" w:frame="1"/>
        </w:rPr>
        <w:t>the digitalisation of 32</w:t>
      </w:r>
      <w:r>
        <w:rPr>
          <w:noProof/>
          <w:bdr w:val="none" w:sz="0" w:space="0" w:color="auto" w:frame="1"/>
        </w:rPr>
        <w:t xml:space="preserve"> environmental public services (such as transmission of data and information necessary for the calculation and reporting of emission inventories, Natura 2000 reporting, nature Conservation - service on derogations and by-catches of strictly protected speci</w:t>
      </w:r>
      <w:r>
        <w:rPr>
          <w:noProof/>
          <w:bdr w:val="none" w:sz="0" w:space="0" w:color="auto" w:frame="1"/>
        </w:rPr>
        <w:t>es, the management of the national register of zoo gardens, public aquariums and rehabilitation centres, ecosystem management service, the management plans of protected natural areas, the management of the register of authorisations issued by the county en</w:t>
      </w:r>
      <w:r>
        <w:rPr>
          <w:noProof/>
          <w:bdr w:val="none" w:sz="0" w:space="0" w:color="auto" w:frame="1"/>
        </w:rPr>
        <w:t>vironmental agencies for the activities of harvesting / capturing and / or commercialization of the species of wild flora and fauna carried out by individuals and legal entities, the management of notification and authorization procedures in the field of G</w:t>
      </w:r>
      <w:r>
        <w:rPr>
          <w:noProof/>
          <w:bdr w:val="none" w:sz="0" w:space="0" w:color="auto" w:frame="1"/>
        </w:rPr>
        <w:t>MMs (genetically modified micro-organisms) and GMOs (genetically modified organisms), public service notifications SEVESO - service for accident / incident notifications sent by economic operators, as well as classification notifications within the meaning</w:t>
      </w:r>
      <w:r>
        <w:rPr>
          <w:noProof/>
          <w:bdr w:val="none" w:sz="0" w:space="0" w:color="auto" w:frame="1"/>
        </w:rPr>
        <w:t xml:space="preserve"> of Directive 2012/18/ EU (SEVESO III), with interoperability with IGSU, EMAS registration service - manages organizations that adhere to a community eco-management and audit scheme, EPRTR application for reporting purposes of the economic operators, Servi</w:t>
      </w:r>
      <w:r>
        <w:rPr>
          <w:noProof/>
          <w:bdr w:val="none" w:sz="0" w:space="0" w:color="auto" w:frame="1"/>
        </w:rPr>
        <w:t>ce for Industrial Emissions, Service for issuing permits, agreements, authorizations and integrated environmental permits integrated with the document management system, Soil-Underground public service (management of data on potentially contaminated, conta</w:t>
      </w:r>
      <w:r>
        <w:rPr>
          <w:noProof/>
          <w:bdr w:val="none" w:sz="0" w:space="0" w:color="auto" w:frame="1"/>
        </w:rPr>
        <w:t>minated and remedy sites), laboratory analysis public service in the field of waste, noise, radioactivity, waste generation and management reporting services, reporting services on the generation and management of waste packaging, end-of-life vehicle repor</w:t>
      </w:r>
      <w:r>
        <w:rPr>
          <w:noProof/>
          <w:bdr w:val="none" w:sz="0" w:space="0" w:color="auto" w:frame="1"/>
        </w:rPr>
        <w:t>ting service, service on the approval / rejection of cross border waste shipments, service for the registration of producers of batteries and accumulators, service for the registration of manufacturers of electrical and electronic equipment and for reporti</w:t>
      </w:r>
      <w:r>
        <w:rPr>
          <w:noProof/>
          <w:bdr w:val="none" w:sz="0" w:space="0" w:color="auto" w:frame="1"/>
        </w:rPr>
        <w:t>ng data on the generation and management of electrical and electronic equipment waste, chemical reporting service in accordance with art. 36 of Regulation 1907/2006 - REACH and art. 46 and 49 of Regulation 1272/2008 – CLP, safety reports for high level sit</w:t>
      </w:r>
      <w:r>
        <w:rPr>
          <w:noProof/>
          <w:bdr w:val="none" w:sz="0" w:space="0" w:color="auto" w:frame="1"/>
        </w:rPr>
        <w:t>es, major accident prevention policy for low level sites, emergency plan, domino effect between installations, according to the implementation of the EU SEVESO III Directive, service to request the ecological label for legal entities, service for presentin</w:t>
      </w:r>
      <w:r>
        <w:rPr>
          <w:noProof/>
          <w:bdr w:val="none" w:sz="0" w:space="0" w:color="auto" w:frame="1"/>
        </w:rPr>
        <w:t>g the cases of environmental damage registered in Romania, monitoring emissions from medium combustion plants, public greenhouse gas emission permit service, registration service for economic operators that are not subject to environmental authorization in</w:t>
      </w:r>
      <w:r>
        <w:rPr>
          <w:noProof/>
          <w:bdr w:val="none" w:sz="0" w:space="0" w:color="auto" w:frame="1"/>
        </w:rPr>
        <w:t xml:space="preserve"> order to meet the requirements established by EU Directive 2008/98, service for issuing approvals and evaluation reports (for biocidal products, plant protection products and fertilisers), data reporting service for selective waste collection in public in</w:t>
      </w:r>
      <w:r>
        <w:rPr>
          <w:noProof/>
          <w:bdr w:val="none" w:sz="0" w:space="0" w:color="auto" w:frame="1"/>
        </w:rPr>
        <w:t>stitutions</w:t>
      </w:r>
      <w:r>
        <w:rPr>
          <w:noProof/>
        </w:rPr>
        <w:t>)</w:t>
      </w:r>
      <w:r>
        <w:rPr>
          <w:noProof/>
          <w:bdr w:val="none" w:sz="0" w:space="0" w:color="auto" w:frame="1"/>
        </w:rPr>
        <w:t>.</w:t>
      </w:r>
    </w:p>
    <w:p w14:paraId="3DF24564" w14:textId="77777777" w:rsidR="003F46B9" w:rsidRDefault="0065662E">
      <w:pPr>
        <w:pStyle w:val="P68B1DB1-Normal5"/>
        <w:spacing w:after="0" w:line="240" w:lineRule="auto"/>
        <w:contextualSpacing/>
        <w:textAlignment w:val="baseline"/>
        <w:rPr>
          <w:rFonts w:eastAsia="Times New Roman" w:cs="Times New Roman"/>
          <w:noProof/>
        </w:rPr>
        <w:sectPr w:rsidR="003F46B9">
          <w:headerReference w:type="even" r:id="rId150"/>
          <w:headerReference w:type="default" r:id="rId151"/>
          <w:footerReference w:type="even" r:id="rId152"/>
          <w:footerReference w:type="default" r:id="rId153"/>
          <w:headerReference w:type="first" r:id="rId154"/>
          <w:footerReference w:type="first" r:id="rId155"/>
          <w:pgSz w:w="12240" w:h="15840"/>
          <w:pgMar w:top="1134" w:right="1418" w:bottom="1134" w:left="1418" w:header="709" w:footer="709" w:gutter="0"/>
          <w:cols w:space="708"/>
          <w:docGrid w:linePitch="360"/>
        </w:sectPr>
      </w:pPr>
      <w:r>
        <w:rPr>
          <w:noProof/>
        </w:rPr>
        <w:t>Provedba ulaganja mora biti dovršena do 30. lipnja 2026.</w:t>
      </w:r>
    </w:p>
    <w:p w14:paraId="125CE18D" w14:textId="77777777" w:rsidR="003F46B9" w:rsidRDefault="0065662E">
      <w:pPr>
        <w:pStyle w:val="P68B1DB1-Standard6"/>
        <w:spacing w:before="240"/>
        <w:jc w:val="both"/>
        <w:rPr>
          <w:rFonts w:ascii="Times New Roman" w:eastAsiaTheme="majorEastAsia" w:hAnsi="Times New Roman" w:cs="Times New Roman"/>
          <w:noProof/>
        </w:rPr>
      </w:pPr>
      <w:r>
        <w:rPr>
          <w:noProof/>
        </w:rPr>
        <w:t>Ulaganje</w:t>
      </w:r>
      <w:r>
        <w:rPr>
          <w:rFonts w:ascii="Times New Roman" w:hAnsi="Times New Roman"/>
          <w:noProof/>
        </w:rPr>
        <w:t xml:space="preserve"> 6. Digitalizacija u području zapošljavanja i socijalne zaštite</w:t>
      </w:r>
    </w:p>
    <w:p w14:paraId="104597FF"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tog ulaganja povećati razinu digitalizacije za </w:t>
      </w:r>
      <w:r>
        <w:rPr>
          <w:noProof/>
        </w:rPr>
        <w:t>nekoliko usluga u području rada i socijalne zaštite, koje se temelje na kupnji opreme i osposobljavanju osoblja.</w:t>
      </w:r>
    </w:p>
    <w:p w14:paraId="58E4C6D6"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nekoliko mjera:</w:t>
      </w:r>
    </w:p>
    <w:p w14:paraId="5BACD83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digitalizacija usluga koje nudi ANOFM (nacionalna agencija za zapošljavanje) (kao što su internetsko pod</w:t>
      </w:r>
      <w:r>
        <w:rPr>
          <w:noProof/>
        </w:rPr>
        <w:t>nošenje dokumenata za registraciju korisnika i dodjelu naknada, mogućnost registracije i pohađanja osposobljavanja putem interneta te procjena stručnih kompetencija, internetski savjetodavni sastanci) i nadogradnja informatičke infrastrukture.</w:t>
      </w:r>
    </w:p>
    <w:p w14:paraId="10F03D2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digitalizaci</w:t>
      </w:r>
      <w:r>
        <w:rPr>
          <w:noProof/>
        </w:rPr>
        <w:t>ja Teritorijalnog inspektorata rada (ITM) usmjerena na aktivnosti kontrole u području radnih odnosa te sigurnosti i zdravlja na radu (IT sustav, elektronički potpisi, pojednostavnjenje postupka obavješćivanja). Nadalje, očekuje se da će projekt REGES-ONLIN</w:t>
      </w:r>
      <w:r>
        <w:rPr>
          <w:noProof/>
        </w:rPr>
        <w:t>E biti usmjeren na digitalizaciju odnosa teritorijalnih inspektorata rada s poslodavcima, čime će se olakšati prijenos podataka o zaposlenicima i njihovim pojedinačnim ugovorima o radu.</w:t>
      </w:r>
    </w:p>
    <w:p w14:paraId="6B65F1D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digitalizacija naknada socijalne pomoći kojom upravlja Nacionalna agen</w:t>
      </w:r>
      <w:r>
        <w:rPr>
          <w:noProof/>
        </w:rPr>
        <w:t>cija za plaćanja i socijalnu inspekciju – ANPIS (uključujući funkcionalne informacijske sustave koji služe korisnicima minimalnog uključivanja). Za ANPIS je predviđen razvoj alata za upravljanje dokumentima i informacijama, komunikacijskih kanala s građani</w:t>
      </w:r>
      <w:r>
        <w:rPr>
          <w:noProof/>
        </w:rPr>
        <w:t xml:space="preserve">ma u stvarnom vremenu, digitalizacije i alata za obradu, uz istodobno osiguravanje sigurnosti podataka. Osim toga, u sinergiji s reformom uključenom u komponentu 13 (socijalne reforme) plana za oporavak i otpornost, očekuje se operacionalizacija digitalne </w:t>
      </w:r>
      <w:r>
        <w:rPr>
          <w:noProof/>
        </w:rPr>
        <w:t>platforme za provedbu minimalnog dohotka za uključivanje.</w:t>
      </w:r>
    </w:p>
    <w:p w14:paraId="40FB3FD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osposobljavanje u području digitalnih vještina za zaposlenike ANOFM-a, ANPIS-a i ITM-a.</w:t>
      </w:r>
    </w:p>
    <w:p w14:paraId="01CDBFDB"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lipnja 2026.</w:t>
      </w:r>
    </w:p>
    <w:p w14:paraId="4D45DB5F" w14:textId="77777777" w:rsidR="003F46B9" w:rsidRDefault="0065662E">
      <w:pPr>
        <w:pStyle w:val="P68B1DB1-Standard6"/>
        <w:spacing w:before="240"/>
        <w:jc w:val="both"/>
        <w:rPr>
          <w:rFonts w:ascii="Times New Roman" w:eastAsia="Times New Roman" w:hAnsi="Times New Roman" w:cs="Times New Roman"/>
          <w:i/>
          <w:noProof/>
        </w:rPr>
      </w:pPr>
      <w:r>
        <w:rPr>
          <w:noProof/>
        </w:rPr>
        <w:t xml:space="preserve">Ulaganje 7. Uvođenje elektroničkih obrazaca </w:t>
      </w:r>
      <w:r>
        <w:rPr>
          <w:noProof/>
        </w:rPr>
        <w:t>e-obrazaca u području javne nabave</w:t>
      </w:r>
    </w:p>
    <w:p w14:paraId="0BFDA8CE"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operacionalizirati standardne elektroničke obrasce koji će se upotrebljavati za objavljivanje obavijesti o javnoj nabavi, kojima se pojednostavnjuju prakse javne nabave na nacionalnoj i europskoj razi</w:t>
      </w:r>
      <w:r>
        <w:rPr>
          <w:noProof/>
        </w:rPr>
        <w:t>ni, u skladu s Provedbenom uredbom (EU) 2019/1780 o utvrđivanju standardnih obrazaca za objavljivanje obavijesti u području javne nabave i stavljanju izvan snage Provedbene uredbe (EU) 2015/1986.</w:t>
      </w:r>
    </w:p>
    <w:p w14:paraId="1D41906C"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uključuje analizu pravnih zahtjeva na razini EU-a i</w:t>
      </w:r>
      <w:r>
        <w:rPr>
          <w:noProof/>
        </w:rPr>
        <w:t xml:space="preserve"> usporedbu s prethodnim obrascima te nastavlja s programima, popisima kodova, pravilima poslovanja i validacijskim pravilima i oznakama, ocjenjuje traženu integraciju sustava, prilagođava e-obrasce, definira i provodi podatkovni model e-obrasca, elektronič</w:t>
      </w:r>
      <w:r>
        <w:rPr>
          <w:noProof/>
        </w:rPr>
        <w:t>ke obrasce i obavijesti. Nadalje, e-obrasci moraju biti integrirani s drugim alatima i uslugama (kao što je sustav poslovne inteligencije nacionalnog sustava javne nabave), a korisnicima se pružaju osposobljavanja.</w:t>
      </w:r>
    </w:p>
    <w:p w14:paraId="774E51CD" w14:textId="77777777" w:rsidR="003F46B9" w:rsidRDefault="0065662E">
      <w:pPr>
        <w:pStyle w:val="P68B1DB1-Normal5"/>
        <w:spacing w:before="120" w:after="0" w:line="240" w:lineRule="auto"/>
        <w:textAlignment w:val="baseline"/>
        <w:rPr>
          <w:rFonts w:eastAsia="Times New Roman" w:cs="Times New Roman"/>
          <w:noProof/>
        </w:rPr>
        <w:sectPr w:rsidR="003F46B9">
          <w:headerReference w:type="even" r:id="rId156"/>
          <w:headerReference w:type="default" r:id="rId157"/>
          <w:footerReference w:type="even" r:id="rId158"/>
          <w:footerReference w:type="default" r:id="rId159"/>
          <w:headerReference w:type="first" r:id="rId160"/>
          <w:footerReference w:type="first" r:id="rId161"/>
          <w:pgSz w:w="12240" w:h="15840"/>
          <w:pgMar w:top="1134" w:right="1418" w:bottom="1134" w:left="1418" w:header="709" w:footer="709" w:gutter="0"/>
          <w:cols w:space="708"/>
          <w:docGrid w:linePitch="360"/>
        </w:sectPr>
      </w:pPr>
      <w:r>
        <w:rPr>
          <w:noProof/>
        </w:rPr>
        <w:t>Provedba ulaganja mora biti dovršena do 30. lipnja 2023.</w:t>
      </w:r>
    </w:p>
    <w:p w14:paraId="12A52C1F" w14:textId="730170B5" w:rsidR="003F46B9" w:rsidRDefault="0065662E">
      <w:pPr>
        <w:pStyle w:val="P68B1DB1-Standard6"/>
        <w:spacing w:before="240"/>
        <w:jc w:val="both"/>
        <w:rPr>
          <w:rFonts w:ascii="Times New Roman" w:eastAsia="Times New Roman" w:hAnsi="Times New Roman" w:cs="Times New Roman"/>
          <w:i/>
          <w:noProof/>
        </w:rPr>
      </w:pPr>
      <w:r>
        <w:rPr>
          <w:noProof/>
        </w:rPr>
        <w:t>Ulaganje 8. Elektronička osobna iskaznica i digitalni potpis</w:t>
      </w:r>
    </w:p>
    <w:p w14:paraId="659A6478"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tog ulaganja poduprijeti prijelaz i donošenje elektroničke osobne iskaznice (e-osobne iskaznice) od strane </w:t>
      </w:r>
      <w:r>
        <w:rPr>
          <w:noProof/>
        </w:rPr>
        <w:t>rumunjskih državljana. Ulaganje je ključno za olakšavanje digitalne interakcije između javnih/privatnih subjekata i građana.</w:t>
      </w:r>
    </w:p>
    <w:p w14:paraId="6F0D4D2C" w14:textId="194DBAC1"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w:t>
      </w:r>
    </w:p>
    <w:p w14:paraId="6C567B4E" w14:textId="7397704C" w:rsidR="003F46B9" w:rsidRDefault="0065662E">
      <w:pPr>
        <w:pStyle w:val="P68B1DB1-ListParagraph13"/>
        <w:numPr>
          <w:ilvl w:val="0"/>
          <w:numId w:val="59"/>
        </w:numPr>
        <w:spacing w:before="120" w:after="0" w:line="240" w:lineRule="auto"/>
        <w:jc w:val="both"/>
        <w:textAlignment w:val="baseline"/>
        <w:rPr>
          <w:rFonts w:eastAsia="Times New Roman" w:cs="Times New Roman"/>
          <w:noProof/>
        </w:rPr>
      </w:pPr>
      <w:r>
        <w:rPr>
          <w:noProof/>
        </w:rPr>
        <w:t>izdavanje 5 milijuna elektroničkih osobnih iskaznica tijekom provedbe nacionalnog plana za oporavak i otpor</w:t>
      </w:r>
      <w:r>
        <w:rPr>
          <w:noProof/>
        </w:rPr>
        <w:t>nost. U elektroničkoj osobnoj iskaznici pohranjuju se dva digitalna certifikata: i. jedno kojim se omogućuje autentikacija za korištenje internetskih usluga javne uprave, koja se može upotrebljavati od trenutka izdavanja elektroničke osobne iskaznice i ii.</w:t>
      </w:r>
      <w:r>
        <w:rPr>
          <w:noProof/>
        </w:rPr>
        <w:t xml:space="preserve"> fakultativna za kvalificirani elektronički potpis koji su izdali kvalificirani pružatelji usluga certificiranja, a koji građani mogu kupiti;</w:t>
      </w:r>
    </w:p>
    <w:p w14:paraId="4CC555F2" w14:textId="696F208B" w:rsidR="003F46B9" w:rsidRDefault="0065662E">
      <w:pPr>
        <w:pStyle w:val="P68B1DB1-ListParagraph13"/>
        <w:numPr>
          <w:ilvl w:val="0"/>
          <w:numId w:val="59"/>
        </w:numPr>
        <w:spacing w:before="120" w:after="0" w:line="240" w:lineRule="auto"/>
        <w:jc w:val="both"/>
        <w:textAlignment w:val="baseline"/>
        <w:rPr>
          <w:rFonts w:eastAsia="Times New Roman" w:cs="Times New Roman"/>
          <w:noProof/>
        </w:rPr>
      </w:pPr>
      <w:r>
        <w:rPr>
          <w:noProof/>
        </w:rPr>
        <w:t xml:space="preserve">razvoj i provedba 11 internetskih javnih usluga, s barem razinom „3” sofisticiranosti koje moraju biti dostupne s </w:t>
      </w:r>
      <w:r>
        <w:rPr>
          <w:noProof/>
        </w:rPr>
        <w:t>pomoću elektroničke osobne iskaznice. Te internetske javne usluge uključuju sljedeće sastavnice: IT &amp; C infrastruktura za razvoj, pružanje i bolji kontinuitet usluga kojima se pristupa putem elektroničke osobne iskaznice, rješenja za virtualizaciju za pobo</w:t>
      </w:r>
      <w:r>
        <w:rPr>
          <w:noProof/>
        </w:rPr>
        <w:t xml:space="preserve">ljšanje dostupnosti infrastrukture kako bi se osigurao pristup elektroničkim uslugama, širenje postojećih rezervnih jedinica i oporavka od katastrofa s pomoću modularnih rješenja; </w:t>
      </w:r>
    </w:p>
    <w:p w14:paraId="497F136F" w14:textId="77777777" w:rsidR="003F46B9" w:rsidRDefault="0065662E">
      <w:pPr>
        <w:pStyle w:val="P68B1DB1-ListParagraph13"/>
        <w:numPr>
          <w:ilvl w:val="0"/>
          <w:numId w:val="59"/>
        </w:numPr>
        <w:spacing w:before="120" w:after="0" w:line="240" w:lineRule="auto"/>
        <w:jc w:val="both"/>
        <w:textAlignment w:val="baseline"/>
        <w:rPr>
          <w:rFonts w:eastAsia="Times New Roman" w:cs="Times New Roman"/>
          <w:noProof/>
        </w:rPr>
      </w:pPr>
      <w:r>
        <w:rPr>
          <w:noProof/>
        </w:rPr>
        <w:t>razvoj sustava ranog upozoravanja u pogledu sigurnosnih rizika (uključujući</w:t>
      </w:r>
      <w:r>
        <w:rPr>
          <w:noProof/>
        </w:rPr>
        <w:t xml:space="preserve"> kiberrizike); </w:t>
      </w:r>
    </w:p>
    <w:p w14:paraId="2B196018" w14:textId="77777777" w:rsidR="003F46B9" w:rsidRDefault="0065662E">
      <w:pPr>
        <w:pStyle w:val="P68B1DB1-ListParagraph13"/>
        <w:numPr>
          <w:ilvl w:val="0"/>
          <w:numId w:val="59"/>
        </w:numPr>
        <w:spacing w:before="120" w:after="0" w:line="240" w:lineRule="auto"/>
        <w:jc w:val="both"/>
        <w:textAlignment w:val="baseline"/>
        <w:rPr>
          <w:rFonts w:eastAsia="Times New Roman" w:cs="Times New Roman"/>
          <w:noProof/>
        </w:rPr>
      </w:pPr>
      <w:r>
        <w:rPr>
          <w:noProof/>
        </w:rPr>
        <w:t xml:space="preserve">provedba kampanje podizanja svijesti kojom se potiče raširena upotreba elektroničke osobne iskaznice i implicitno povezanih elektroničkih javnih usluga. </w:t>
      </w:r>
    </w:p>
    <w:p w14:paraId="0788393C"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lipnja 2026.</w:t>
      </w:r>
    </w:p>
    <w:p w14:paraId="10087556"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9. </w:t>
      </w:r>
      <w:r>
        <w:rPr>
          <w:rFonts w:ascii="Times New Roman" w:hAnsi="Times New Roman"/>
          <w:noProof/>
        </w:rPr>
        <w:t>Digitalizacija se</w:t>
      </w:r>
      <w:r>
        <w:rPr>
          <w:rFonts w:ascii="Times New Roman" w:hAnsi="Times New Roman"/>
          <w:noProof/>
        </w:rPr>
        <w:t>ktora nevladinih organizacija</w:t>
      </w:r>
    </w:p>
    <w:p w14:paraId="2F8A231C"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poduprijeti digitalnu transformaciju nevladinih organizacija i povećati razinu digitalne pismenosti zaposlenika.</w:t>
      </w:r>
    </w:p>
    <w:p w14:paraId="6171ABDB"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poziva na podnošenje projekata i dodjeljuje se 200 bespovratnih sreds</w:t>
      </w:r>
      <w:r>
        <w:rPr>
          <w:noProof/>
        </w:rPr>
        <w:t>tava (najviše 70 000 EUR za razdoblje provedbe od najviše 30 mjeseci) nevladinim organizacijama za ulaganja u digitalnu infrastrukturu, digitalne vještine osoblja i volontera, razvoj platformi za upravljanje odnosima s klijentima i kupnju opreme. Osim toga</w:t>
      </w:r>
      <w:r>
        <w:rPr>
          <w:noProof/>
        </w:rPr>
        <w:t>, u okviru tog ulaganja osniva se resursni centar za digitalnu transformaciju nevladinih organizacija. Centar podupire razvoj informatičkih usluga i softverskih rješenja otvorenog koda te tehničku pomoć u provedbi strategija digitalne transformacije, centr</w:t>
      </w:r>
      <w:r>
        <w:rPr>
          <w:noProof/>
        </w:rPr>
        <w:t>alizirajući postojeće digitalne resurse u otvorenu digitalnu knjižaru omogućujući lakši pristup, pomoć, e-učenje i osposobljavanje, zajednice prakse i prilagođenu potporu u procesima digitalne transformacije.</w:t>
      </w:r>
    </w:p>
    <w:p w14:paraId="60DAE3B9"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w:t>
      </w:r>
      <w:r>
        <w:rPr>
          <w:noProof/>
        </w:rPr>
        <w:t>nja 2025.</w:t>
      </w:r>
    </w:p>
    <w:p w14:paraId="485F1104"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10. Digitalna transformacija u upravljanju javnim službama</w:t>
      </w:r>
      <w:r>
        <w:rPr>
          <w:rFonts w:ascii="Times New Roman" w:hAnsi="Times New Roman"/>
          <w:noProof/>
        </w:rPr>
        <w:t xml:space="preserve"> </w:t>
      </w:r>
    </w:p>
    <w:p w14:paraId="021C9402"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poboljšati javnu službu smanjenjem birokracije i povećanjem kvalitete javnih usluga putem dobro obučene i stručne javne službe. To je ulaganje povezano s ko</w:t>
      </w:r>
      <w:r>
        <w:rPr>
          <w:noProof/>
        </w:rPr>
        <w:t>mponentom 14 (Dobro upravljanje).</w:t>
      </w:r>
    </w:p>
    <w:p w14:paraId="1D66C421"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operacionalizacije dviju interoperabilnih platformi:</w:t>
      </w:r>
    </w:p>
    <w:p w14:paraId="0A7EF0B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e-ANFP – razvoj i proširenje platforme za upravljanje javnom službom (središnja, teritorijalna i lokalna razina) za sve profesionalne procese (zap</w:t>
      </w:r>
      <w:r>
        <w:rPr>
          <w:noProof/>
        </w:rPr>
        <w:t>ošljavanje, procjena, promaknuće, izlazak iz javnog sustava, na temelju standardiziranog okvira kompetencija i opisa radnih mjesta) i povezanost s institucijama koje surađuju.</w:t>
      </w:r>
    </w:p>
    <w:p w14:paraId="42E4AAD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SIMRU (integrirani sustav upravljanja ljudskim resursima) – razvoj interne platf</w:t>
      </w:r>
      <w:r>
        <w:rPr>
          <w:noProof/>
        </w:rPr>
        <w:t>orme za upravljanje javnim tijelima za procese ljudskih resursa (upravljanje podacima osoblja, organizacijsko upravljanje, upravljanje vremenom, utvrđivanje ciljeva i izvješćivanje).</w:t>
      </w:r>
    </w:p>
    <w:p w14:paraId="5979D8B5"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31. prosinca 2025.</w:t>
      </w:r>
    </w:p>
    <w:p w14:paraId="490BB47D"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11. P</w:t>
      </w:r>
      <w:r>
        <w:rPr>
          <w:noProof/>
        </w:rPr>
        <w:t>rovedba programa za potporu upotrebi komunikacijskih usluga s pomoću različitih vrsta instrumenata za korisnike, s naglaskom na bijelim područjima</w:t>
      </w:r>
    </w:p>
    <w:p w14:paraId="6117F773"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ovog ulaganja osigurati pokrivenost pristupa internetu vrlo velike brzine u područjima na kojima trži</w:t>
      </w:r>
      <w:r>
        <w:rPr>
          <w:noProof/>
        </w:rPr>
        <w:t>šte ne može samostalno pružati te usluge (zakoni, uključujući područja u nepovoljnom položaju). Minimalna brzina mora biti prilagodljiva najmanje 100 Mbps, a mreže moraju biti FTTB/H i/ili 5G.</w:t>
      </w:r>
    </w:p>
    <w:p w14:paraId="6F7CE106"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Ulaganje se sastoji od dvaju prioritetnih tokova: i. apsolutni </w:t>
      </w:r>
      <w:r>
        <w:rPr>
          <w:noProof/>
        </w:rPr>
        <w:t>prioritet koji je usmjeren na potpuno bijele ruralne općine koje ne opslužuju fiksne mreže, ali u kojima postoje latentna potražnja ili socioekonomski pokretači i ii. temeljni prioritet usmjeren na fiksne mreže u kojima je potrebno poboljšati brzinu, a trž</w:t>
      </w:r>
      <w:r>
        <w:rPr>
          <w:noProof/>
        </w:rPr>
        <w:t>ište ne zadovoljava te potrebe. Ulaganjem se financiraju pasivna infrastruktura i aktivni elementi mreže, posrednički i pristupni segment, uspostava novih mreža ili nadogradnja postojećih.</w:t>
      </w:r>
    </w:p>
    <w:p w14:paraId="24D192C0"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31. prosinca 2025.</w:t>
      </w:r>
    </w:p>
    <w:p w14:paraId="16F79510" w14:textId="77777777" w:rsidR="003F46B9" w:rsidRDefault="0065662E">
      <w:pPr>
        <w:pStyle w:val="P68B1DB1-Standard6"/>
        <w:spacing w:before="240"/>
        <w:jc w:val="both"/>
        <w:rPr>
          <w:rFonts w:ascii="Times New Roman" w:eastAsiaTheme="majorEastAsia" w:hAnsi="Times New Roman" w:cs="Times New Roman"/>
          <w:noProof/>
        </w:rPr>
      </w:pPr>
      <w:r>
        <w:rPr>
          <w:noProof/>
        </w:rPr>
        <w:t>Ulaganje</w:t>
      </w:r>
      <w:r>
        <w:rPr>
          <w:noProof/>
        </w:rPr>
        <w:t xml:space="preserve"> 12. Osiguravanje zaštite kibersigurnosti za javnu i privatnu infrastrukturu informacijske i komunikacijske tehnologije s ključnom vrijednošću za nacionalnu sigurnost primjenom pametnih tehnologija</w:t>
      </w:r>
    </w:p>
    <w:p w14:paraId="331E3AF7"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ojačati kapacitete nacionalnog centra</w:t>
      </w:r>
      <w:r>
        <w:rPr>
          <w:noProof/>
        </w:rPr>
        <w:t xml:space="preserve"> za kiberinte i osigurati sigurnost infrastrukture najmanje 101 institucije i subjekta s kritičnom infrastrukturom IKT-a na nacionalnoj razini (ministarstva, agencije, dobavljači/distributeri energije, zdravstvo, promet, opskrba vodom). </w:t>
      </w:r>
    </w:p>
    <w:p w14:paraId="29C8D964"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Ulaganje se </w:t>
      </w:r>
      <w:r>
        <w:rPr>
          <w:noProof/>
        </w:rPr>
        <w:t>sastoji od nekoliko smjerova djelovanja:</w:t>
      </w:r>
    </w:p>
    <w:p w14:paraId="1948ABF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Pružanje kibersigurnosnih rješenja, opreme i osposobljavanja za subjekte odabrane na temelju stupnja osjetljivosti na kibernapade, mogućeg učinka kibernapada na pružene usluge, vjerojatnosti da će biti meta velikih </w:t>
      </w:r>
      <w:r>
        <w:rPr>
          <w:noProof/>
        </w:rPr>
        <w:t>kibernapada, nacionalne/regionalne pokrivenosti i broja primatelja usluga koje subjekti pružaju.</w:t>
      </w:r>
    </w:p>
    <w:p w14:paraId="13FB00E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Razvoj kapaciteta nacionalnog centra za kiberinte operacionalizacijom platforme za sigurnost i usmjeravanje podataka za prijenos između mreža različitih razina</w:t>
      </w:r>
      <w:r>
        <w:rPr>
          <w:noProof/>
        </w:rPr>
        <w:t xml:space="preserve"> povjerenja i povećanjem istražnih kapaciteta centra.</w:t>
      </w:r>
    </w:p>
    <w:p w14:paraId="1F5D3D6F"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31. prosinca 2025.</w:t>
      </w:r>
    </w:p>
    <w:p w14:paraId="570A9DAB"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13. Razvoj sigurnosnih sustava za zaštitu državnog spektra</w:t>
      </w:r>
    </w:p>
    <w:p w14:paraId="4D4F9ADD"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osigurati bežičnu komunikaciju u središnjim i lokalnim javnim institucijama i tijelima. Konkretno, cilj je ulaganja uvođenje bežičnih mehanizama za sprečavanje ranjivosti u komunikacijskim sustavima, razvoj bežičnih rješenja za otkriva</w:t>
      </w:r>
      <w:r>
        <w:rPr>
          <w:noProof/>
        </w:rPr>
        <w:t>nje ranjivosti u komunikacijskim sustavima i stvaranje jedinstvenog bežičnog sustava za upravljanje ranjivostima u komunikacijskim sustavima.</w:t>
      </w:r>
    </w:p>
    <w:p w14:paraId="01F4DFC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provodi stvaranjem nove mreže senzora distribuiranih na nacionalnoj razini smještene na namjenskim pri</w:t>
      </w:r>
      <w:r>
        <w:rPr>
          <w:noProof/>
        </w:rPr>
        <w:t xml:space="preserve">hvatnim mjestima za automatsko otkrivanje i upozoravanje u slučaju smetnji u radiofrekvencijskom spektru. </w:t>
      </w:r>
    </w:p>
    <w:p w14:paraId="2157DC86" w14:textId="77777777" w:rsidR="003F46B9" w:rsidRDefault="0065662E">
      <w:pPr>
        <w:pStyle w:val="P68B1DB1-Normal5"/>
        <w:spacing w:before="120" w:after="0" w:line="240" w:lineRule="auto"/>
        <w:textAlignment w:val="baseline"/>
        <w:rPr>
          <w:noProof/>
        </w:rPr>
      </w:pPr>
      <w:r>
        <w:rPr>
          <w:noProof/>
        </w:rPr>
        <w:t>Provedba ulaganja mora biti dovršena do 31. ožujka 2026.</w:t>
      </w:r>
    </w:p>
    <w:p w14:paraId="0BE4EB18" w14:textId="414579A1" w:rsidR="003F46B9" w:rsidRDefault="0065662E">
      <w:pPr>
        <w:pStyle w:val="P68B1DB1-Standard6"/>
        <w:spacing w:before="240"/>
        <w:jc w:val="both"/>
        <w:rPr>
          <w:noProof/>
        </w:rPr>
      </w:pPr>
      <w:r>
        <w:rPr>
          <w:noProof/>
        </w:rPr>
        <w:t>Ulaganje 14. Povećanje otpornosti i kibersigurnosti infrastrukturnih usluga pružatelja inter</w:t>
      </w:r>
      <w:r>
        <w:rPr>
          <w:noProof/>
        </w:rPr>
        <w:t>netskih usluga koje se pružaju javnim tijelima u Rumunjskoj</w:t>
      </w:r>
    </w:p>
    <w:p w14:paraId="681BA93F"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povećati otpornost infrastrukture pružatelja internetskih usluga (ISP) za javna tijela, uz istodobno osiguravanje njihove kibersigurnosti.</w:t>
      </w:r>
    </w:p>
    <w:p w14:paraId="0838B234"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Ulaganje se sastoji od ažuriranja i </w:t>
      </w:r>
      <w:r>
        <w:rPr>
          <w:noProof/>
        </w:rPr>
        <w:t>širenja gigabitne mreže za pristup internetu za javnu upravu, nadogradnje kapaciteta za kibersigurnost, osiguravanja usluga ISP-a (DNS, web, e-mail, hosting). Svaka rumunjska županija spaja se na nacionalnu internetsku distribucijsku mrežu.</w:t>
      </w:r>
    </w:p>
    <w:p w14:paraId="02191FF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w:t>
      </w:r>
      <w:r>
        <w:rPr>
          <w:noProof/>
        </w:rPr>
        <w:t>ja mora biti dovršena do 31. prosinca 2024.</w:t>
      </w:r>
    </w:p>
    <w:p w14:paraId="18EC7E4F"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15. Stvaranje novih vještina u području kibersigurnosti za društvo i gospodarstvo</w:t>
      </w:r>
    </w:p>
    <w:p w14:paraId="43B650ED"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poduprijeti razvoj vještina u području kibersigurnosti za studente, kao i za javne i privatne aktere</w:t>
      </w:r>
      <w:r>
        <w:rPr>
          <w:noProof/>
        </w:rPr>
        <w:t>.</w:t>
      </w:r>
    </w:p>
    <w:p w14:paraId="444B75BB"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dvije glavne mjere:</w:t>
      </w:r>
    </w:p>
    <w:p w14:paraId="1DF0546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provedba osposobljavanja u području kibersigurnosti za 5000 nastavnika (na predsveučilišnoj i sveučilišnoj razini) koji svoje novostečeno znanje prenose studentima diljem Rumunjske. Tim se dijelom ulaganja podiž</w:t>
      </w:r>
      <w:r>
        <w:rPr>
          <w:noProof/>
        </w:rPr>
        <w:t>e svijest o kibersigurnosti i doprinosi dugoročnom učinku na gospodarstvo i društvo.</w:t>
      </w:r>
    </w:p>
    <w:p w14:paraId="27E312F1"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na temelju početne procjene izrađuje se skup alata za povećanje zrelosti u području kibersigurnosti za 1000 sudionika koji će se usredotočiti na operativne, tehnološke i v</w:t>
      </w:r>
      <w:r>
        <w:rPr>
          <w:noProof/>
        </w:rPr>
        <w:t>ještine ciljne skupine.</w:t>
      </w:r>
    </w:p>
    <w:p w14:paraId="4D5A7660"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dovršena do 30. lipnja 2026.</w:t>
      </w:r>
    </w:p>
    <w:p w14:paraId="227C1E03" w14:textId="77777777" w:rsidR="003F46B9" w:rsidRDefault="0065662E">
      <w:pPr>
        <w:pStyle w:val="P68B1DB1-Standard6"/>
        <w:spacing w:before="240"/>
        <w:jc w:val="both"/>
        <w:rPr>
          <w:rFonts w:ascii="Times New Roman" w:eastAsia="Times New Roman" w:hAnsi="Times New Roman" w:cs="Times New Roman"/>
          <w:i/>
          <w:noProof/>
        </w:rPr>
      </w:pPr>
      <w:r>
        <w:rPr>
          <w:noProof/>
        </w:rPr>
        <w:t>Ulaganje 16. Program osposobljavanja državnih službenika u području naprednih digitalnih vještina</w:t>
      </w:r>
    </w:p>
    <w:p w14:paraId="0E982A77"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Cilj je tog ulaganja povećati napredne digitalne vještine državnih službenika</w:t>
      </w:r>
      <w:r>
        <w:rPr>
          <w:noProof/>
        </w:rPr>
        <w:t>, s ciljem podupiranja digitalizacije javnih usluga poboljšanjem dostupnosti kvalificirane radne snage za unutarnje operacije u području IT-a i C-a.</w:t>
      </w:r>
    </w:p>
    <w:p w14:paraId="7EA1D4BE" w14:textId="2BD5CAB7" w:rsidR="003F46B9" w:rsidRDefault="0065662E">
      <w:pPr>
        <w:pStyle w:val="P68B1DB1-Normal5"/>
        <w:spacing w:before="120" w:after="0" w:line="240" w:lineRule="auto"/>
        <w:jc w:val="both"/>
        <w:textAlignment w:val="baseline"/>
        <w:rPr>
          <w:rFonts w:eastAsia="Times New Roman" w:cs="Times New Roman"/>
          <w:noProof/>
        </w:rPr>
      </w:pPr>
      <w:r>
        <w:rPr>
          <w:noProof/>
        </w:rPr>
        <w:t>Ulaganje se sastoji od osposobljavanja za napredne digitalne vještine (upravljanje bazama podataka, upravlj</w:t>
      </w:r>
      <w:r>
        <w:rPr>
          <w:noProof/>
        </w:rPr>
        <w:t>anje sustavom, poslovna analiza, analiza podataka, programiranje) za 32500 državnih službenika (od čega 2500 državnih službenika u kategorijama viših karijera). Unaprijed se provodi analiza potreba za osposobljavanjem.</w:t>
      </w:r>
    </w:p>
    <w:p w14:paraId="216B8219"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Provedba ulaganja mora biti dovršena </w:t>
      </w:r>
      <w:r>
        <w:rPr>
          <w:noProof/>
        </w:rPr>
        <w:t>do 30. lipnja 2026.</w:t>
      </w:r>
    </w:p>
    <w:p w14:paraId="346AC35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17. Programi financiranja knjižnica kako bi postali centri za digitalne vještine</w:t>
      </w:r>
    </w:p>
    <w:p w14:paraId="7ED4944D"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Cilj je tog ulaganja poboljšati osnovne digitalne vještine zajednica s ograničenim pristupom digitalnom osposobljavanju i marginaliziranih </w:t>
      </w:r>
      <w:r>
        <w:rPr>
          <w:noProof/>
        </w:rPr>
        <w:t xml:space="preserve">skupina. Ulaganja se sastoje od prenamjene 105 knjižnica u centre za razvoj digitalnih vještina, što se temelji na dodatnim sredstvima za 1030 knjižnica za promjenu/nadogradnju svoje informatičke opreme. U okviru tog ulaganja očekuje se da će se za 100000 </w:t>
      </w:r>
      <w:r>
        <w:rPr>
          <w:noProof/>
        </w:rPr>
        <w:t>građana iz zajednica u nepovoljnom položaju razviti osnovne vještine kao što su digitalna pismenost, komunikacija, medijska pismenost, stvaratelj digitalnog sadržaja, digitalna sigurnost i digitalno poduzetničko obrazovanje.</w:t>
      </w:r>
    </w:p>
    <w:p w14:paraId="3C4A5AEA"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Provedba ulaganja mora biti dov</w:t>
      </w:r>
      <w:r>
        <w:rPr>
          <w:noProof/>
        </w:rPr>
        <w:t>ršena do 30. lipnja 2026.</w:t>
      </w:r>
    </w:p>
    <w:p w14:paraId="0B8E901D" w14:textId="77777777" w:rsidR="003F46B9" w:rsidRDefault="003F46B9">
      <w:pPr>
        <w:rPr>
          <w:rFonts w:ascii="Times New Roman" w:eastAsia="Times New Roman" w:hAnsi="Times New Roman" w:cs="Times New Roman"/>
          <w:noProof/>
          <w:sz w:val="24"/>
        </w:rPr>
      </w:pPr>
    </w:p>
    <w:p w14:paraId="773B587C" w14:textId="77777777" w:rsidR="003F46B9" w:rsidRDefault="003F46B9">
      <w:pPr>
        <w:spacing w:before="120" w:after="0" w:line="240" w:lineRule="auto"/>
        <w:jc w:val="both"/>
        <w:textAlignment w:val="baseline"/>
        <w:rPr>
          <w:rFonts w:ascii="Times New Roman" w:eastAsia="Times New Roman" w:hAnsi="Times New Roman" w:cs="Times New Roman"/>
          <w:noProof/>
          <w:sz w:val="24"/>
        </w:rPr>
        <w:sectPr w:rsidR="003F46B9">
          <w:headerReference w:type="even" r:id="rId162"/>
          <w:headerReference w:type="default" r:id="rId163"/>
          <w:footerReference w:type="even" r:id="rId164"/>
          <w:footerReference w:type="default" r:id="rId165"/>
          <w:headerReference w:type="first" r:id="rId166"/>
          <w:footerReference w:type="first" r:id="rId167"/>
          <w:pgSz w:w="12240" w:h="15840"/>
          <w:pgMar w:top="1134" w:right="1418" w:bottom="1134" w:left="1418" w:header="709" w:footer="709" w:gutter="0"/>
          <w:cols w:space="708"/>
          <w:docGrid w:linePitch="360"/>
        </w:sectPr>
      </w:pPr>
    </w:p>
    <w:p w14:paraId="3ABE96D7"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G.2. </w:t>
      </w:r>
      <w:r>
        <w:rPr>
          <w:noProof/>
        </w:rPr>
        <w:tab/>
      </w:r>
      <w:r>
        <w:rPr>
          <w:rFonts w:ascii="Times New Roman" w:hAnsi="Times New Roman"/>
          <w:b/>
          <w:noProof/>
          <w:sz w:val="24"/>
        </w:rPr>
        <w:t>Ključne etape, ciljne vrijednosti i vremenski raspored za praćenje i provedbu programa bespovratne financijske potpore</w:t>
      </w:r>
    </w:p>
    <w:tbl>
      <w:tblPr>
        <w:tblW w:w="14923" w:type="dxa"/>
        <w:jc w:val="center"/>
        <w:tblLayout w:type="fixed"/>
        <w:tblCellMar>
          <w:left w:w="28" w:type="dxa"/>
          <w:right w:w="28" w:type="dxa"/>
        </w:tblCellMar>
        <w:tblLook w:val="04A0" w:firstRow="1" w:lastRow="0" w:firstColumn="1" w:lastColumn="0" w:noHBand="0" w:noVBand="1"/>
      </w:tblPr>
      <w:tblGrid>
        <w:gridCol w:w="1252"/>
        <w:gridCol w:w="1740"/>
        <w:gridCol w:w="1073"/>
        <w:gridCol w:w="1741"/>
        <w:gridCol w:w="1474"/>
        <w:gridCol w:w="940"/>
        <w:gridCol w:w="1341"/>
        <w:gridCol w:w="725"/>
        <w:gridCol w:w="908"/>
        <w:gridCol w:w="708"/>
        <w:gridCol w:w="3021"/>
      </w:tblGrid>
      <w:tr w:rsidR="003F46B9" w14:paraId="490D4F72" w14:textId="77777777">
        <w:trPr>
          <w:trHeight w:val="309"/>
          <w:tblHeader/>
          <w:jc w:val="center"/>
        </w:trPr>
        <w:tc>
          <w:tcPr>
            <w:tcW w:w="125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CAD9172" w14:textId="77777777" w:rsidR="003F46B9" w:rsidRDefault="0065662E">
            <w:pPr>
              <w:pStyle w:val="P68B1DB1-Normal1"/>
              <w:spacing w:after="0" w:line="240" w:lineRule="auto"/>
              <w:jc w:val="center"/>
              <w:rPr>
                <w:rFonts w:eastAsia="Times New Roman" w:cs="Times New Roman"/>
                <w:noProof/>
              </w:rPr>
            </w:pPr>
            <w:r>
              <w:rPr>
                <w:noProof/>
              </w:rPr>
              <w:t>Redni broj</w:t>
            </w:r>
          </w:p>
        </w:tc>
        <w:tc>
          <w:tcPr>
            <w:tcW w:w="1740"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9B185FF"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07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A6E81B2"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74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725F61" w14:textId="77777777" w:rsidR="003F46B9" w:rsidRDefault="0065662E">
            <w:pPr>
              <w:pStyle w:val="P68B1DB1-Normal1"/>
              <w:spacing w:after="0" w:line="240" w:lineRule="auto"/>
              <w:jc w:val="center"/>
              <w:rPr>
                <w:rFonts w:eastAsia="Times New Roman" w:cs="Times New Roman"/>
                <w:noProof/>
              </w:rPr>
            </w:pPr>
            <w:r>
              <w:rPr>
                <w:noProof/>
              </w:rPr>
              <w:t>Ime</w:t>
            </w:r>
          </w:p>
        </w:tc>
        <w:tc>
          <w:tcPr>
            <w:tcW w:w="1474"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AC204A6" w14:textId="7D152392"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006"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0392A2B" w14:textId="0ED71409"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616"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13B9F7"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dovršetak</w:t>
            </w:r>
          </w:p>
        </w:tc>
        <w:tc>
          <w:tcPr>
            <w:tcW w:w="3021"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BD22CCB"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3A26A1A2" w14:textId="77777777">
        <w:trPr>
          <w:trHeight w:val="309"/>
          <w:tblHeader/>
          <w:jc w:val="center"/>
        </w:trPr>
        <w:tc>
          <w:tcPr>
            <w:tcW w:w="1252" w:type="dxa"/>
            <w:vMerge/>
            <w:tcBorders>
              <w:top w:val="single" w:sz="4" w:space="0" w:color="auto"/>
              <w:left w:val="single" w:sz="4" w:space="0" w:color="auto"/>
              <w:bottom w:val="single" w:sz="4" w:space="0" w:color="auto"/>
              <w:right w:val="single" w:sz="4" w:space="0" w:color="auto"/>
            </w:tcBorders>
            <w:noWrap/>
            <w:vAlign w:val="center"/>
          </w:tcPr>
          <w:p w14:paraId="1EADB13E" w14:textId="77777777" w:rsidR="003F46B9" w:rsidRDefault="003F46B9">
            <w:pPr>
              <w:spacing w:after="0" w:line="240" w:lineRule="auto"/>
              <w:jc w:val="center"/>
              <w:rPr>
                <w:rFonts w:ascii="Times New Roman" w:eastAsia="Times New Roman" w:hAnsi="Times New Roman" w:cs="Times New Roman"/>
                <w:b/>
                <w:noProof/>
                <w:sz w:val="24"/>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14:paraId="08754F6C" w14:textId="77777777" w:rsidR="003F46B9" w:rsidRDefault="003F46B9">
            <w:pPr>
              <w:spacing w:after="0" w:line="240" w:lineRule="auto"/>
              <w:jc w:val="center"/>
              <w:rPr>
                <w:rFonts w:ascii="Times New Roman" w:eastAsia="Times New Roman" w:hAnsi="Times New Roman" w:cs="Times New Roman"/>
                <w:b/>
                <w:noProof/>
                <w:sz w:val="24"/>
              </w:rPr>
            </w:pPr>
          </w:p>
        </w:tc>
        <w:tc>
          <w:tcPr>
            <w:tcW w:w="1073" w:type="dxa"/>
            <w:vMerge/>
            <w:tcBorders>
              <w:top w:val="single" w:sz="4" w:space="0" w:color="auto"/>
              <w:left w:val="single" w:sz="4" w:space="0" w:color="auto"/>
              <w:bottom w:val="single" w:sz="4" w:space="0" w:color="auto"/>
              <w:right w:val="single" w:sz="4" w:space="0" w:color="auto"/>
            </w:tcBorders>
            <w:noWrap/>
            <w:vAlign w:val="center"/>
          </w:tcPr>
          <w:p w14:paraId="1774A90B" w14:textId="77777777" w:rsidR="003F46B9" w:rsidRDefault="003F46B9">
            <w:pPr>
              <w:spacing w:after="0" w:line="240" w:lineRule="auto"/>
              <w:jc w:val="center"/>
              <w:rPr>
                <w:rFonts w:ascii="Times New Roman" w:eastAsia="Times New Roman" w:hAnsi="Times New Roman" w:cs="Times New Roman"/>
                <w:b/>
                <w:noProof/>
                <w:sz w:val="24"/>
              </w:rPr>
            </w:pPr>
          </w:p>
        </w:tc>
        <w:tc>
          <w:tcPr>
            <w:tcW w:w="1741" w:type="dxa"/>
            <w:vMerge/>
            <w:tcBorders>
              <w:top w:val="single" w:sz="4" w:space="0" w:color="auto"/>
              <w:left w:val="single" w:sz="4" w:space="0" w:color="auto"/>
              <w:bottom w:val="single" w:sz="4" w:space="0" w:color="auto"/>
              <w:right w:val="single" w:sz="4" w:space="0" w:color="auto"/>
            </w:tcBorders>
            <w:noWrap/>
            <w:vAlign w:val="center"/>
          </w:tcPr>
          <w:p w14:paraId="7185D76C" w14:textId="77777777" w:rsidR="003F46B9" w:rsidRDefault="003F46B9">
            <w:pPr>
              <w:spacing w:after="0" w:line="240" w:lineRule="auto"/>
              <w:jc w:val="center"/>
              <w:rPr>
                <w:rFonts w:ascii="Times New Roman" w:eastAsia="Times New Roman" w:hAnsi="Times New Roman" w:cs="Times New Roman"/>
                <w:b/>
                <w:noProof/>
                <w:sz w:val="24"/>
              </w:rPr>
            </w:pPr>
          </w:p>
        </w:tc>
        <w:tc>
          <w:tcPr>
            <w:tcW w:w="1474" w:type="dxa"/>
            <w:vMerge/>
            <w:tcBorders>
              <w:top w:val="single" w:sz="4" w:space="0" w:color="auto"/>
              <w:left w:val="single" w:sz="4" w:space="0" w:color="auto"/>
              <w:bottom w:val="single" w:sz="4" w:space="0" w:color="auto"/>
              <w:right w:val="single" w:sz="4" w:space="0" w:color="auto"/>
            </w:tcBorders>
            <w:noWrap/>
            <w:vAlign w:val="center"/>
          </w:tcPr>
          <w:p w14:paraId="36A62E90" w14:textId="77777777" w:rsidR="003F46B9" w:rsidRDefault="003F46B9">
            <w:pPr>
              <w:spacing w:after="0" w:line="240" w:lineRule="auto"/>
              <w:jc w:val="center"/>
              <w:rPr>
                <w:rFonts w:ascii="Times New Roman" w:eastAsia="Times New Roman" w:hAnsi="Times New Roman" w:cs="Times New Roman"/>
                <w:b/>
                <w:noProof/>
                <w:sz w:val="24"/>
              </w:rPr>
            </w:pPr>
          </w:p>
        </w:tc>
        <w:tc>
          <w:tcPr>
            <w:tcW w:w="94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0552C8C"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341"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E9AAF5A"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725"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F460E41" w14:textId="77777777" w:rsidR="003F46B9" w:rsidRDefault="0065662E">
            <w:pPr>
              <w:pStyle w:val="P68B1DB1-Normal1"/>
              <w:spacing w:after="0" w:line="240" w:lineRule="auto"/>
              <w:jc w:val="center"/>
              <w:rPr>
                <w:rFonts w:eastAsia="Times New Roman" w:cs="Times New Roman"/>
                <w:noProof/>
              </w:rPr>
            </w:pPr>
            <w:r>
              <w:rPr>
                <w:noProof/>
              </w:rPr>
              <w:t>Cilj</w:t>
            </w:r>
          </w:p>
        </w:tc>
        <w:tc>
          <w:tcPr>
            <w:tcW w:w="9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9D7F26"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E239CBC"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021" w:type="dxa"/>
            <w:vMerge/>
            <w:tcBorders>
              <w:top w:val="single" w:sz="4" w:space="0" w:color="auto"/>
              <w:bottom w:val="single" w:sz="4" w:space="0" w:color="auto"/>
              <w:right w:val="single" w:sz="4" w:space="0" w:color="auto"/>
            </w:tcBorders>
            <w:noWrap/>
          </w:tcPr>
          <w:p w14:paraId="6740C085"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001C2F8B"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7138C3B" w14:textId="77777777" w:rsidR="003F46B9" w:rsidRDefault="0065662E">
            <w:pPr>
              <w:pStyle w:val="P68B1DB1-Normal5"/>
              <w:spacing w:after="0" w:line="240" w:lineRule="auto"/>
              <w:jc w:val="center"/>
              <w:rPr>
                <w:rFonts w:eastAsia="Times New Roman" w:cs="Times New Roman"/>
                <w:noProof/>
              </w:rPr>
            </w:pPr>
            <w:r>
              <w:rPr>
                <w:noProof/>
              </w:rPr>
              <w:t>142</w:t>
            </w:r>
          </w:p>
        </w:tc>
        <w:tc>
          <w:tcPr>
            <w:tcW w:w="1740" w:type="dxa"/>
            <w:tcBorders>
              <w:top w:val="single" w:sz="4" w:space="0" w:color="auto"/>
              <w:left w:val="nil"/>
              <w:bottom w:val="single" w:sz="4" w:space="0" w:color="auto"/>
              <w:right w:val="single" w:sz="4" w:space="0" w:color="auto"/>
            </w:tcBorders>
            <w:shd w:val="clear" w:color="auto" w:fill="C6EFCE"/>
            <w:noWrap/>
          </w:tcPr>
          <w:p w14:paraId="43F79F1B" w14:textId="77777777" w:rsidR="003F46B9" w:rsidRDefault="0065662E">
            <w:pPr>
              <w:pStyle w:val="P68B1DB1-Normal5"/>
              <w:spacing w:after="0" w:line="240" w:lineRule="auto"/>
              <w:jc w:val="both"/>
              <w:rPr>
                <w:rFonts w:eastAsia="Times New Roman" w:cs="Times New Roman"/>
                <w:noProof/>
              </w:rPr>
            </w:pPr>
            <w:r>
              <w:rPr>
                <w:noProof/>
              </w:rPr>
              <w:t xml:space="preserve">Reforma 1. Razvoj jedinstvenog okvira za definiranje arhitekture državnog sustava računalstva u oblaku </w:t>
            </w:r>
          </w:p>
          <w:p w14:paraId="0D9FA966"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413278AF"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484CA81E" w14:textId="77777777" w:rsidR="003F46B9" w:rsidRDefault="0065662E">
            <w:pPr>
              <w:pStyle w:val="P68B1DB1-Normal5"/>
              <w:spacing w:after="0" w:line="240" w:lineRule="auto"/>
              <w:jc w:val="both"/>
              <w:rPr>
                <w:rFonts w:eastAsia="Times New Roman" w:cs="Times New Roman"/>
                <w:noProof/>
              </w:rPr>
            </w:pPr>
            <w:r>
              <w:rPr>
                <w:noProof/>
              </w:rPr>
              <w:t xml:space="preserve">Uspostavljena i operativna radna skupina za provedbu i praćenje reformi i ulaganja u području digitalne </w:t>
            </w:r>
            <w:r>
              <w:rPr>
                <w:noProof/>
              </w:rPr>
              <w:t>transformacije</w:t>
            </w:r>
          </w:p>
        </w:tc>
        <w:tc>
          <w:tcPr>
            <w:tcW w:w="1474" w:type="dxa"/>
            <w:tcBorders>
              <w:top w:val="single" w:sz="4" w:space="0" w:color="auto"/>
              <w:left w:val="nil"/>
              <w:bottom w:val="single" w:sz="4" w:space="0" w:color="auto"/>
              <w:right w:val="single" w:sz="4" w:space="0" w:color="auto"/>
            </w:tcBorders>
            <w:shd w:val="clear" w:color="auto" w:fill="C6EFCE"/>
            <w:noWrap/>
          </w:tcPr>
          <w:p w14:paraId="3FDA58DF" w14:textId="77777777" w:rsidR="003F46B9" w:rsidRDefault="0065662E">
            <w:pPr>
              <w:pStyle w:val="P68B1DB1-Normal5"/>
              <w:spacing w:after="0" w:line="240" w:lineRule="auto"/>
              <w:jc w:val="both"/>
              <w:rPr>
                <w:rFonts w:eastAsia="Times New Roman" w:cs="Times New Roman"/>
                <w:noProof/>
              </w:rPr>
            </w:pPr>
            <w:r>
              <w:rPr>
                <w:noProof/>
              </w:rPr>
              <w:t>Stupanje na snagu ministarske odluke o osnivanju Radne skupine</w:t>
            </w:r>
          </w:p>
        </w:tc>
        <w:tc>
          <w:tcPr>
            <w:tcW w:w="940" w:type="dxa"/>
            <w:tcBorders>
              <w:top w:val="single" w:sz="4" w:space="0" w:color="auto"/>
              <w:left w:val="nil"/>
              <w:bottom w:val="single" w:sz="4" w:space="0" w:color="auto"/>
              <w:right w:val="single" w:sz="4" w:space="0" w:color="auto"/>
            </w:tcBorders>
            <w:shd w:val="clear" w:color="auto" w:fill="C6EFCE"/>
            <w:noWrap/>
          </w:tcPr>
          <w:p w14:paraId="369031EA"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4D79BBF"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E7EE200"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14B0FE42"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516DEF3" w14:textId="77777777" w:rsidR="003F46B9" w:rsidRDefault="0065662E">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3973FA3A" w14:textId="77777777" w:rsidR="003F46B9" w:rsidRDefault="0065662E">
            <w:pPr>
              <w:pStyle w:val="P68B1DB1-Normal5"/>
              <w:spacing w:after="0" w:line="240" w:lineRule="auto"/>
              <w:jc w:val="both"/>
              <w:rPr>
                <w:rFonts w:eastAsia="Times New Roman" w:cs="Times New Roman"/>
                <w:noProof/>
              </w:rPr>
            </w:pPr>
            <w:r>
              <w:rPr>
                <w:noProof/>
              </w:rPr>
              <w:t xml:space="preserve">Operacionalizaciju privremene radne skupine za digitalnu transformaciju koja će tijekom razdoblja provedbe plana za oporavak i otpornost zaposliti 17 </w:t>
            </w:r>
            <w:r>
              <w:rPr>
                <w:noProof/>
              </w:rPr>
              <w:t>visoko specijaliziranih ugovornih radnih mjesta u području digitalnih tehnologija i stručnjaka za upravljanje projektima. Glavne zadaće ovog odjela su:</w:t>
            </w:r>
          </w:p>
          <w:p w14:paraId="315356C4" w14:textId="77777777" w:rsidR="003F46B9" w:rsidRDefault="0065662E">
            <w:pPr>
              <w:pStyle w:val="P68B1DB1-ListParagraph13"/>
              <w:numPr>
                <w:ilvl w:val="0"/>
                <w:numId w:val="52"/>
              </w:numPr>
              <w:spacing w:after="0" w:line="240" w:lineRule="auto"/>
              <w:ind w:left="259" w:hanging="218"/>
              <w:jc w:val="both"/>
              <w:rPr>
                <w:rFonts w:eastAsia="Times New Roman" w:cs="Times New Roman"/>
                <w:noProof/>
              </w:rPr>
            </w:pPr>
            <w:r>
              <w:rPr>
                <w:noProof/>
              </w:rPr>
              <w:t>razvoj i provedbu sektorskih komponenti nacionalnog plana za oporavak i otpornost;</w:t>
            </w:r>
          </w:p>
          <w:p w14:paraId="653472EB"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praćenje provedbe dig</w:t>
            </w:r>
            <w:r>
              <w:rPr>
                <w:noProof/>
              </w:rPr>
              <w:t>italnih reformi i ulaganja u okviru nacionalnog plana za oporavak i otpornost s naglaskom na ključnim projektima i predlaganje hitnih korektivnih mjera za kritične blokove u bliskoj suradnji s drugim uključenim institucijama;</w:t>
            </w:r>
          </w:p>
          <w:p w14:paraId="282999C8"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razvoj sustava za upravljanje </w:t>
            </w:r>
            <w:r>
              <w:rPr>
                <w:noProof/>
              </w:rPr>
              <w:t>uspješnošću projekata kako bi se obuhvatili posebni ciljevi digitalnog stupa;</w:t>
            </w:r>
          </w:p>
          <w:p w14:paraId="5EFD6386"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razvoj i uređivanje regulatornog, metodološkog okvira i funkcionalnih, operativnih i financijskih postupaka u svojem području djelovanja;</w:t>
            </w:r>
          </w:p>
          <w:p w14:paraId="39DFEBAA"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razvoj alata za provedbu politika poveza</w:t>
            </w:r>
            <w:r>
              <w:rPr>
                <w:noProof/>
              </w:rPr>
              <w:t>nih s digitalnim tehnologijama;</w:t>
            </w:r>
          </w:p>
          <w:p w14:paraId="5E60A662"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upravljanje projektima i izvješćivanje o njima u svim fazama ispunjavanja ciljeva utvrđenih u okviru mjera povezanih s digitalnim tehnologijama u nacionalnom planu za oporavak i otpornost;</w:t>
            </w:r>
          </w:p>
          <w:p w14:paraId="3CDBDE56"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ispunjenje svih drugih značajki pot</w:t>
            </w:r>
            <w:r>
              <w:rPr>
                <w:noProof/>
              </w:rPr>
              <w:t>rebnih za provedbu reformi i ulaganja u okviru nacionalnog plana za oporavak i otpornost povezanih s digitalnim tehnologijama.</w:t>
            </w:r>
          </w:p>
          <w:p w14:paraId="59ED4FD3" w14:textId="77777777" w:rsidR="003F46B9" w:rsidRDefault="0065662E">
            <w:pPr>
              <w:pStyle w:val="P68B1DB1-Normal5"/>
              <w:spacing w:after="0" w:line="240" w:lineRule="auto"/>
              <w:jc w:val="both"/>
              <w:rPr>
                <w:rFonts w:eastAsia="Times New Roman" w:cs="Times New Roman"/>
                <w:noProof/>
              </w:rPr>
            </w:pPr>
            <w:r>
              <w:rPr>
                <w:noProof/>
              </w:rPr>
              <w:t>Radnu skupinu koordinira direktor podređen ministru koji je zadužen za područje digitalizacije.</w:t>
            </w:r>
          </w:p>
        </w:tc>
      </w:tr>
      <w:tr w:rsidR="003F46B9" w14:paraId="1C932B6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588B76" w14:textId="77777777" w:rsidR="003F46B9" w:rsidRDefault="0065662E">
            <w:pPr>
              <w:pStyle w:val="P68B1DB1-Normal5"/>
              <w:spacing w:after="0" w:line="240" w:lineRule="auto"/>
              <w:jc w:val="center"/>
              <w:rPr>
                <w:rFonts w:eastAsia="Times New Roman" w:cs="Times New Roman"/>
                <w:noProof/>
              </w:rPr>
            </w:pPr>
            <w:r>
              <w:rPr>
                <w:noProof/>
              </w:rPr>
              <w:t>143</w:t>
            </w:r>
          </w:p>
        </w:tc>
        <w:tc>
          <w:tcPr>
            <w:tcW w:w="1740" w:type="dxa"/>
            <w:tcBorders>
              <w:top w:val="single" w:sz="4" w:space="0" w:color="auto"/>
              <w:left w:val="nil"/>
              <w:bottom w:val="single" w:sz="4" w:space="0" w:color="auto"/>
              <w:right w:val="single" w:sz="4" w:space="0" w:color="auto"/>
            </w:tcBorders>
            <w:shd w:val="clear" w:color="auto" w:fill="C6EFCE"/>
            <w:noWrap/>
          </w:tcPr>
          <w:p w14:paraId="63EB0EE6" w14:textId="77777777" w:rsidR="003F46B9" w:rsidRDefault="0065662E">
            <w:pPr>
              <w:pStyle w:val="P68B1DB1-Normal5"/>
              <w:spacing w:after="0" w:line="240" w:lineRule="auto"/>
              <w:jc w:val="both"/>
              <w:rPr>
                <w:rFonts w:eastAsia="Times New Roman" w:cs="Times New Roman"/>
                <w:noProof/>
              </w:rPr>
            </w:pPr>
            <w:r>
              <w:rPr>
                <w:noProof/>
              </w:rPr>
              <w:t xml:space="preserve">Reforma 1. Razvoj jedinstvenog okvira za definiranje arhitekture državnog sustava računalstva u oblaku </w:t>
            </w:r>
          </w:p>
          <w:p w14:paraId="4BA77E65"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3A8D7A8"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2F66489C" w14:textId="77777777" w:rsidR="003F46B9" w:rsidRDefault="0065662E">
            <w:pPr>
              <w:pStyle w:val="P68B1DB1-Normal5"/>
              <w:spacing w:after="0" w:line="240" w:lineRule="auto"/>
              <w:jc w:val="both"/>
              <w:rPr>
                <w:rFonts w:eastAsia="Times New Roman" w:cs="Times New Roman"/>
                <w:noProof/>
              </w:rPr>
            </w:pPr>
            <w:r>
              <w:rPr>
                <w:noProof/>
              </w:rPr>
              <w:t xml:space="preserve">Dovršena analiza opcija za državnu arhitekturu oblaka </w:t>
            </w:r>
          </w:p>
          <w:p w14:paraId="01FC56D4"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489BA170" w14:textId="77777777" w:rsidR="003F46B9" w:rsidRDefault="0065662E">
            <w:pPr>
              <w:pStyle w:val="P68B1DB1-Normal5"/>
              <w:spacing w:after="0" w:line="240" w:lineRule="auto"/>
              <w:jc w:val="both"/>
              <w:rPr>
                <w:rFonts w:eastAsia="Times New Roman" w:cs="Times New Roman"/>
                <w:noProof/>
              </w:rPr>
            </w:pPr>
            <w:r>
              <w:rPr>
                <w:noProof/>
              </w:rPr>
              <w:t>Izvješće o rezultatima s ocjenom i podnesene preporuke</w:t>
            </w:r>
          </w:p>
          <w:p w14:paraId="158D15CB"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6089B787"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E52AB62"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485934F"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3712D3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7DF956E"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77474B4" w14:textId="77777777" w:rsidR="003F46B9" w:rsidRDefault="0065662E">
            <w:pPr>
              <w:pStyle w:val="P68B1DB1-Normal5"/>
              <w:spacing w:after="0" w:line="240" w:lineRule="auto"/>
              <w:jc w:val="both"/>
              <w:rPr>
                <w:rFonts w:eastAsia="Times New Roman" w:cs="Times New Roman"/>
                <w:noProof/>
              </w:rPr>
            </w:pPr>
            <w:r>
              <w:rPr>
                <w:noProof/>
              </w:rPr>
              <w:t xml:space="preserve">U analizi se navode: </w:t>
            </w:r>
          </w:p>
          <w:p w14:paraId="09ADEBC5"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strateške i tehnološke opcije te zakonodavni i regulatorni paket za utvrđivanje ostvarenja vladina oblaka, uključujući pravila o interoperabilnosti i model upravljanja državnim podacima;</w:t>
            </w:r>
          </w:p>
          <w:p w14:paraId="703A97E4"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mogućnosti izgradnje, isporuke, postavljanja i </w:t>
            </w:r>
            <w:r>
              <w:rPr>
                <w:noProof/>
              </w:rPr>
              <w:t xml:space="preserve">rada civilne i tehnološke infrastrukture u skladu s rokovima utvrđenima u Planu; </w:t>
            </w:r>
          </w:p>
          <w:p w14:paraId="12E1EFEE"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mapiranje javnih digitalnih aplikacija/usluga koje trenutačno nude državna tijela, osmišljavanje procesa i postupaka koji se provode u fazama proizvodnje i/ili provedbe; </w:t>
            </w:r>
          </w:p>
          <w:p w14:paraId="00BE38BC"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pla</w:t>
            </w:r>
            <w:r>
              <w:rPr>
                <w:noProof/>
              </w:rPr>
              <w:t>n razvoja/migracije u oblaku za mapirane aplikacije.</w:t>
            </w:r>
          </w:p>
        </w:tc>
      </w:tr>
      <w:tr w:rsidR="003F46B9" w14:paraId="0317323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4F52DF1" w14:textId="77777777" w:rsidR="003F46B9" w:rsidRDefault="0065662E">
            <w:pPr>
              <w:pStyle w:val="P68B1DB1-Normal5"/>
              <w:spacing w:after="0" w:line="240" w:lineRule="auto"/>
              <w:jc w:val="center"/>
              <w:rPr>
                <w:rFonts w:eastAsia="Times New Roman" w:cs="Times New Roman"/>
                <w:noProof/>
              </w:rPr>
            </w:pPr>
            <w:r>
              <w:rPr>
                <w:noProof/>
              </w:rPr>
              <w:t>144</w:t>
            </w:r>
          </w:p>
        </w:tc>
        <w:tc>
          <w:tcPr>
            <w:tcW w:w="1740" w:type="dxa"/>
            <w:tcBorders>
              <w:top w:val="single" w:sz="4" w:space="0" w:color="auto"/>
              <w:left w:val="nil"/>
              <w:bottom w:val="single" w:sz="4" w:space="0" w:color="auto"/>
              <w:right w:val="single" w:sz="4" w:space="0" w:color="auto"/>
            </w:tcBorders>
            <w:shd w:val="clear" w:color="auto" w:fill="C6EFCE"/>
            <w:noWrap/>
          </w:tcPr>
          <w:p w14:paraId="5CF050E0" w14:textId="5FC8B6EA" w:rsidR="003F46B9" w:rsidRDefault="0065662E">
            <w:pPr>
              <w:pStyle w:val="P68B1DB1-Normal5"/>
              <w:spacing w:after="0" w:line="240" w:lineRule="auto"/>
              <w:jc w:val="both"/>
              <w:rPr>
                <w:rFonts w:eastAsia="Times New Roman" w:cs="Times New Roman"/>
                <w:noProof/>
              </w:rPr>
            </w:pPr>
            <w:r>
              <w:rPr>
                <w:noProof/>
              </w:rPr>
              <w:t xml:space="preserve">Reforma 1. Razvoj jedinstvenog okvira za definiranje arhitekture državnog sustava računalstva u oblaku </w:t>
            </w:r>
          </w:p>
          <w:p w14:paraId="0A5B8D20"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541BFBE"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7665C1EC"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o upravljanju uslugama računalstva u oblaku za područje </w:t>
            </w:r>
            <w:r>
              <w:rPr>
                <w:noProof/>
              </w:rPr>
              <w:t>vlasti</w:t>
            </w:r>
          </w:p>
        </w:tc>
        <w:tc>
          <w:tcPr>
            <w:tcW w:w="1474" w:type="dxa"/>
            <w:tcBorders>
              <w:top w:val="single" w:sz="4" w:space="0" w:color="auto"/>
              <w:left w:val="nil"/>
              <w:bottom w:val="single" w:sz="4" w:space="0" w:color="auto"/>
              <w:right w:val="single" w:sz="4" w:space="0" w:color="auto"/>
            </w:tcBorders>
            <w:shd w:val="clear" w:color="auto" w:fill="C6EFCE"/>
            <w:noWrap/>
          </w:tcPr>
          <w:p w14:paraId="38CD7C23"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upravljanju uslugama računalstva u oblaku</w:t>
            </w:r>
          </w:p>
        </w:tc>
        <w:tc>
          <w:tcPr>
            <w:tcW w:w="940" w:type="dxa"/>
            <w:tcBorders>
              <w:top w:val="single" w:sz="4" w:space="0" w:color="auto"/>
              <w:left w:val="nil"/>
              <w:bottom w:val="single" w:sz="4" w:space="0" w:color="auto"/>
              <w:right w:val="single" w:sz="4" w:space="0" w:color="auto"/>
            </w:tcBorders>
            <w:shd w:val="clear" w:color="auto" w:fill="C6EFCE"/>
            <w:noWrap/>
          </w:tcPr>
          <w:p w14:paraId="3E2018DE"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7066C16E"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1178F6C"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FE602D0"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606EAEF"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26FB8F4" w14:textId="77777777" w:rsidR="003F46B9" w:rsidRDefault="0065662E">
            <w:pPr>
              <w:pStyle w:val="P68B1DB1-Normal5"/>
              <w:spacing w:after="0" w:line="240" w:lineRule="auto"/>
              <w:jc w:val="both"/>
              <w:rPr>
                <w:rFonts w:eastAsia="Times New Roman" w:cs="Times New Roman"/>
                <w:noProof/>
              </w:rPr>
            </w:pPr>
            <w:r>
              <w:rPr>
                <w:noProof/>
              </w:rPr>
              <w:t>Novim se zakonom uspostavlja opći okvir za razvoj i upravljanje infrastrukturom u oblaku, koja se sastoji od skupa resursa i usluga informaci</w:t>
            </w:r>
            <w:r>
              <w:rPr>
                <w:noProof/>
              </w:rPr>
              <w:t xml:space="preserve">jske tehnologije, komunikacija i kibersigurnosti, koje dijeli javni sektor u skladu sa strategijom europskog računalstva u oblaku i usklađenima s nacionalnim okvirom za interoperabilnost. </w:t>
            </w:r>
          </w:p>
        </w:tc>
      </w:tr>
      <w:tr w:rsidR="003F46B9" w14:paraId="381A002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BEE766C" w14:textId="77777777" w:rsidR="003F46B9" w:rsidRDefault="0065662E">
            <w:pPr>
              <w:pStyle w:val="P68B1DB1-Normal5"/>
              <w:spacing w:after="0" w:line="240" w:lineRule="auto"/>
              <w:jc w:val="center"/>
              <w:rPr>
                <w:rFonts w:eastAsia="Times New Roman" w:cs="Times New Roman"/>
                <w:noProof/>
              </w:rPr>
            </w:pPr>
            <w:r>
              <w:rPr>
                <w:noProof/>
              </w:rPr>
              <w:t>145</w:t>
            </w:r>
          </w:p>
        </w:tc>
        <w:tc>
          <w:tcPr>
            <w:tcW w:w="1740" w:type="dxa"/>
            <w:tcBorders>
              <w:top w:val="single" w:sz="4" w:space="0" w:color="auto"/>
              <w:left w:val="nil"/>
              <w:bottom w:val="single" w:sz="4" w:space="0" w:color="auto"/>
              <w:right w:val="single" w:sz="4" w:space="0" w:color="auto"/>
            </w:tcBorders>
            <w:shd w:val="clear" w:color="auto" w:fill="C6EFCE"/>
            <w:noWrap/>
          </w:tcPr>
          <w:p w14:paraId="7641CC2C" w14:textId="77777777" w:rsidR="003F46B9" w:rsidRDefault="0065662E">
            <w:pPr>
              <w:pStyle w:val="P68B1DB1-Normal5"/>
              <w:spacing w:after="0" w:line="240" w:lineRule="auto"/>
              <w:jc w:val="both"/>
              <w:rPr>
                <w:rFonts w:eastAsia="Times New Roman" w:cs="Times New Roman"/>
                <w:noProof/>
              </w:rPr>
            </w:pPr>
            <w:r>
              <w:rPr>
                <w:noProof/>
              </w:rPr>
              <w:t xml:space="preserve">Reforma 1. Razvoj jedinstvenog okvira za definiranje arhitekture državnog sustava računalstva u oblaku </w:t>
            </w:r>
          </w:p>
          <w:p w14:paraId="5542BB01"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C0CFB7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1918DA5B" w14:textId="77777777" w:rsidR="003F46B9" w:rsidRDefault="0065662E">
            <w:pPr>
              <w:pStyle w:val="P68B1DB1-Normal5"/>
              <w:spacing w:after="0" w:line="240" w:lineRule="auto"/>
              <w:jc w:val="both"/>
              <w:rPr>
                <w:rFonts w:eastAsia="Times New Roman" w:cs="Times New Roman"/>
                <w:noProof/>
              </w:rPr>
            </w:pPr>
            <w:r>
              <w:rPr>
                <w:noProof/>
              </w:rPr>
              <w:t>Stupanje na snagu zakona o interoperabilnosti</w:t>
            </w:r>
          </w:p>
        </w:tc>
        <w:tc>
          <w:tcPr>
            <w:tcW w:w="1474" w:type="dxa"/>
            <w:tcBorders>
              <w:top w:val="single" w:sz="4" w:space="0" w:color="auto"/>
              <w:left w:val="nil"/>
              <w:bottom w:val="single" w:sz="4" w:space="0" w:color="auto"/>
              <w:right w:val="single" w:sz="4" w:space="0" w:color="auto"/>
            </w:tcBorders>
            <w:shd w:val="clear" w:color="auto" w:fill="C6EFCE"/>
            <w:noWrap/>
          </w:tcPr>
          <w:p w14:paraId="1213A89D" w14:textId="77777777" w:rsidR="003F46B9" w:rsidRDefault="0065662E">
            <w:pPr>
              <w:pStyle w:val="P68B1DB1-Normal5"/>
              <w:spacing w:after="0" w:line="240" w:lineRule="auto"/>
              <w:rPr>
                <w:rFonts w:eastAsia="Times New Roman" w:cs="Times New Roman"/>
                <w:noProof/>
              </w:rPr>
            </w:pPr>
            <w:r>
              <w:rPr>
                <w:noProof/>
              </w:rPr>
              <w:t>Odredba u zakonu o stupanju na snagu zakona o interoperabilnosti</w:t>
            </w:r>
          </w:p>
        </w:tc>
        <w:tc>
          <w:tcPr>
            <w:tcW w:w="940" w:type="dxa"/>
            <w:tcBorders>
              <w:top w:val="single" w:sz="4" w:space="0" w:color="auto"/>
              <w:left w:val="nil"/>
              <w:bottom w:val="single" w:sz="4" w:space="0" w:color="auto"/>
              <w:right w:val="single" w:sz="4" w:space="0" w:color="auto"/>
            </w:tcBorders>
            <w:shd w:val="clear" w:color="auto" w:fill="C6EFCE"/>
            <w:noWrap/>
          </w:tcPr>
          <w:p w14:paraId="17385073"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6731534"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8016C64"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19A825E0" w14:textId="77777777" w:rsidR="003F46B9" w:rsidRDefault="0065662E">
            <w:pPr>
              <w:pStyle w:val="P68B1DB1-Normal5"/>
              <w:spacing w:after="0" w:line="240" w:lineRule="auto"/>
              <w:jc w:val="both"/>
              <w:rPr>
                <w:rFonts w:eastAsia="Times New Roman" w:cs="Times New Roman"/>
                <w:noProof/>
              </w:rPr>
            </w:pPr>
            <w:r>
              <w:rPr>
                <w:noProof/>
              </w:rPr>
              <w:t>TROMJESEČJE</w:t>
            </w:r>
          </w:p>
          <w:p w14:paraId="62C1CB47" w14:textId="77777777" w:rsidR="003F46B9" w:rsidRDefault="003F46B9">
            <w:pPr>
              <w:spacing w:after="0" w:line="240" w:lineRule="auto"/>
              <w:jc w:val="both"/>
              <w:rPr>
                <w:rFonts w:ascii="Times New Roman" w:eastAsia="Times New Roman" w:hAnsi="Times New Roman" w:cs="Times New Roman"/>
                <w:noProof/>
                <w:sz w:val="24"/>
              </w:rPr>
            </w:pPr>
          </w:p>
        </w:tc>
        <w:tc>
          <w:tcPr>
            <w:tcW w:w="708" w:type="dxa"/>
            <w:tcBorders>
              <w:top w:val="single" w:sz="4" w:space="0" w:color="auto"/>
              <w:left w:val="nil"/>
              <w:bottom w:val="single" w:sz="4" w:space="0" w:color="auto"/>
              <w:right w:val="single" w:sz="4" w:space="0" w:color="auto"/>
            </w:tcBorders>
            <w:shd w:val="clear" w:color="auto" w:fill="C6EFCE"/>
            <w:noWrap/>
          </w:tcPr>
          <w:p w14:paraId="3FA058E1" w14:textId="77777777" w:rsidR="003F46B9" w:rsidRDefault="0065662E">
            <w:pPr>
              <w:pStyle w:val="P68B1DB1-Normal5"/>
              <w:spacing w:after="0" w:line="240" w:lineRule="auto"/>
              <w:jc w:val="both"/>
              <w:rPr>
                <w:rFonts w:eastAsia="Times New Roman" w:cs="Times New Roman"/>
                <w:noProof/>
              </w:rPr>
            </w:pPr>
            <w:r>
              <w:rPr>
                <w:noProof/>
              </w:rPr>
              <w:t>2022</w:t>
            </w:r>
          </w:p>
          <w:p w14:paraId="057E93C5" w14:textId="77777777" w:rsidR="003F46B9" w:rsidRDefault="003F46B9">
            <w:pPr>
              <w:spacing w:after="0" w:line="240" w:lineRule="auto"/>
              <w:jc w:val="both"/>
              <w:rPr>
                <w:rFonts w:ascii="Times New Roman" w:eastAsia="Times New Roman" w:hAnsi="Times New Roman" w:cs="Times New Roman"/>
                <w:noProof/>
                <w:sz w:val="24"/>
              </w:rPr>
            </w:pPr>
          </w:p>
        </w:tc>
        <w:tc>
          <w:tcPr>
            <w:tcW w:w="3021" w:type="dxa"/>
            <w:tcBorders>
              <w:top w:val="single" w:sz="4" w:space="0" w:color="auto"/>
              <w:left w:val="nil"/>
              <w:bottom w:val="single" w:sz="4" w:space="0" w:color="auto"/>
              <w:right w:val="single" w:sz="4" w:space="0" w:color="auto"/>
            </w:tcBorders>
            <w:shd w:val="clear" w:color="auto" w:fill="C6EFCE"/>
            <w:noWrap/>
          </w:tcPr>
          <w:p w14:paraId="63F7B2D9" w14:textId="77777777" w:rsidR="003F46B9" w:rsidRDefault="0065662E">
            <w:pPr>
              <w:pStyle w:val="P68B1DB1-Normal5"/>
              <w:tabs>
                <w:tab w:val="left" w:pos="207"/>
              </w:tabs>
              <w:spacing w:after="0" w:line="240" w:lineRule="auto"/>
              <w:jc w:val="both"/>
              <w:rPr>
                <w:rFonts w:eastAsia="Times New Roman" w:cs="Times New Roman"/>
                <w:noProof/>
              </w:rPr>
            </w:pPr>
            <w:r>
              <w:rPr>
                <w:noProof/>
              </w:rPr>
              <w:t xml:space="preserve">Novi </w:t>
            </w:r>
            <w:r>
              <w:rPr>
                <w:noProof/>
              </w:rPr>
              <w:t>zakon:</w:t>
            </w:r>
          </w:p>
          <w:p w14:paraId="30951735"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uskladiti s odredbama Europskog okvira za interoperabilnost</w:t>
            </w:r>
            <w:r>
              <w:rPr>
                <w:noProof/>
              </w:rPr>
              <w:footnoteReference w:id="13"/>
            </w:r>
            <w:r>
              <w:rPr>
                <w:noProof/>
              </w:rPr>
              <w:t>;</w:t>
            </w:r>
          </w:p>
          <w:p w14:paraId="62A82711"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uspostaviti okvir/upravljanje za potporu odabiru relevantnih normi i pravila za razvoj aplikacija i usluga u javnom sektoru u sigurnom i održivom okruženju;</w:t>
            </w:r>
          </w:p>
          <w:p w14:paraId="67EF96B5"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operacionalizacija migracija i</w:t>
            </w:r>
            <w:r>
              <w:rPr>
                <w:noProof/>
              </w:rPr>
              <w:t xml:space="preserve"> integracija u postojeće podatkovne strukture podataka, uz istodobno osiguravanje interoperabilnosti;</w:t>
            </w:r>
          </w:p>
          <w:p w14:paraId="6D758E4B"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osigurati da provedba funkcija uključuje usklađivanje nacionalnih infrastruktura za identifikaciju i izdavanje odobrenja s državama članicama EU-a u okvir</w:t>
            </w:r>
            <w:r>
              <w:rPr>
                <w:noProof/>
              </w:rPr>
              <w:t>u transnacionalnog sustava, u skladu s europskim pravilima utvrđenima u Uredbi eIDAS (EU) 2014/910 o elektroničkoj identifikaciji i uslugama povjerenja za elektroničke transakcije na unutarnjem tržištu;</w:t>
            </w:r>
          </w:p>
          <w:p w14:paraId="51E0CCB4"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uzeti u obzir načelo „samo jednom” ugrađeno u Uredbu </w:t>
            </w:r>
            <w:r>
              <w:rPr>
                <w:noProof/>
              </w:rPr>
              <w:t>(EU) 2018/1724 o jedinstvenom digitalnom pristupniku.</w:t>
            </w:r>
          </w:p>
        </w:tc>
      </w:tr>
      <w:tr w:rsidR="003F46B9" w14:paraId="33BF3EA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851EE0" w14:textId="77777777" w:rsidR="003F46B9" w:rsidRDefault="0065662E">
            <w:pPr>
              <w:pStyle w:val="P68B1DB1-Normal5"/>
              <w:spacing w:after="0" w:line="240" w:lineRule="auto"/>
              <w:jc w:val="center"/>
              <w:rPr>
                <w:rFonts w:eastAsia="Times New Roman" w:cs="Times New Roman"/>
                <w:noProof/>
              </w:rPr>
            </w:pPr>
            <w:r>
              <w:rPr>
                <w:noProof/>
              </w:rPr>
              <w:t>146</w:t>
            </w:r>
          </w:p>
        </w:tc>
        <w:tc>
          <w:tcPr>
            <w:tcW w:w="1740" w:type="dxa"/>
            <w:tcBorders>
              <w:top w:val="single" w:sz="4" w:space="0" w:color="auto"/>
              <w:left w:val="nil"/>
              <w:bottom w:val="single" w:sz="4" w:space="0" w:color="auto"/>
              <w:right w:val="single" w:sz="4" w:space="0" w:color="auto"/>
            </w:tcBorders>
            <w:shd w:val="clear" w:color="auto" w:fill="C6EFCE"/>
            <w:noWrap/>
          </w:tcPr>
          <w:p w14:paraId="05FE6C7E" w14:textId="77777777" w:rsidR="003F46B9" w:rsidRDefault="0065662E">
            <w:pPr>
              <w:pStyle w:val="P68B1DB1-Normal5"/>
              <w:spacing w:after="0" w:line="240" w:lineRule="auto"/>
              <w:jc w:val="both"/>
              <w:rPr>
                <w:rFonts w:eastAsia="Times New Roman" w:cs="Times New Roman"/>
                <w:noProof/>
              </w:rPr>
            </w:pPr>
            <w:r>
              <w:rPr>
                <w:noProof/>
              </w:rPr>
              <w:t>Reforma 2.</w:t>
            </w:r>
          </w:p>
          <w:p w14:paraId="0C94CD95" w14:textId="77777777" w:rsidR="003F46B9" w:rsidRDefault="0065662E">
            <w:pPr>
              <w:pStyle w:val="P68B1DB1-Normal5"/>
              <w:spacing w:after="0" w:line="240" w:lineRule="auto"/>
              <w:jc w:val="both"/>
              <w:rPr>
                <w:rFonts w:eastAsia="Times New Roman" w:cs="Times New Roman"/>
                <w:noProof/>
              </w:rPr>
            </w:pPr>
            <w:r>
              <w:rPr>
                <w:noProof/>
              </w:rPr>
              <w:t xml:space="preserve">Prijelaz na ciljeve EU-a za 2025. u pogledu povezivosti i poticanje privatnih ulaganja u uvođenje mreža vrlo velikog kapaciteta </w:t>
            </w:r>
          </w:p>
        </w:tc>
        <w:tc>
          <w:tcPr>
            <w:tcW w:w="1073" w:type="dxa"/>
            <w:tcBorders>
              <w:top w:val="single" w:sz="4" w:space="0" w:color="auto"/>
              <w:left w:val="nil"/>
              <w:bottom w:val="single" w:sz="4" w:space="0" w:color="auto"/>
              <w:right w:val="single" w:sz="4" w:space="0" w:color="auto"/>
            </w:tcBorders>
            <w:shd w:val="clear" w:color="auto" w:fill="C6EFCE"/>
            <w:noWrap/>
          </w:tcPr>
          <w:p w14:paraId="439F7C42"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86ED37B"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o sigurnosti mreže 5G </w:t>
            </w:r>
          </w:p>
        </w:tc>
        <w:tc>
          <w:tcPr>
            <w:tcW w:w="1474" w:type="dxa"/>
            <w:tcBorders>
              <w:top w:val="single" w:sz="4" w:space="0" w:color="auto"/>
              <w:left w:val="nil"/>
              <w:bottom w:val="single" w:sz="4" w:space="0" w:color="auto"/>
              <w:right w:val="single" w:sz="4" w:space="0" w:color="auto"/>
            </w:tcBorders>
            <w:shd w:val="clear" w:color="auto" w:fill="C6EFCE"/>
            <w:noWrap/>
          </w:tcPr>
          <w:p w14:paraId="2EB3F7EA"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sigurnosti 5G mreža</w:t>
            </w:r>
          </w:p>
        </w:tc>
        <w:tc>
          <w:tcPr>
            <w:tcW w:w="940" w:type="dxa"/>
            <w:tcBorders>
              <w:top w:val="single" w:sz="4" w:space="0" w:color="auto"/>
              <w:left w:val="nil"/>
              <w:bottom w:val="single" w:sz="4" w:space="0" w:color="auto"/>
              <w:right w:val="single" w:sz="4" w:space="0" w:color="auto"/>
            </w:tcBorders>
            <w:shd w:val="clear" w:color="auto" w:fill="C6EFCE"/>
            <w:noWrap/>
          </w:tcPr>
          <w:p w14:paraId="493AAAD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AB9DED6"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7A6AFE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0B7FE6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3DA861A8" w14:textId="77777777" w:rsidR="003F46B9" w:rsidRDefault="0065662E">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7FB73D7F" w14:textId="77777777" w:rsidR="003F46B9" w:rsidRDefault="0065662E">
            <w:pPr>
              <w:pStyle w:val="P68B1DB1-Normal5"/>
              <w:spacing w:after="0" w:line="240" w:lineRule="auto"/>
              <w:contextualSpacing/>
              <w:jc w:val="both"/>
              <w:rPr>
                <w:rFonts w:eastAsia="Times New Roman" w:cs="Times New Roman"/>
                <w:noProof/>
              </w:rPr>
            </w:pPr>
            <w:r>
              <w:rPr>
                <w:noProof/>
              </w:rPr>
              <w:t>Stupanje na snagu zakona o sigurnosti mreže 5G. Glavne odredbe usmjerene su na pružatelje komunikacijskih usluga koji m</w:t>
            </w:r>
            <w:r>
              <w:rPr>
                <w:noProof/>
              </w:rPr>
              <w:t>ogu upotrebljavati tehnologije, opremu i softver u 5G mrežama samo od proizvođača koji su unaprijed ovlašteni odlukom premijera na temelju mišljenja Vrhovnog vijeća za nacionalnu obranu. Svaki proizvođač 5G opreme i softvera mora podnijeti zahtjev za to od</w:t>
            </w:r>
            <w:r>
              <w:rPr>
                <w:noProof/>
              </w:rPr>
              <w:t>obrenje koje se dostavlja ministarstvu nadležnom za komunikacije.</w:t>
            </w:r>
          </w:p>
        </w:tc>
      </w:tr>
      <w:tr w:rsidR="003F46B9" w14:paraId="6EE9A89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D45155" w14:textId="77777777" w:rsidR="003F46B9" w:rsidRDefault="0065662E">
            <w:pPr>
              <w:pStyle w:val="P68B1DB1-Normal5"/>
              <w:spacing w:after="0" w:line="240" w:lineRule="auto"/>
              <w:jc w:val="center"/>
              <w:rPr>
                <w:rFonts w:eastAsia="Times New Roman" w:cs="Times New Roman"/>
                <w:noProof/>
              </w:rPr>
            </w:pPr>
            <w:r>
              <w:rPr>
                <w:noProof/>
              </w:rPr>
              <w:t>147</w:t>
            </w:r>
          </w:p>
        </w:tc>
        <w:tc>
          <w:tcPr>
            <w:tcW w:w="1740" w:type="dxa"/>
            <w:tcBorders>
              <w:top w:val="single" w:sz="4" w:space="0" w:color="auto"/>
              <w:left w:val="nil"/>
              <w:bottom w:val="single" w:sz="4" w:space="0" w:color="auto"/>
              <w:right w:val="single" w:sz="4" w:space="0" w:color="auto"/>
            </w:tcBorders>
            <w:shd w:val="clear" w:color="auto" w:fill="C6EFCE"/>
            <w:noWrap/>
          </w:tcPr>
          <w:p w14:paraId="4E410597" w14:textId="77777777" w:rsidR="003F46B9" w:rsidRDefault="0065662E">
            <w:pPr>
              <w:pStyle w:val="P68B1DB1-Normal5"/>
              <w:spacing w:after="0" w:line="240" w:lineRule="auto"/>
              <w:jc w:val="both"/>
              <w:rPr>
                <w:rFonts w:eastAsia="Times New Roman" w:cs="Times New Roman"/>
                <w:noProof/>
              </w:rPr>
            </w:pPr>
            <w:r>
              <w:rPr>
                <w:noProof/>
              </w:rPr>
              <w:t>Reforma 2.</w:t>
            </w:r>
          </w:p>
          <w:p w14:paraId="2F805849" w14:textId="77777777" w:rsidR="003F46B9" w:rsidRDefault="0065662E">
            <w:pPr>
              <w:pStyle w:val="P68B1DB1-Normal5"/>
              <w:spacing w:after="0" w:line="240" w:lineRule="auto"/>
              <w:jc w:val="both"/>
              <w:rPr>
                <w:rFonts w:eastAsia="Times New Roman" w:cs="Times New Roman"/>
                <w:noProof/>
              </w:rPr>
            </w:pPr>
            <w:r>
              <w:rPr>
                <w:noProof/>
              </w:rPr>
              <w:t xml:space="preserve">Prijelaz na ciljeve EU-a za 2025. u pogledu povezivosti i poticanje privatnih ulaganja u uvođenje mreža vrlo velikog kapaciteta </w:t>
            </w:r>
          </w:p>
        </w:tc>
        <w:tc>
          <w:tcPr>
            <w:tcW w:w="1073" w:type="dxa"/>
            <w:tcBorders>
              <w:top w:val="single" w:sz="4" w:space="0" w:color="auto"/>
              <w:left w:val="nil"/>
              <w:bottom w:val="single" w:sz="4" w:space="0" w:color="auto"/>
              <w:right w:val="single" w:sz="4" w:space="0" w:color="auto"/>
            </w:tcBorders>
            <w:shd w:val="clear" w:color="auto" w:fill="C6EFCE"/>
            <w:noWrap/>
          </w:tcPr>
          <w:p w14:paraId="69C7A79B"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2B75E344" w14:textId="461AF4EF" w:rsidR="003F46B9" w:rsidRDefault="0065662E">
            <w:pPr>
              <w:pStyle w:val="P68B1DB1-Normal5"/>
              <w:spacing w:after="0" w:line="240" w:lineRule="auto"/>
              <w:jc w:val="both"/>
              <w:rPr>
                <w:rFonts w:eastAsia="Times New Roman" w:cs="Times New Roman"/>
                <w:noProof/>
              </w:rPr>
            </w:pPr>
            <w:r>
              <w:rPr>
                <w:noProof/>
              </w:rPr>
              <w:t xml:space="preserve">Objava poziva na podnošenje ponuda za ovlašćivanje telekomunikacijskih operatera za izdavanje dozvola za 5G </w:t>
            </w:r>
          </w:p>
        </w:tc>
        <w:tc>
          <w:tcPr>
            <w:tcW w:w="1474" w:type="dxa"/>
            <w:tcBorders>
              <w:top w:val="single" w:sz="4" w:space="0" w:color="auto"/>
              <w:left w:val="nil"/>
              <w:bottom w:val="single" w:sz="4" w:space="0" w:color="auto"/>
              <w:right w:val="single" w:sz="4" w:space="0" w:color="auto"/>
            </w:tcBorders>
            <w:shd w:val="clear" w:color="auto" w:fill="C6EFCE"/>
            <w:noWrap/>
          </w:tcPr>
          <w:p w14:paraId="649C6824" w14:textId="77777777" w:rsidR="003F46B9" w:rsidRDefault="0065662E">
            <w:pPr>
              <w:pStyle w:val="P68B1DB1-Normal5"/>
              <w:spacing w:after="0" w:line="240" w:lineRule="auto"/>
              <w:jc w:val="both"/>
              <w:rPr>
                <w:rFonts w:eastAsia="Times New Roman" w:cs="Times New Roman"/>
                <w:noProof/>
              </w:rPr>
            </w:pPr>
            <w:r>
              <w:rPr>
                <w:noProof/>
              </w:rPr>
              <w:t xml:space="preserve">Poziv na podnošenje ponuda objavljen je na internetskim stranicama ANCOM-a </w:t>
            </w:r>
          </w:p>
        </w:tc>
        <w:tc>
          <w:tcPr>
            <w:tcW w:w="940" w:type="dxa"/>
            <w:tcBorders>
              <w:top w:val="single" w:sz="4" w:space="0" w:color="auto"/>
              <w:left w:val="nil"/>
              <w:bottom w:val="single" w:sz="4" w:space="0" w:color="auto"/>
              <w:right w:val="single" w:sz="4" w:space="0" w:color="auto"/>
            </w:tcBorders>
            <w:shd w:val="clear" w:color="auto" w:fill="C6EFCE"/>
            <w:noWrap/>
          </w:tcPr>
          <w:p w14:paraId="5F540F0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6D0A91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7DF3269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741BCC1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9715D67"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3D192A89" w14:textId="77777777" w:rsidR="003F46B9" w:rsidRDefault="0065662E">
            <w:pPr>
              <w:pStyle w:val="P68B1DB1-Normal5"/>
              <w:spacing w:after="0" w:line="240" w:lineRule="auto"/>
              <w:jc w:val="both"/>
              <w:rPr>
                <w:rFonts w:eastAsia="Times New Roman" w:cs="Times New Roman"/>
                <w:noProof/>
              </w:rPr>
            </w:pPr>
            <w:r>
              <w:rPr>
                <w:noProof/>
              </w:rPr>
              <w:t>Objava i organizacija natječajnog postupka odabi</w:t>
            </w:r>
            <w:r>
              <w:rPr>
                <w:noProof/>
              </w:rPr>
              <w:t xml:space="preserve">ra (dražba) za dodjelu takozvanih „dozvola za 5G” (tj. u pojasevima 700 MHz, 1 500 MHz i 3,4 – 3,8 GHz). </w:t>
            </w:r>
          </w:p>
          <w:p w14:paraId="098195C0" w14:textId="77777777" w:rsidR="003F46B9" w:rsidRDefault="0065662E">
            <w:pPr>
              <w:pStyle w:val="P68B1DB1-Normal5"/>
              <w:spacing w:after="0" w:line="240" w:lineRule="auto"/>
              <w:jc w:val="both"/>
              <w:rPr>
                <w:rFonts w:eastAsia="Times New Roman" w:cs="Times New Roman"/>
                <w:noProof/>
              </w:rPr>
            </w:pPr>
            <w:r>
              <w:rPr>
                <w:noProof/>
              </w:rPr>
              <w:t xml:space="preserve">Dugoročne licencije predviđene su u skladu s kriterijima Europskog zakonika elektroničkih komunikacija kako bi se učinkovito poticala 5G tehnologija, </w:t>
            </w:r>
            <w:r>
              <w:rPr>
                <w:noProof/>
              </w:rPr>
              <w:t>promicalo tržišno natjecanje i prava krajnjih korisnika.</w:t>
            </w:r>
          </w:p>
          <w:p w14:paraId="4B5AA145" w14:textId="77777777" w:rsidR="003F46B9" w:rsidRDefault="0065662E">
            <w:pPr>
              <w:pStyle w:val="P68B1DB1-Normal5"/>
              <w:spacing w:after="0" w:line="240" w:lineRule="auto"/>
              <w:jc w:val="both"/>
              <w:rPr>
                <w:rFonts w:eastAsia="Times New Roman" w:cs="Times New Roman"/>
                <w:noProof/>
              </w:rPr>
            </w:pPr>
            <w:r>
              <w:rPr>
                <w:noProof/>
              </w:rPr>
              <w:t>Postupak dražbe temelji se na iskustvima s prošlim dražbama spektra u Rumunjskoj (2012. i 2015.) i sa sličnim nedavnim postupcima u EU-u te uključuje mjere zaštite tržišnog natjecanja, mehanizme za o</w:t>
            </w:r>
            <w:r>
              <w:rPr>
                <w:noProof/>
              </w:rPr>
              <w:t xml:space="preserve">blikovanje tržišta i uvjete povezane s licencijama, pri čemu sve odgovaraju posebnostima i dinamici rumunjskog tržišta. </w:t>
            </w:r>
          </w:p>
        </w:tc>
      </w:tr>
      <w:tr w:rsidR="003F46B9" w14:paraId="6A0ED002"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4F55823" w14:textId="77777777" w:rsidR="003F46B9" w:rsidRDefault="0065662E">
            <w:pPr>
              <w:pStyle w:val="P68B1DB1-Normal5"/>
              <w:spacing w:after="0" w:line="240" w:lineRule="auto"/>
              <w:jc w:val="center"/>
              <w:rPr>
                <w:rFonts w:eastAsia="Times New Roman" w:cs="Times New Roman"/>
                <w:noProof/>
              </w:rPr>
            </w:pPr>
            <w:r>
              <w:rPr>
                <w:noProof/>
              </w:rPr>
              <w:t>148</w:t>
            </w:r>
          </w:p>
        </w:tc>
        <w:tc>
          <w:tcPr>
            <w:tcW w:w="1740" w:type="dxa"/>
            <w:tcBorders>
              <w:top w:val="single" w:sz="4" w:space="0" w:color="auto"/>
              <w:left w:val="nil"/>
              <w:bottom w:val="single" w:sz="4" w:space="0" w:color="auto"/>
              <w:right w:val="single" w:sz="4" w:space="0" w:color="auto"/>
            </w:tcBorders>
            <w:shd w:val="clear" w:color="auto" w:fill="C6EFCE"/>
            <w:noWrap/>
          </w:tcPr>
          <w:p w14:paraId="234301DF" w14:textId="77777777" w:rsidR="003F46B9" w:rsidRDefault="0065662E">
            <w:pPr>
              <w:pStyle w:val="P68B1DB1-Normal5"/>
              <w:spacing w:after="0" w:line="240" w:lineRule="auto"/>
              <w:jc w:val="both"/>
              <w:rPr>
                <w:rFonts w:eastAsia="Times New Roman" w:cs="Times New Roman"/>
                <w:noProof/>
              </w:rPr>
            </w:pPr>
            <w:r>
              <w:rPr>
                <w:noProof/>
              </w:rPr>
              <w:t>Reforma 2.</w:t>
            </w:r>
          </w:p>
          <w:p w14:paraId="5CAB829B" w14:textId="32971ED8" w:rsidR="003F46B9" w:rsidRDefault="0065662E">
            <w:pPr>
              <w:pStyle w:val="P68B1DB1-Normal5"/>
              <w:spacing w:after="0" w:line="240" w:lineRule="auto"/>
              <w:jc w:val="both"/>
              <w:rPr>
                <w:rFonts w:eastAsia="Times New Roman" w:cs="Times New Roman"/>
                <w:noProof/>
              </w:rPr>
            </w:pPr>
            <w:r>
              <w:rPr>
                <w:noProof/>
              </w:rPr>
              <w:t xml:space="preserve">Prijelaz na ciljeve EU-a za 2025. u pogledu </w:t>
            </w:r>
            <w:r>
              <w:rPr>
                <w:noProof/>
              </w:rPr>
              <w:t xml:space="preserve">povezivosti i poticanje privatnih ulaganja u uvođenje mreža vrlo velikog kapaciteta </w:t>
            </w:r>
          </w:p>
        </w:tc>
        <w:tc>
          <w:tcPr>
            <w:tcW w:w="1073" w:type="dxa"/>
            <w:tcBorders>
              <w:top w:val="single" w:sz="4" w:space="0" w:color="auto"/>
              <w:left w:val="nil"/>
              <w:bottom w:val="single" w:sz="4" w:space="0" w:color="auto"/>
              <w:right w:val="single" w:sz="4" w:space="0" w:color="auto"/>
            </w:tcBorders>
            <w:shd w:val="clear" w:color="auto" w:fill="C6EFCE"/>
            <w:noWrap/>
          </w:tcPr>
          <w:p w14:paraId="3ABE4FCC"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320816A2" w14:textId="77777777" w:rsidR="003F46B9" w:rsidRDefault="0065662E">
            <w:pPr>
              <w:pStyle w:val="P68B1DB1-Normal5"/>
              <w:spacing w:after="0" w:line="240" w:lineRule="auto"/>
              <w:jc w:val="both"/>
              <w:rPr>
                <w:rFonts w:eastAsia="Times New Roman" w:cs="Times New Roman"/>
                <w:noProof/>
              </w:rPr>
            </w:pPr>
            <w:r>
              <w:rPr>
                <w:noProof/>
              </w:rPr>
              <w:t>Provode se preporuke iz paketa instrumenata EU-a za povezivost</w:t>
            </w:r>
          </w:p>
        </w:tc>
        <w:tc>
          <w:tcPr>
            <w:tcW w:w="1474" w:type="dxa"/>
            <w:tcBorders>
              <w:top w:val="single" w:sz="4" w:space="0" w:color="auto"/>
              <w:left w:val="nil"/>
              <w:bottom w:val="single" w:sz="4" w:space="0" w:color="auto"/>
              <w:right w:val="single" w:sz="4" w:space="0" w:color="auto"/>
            </w:tcBorders>
            <w:shd w:val="clear" w:color="auto" w:fill="C6EFCE"/>
            <w:noWrap/>
          </w:tcPr>
          <w:p w14:paraId="7B59104D"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22D356CE"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20B5E7FE"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D91B5DD"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9FAE122"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89BCD51"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20487B" w14:textId="77777777" w:rsidR="003F46B9" w:rsidRDefault="0065662E">
            <w:pPr>
              <w:pStyle w:val="P68B1DB1-Normal5"/>
              <w:spacing w:after="0" w:line="240" w:lineRule="auto"/>
              <w:jc w:val="both"/>
              <w:rPr>
                <w:rFonts w:eastAsia="Times New Roman" w:cs="Times New Roman"/>
                <w:noProof/>
              </w:rPr>
            </w:pPr>
            <w:r>
              <w:rPr>
                <w:noProof/>
              </w:rPr>
              <w:t>Provedba plana Rumunjske u primjeni paketa instrumenata za povezivost zajed</w:t>
            </w:r>
            <w:r>
              <w:rPr>
                <w:noProof/>
              </w:rPr>
              <w:t>nički</w:t>
            </w:r>
            <w:r>
              <w:rPr>
                <w:noProof/>
              </w:rPr>
              <w:footnoteReference w:id="14"/>
            </w:r>
            <w:r>
              <w:rPr>
                <w:noProof/>
              </w:rPr>
              <w:t xml:space="preserve"> je napor koji uključuje više dionika.</w:t>
            </w:r>
          </w:p>
          <w:p w14:paraId="5D898F64" w14:textId="77777777" w:rsidR="003F46B9" w:rsidRDefault="0065662E">
            <w:pPr>
              <w:pStyle w:val="P68B1DB1-Normal5"/>
              <w:spacing w:after="0" w:line="240" w:lineRule="auto"/>
              <w:jc w:val="both"/>
              <w:rPr>
                <w:rFonts w:eastAsia="Times New Roman" w:cs="Times New Roman"/>
                <w:noProof/>
              </w:rPr>
            </w:pPr>
            <w:r>
              <w:rPr>
                <w:noProof/>
              </w:rPr>
              <w:t>U skladu s nacrtom plana koji se trenutačno analizira među relevantnim ministarstvima, Rumunjska za 12 od 39 preporuka provodi:</w:t>
            </w:r>
          </w:p>
          <w:p w14:paraId="014EE113" w14:textId="77777777" w:rsidR="003F46B9" w:rsidRDefault="0065662E">
            <w:pPr>
              <w:pStyle w:val="P68B1DB1-Normal5"/>
              <w:spacing w:after="0" w:line="240" w:lineRule="auto"/>
              <w:jc w:val="both"/>
              <w:rPr>
                <w:rFonts w:eastAsia="Times New Roman" w:cs="Times New Roman"/>
                <w:noProof/>
              </w:rPr>
            </w:pPr>
            <w:r>
              <w:rPr>
                <w:noProof/>
              </w:rPr>
              <w:t>24 – Promicanje odgovarajućih rezervnih cijena</w:t>
            </w:r>
          </w:p>
          <w:p w14:paraId="4A1D3F0A" w14:textId="77777777" w:rsidR="003F46B9" w:rsidRDefault="0065662E">
            <w:pPr>
              <w:pStyle w:val="P68B1DB1-Normal5"/>
              <w:spacing w:after="0" w:line="240" w:lineRule="auto"/>
              <w:jc w:val="both"/>
              <w:rPr>
                <w:rFonts w:eastAsia="Times New Roman" w:cs="Times New Roman"/>
                <w:noProof/>
              </w:rPr>
            </w:pPr>
            <w:r>
              <w:rPr>
                <w:noProof/>
              </w:rPr>
              <w:t>25 – Pravodobna dostupnost usklađeni</w:t>
            </w:r>
            <w:r>
              <w:rPr>
                <w:noProof/>
              </w:rPr>
              <w:t>h pojaseva za 5G mreže</w:t>
            </w:r>
          </w:p>
          <w:p w14:paraId="5F0831C2" w14:textId="77777777" w:rsidR="003F46B9" w:rsidRDefault="0065662E">
            <w:pPr>
              <w:pStyle w:val="P68B1DB1-Normal5"/>
              <w:spacing w:after="0" w:line="240" w:lineRule="auto"/>
              <w:jc w:val="both"/>
              <w:rPr>
                <w:rFonts w:eastAsia="Times New Roman" w:cs="Times New Roman"/>
                <w:noProof/>
              </w:rPr>
            </w:pPr>
            <w:r>
              <w:rPr>
                <w:noProof/>
              </w:rPr>
              <w:t>28 – Sustav pojedinačnog ovlaštenja za frekvencijski pojas 24,25 – 27,5 GHz</w:t>
            </w:r>
          </w:p>
          <w:p w14:paraId="5869BD96" w14:textId="77777777" w:rsidR="003F46B9" w:rsidRDefault="0065662E">
            <w:pPr>
              <w:pStyle w:val="P68B1DB1-Normal5"/>
              <w:spacing w:after="0" w:line="240" w:lineRule="auto"/>
              <w:jc w:val="both"/>
              <w:rPr>
                <w:rFonts w:eastAsia="Times New Roman" w:cs="Times New Roman"/>
                <w:noProof/>
              </w:rPr>
            </w:pPr>
            <w:r>
              <w:rPr>
                <w:noProof/>
              </w:rPr>
              <w:t>31 – Struktura periodičnih naknada za spektar kako bi se potaknulo uvođenje</w:t>
            </w:r>
          </w:p>
          <w:p w14:paraId="6B9B02B9" w14:textId="77777777" w:rsidR="003F46B9" w:rsidRDefault="0065662E">
            <w:pPr>
              <w:pStyle w:val="P68B1DB1-Normal5"/>
              <w:spacing w:after="0" w:line="240" w:lineRule="auto"/>
              <w:jc w:val="both"/>
              <w:rPr>
                <w:rFonts w:eastAsia="Times New Roman" w:cs="Times New Roman"/>
                <w:noProof/>
              </w:rPr>
            </w:pPr>
            <w:r>
              <w:rPr>
                <w:noProof/>
              </w:rPr>
              <w:t>38 – Koordinirana i ciljana komunikacija za informiranje i obrazovanje o provedbi</w:t>
            </w:r>
            <w:r>
              <w:rPr>
                <w:noProof/>
              </w:rPr>
              <w:t xml:space="preserve"> 5G tehnologije</w:t>
            </w:r>
          </w:p>
          <w:p w14:paraId="34C46E3E" w14:textId="77777777" w:rsidR="003F46B9" w:rsidRDefault="0065662E">
            <w:pPr>
              <w:pStyle w:val="P68B1DB1-Normal5"/>
              <w:spacing w:after="0" w:line="240" w:lineRule="auto"/>
              <w:jc w:val="both"/>
              <w:rPr>
                <w:rFonts w:eastAsia="Times New Roman" w:cs="Times New Roman"/>
                <w:noProof/>
              </w:rPr>
            </w:pPr>
            <w:r>
              <w:rPr>
                <w:noProof/>
              </w:rPr>
              <w:t>39 – Informiranje javnosti o sukladnosti uređaja radijskih baznih postaja s primjenjivim sigurnim granicama EMF-a.</w:t>
            </w:r>
          </w:p>
          <w:p w14:paraId="6EC5FDE3" w14:textId="77777777" w:rsidR="003F46B9" w:rsidRDefault="0065662E">
            <w:pPr>
              <w:pStyle w:val="P68B1DB1-Normal5"/>
              <w:spacing w:after="0" w:line="240" w:lineRule="auto"/>
              <w:jc w:val="both"/>
              <w:rPr>
                <w:rFonts w:eastAsia="Times New Roman" w:cs="Times New Roman"/>
                <w:noProof/>
              </w:rPr>
            </w:pPr>
            <w:r>
              <w:rPr>
                <w:noProof/>
              </w:rPr>
              <w:t>Očekuje se da će sve te preporuke biti dovršene do 2021., a</w:t>
            </w:r>
          </w:p>
          <w:p w14:paraId="3CA9E49A" w14:textId="77777777" w:rsidR="003F46B9" w:rsidRDefault="0065662E">
            <w:pPr>
              <w:pStyle w:val="P68B1DB1-Normal5"/>
              <w:spacing w:after="0" w:line="240" w:lineRule="auto"/>
              <w:jc w:val="both"/>
              <w:rPr>
                <w:rFonts w:eastAsia="Times New Roman" w:cs="Times New Roman"/>
                <w:noProof/>
              </w:rPr>
            </w:pPr>
            <w:r>
              <w:rPr>
                <w:noProof/>
              </w:rPr>
              <w:t>2 – Donošenje oglednih propisa o uvođenju elektroničkih komunikac</w:t>
            </w:r>
            <w:r>
              <w:rPr>
                <w:noProof/>
              </w:rPr>
              <w:t>ijskih mreža</w:t>
            </w:r>
          </w:p>
          <w:p w14:paraId="5CB3BA97" w14:textId="77777777" w:rsidR="003F46B9" w:rsidRDefault="0065662E">
            <w:pPr>
              <w:pStyle w:val="P68B1DB1-Normal5"/>
              <w:spacing w:after="0" w:line="240" w:lineRule="auto"/>
              <w:jc w:val="both"/>
              <w:rPr>
                <w:rFonts w:eastAsia="Times New Roman" w:cs="Times New Roman"/>
                <w:noProof/>
              </w:rPr>
            </w:pPr>
            <w:r>
              <w:rPr>
                <w:noProof/>
              </w:rPr>
              <w:t>3 – Pružanje informativnih materijala i radionica za općine i druga nadležna tijela</w:t>
            </w:r>
          </w:p>
          <w:p w14:paraId="760A1A1B" w14:textId="77777777" w:rsidR="003F46B9" w:rsidRDefault="0065662E">
            <w:pPr>
              <w:pStyle w:val="P68B1DB1-Normal5"/>
              <w:spacing w:after="0" w:line="240" w:lineRule="auto"/>
              <w:jc w:val="both"/>
              <w:rPr>
                <w:rFonts w:eastAsia="Times New Roman" w:cs="Times New Roman"/>
                <w:noProof/>
              </w:rPr>
            </w:pPr>
            <w:r>
              <w:rPr>
                <w:noProof/>
              </w:rPr>
              <w:t>11 – Osiguravanje dostupnosti informacija iz različitih izvora i povećanje transparentnosti planiranih građevinskih radova</w:t>
            </w:r>
          </w:p>
          <w:p w14:paraId="7C98632F" w14:textId="77777777" w:rsidR="003F46B9" w:rsidRDefault="0065662E">
            <w:pPr>
              <w:pStyle w:val="P68B1DB1-Normal5"/>
              <w:spacing w:after="0" w:line="240" w:lineRule="auto"/>
              <w:jc w:val="both"/>
              <w:rPr>
                <w:rFonts w:eastAsia="Times New Roman" w:cs="Times New Roman"/>
                <w:noProof/>
              </w:rPr>
            </w:pPr>
            <w:r>
              <w:rPr>
                <w:noProof/>
              </w:rPr>
              <w:t>26 – redovita revizija nacionalnih p</w:t>
            </w:r>
            <w:r>
              <w:rPr>
                <w:noProof/>
              </w:rPr>
              <w:t>lanova za spektar</w:t>
            </w:r>
          </w:p>
          <w:p w14:paraId="7D21F922" w14:textId="77777777" w:rsidR="003F46B9" w:rsidRDefault="0065662E">
            <w:pPr>
              <w:pStyle w:val="P68B1DB1-Normal5"/>
              <w:spacing w:after="0" w:line="240" w:lineRule="auto"/>
              <w:jc w:val="both"/>
              <w:rPr>
                <w:rFonts w:eastAsia="Times New Roman" w:cs="Times New Roman"/>
                <w:noProof/>
              </w:rPr>
            </w:pPr>
            <w:r>
              <w:rPr>
                <w:noProof/>
              </w:rPr>
              <w:t>32 – Korištenje financijske potpore kao dopune za poticanje ulaganja</w:t>
            </w:r>
          </w:p>
          <w:p w14:paraId="1B5F7F52" w14:textId="77777777" w:rsidR="003F46B9" w:rsidRDefault="0065662E">
            <w:pPr>
              <w:pStyle w:val="P68B1DB1-Normal5"/>
              <w:spacing w:after="0" w:line="240" w:lineRule="auto"/>
              <w:jc w:val="both"/>
              <w:rPr>
                <w:rFonts w:eastAsia="Times New Roman" w:cs="Times New Roman"/>
                <w:noProof/>
              </w:rPr>
            </w:pPr>
            <w:r>
              <w:rPr>
                <w:noProof/>
              </w:rPr>
              <w:t>35 – Korištenje usklađenih tehničkih uvjeta koje je razvila Europska konferencija poštanskih i telekomunikacijskih uprava (CEPT)/Odbor za elektroničke komunikacije (ECC)</w:t>
            </w:r>
            <w:r>
              <w:rPr>
                <w:noProof/>
              </w:rPr>
              <w:t xml:space="preserve"> ako se smatra da su potrebni zajednički namjenski frekvencijski rasponi</w:t>
            </w:r>
          </w:p>
          <w:p w14:paraId="39A42AE8" w14:textId="77777777" w:rsidR="003F46B9" w:rsidRDefault="0065662E">
            <w:pPr>
              <w:pStyle w:val="P68B1DB1-Normal5"/>
              <w:spacing w:after="0"/>
              <w:contextualSpacing/>
              <w:jc w:val="both"/>
              <w:rPr>
                <w:rFonts w:eastAsia="Times New Roman"/>
                <w:noProof/>
              </w:rPr>
            </w:pPr>
            <w:r>
              <w:rPr>
                <w:noProof/>
              </w:rPr>
              <w:t>Svi će biti dovršeni 2022.</w:t>
            </w:r>
          </w:p>
        </w:tc>
      </w:tr>
      <w:tr w:rsidR="003F46B9" w14:paraId="66ECB1B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54ED2BD" w14:textId="77777777" w:rsidR="003F46B9" w:rsidRDefault="0065662E">
            <w:pPr>
              <w:pStyle w:val="P68B1DB1-Normal5"/>
              <w:spacing w:after="0" w:line="240" w:lineRule="auto"/>
              <w:jc w:val="center"/>
              <w:rPr>
                <w:rFonts w:eastAsia="Times New Roman" w:cs="Times New Roman"/>
                <w:noProof/>
              </w:rPr>
            </w:pPr>
            <w:r>
              <w:rPr>
                <w:noProof/>
              </w:rPr>
              <w:t>149</w:t>
            </w:r>
          </w:p>
        </w:tc>
        <w:tc>
          <w:tcPr>
            <w:tcW w:w="1740" w:type="dxa"/>
            <w:tcBorders>
              <w:top w:val="single" w:sz="4" w:space="0" w:color="auto"/>
              <w:left w:val="nil"/>
              <w:bottom w:val="single" w:sz="4" w:space="0" w:color="auto"/>
              <w:right w:val="single" w:sz="4" w:space="0" w:color="auto"/>
            </w:tcBorders>
            <w:shd w:val="clear" w:color="auto" w:fill="C6EFCE"/>
            <w:noWrap/>
          </w:tcPr>
          <w:p w14:paraId="4BF779B8" w14:textId="77777777" w:rsidR="003F46B9" w:rsidRDefault="0065662E">
            <w:pPr>
              <w:pStyle w:val="P68B1DB1-Normal5"/>
              <w:spacing w:after="0" w:line="240" w:lineRule="auto"/>
              <w:jc w:val="both"/>
              <w:rPr>
                <w:rFonts w:eastAsia="Times New Roman" w:cs="Times New Roman"/>
                <w:noProof/>
              </w:rPr>
            </w:pPr>
            <w:r>
              <w:rPr>
                <w:noProof/>
              </w:rPr>
              <w:t>Reforma 2.</w:t>
            </w:r>
          </w:p>
          <w:p w14:paraId="7005789C" w14:textId="77777777" w:rsidR="003F46B9" w:rsidRDefault="0065662E">
            <w:pPr>
              <w:pStyle w:val="P68B1DB1-Normal5"/>
              <w:spacing w:after="0" w:line="240" w:lineRule="auto"/>
              <w:jc w:val="both"/>
              <w:rPr>
                <w:rFonts w:eastAsia="Times New Roman" w:cs="Times New Roman"/>
                <w:noProof/>
              </w:rPr>
            </w:pPr>
            <w:r>
              <w:rPr>
                <w:noProof/>
              </w:rPr>
              <w:t xml:space="preserve">Prijelaz na ciljeve EU-a za 2025. u pogledu povezivosti i poticanje privatnih ulaganja u uvođenje mreža vrlo velikog kapaciteta </w:t>
            </w:r>
          </w:p>
        </w:tc>
        <w:tc>
          <w:tcPr>
            <w:tcW w:w="1073" w:type="dxa"/>
            <w:tcBorders>
              <w:top w:val="single" w:sz="4" w:space="0" w:color="auto"/>
              <w:left w:val="nil"/>
              <w:bottom w:val="single" w:sz="4" w:space="0" w:color="auto"/>
              <w:right w:val="single" w:sz="4" w:space="0" w:color="auto"/>
            </w:tcBorders>
            <w:shd w:val="clear" w:color="auto" w:fill="C6EFCE"/>
            <w:noWrap/>
          </w:tcPr>
          <w:p w14:paraId="1CF0E0A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FE804D1" w14:textId="77777777" w:rsidR="003F46B9" w:rsidRDefault="0065662E">
            <w:pPr>
              <w:pStyle w:val="P68B1DB1-Normal5"/>
              <w:spacing w:after="0" w:line="240" w:lineRule="auto"/>
              <w:jc w:val="both"/>
              <w:rPr>
                <w:rFonts w:eastAsia="Times New Roman" w:cs="Times New Roman"/>
                <w:noProof/>
              </w:rPr>
            </w:pPr>
            <w:r>
              <w:rPr>
                <w:noProof/>
              </w:rPr>
              <w:t>Dodjela prava korištenja radiofrekvencijskim spektrom</w:t>
            </w:r>
          </w:p>
        </w:tc>
        <w:tc>
          <w:tcPr>
            <w:tcW w:w="1474" w:type="dxa"/>
            <w:tcBorders>
              <w:top w:val="single" w:sz="4" w:space="0" w:color="auto"/>
              <w:left w:val="nil"/>
              <w:bottom w:val="single" w:sz="4" w:space="0" w:color="auto"/>
              <w:right w:val="single" w:sz="4" w:space="0" w:color="auto"/>
            </w:tcBorders>
            <w:shd w:val="clear" w:color="auto" w:fill="C6EFCE"/>
            <w:noWrap/>
          </w:tcPr>
          <w:p w14:paraId="630DBA10" w14:textId="77777777" w:rsidR="003F46B9" w:rsidRDefault="0065662E">
            <w:pPr>
              <w:pStyle w:val="P68B1DB1-Normal5"/>
              <w:spacing w:after="0" w:line="240" w:lineRule="auto"/>
              <w:jc w:val="both"/>
              <w:rPr>
                <w:rFonts w:eastAsia="Times New Roman" w:cs="Times New Roman"/>
                <w:noProof/>
              </w:rPr>
            </w:pPr>
            <w:r>
              <w:rPr>
                <w:noProof/>
              </w:rPr>
              <w:t>Dodijeljena prava korištenja</w:t>
            </w:r>
          </w:p>
        </w:tc>
        <w:tc>
          <w:tcPr>
            <w:tcW w:w="940" w:type="dxa"/>
            <w:tcBorders>
              <w:top w:val="single" w:sz="4" w:space="0" w:color="auto"/>
              <w:left w:val="nil"/>
              <w:bottom w:val="single" w:sz="4" w:space="0" w:color="auto"/>
              <w:right w:val="single" w:sz="4" w:space="0" w:color="auto"/>
            </w:tcBorders>
            <w:shd w:val="clear" w:color="auto" w:fill="C6EFCE"/>
            <w:noWrap/>
          </w:tcPr>
          <w:p w14:paraId="20A7E67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6441E16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4E70719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4AC2E43B"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31BA899F"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5C3E5899" w14:textId="77777777" w:rsidR="003F46B9" w:rsidRDefault="0065662E">
            <w:pPr>
              <w:pStyle w:val="P68B1DB1-Normal5"/>
              <w:spacing w:after="0" w:line="240" w:lineRule="auto"/>
              <w:jc w:val="both"/>
              <w:rPr>
                <w:rFonts w:eastAsia="Times New Roman" w:cs="Times New Roman"/>
                <w:noProof/>
              </w:rPr>
            </w:pPr>
            <w:r>
              <w:rPr>
                <w:noProof/>
              </w:rPr>
              <w:t>Dozvole za radijske frekvencije „5G” dodjeljuju se na temelju rezultata natječajnog postupka odabira/dražbe u ključnoj etapi 147.</w:t>
            </w:r>
          </w:p>
          <w:p w14:paraId="5ED9DC7E" w14:textId="77777777" w:rsidR="003F46B9" w:rsidRDefault="003F46B9">
            <w:pPr>
              <w:spacing w:after="0" w:line="240" w:lineRule="auto"/>
              <w:ind w:left="282"/>
              <w:contextualSpacing/>
              <w:jc w:val="both"/>
              <w:rPr>
                <w:rFonts w:ascii="Times New Roman" w:eastAsia="Times New Roman" w:hAnsi="Times New Roman" w:cs="Times New Roman"/>
                <w:noProof/>
                <w:sz w:val="24"/>
              </w:rPr>
            </w:pPr>
          </w:p>
        </w:tc>
      </w:tr>
      <w:tr w:rsidR="003F46B9" w14:paraId="16750ED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6B1240" w14:textId="77777777" w:rsidR="003F46B9" w:rsidRDefault="0065662E">
            <w:pPr>
              <w:pStyle w:val="P68B1DB1-Normal5"/>
              <w:spacing w:after="0" w:line="240" w:lineRule="auto"/>
              <w:jc w:val="center"/>
              <w:rPr>
                <w:rFonts w:eastAsia="Times New Roman" w:cs="Times New Roman"/>
                <w:noProof/>
              </w:rPr>
            </w:pPr>
            <w:r>
              <w:rPr>
                <w:noProof/>
              </w:rPr>
              <w:t>150</w:t>
            </w:r>
          </w:p>
        </w:tc>
        <w:tc>
          <w:tcPr>
            <w:tcW w:w="1740" w:type="dxa"/>
            <w:tcBorders>
              <w:top w:val="single" w:sz="4" w:space="0" w:color="auto"/>
              <w:left w:val="nil"/>
              <w:bottom w:val="single" w:sz="4" w:space="0" w:color="auto"/>
              <w:right w:val="single" w:sz="4" w:space="0" w:color="auto"/>
            </w:tcBorders>
            <w:shd w:val="clear" w:color="auto" w:fill="C6EFCE"/>
            <w:noWrap/>
          </w:tcPr>
          <w:p w14:paraId="23A7E763" w14:textId="77777777" w:rsidR="003F46B9" w:rsidRDefault="0065662E">
            <w:pPr>
              <w:pStyle w:val="P68B1DB1-Normal5"/>
              <w:spacing w:after="0" w:line="240" w:lineRule="auto"/>
              <w:jc w:val="both"/>
              <w:rPr>
                <w:rFonts w:eastAsia="Times New Roman" w:cs="Times New Roman"/>
                <w:noProof/>
              </w:rPr>
            </w:pPr>
            <w:r>
              <w:rPr>
                <w:noProof/>
              </w:rPr>
              <w:t xml:space="preserve">Reforma 3. Osiguravanje kibersigurnosti javnih i privatnih subjekata koji posjeduju infrastrukturu kritične vrijednosti </w:t>
            </w:r>
          </w:p>
        </w:tc>
        <w:tc>
          <w:tcPr>
            <w:tcW w:w="1073" w:type="dxa"/>
            <w:tcBorders>
              <w:top w:val="single" w:sz="4" w:space="0" w:color="auto"/>
              <w:left w:val="nil"/>
              <w:bottom w:val="single" w:sz="4" w:space="0" w:color="auto"/>
              <w:right w:val="single" w:sz="4" w:space="0" w:color="auto"/>
            </w:tcBorders>
            <w:shd w:val="clear" w:color="auto" w:fill="C6EFCE"/>
            <w:noWrap/>
          </w:tcPr>
          <w:p w14:paraId="7B647509"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7EAE3B0" w14:textId="77777777" w:rsidR="003F46B9" w:rsidRDefault="0065662E">
            <w:pPr>
              <w:pStyle w:val="P68B1DB1-Normal5"/>
              <w:spacing w:after="0" w:line="240" w:lineRule="auto"/>
              <w:jc w:val="both"/>
              <w:rPr>
                <w:rFonts w:eastAsia="Times New Roman" w:cs="Times New Roman"/>
                <w:noProof/>
              </w:rPr>
            </w:pPr>
            <w:r>
              <w:rPr>
                <w:noProof/>
              </w:rPr>
              <w:t>Donošenje nacionalne strategije za kibersigurnost za razdoblje 2021. 2026.</w:t>
            </w:r>
          </w:p>
        </w:tc>
        <w:tc>
          <w:tcPr>
            <w:tcW w:w="1474" w:type="dxa"/>
            <w:tcBorders>
              <w:top w:val="single" w:sz="4" w:space="0" w:color="auto"/>
              <w:left w:val="nil"/>
              <w:bottom w:val="single" w:sz="4" w:space="0" w:color="auto"/>
              <w:right w:val="single" w:sz="4" w:space="0" w:color="auto"/>
            </w:tcBorders>
            <w:shd w:val="clear" w:color="auto" w:fill="C6EFCE"/>
            <w:noWrap/>
          </w:tcPr>
          <w:p w14:paraId="692DB5DF" w14:textId="77777777" w:rsidR="003F46B9" w:rsidRDefault="0065662E">
            <w:pPr>
              <w:pStyle w:val="P68B1DB1-Normal5"/>
              <w:spacing w:after="0" w:line="240" w:lineRule="auto"/>
              <w:jc w:val="both"/>
              <w:rPr>
                <w:rFonts w:eastAsia="Times New Roman" w:cs="Times New Roman"/>
                <w:noProof/>
              </w:rPr>
            </w:pPr>
            <w:r>
              <w:rPr>
                <w:noProof/>
              </w:rPr>
              <w:t xml:space="preserve">Vlada donosi nacionalnu strategiju za </w:t>
            </w:r>
            <w:r>
              <w:rPr>
                <w:noProof/>
              </w:rPr>
              <w:t>kibersigurnost za razdoblje 2021. 2026.</w:t>
            </w:r>
          </w:p>
        </w:tc>
        <w:tc>
          <w:tcPr>
            <w:tcW w:w="940" w:type="dxa"/>
            <w:tcBorders>
              <w:top w:val="single" w:sz="4" w:space="0" w:color="auto"/>
              <w:left w:val="nil"/>
              <w:bottom w:val="single" w:sz="4" w:space="0" w:color="auto"/>
              <w:right w:val="single" w:sz="4" w:space="0" w:color="auto"/>
            </w:tcBorders>
            <w:shd w:val="clear" w:color="auto" w:fill="C6EFCE"/>
            <w:noWrap/>
          </w:tcPr>
          <w:p w14:paraId="19A70B2C"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86464B0"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E777546"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7DAE741"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33E686F3" w14:textId="77777777" w:rsidR="003F46B9" w:rsidRDefault="0065662E">
            <w:pPr>
              <w:pStyle w:val="P68B1DB1-Normal5"/>
              <w:spacing w:after="0" w:line="240" w:lineRule="auto"/>
              <w:jc w:val="both"/>
              <w:rPr>
                <w:rFonts w:eastAsia="Times New Roman" w:cs="Times New Roman"/>
                <w:noProof/>
              </w:rPr>
            </w:pPr>
            <w:r>
              <w:rPr>
                <w:noProof/>
              </w:rPr>
              <w:t>2021</w:t>
            </w:r>
          </w:p>
        </w:tc>
        <w:tc>
          <w:tcPr>
            <w:tcW w:w="3021" w:type="dxa"/>
            <w:tcBorders>
              <w:top w:val="single" w:sz="4" w:space="0" w:color="auto"/>
              <w:left w:val="nil"/>
              <w:bottom w:val="single" w:sz="4" w:space="0" w:color="auto"/>
              <w:right w:val="single" w:sz="4" w:space="0" w:color="auto"/>
            </w:tcBorders>
            <w:shd w:val="clear" w:color="auto" w:fill="C6EFCE"/>
            <w:noWrap/>
          </w:tcPr>
          <w:p w14:paraId="2DD3E60E" w14:textId="77777777" w:rsidR="003F46B9" w:rsidRDefault="0065662E">
            <w:pPr>
              <w:pStyle w:val="P68B1DB1-Normal5"/>
              <w:spacing w:after="0" w:line="240" w:lineRule="auto"/>
              <w:jc w:val="both"/>
              <w:rPr>
                <w:rFonts w:eastAsia="Times New Roman" w:cs="Times New Roman"/>
                <w:noProof/>
              </w:rPr>
            </w:pPr>
            <w:r>
              <w:rPr>
                <w:noProof/>
              </w:rPr>
              <w:t>Nacionalna strategija za kibersigurnost za razdoblje 2021. 2026. donosi se i uključuje odredbe o:</w:t>
            </w:r>
          </w:p>
          <w:p w14:paraId="352D6F65"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redovite procjene i ažuriranja regulatornog i institucionalnog okvira za kibersigurnost, </w:t>
            </w:r>
          </w:p>
          <w:p w14:paraId="2B173409"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jačanje javno-privatnog i akademskog partnerstva kako bi se povećala kiberotpornost društva u cjelini, </w:t>
            </w:r>
          </w:p>
          <w:p w14:paraId="3433F58B"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razvoj kapaciteta za odgovor na kibernapade i otpornost sustava, mreža i usluga </w:t>
            </w:r>
          </w:p>
          <w:p w14:paraId="485F98C8"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konsolidacija uloge Rumunjske u arhitekturi kibersigurnosti na međunaro</w:t>
            </w:r>
            <w:r>
              <w:rPr>
                <w:noProof/>
              </w:rPr>
              <w:t>dnoj razini.</w:t>
            </w:r>
          </w:p>
        </w:tc>
      </w:tr>
      <w:tr w:rsidR="003F46B9" w14:paraId="066A07B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3C7344F" w14:textId="77777777" w:rsidR="003F46B9" w:rsidRDefault="0065662E">
            <w:pPr>
              <w:pStyle w:val="P68B1DB1-Normal5"/>
              <w:spacing w:after="0" w:line="240" w:lineRule="auto"/>
              <w:jc w:val="center"/>
              <w:rPr>
                <w:rFonts w:eastAsia="Times New Roman" w:cs="Times New Roman"/>
                <w:noProof/>
              </w:rPr>
            </w:pPr>
            <w:r>
              <w:rPr>
                <w:noProof/>
              </w:rPr>
              <w:t>151</w:t>
            </w:r>
          </w:p>
        </w:tc>
        <w:tc>
          <w:tcPr>
            <w:tcW w:w="1740" w:type="dxa"/>
            <w:tcBorders>
              <w:top w:val="single" w:sz="4" w:space="0" w:color="auto"/>
              <w:left w:val="nil"/>
              <w:bottom w:val="single" w:sz="4" w:space="0" w:color="auto"/>
              <w:right w:val="single" w:sz="4" w:space="0" w:color="auto"/>
            </w:tcBorders>
            <w:shd w:val="clear" w:color="auto" w:fill="C6EFCE"/>
            <w:noWrap/>
          </w:tcPr>
          <w:p w14:paraId="2C2E8B40" w14:textId="77777777" w:rsidR="003F46B9" w:rsidRDefault="0065662E">
            <w:pPr>
              <w:pStyle w:val="P68B1DB1-Normal5"/>
              <w:spacing w:after="0" w:line="240" w:lineRule="auto"/>
              <w:jc w:val="both"/>
              <w:rPr>
                <w:rFonts w:eastAsia="Times New Roman" w:cs="Times New Roman"/>
                <w:noProof/>
              </w:rPr>
            </w:pPr>
            <w:r>
              <w:rPr>
                <w:noProof/>
              </w:rPr>
              <w:t>Reforma 3. Osiguravanje kibersigurnosti javnih i privatnih subjekata koji posjeduju infrastrukturu kritične vrijednosti</w:t>
            </w:r>
          </w:p>
        </w:tc>
        <w:tc>
          <w:tcPr>
            <w:tcW w:w="1073" w:type="dxa"/>
            <w:tcBorders>
              <w:top w:val="single" w:sz="4" w:space="0" w:color="auto"/>
              <w:left w:val="nil"/>
              <w:bottom w:val="single" w:sz="4" w:space="0" w:color="auto"/>
              <w:right w:val="single" w:sz="4" w:space="0" w:color="auto"/>
            </w:tcBorders>
            <w:shd w:val="clear" w:color="auto" w:fill="C6EFCE"/>
            <w:noWrap/>
          </w:tcPr>
          <w:p w14:paraId="10A0D3D8"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04EBC4C9" w14:textId="77777777" w:rsidR="003F46B9" w:rsidRDefault="0065662E">
            <w:pPr>
              <w:pStyle w:val="P68B1DB1-Normal5"/>
              <w:spacing w:after="0" w:line="240" w:lineRule="auto"/>
              <w:jc w:val="both"/>
              <w:rPr>
                <w:rFonts w:eastAsia="Times New Roman" w:cs="Times New Roman"/>
                <w:noProof/>
              </w:rPr>
            </w:pPr>
            <w:r>
              <w:rPr>
                <w:noProof/>
              </w:rPr>
              <w:t>Stupanje na snagu rumunjskog zakona o obrani i kibersigurnosti</w:t>
            </w:r>
          </w:p>
        </w:tc>
        <w:tc>
          <w:tcPr>
            <w:tcW w:w="1474" w:type="dxa"/>
            <w:tcBorders>
              <w:top w:val="single" w:sz="4" w:space="0" w:color="auto"/>
              <w:left w:val="nil"/>
              <w:bottom w:val="single" w:sz="4" w:space="0" w:color="auto"/>
              <w:right w:val="single" w:sz="4" w:space="0" w:color="auto"/>
            </w:tcBorders>
            <w:shd w:val="clear" w:color="auto" w:fill="C6EFCE"/>
            <w:noWrap/>
          </w:tcPr>
          <w:p w14:paraId="63E91927" w14:textId="77777777" w:rsidR="003F46B9" w:rsidRDefault="0065662E">
            <w:pPr>
              <w:pStyle w:val="P68B1DB1-Normal5"/>
              <w:spacing w:after="0" w:line="240" w:lineRule="auto"/>
              <w:jc w:val="both"/>
              <w:rPr>
                <w:rFonts w:eastAsia="Times New Roman" w:cs="Times New Roman"/>
                <w:noProof/>
              </w:rPr>
            </w:pPr>
            <w:r>
              <w:rPr>
                <w:noProof/>
              </w:rPr>
              <w:t xml:space="preserve">Odredba u zakonu o stupanju na snagu </w:t>
            </w:r>
            <w:r>
              <w:rPr>
                <w:noProof/>
              </w:rPr>
              <w:t>rumunjskog zakona o obrani i kibersigurnosti i sigurnosti</w:t>
            </w:r>
          </w:p>
        </w:tc>
        <w:tc>
          <w:tcPr>
            <w:tcW w:w="940" w:type="dxa"/>
            <w:tcBorders>
              <w:top w:val="single" w:sz="4" w:space="0" w:color="auto"/>
              <w:left w:val="nil"/>
              <w:bottom w:val="single" w:sz="4" w:space="0" w:color="auto"/>
              <w:right w:val="single" w:sz="4" w:space="0" w:color="auto"/>
            </w:tcBorders>
            <w:shd w:val="clear" w:color="auto" w:fill="C6EFCE"/>
            <w:noWrap/>
          </w:tcPr>
          <w:p w14:paraId="0076C79C"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7D4685D"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5AB49692"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D013BB9"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135D1C80"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761B0A60" w14:textId="77777777" w:rsidR="003F46B9" w:rsidRDefault="0065662E">
            <w:pPr>
              <w:pStyle w:val="P68B1DB1-Normal5"/>
              <w:spacing w:after="0" w:line="240" w:lineRule="auto"/>
              <w:jc w:val="both"/>
              <w:rPr>
                <w:rFonts w:eastAsia="Times New Roman" w:cs="Times New Roman"/>
                <w:noProof/>
              </w:rPr>
            </w:pPr>
            <w:r>
              <w:rPr>
                <w:noProof/>
              </w:rPr>
              <w:t>Rumunjskim zakonom o obrani i kibersigurnosti uspostavlja se pravni i institucionalni okvir za organizaciju i provođenje aktivnosti u području kibersigurnosti i kiberobra</w:t>
            </w:r>
            <w:r>
              <w:rPr>
                <w:noProof/>
              </w:rPr>
              <w:t>ne, mehanizama suradnje i odgovora institucija u predmetnim područjima.</w:t>
            </w:r>
          </w:p>
        </w:tc>
      </w:tr>
      <w:tr w:rsidR="003F46B9" w14:paraId="216B1A0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CB63D90" w14:textId="77777777" w:rsidR="003F46B9" w:rsidRDefault="0065662E">
            <w:pPr>
              <w:pStyle w:val="P68B1DB1-Normal5"/>
              <w:spacing w:after="0" w:line="240" w:lineRule="auto"/>
              <w:jc w:val="center"/>
              <w:rPr>
                <w:rFonts w:eastAsia="Times New Roman" w:cs="Times New Roman"/>
                <w:noProof/>
              </w:rPr>
            </w:pPr>
            <w:r>
              <w:rPr>
                <w:noProof/>
              </w:rPr>
              <w:t>152</w:t>
            </w:r>
          </w:p>
        </w:tc>
        <w:tc>
          <w:tcPr>
            <w:tcW w:w="1740" w:type="dxa"/>
            <w:tcBorders>
              <w:top w:val="single" w:sz="4" w:space="0" w:color="auto"/>
              <w:left w:val="nil"/>
              <w:bottom w:val="single" w:sz="4" w:space="0" w:color="auto"/>
              <w:right w:val="single" w:sz="4" w:space="0" w:color="auto"/>
            </w:tcBorders>
            <w:shd w:val="clear" w:color="auto" w:fill="C6EFCE"/>
            <w:noWrap/>
          </w:tcPr>
          <w:p w14:paraId="6664877D" w14:textId="77777777" w:rsidR="003F46B9" w:rsidRDefault="0065662E">
            <w:pPr>
              <w:pStyle w:val="P68B1DB1-Normal5"/>
              <w:spacing w:after="0" w:line="240" w:lineRule="auto"/>
              <w:jc w:val="both"/>
              <w:rPr>
                <w:rFonts w:eastAsia="Times New Roman" w:cs="Times New Roman"/>
                <w:noProof/>
              </w:rPr>
            </w:pPr>
            <w:r>
              <w:rPr>
                <w:noProof/>
              </w:rPr>
              <w:t>Reforma 4.</w:t>
            </w:r>
          </w:p>
          <w:p w14:paraId="39AEBFDF" w14:textId="77777777" w:rsidR="003F46B9" w:rsidRDefault="0065662E">
            <w:pPr>
              <w:pStyle w:val="P68B1DB1-Normal5"/>
              <w:spacing w:after="0" w:line="240" w:lineRule="auto"/>
              <w:jc w:val="both"/>
              <w:rPr>
                <w:rFonts w:eastAsia="Times New Roman" w:cs="Times New Roman"/>
                <w:noProof/>
              </w:rPr>
            </w:pPr>
            <w:r>
              <w:rPr>
                <w:noProof/>
              </w:rPr>
              <w:t>Povećanje digitalne kompetencije građana za javne usluge i digitalno obrazovanje tijekom cijelog života</w:t>
            </w:r>
          </w:p>
        </w:tc>
        <w:tc>
          <w:tcPr>
            <w:tcW w:w="1073" w:type="dxa"/>
            <w:tcBorders>
              <w:top w:val="single" w:sz="4" w:space="0" w:color="auto"/>
              <w:left w:val="nil"/>
              <w:bottom w:val="single" w:sz="4" w:space="0" w:color="auto"/>
              <w:right w:val="single" w:sz="4" w:space="0" w:color="auto"/>
            </w:tcBorders>
            <w:shd w:val="clear" w:color="auto" w:fill="C6EFCE"/>
            <w:noWrap/>
          </w:tcPr>
          <w:p w14:paraId="0003925A"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24122CFC" w14:textId="5BB6D8F9" w:rsidR="003F46B9" w:rsidRDefault="0065662E">
            <w:pPr>
              <w:pStyle w:val="P68B1DB1-Normal5"/>
              <w:spacing w:after="0" w:line="240" w:lineRule="auto"/>
              <w:jc w:val="both"/>
              <w:rPr>
                <w:rFonts w:eastAsia="Times New Roman" w:cs="Times New Roman"/>
                <w:noProof/>
              </w:rPr>
            </w:pPr>
            <w:r>
              <w:rPr>
                <w:noProof/>
              </w:rPr>
              <w:t xml:space="preserve">Stupanje na snagu ministarske odluke ministra rada i predsjednika Nacionalnog zavoda za statistiku o definiciji novih digitalnih zanimanja u klasifikaciji zanimanja (COR) </w:t>
            </w:r>
          </w:p>
          <w:p w14:paraId="6854926B"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0F81F67E" w14:textId="77777777" w:rsidR="003F46B9" w:rsidRDefault="003F46B9">
            <w:pPr>
              <w:spacing w:after="0" w:line="240" w:lineRule="auto"/>
              <w:jc w:val="both"/>
              <w:rPr>
                <w:rFonts w:ascii="Times New Roman" w:eastAsia="Times New Roman" w:hAnsi="Times New Roman" w:cs="Times New Roman"/>
                <w:noProof/>
                <w:sz w:val="24"/>
              </w:rPr>
            </w:pPr>
          </w:p>
          <w:p w14:paraId="07D9F2E1" w14:textId="77777777" w:rsidR="003F46B9" w:rsidRDefault="003F46B9">
            <w:pPr>
              <w:spacing w:after="0" w:line="240" w:lineRule="auto"/>
              <w:jc w:val="both"/>
              <w:rPr>
                <w:rFonts w:ascii="Times New Roman" w:eastAsia="Times New Roman" w:hAnsi="Times New Roman" w:cs="Times New Roman"/>
                <w:noProof/>
                <w:sz w:val="24"/>
              </w:rPr>
            </w:pPr>
          </w:p>
          <w:p w14:paraId="4F475091" w14:textId="77777777" w:rsidR="003F46B9" w:rsidRDefault="0065662E">
            <w:pPr>
              <w:pStyle w:val="P68B1DB1-Normal5"/>
              <w:spacing w:after="0" w:line="240" w:lineRule="auto"/>
              <w:jc w:val="both"/>
              <w:rPr>
                <w:rFonts w:eastAsia="Times New Roman" w:cs="Times New Roman"/>
                <w:noProof/>
              </w:rPr>
            </w:pPr>
            <w:r>
              <w:rPr>
                <w:noProof/>
              </w:rPr>
              <w:t>Odredba u redoslijedu ministra rada i predsjednika Nacionalnog zavoda za statisti</w:t>
            </w:r>
            <w:r>
              <w:rPr>
                <w:noProof/>
              </w:rPr>
              <w:t>ku u kojoj se navodi stupanje na snagu izmjene kojom se definiraju nova digitalna zanimanja u OR-u.</w:t>
            </w:r>
          </w:p>
        </w:tc>
        <w:tc>
          <w:tcPr>
            <w:tcW w:w="940" w:type="dxa"/>
            <w:tcBorders>
              <w:top w:val="single" w:sz="4" w:space="0" w:color="auto"/>
              <w:left w:val="nil"/>
              <w:bottom w:val="single" w:sz="4" w:space="0" w:color="auto"/>
              <w:right w:val="single" w:sz="4" w:space="0" w:color="auto"/>
            </w:tcBorders>
            <w:shd w:val="clear" w:color="auto" w:fill="C6EFCE"/>
            <w:noWrap/>
          </w:tcPr>
          <w:p w14:paraId="7DEAB8A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1" w:type="dxa"/>
            <w:tcBorders>
              <w:top w:val="single" w:sz="4" w:space="0" w:color="auto"/>
              <w:left w:val="nil"/>
              <w:bottom w:val="single" w:sz="4" w:space="0" w:color="auto"/>
              <w:right w:val="single" w:sz="4" w:space="0" w:color="auto"/>
            </w:tcBorders>
            <w:shd w:val="clear" w:color="auto" w:fill="C6EFCE"/>
            <w:noWrap/>
          </w:tcPr>
          <w:p w14:paraId="30BB6AD6"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25" w:type="dxa"/>
            <w:tcBorders>
              <w:top w:val="single" w:sz="4" w:space="0" w:color="auto"/>
              <w:left w:val="nil"/>
              <w:bottom w:val="single" w:sz="4" w:space="0" w:color="auto"/>
              <w:right w:val="single" w:sz="4" w:space="0" w:color="auto"/>
            </w:tcBorders>
            <w:shd w:val="clear" w:color="auto" w:fill="C6EFCE"/>
            <w:noWrap/>
          </w:tcPr>
          <w:p w14:paraId="20FE712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08" w:type="dxa"/>
            <w:tcBorders>
              <w:top w:val="single" w:sz="4" w:space="0" w:color="auto"/>
              <w:left w:val="nil"/>
              <w:bottom w:val="single" w:sz="4" w:space="0" w:color="auto"/>
              <w:right w:val="single" w:sz="4" w:space="0" w:color="auto"/>
            </w:tcBorders>
            <w:shd w:val="clear" w:color="auto" w:fill="C6EFCE"/>
            <w:noWrap/>
          </w:tcPr>
          <w:p w14:paraId="5C48B89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CDE729D"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2CDFD13F" w14:textId="77777777" w:rsidR="003F46B9" w:rsidRDefault="0065662E">
            <w:pPr>
              <w:pStyle w:val="P68B1DB1-Normal5"/>
              <w:spacing w:after="0" w:line="240" w:lineRule="auto"/>
              <w:jc w:val="both"/>
              <w:rPr>
                <w:rFonts w:eastAsia="Times New Roman" w:cs="Times New Roman"/>
                <w:noProof/>
              </w:rPr>
            </w:pPr>
            <w:r>
              <w:rPr>
                <w:noProof/>
              </w:rPr>
              <w:t>Ministarskom odlukom ministra rada i predsjednika Nacionalnog zavoda za statistiku utvrđuju se nova digitalna zanimanja na razini rum</w:t>
            </w:r>
            <w:r>
              <w:rPr>
                <w:noProof/>
              </w:rPr>
              <w:t>unjske klasifikacije zanimanja (COR) koja je istovjetna onoj koja postoji u zemljama Europske unije s dobrim praksama u digitalizaciji. Provodi se dijagnoza/analiza kako bi se za sljedećih pet godina pružila predviđanja potreba za radnom snagom u kontekstu</w:t>
            </w:r>
            <w:r>
              <w:rPr>
                <w:noProof/>
              </w:rPr>
              <w:t xml:space="preserve"> digitalne transformacije gospodarstva i prijelaza na industriju 4.0, uključujući preporuke za definiranje novih digitalnih zanimanja u službenoj klasifikaciji zanimanja.</w:t>
            </w:r>
          </w:p>
        </w:tc>
      </w:tr>
      <w:tr w:rsidR="003F46B9" w14:paraId="45BC0D4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D35F75" w14:textId="77777777" w:rsidR="003F46B9" w:rsidRDefault="0065662E">
            <w:pPr>
              <w:pStyle w:val="P68B1DB1-Normal5"/>
              <w:spacing w:after="0" w:line="240" w:lineRule="auto"/>
              <w:jc w:val="center"/>
              <w:rPr>
                <w:rFonts w:eastAsia="Times New Roman" w:cs="Times New Roman"/>
                <w:noProof/>
              </w:rPr>
            </w:pPr>
            <w:r>
              <w:rPr>
                <w:noProof/>
              </w:rPr>
              <w:t>153</w:t>
            </w:r>
          </w:p>
        </w:tc>
        <w:tc>
          <w:tcPr>
            <w:tcW w:w="1740" w:type="dxa"/>
            <w:tcBorders>
              <w:top w:val="single" w:sz="4" w:space="0" w:color="auto"/>
              <w:left w:val="nil"/>
              <w:bottom w:val="single" w:sz="4" w:space="0" w:color="auto"/>
              <w:right w:val="single" w:sz="4" w:space="0" w:color="auto"/>
            </w:tcBorders>
            <w:shd w:val="clear" w:color="auto" w:fill="C6EFCE"/>
            <w:noWrap/>
          </w:tcPr>
          <w:p w14:paraId="5C01D335" w14:textId="77777777" w:rsidR="003F46B9" w:rsidRDefault="0065662E">
            <w:pPr>
              <w:pStyle w:val="P68B1DB1-Normal5"/>
              <w:spacing w:after="0" w:line="240" w:lineRule="auto"/>
              <w:jc w:val="both"/>
              <w:rPr>
                <w:rFonts w:eastAsia="Times New Roman" w:cs="Times New Roman"/>
                <w:noProof/>
              </w:rPr>
            </w:pPr>
            <w:r>
              <w:rPr>
                <w:noProof/>
              </w:rPr>
              <w:t>Ulaganje 1.</w:t>
            </w:r>
          </w:p>
          <w:p w14:paraId="4D1091F0" w14:textId="77777777" w:rsidR="003F46B9" w:rsidRDefault="0065662E">
            <w:pPr>
              <w:pStyle w:val="P68B1DB1-Normal5"/>
              <w:spacing w:after="0" w:line="240" w:lineRule="auto"/>
              <w:jc w:val="both"/>
              <w:rPr>
                <w:rFonts w:eastAsia="Times New Roman" w:cs="Times New Roman"/>
                <w:noProof/>
              </w:rPr>
            </w:pPr>
            <w:r>
              <w:rPr>
                <w:noProof/>
              </w:rPr>
              <w:t xml:space="preserve">Uvođenje državne infrastrukture oblaka </w:t>
            </w:r>
          </w:p>
          <w:p w14:paraId="0FBB7D6E"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26C7A540"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41B5C3E" w14:textId="77777777" w:rsidR="003F46B9" w:rsidRDefault="0065662E">
            <w:pPr>
              <w:pStyle w:val="P68B1DB1-Normal5"/>
              <w:spacing w:after="0" w:line="240" w:lineRule="auto"/>
              <w:jc w:val="both"/>
              <w:rPr>
                <w:rFonts w:eastAsia="Times New Roman" w:cs="Times New Roman"/>
                <w:noProof/>
              </w:rPr>
            </w:pPr>
            <w:r>
              <w:rPr>
                <w:noProof/>
              </w:rPr>
              <w:t xml:space="preserve">Potpisivanje </w:t>
            </w:r>
            <w:r>
              <w:rPr>
                <w:noProof/>
              </w:rPr>
              <w:t>ugovora za provedbu ulaganja na temelju postupka poziva na podnošenje ponuda za provedbu ulaganja</w:t>
            </w:r>
          </w:p>
        </w:tc>
        <w:tc>
          <w:tcPr>
            <w:tcW w:w="1474" w:type="dxa"/>
            <w:tcBorders>
              <w:top w:val="single" w:sz="4" w:space="0" w:color="auto"/>
              <w:left w:val="nil"/>
              <w:bottom w:val="single" w:sz="4" w:space="0" w:color="auto"/>
              <w:right w:val="single" w:sz="4" w:space="0" w:color="auto"/>
            </w:tcBorders>
            <w:shd w:val="clear" w:color="auto" w:fill="C6EFCE"/>
            <w:noWrap/>
          </w:tcPr>
          <w:p w14:paraId="38AEA81E" w14:textId="77777777" w:rsidR="003F46B9" w:rsidRDefault="003F46B9">
            <w:pPr>
              <w:spacing w:after="0" w:line="240" w:lineRule="auto"/>
              <w:jc w:val="both"/>
              <w:rPr>
                <w:rFonts w:ascii="Times New Roman" w:eastAsia="Times New Roman" w:hAnsi="Times New Roman" w:cs="Times New Roman"/>
                <w:noProof/>
                <w:sz w:val="24"/>
              </w:rPr>
            </w:pPr>
          </w:p>
          <w:p w14:paraId="1F744877"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940" w:type="dxa"/>
            <w:tcBorders>
              <w:top w:val="single" w:sz="4" w:space="0" w:color="auto"/>
              <w:left w:val="nil"/>
              <w:bottom w:val="single" w:sz="4" w:space="0" w:color="auto"/>
              <w:right w:val="single" w:sz="4" w:space="0" w:color="auto"/>
            </w:tcBorders>
            <w:shd w:val="clear" w:color="auto" w:fill="C6EFCE"/>
            <w:noWrap/>
          </w:tcPr>
          <w:p w14:paraId="4B0CAE3C"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408505B2"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4A384598"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BD2C07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F2DA24B" w14:textId="77777777" w:rsidR="003F46B9" w:rsidRDefault="0065662E">
            <w:pPr>
              <w:pStyle w:val="P68B1DB1-Normal5"/>
              <w:spacing w:after="0" w:line="240" w:lineRule="auto"/>
              <w:jc w:val="both"/>
              <w:rPr>
                <w:rFonts w:eastAsia="Times New Roman" w:cs="Times New Roman"/>
                <w:noProof/>
              </w:rPr>
            </w:pPr>
            <w:r>
              <w:rPr>
                <w:noProof/>
              </w:rPr>
              <w:t>2022</w:t>
            </w:r>
          </w:p>
        </w:tc>
        <w:tc>
          <w:tcPr>
            <w:tcW w:w="3021" w:type="dxa"/>
            <w:tcBorders>
              <w:top w:val="single" w:sz="4" w:space="0" w:color="auto"/>
              <w:left w:val="nil"/>
              <w:bottom w:val="single" w:sz="4" w:space="0" w:color="auto"/>
              <w:right w:val="single" w:sz="4" w:space="0" w:color="auto"/>
            </w:tcBorders>
            <w:shd w:val="clear" w:color="auto" w:fill="C6EFCE"/>
            <w:noWrap/>
          </w:tcPr>
          <w:p w14:paraId="64B7D8CE" w14:textId="77777777" w:rsidR="003F46B9" w:rsidRDefault="0065662E">
            <w:pPr>
              <w:pStyle w:val="P68B1DB1-Normal5"/>
              <w:spacing w:after="0" w:line="240" w:lineRule="auto"/>
              <w:contextualSpacing/>
              <w:jc w:val="both"/>
              <w:rPr>
                <w:rFonts w:eastAsia="Times New Roman" w:cs="Times New Roman"/>
                <w:noProof/>
              </w:rPr>
            </w:pPr>
            <w:r>
              <w:rPr>
                <w:noProof/>
              </w:rPr>
              <w:t>Potpisivanje ugovora za uvođenje državne infrastrukture oblaka.</w:t>
            </w:r>
          </w:p>
          <w:p w14:paraId="7C055490" w14:textId="77777777" w:rsidR="003F46B9" w:rsidRDefault="0065662E">
            <w:pPr>
              <w:pStyle w:val="P68B1DB1-Normal5"/>
              <w:spacing w:after="0" w:line="240" w:lineRule="auto"/>
              <w:contextualSpacing/>
              <w:jc w:val="both"/>
              <w:rPr>
                <w:rFonts w:eastAsia="Times New Roman" w:cs="Times New Roman"/>
                <w:noProof/>
              </w:rPr>
            </w:pPr>
            <w:r>
              <w:rPr>
                <w:noProof/>
              </w:rPr>
              <w:t xml:space="preserve">Institucije odgovorne za poziv na podnošenje ponuda </w:t>
            </w:r>
            <w:r>
              <w:rPr>
                <w:noProof/>
              </w:rPr>
              <w:t>i provedbu tog ulaganja su Specijalne telekomunikacijske usluge i Tijelo za digitalizaciju Rumunjske.</w:t>
            </w:r>
          </w:p>
          <w:p w14:paraId="738A1092" w14:textId="77777777" w:rsidR="003F46B9" w:rsidRDefault="0065662E">
            <w:pPr>
              <w:pStyle w:val="P68B1DB1-Normal5"/>
              <w:spacing w:after="0" w:line="240" w:lineRule="auto"/>
              <w:jc w:val="both"/>
              <w:rPr>
                <w:rFonts w:eastAsia="Times New Roman" w:cs="Times New Roman"/>
                <w:noProof/>
              </w:rPr>
            </w:pPr>
            <w:r>
              <w:rPr>
                <w:noProof/>
              </w:rPr>
              <w:t>Provedba državnog oblaka uključuje barem sljedeće faze:</w:t>
            </w:r>
          </w:p>
          <w:p w14:paraId="12AA9F69"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izgradnja razine IV. pomoću projektnih podatkovnih centara za dva glavna centra i razine III po pr</w:t>
            </w:r>
            <w:r>
              <w:rPr>
                <w:noProof/>
              </w:rPr>
              <w:t>ojektiranju za sekundarne centre;</w:t>
            </w:r>
          </w:p>
          <w:p w14:paraId="36B2480D"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osiguravanje posebne komunikacijske infrastrukture i informacijske tehnologije (kablovi od optičkih vlakana i komunikacijska oprema velikog kapaciteta);</w:t>
            </w:r>
          </w:p>
          <w:p w14:paraId="7082EA72"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razvoj/proširenje mreže za opskrbu električnom energijom za svaki pod</w:t>
            </w:r>
            <w:r>
              <w:rPr>
                <w:noProof/>
              </w:rPr>
              <w:t>atkovni centar kako bi se osigurala redundancija i potražnja za električnom energijom;</w:t>
            </w:r>
          </w:p>
          <w:p w14:paraId="6968FB71"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postizanje prilagodljive i redundantne infrastrukture za klimatizaciju koja je energetski učinkovita za svaki podatkovni centar;</w:t>
            </w:r>
          </w:p>
          <w:p w14:paraId="7B830AC5"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ugradnja sustava za otkrivanje i gašenje</w:t>
            </w:r>
            <w:r>
              <w:rPr>
                <w:noProof/>
              </w:rPr>
              <w:t xml:space="preserve"> požara inertnim plinom kako bi se osigurala zaštita cjelokupne infrastrukture svakog podatkovnog centra;</w:t>
            </w:r>
          </w:p>
          <w:p w14:paraId="6D4116E8"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uvođenje sustava fizičke sigurnosti (kontrola pristupa, videonadzor, borba protiv krađe) za razvijenu infrastrukturu;</w:t>
            </w:r>
          </w:p>
          <w:p w14:paraId="7518BF7C"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 xml:space="preserve">provedba mreže za praćenje i </w:t>
            </w:r>
            <w:r>
              <w:rPr>
                <w:noProof/>
              </w:rPr>
              <w:t>upravljanje infrastrukturom unutar realiziranog objekta;</w:t>
            </w:r>
          </w:p>
          <w:p w14:paraId="5176E5F7"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realizacija prilagodljive i dostupne infrastrukture za informacijske i komunikacijske tehnologije (oprema za obradu, pohrana, komunikacije, softver za virtualizaciju) u svakom podatkovnom centru;</w:t>
            </w:r>
          </w:p>
          <w:p w14:paraId="5961208D"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nab</w:t>
            </w:r>
            <w:r>
              <w:rPr>
                <w:noProof/>
              </w:rPr>
              <w:t xml:space="preserve">ava potrebnih licencija i specijalizirane opreme za kibersigurnost područja. </w:t>
            </w:r>
          </w:p>
          <w:p w14:paraId="7E2AA9AB" w14:textId="77777777" w:rsidR="003F46B9" w:rsidRDefault="0065662E">
            <w:pPr>
              <w:pStyle w:val="P68B1DB1-ListParagraph13"/>
              <w:numPr>
                <w:ilvl w:val="1"/>
                <w:numId w:val="53"/>
              </w:numPr>
              <w:spacing w:after="0" w:line="240" w:lineRule="auto"/>
              <w:ind w:left="259" w:hanging="218"/>
              <w:jc w:val="both"/>
              <w:rPr>
                <w:rFonts w:eastAsia="Times New Roman" w:cs="Times New Roman"/>
                <w:noProof/>
              </w:rPr>
            </w:pPr>
            <w:r>
              <w:rPr>
                <w:noProof/>
              </w:rPr>
              <w:t>Sigurnost osigurava državni administrator infrastrukture oblaka.</w:t>
            </w:r>
          </w:p>
        </w:tc>
      </w:tr>
      <w:tr w:rsidR="003F46B9" w14:paraId="5AAA4ED0"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A55C530" w14:textId="77777777" w:rsidR="003F46B9" w:rsidRDefault="0065662E">
            <w:pPr>
              <w:pStyle w:val="P68B1DB1-Normal5"/>
              <w:spacing w:after="0" w:line="240" w:lineRule="auto"/>
              <w:jc w:val="center"/>
              <w:rPr>
                <w:rFonts w:eastAsia="Times New Roman" w:cs="Times New Roman"/>
                <w:noProof/>
              </w:rPr>
            </w:pPr>
            <w:r>
              <w:rPr>
                <w:noProof/>
              </w:rPr>
              <w:t>154</w:t>
            </w:r>
          </w:p>
        </w:tc>
        <w:tc>
          <w:tcPr>
            <w:tcW w:w="1740" w:type="dxa"/>
            <w:tcBorders>
              <w:top w:val="single" w:sz="4" w:space="0" w:color="auto"/>
              <w:left w:val="nil"/>
              <w:bottom w:val="single" w:sz="4" w:space="0" w:color="auto"/>
              <w:right w:val="single" w:sz="4" w:space="0" w:color="auto"/>
            </w:tcBorders>
            <w:shd w:val="clear" w:color="auto" w:fill="C6EFCE"/>
            <w:noWrap/>
          </w:tcPr>
          <w:p w14:paraId="277ABA53" w14:textId="77777777" w:rsidR="003F46B9" w:rsidRDefault="0065662E">
            <w:pPr>
              <w:pStyle w:val="P68B1DB1-Normal5"/>
              <w:spacing w:after="0" w:line="240" w:lineRule="auto"/>
              <w:jc w:val="both"/>
              <w:rPr>
                <w:rFonts w:eastAsia="Times New Roman" w:cs="Times New Roman"/>
                <w:noProof/>
              </w:rPr>
            </w:pPr>
            <w:r>
              <w:rPr>
                <w:noProof/>
              </w:rPr>
              <w:t>Ulaganje 1.</w:t>
            </w:r>
          </w:p>
          <w:p w14:paraId="2A4ACD9B" w14:textId="77777777" w:rsidR="003F46B9" w:rsidRDefault="0065662E">
            <w:pPr>
              <w:pStyle w:val="P68B1DB1-Normal5"/>
              <w:spacing w:after="0" w:line="240" w:lineRule="auto"/>
              <w:jc w:val="both"/>
              <w:rPr>
                <w:rFonts w:eastAsia="Times New Roman" w:cs="Times New Roman"/>
                <w:noProof/>
              </w:rPr>
            </w:pPr>
            <w:r>
              <w:rPr>
                <w:noProof/>
              </w:rPr>
              <w:t xml:space="preserve">Uvođenje državne infrastrukture oblaka </w:t>
            </w:r>
          </w:p>
          <w:p w14:paraId="12BE89C7"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32B8624C"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669FD0A1" w14:textId="77777777" w:rsidR="003F46B9" w:rsidRDefault="0065662E">
            <w:pPr>
              <w:pStyle w:val="P68B1DB1-Normal5"/>
              <w:spacing w:after="0" w:line="240" w:lineRule="auto"/>
              <w:jc w:val="both"/>
              <w:rPr>
                <w:rFonts w:eastAsia="Times New Roman" w:cs="Times New Roman"/>
                <w:noProof/>
              </w:rPr>
            </w:pPr>
            <w:r>
              <w:rPr>
                <w:noProof/>
              </w:rPr>
              <w:t>Javne institucije povezane putem državnog oblaka</w:t>
            </w:r>
          </w:p>
        </w:tc>
        <w:tc>
          <w:tcPr>
            <w:tcW w:w="1474" w:type="dxa"/>
            <w:tcBorders>
              <w:top w:val="single" w:sz="4" w:space="0" w:color="auto"/>
              <w:left w:val="nil"/>
              <w:bottom w:val="single" w:sz="4" w:space="0" w:color="auto"/>
              <w:right w:val="single" w:sz="4" w:space="0" w:color="auto"/>
            </w:tcBorders>
            <w:shd w:val="clear" w:color="auto" w:fill="C6EFCE"/>
            <w:noWrap/>
          </w:tcPr>
          <w:p w14:paraId="1C139438"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3629F91E"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0346C666"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D35EA01" w14:textId="77777777" w:rsidR="003F46B9" w:rsidRDefault="0065662E">
            <w:pPr>
              <w:pStyle w:val="P68B1DB1-Normal5"/>
              <w:spacing w:after="0" w:line="240" w:lineRule="auto"/>
              <w:jc w:val="both"/>
              <w:rPr>
                <w:rFonts w:eastAsia="Times New Roman" w:cs="Times New Roman"/>
                <w:noProof/>
              </w:rPr>
            </w:pPr>
            <w:r>
              <w:rPr>
                <w:noProof/>
              </w:rPr>
              <w:t>30</w:t>
            </w:r>
          </w:p>
        </w:tc>
        <w:tc>
          <w:tcPr>
            <w:tcW w:w="908" w:type="dxa"/>
            <w:tcBorders>
              <w:top w:val="single" w:sz="4" w:space="0" w:color="auto"/>
              <w:left w:val="nil"/>
              <w:bottom w:val="single" w:sz="4" w:space="0" w:color="auto"/>
              <w:right w:val="single" w:sz="4" w:space="0" w:color="auto"/>
            </w:tcBorders>
            <w:shd w:val="clear" w:color="auto" w:fill="C6EFCE"/>
            <w:noWrap/>
          </w:tcPr>
          <w:p w14:paraId="285F15F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2DB4B6C"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1E95723" w14:textId="77777777" w:rsidR="003F46B9" w:rsidRDefault="0065662E">
            <w:pPr>
              <w:pStyle w:val="P68B1DB1-Normal5"/>
              <w:spacing w:after="0" w:line="240" w:lineRule="auto"/>
              <w:jc w:val="both"/>
              <w:rPr>
                <w:rFonts w:eastAsia="Times New Roman" w:cs="Times New Roman"/>
                <w:noProof/>
              </w:rPr>
            </w:pPr>
            <w:r>
              <w:rPr>
                <w:noProof/>
              </w:rPr>
              <w:t>Najmanje 30 javnih institucija povezanih s državnim oblakom i u potpunosti ga upotrebljavaju, u skladu s odredbama ključne etape 153.</w:t>
            </w:r>
          </w:p>
          <w:p w14:paraId="3FC09894" w14:textId="77777777" w:rsidR="003F46B9" w:rsidRDefault="0065662E">
            <w:pPr>
              <w:pStyle w:val="P68B1DB1-Normal5"/>
              <w:spacing w:after="0" w:line="240" w:lineRule="auto"/>
              <w:jc w:val="both"/>
              <w:rPr>
                <w:rFonts w:eastAsia="Times New Roman" w:cs="Times New Roman"/>
                <w:noProof/>
              </w:rPr>
            </w:pPr>
            <w:r>
              <w:rPr>
                <w:noProof/>
              </w:rPr>
              <w:t>Javne institucije međusobno razmjenjuju podatke putem državne infrastrukture oblaka.</w:t>
            </w:r>
          </w:p>
        </w:tc>
      </w:tr>
      <w:tr w:rsidR="003F46B9" w14:paraId="357EF31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29E74BA" w14:textId="77777777" w:rsidR="003F46B9" w:rsidRDefault="0065662E">
            <w:pPr>
              <w:pStyle w:val="P68B1DB1-Normal5"/>
              <w:spacing w:after="0" w:line="240" w:lineRule="auto"/>
              <w:jc w:val="center"/>
              <w:rPr>
                <w:rFonts w:eastAsia="Times New Roman" w:cs="Times New Roman"/>
                <w:noProof/>
              </w:rPr>
            </w:pPr>
            <w:r>
              <w:rPr>
                <w:noProof/>
              </w:rPr>
              <w:t>155</w:t>
            </w:r>
          </w:p>
        </w:tc>
        <w:tc>
          <w:tcPr>
            <w:tcW w:w="1740" w:type="dxa"/>
            <w:tcBorders>
              <w:top w:val="single" w:sz="4" w:space="0" w:color="auto"/>
              <w:left w:val="nil"/>
              <w:bottom w:val="single" w:sz="4" w:space="0" w:color="auto"/>
              <w:right w:val="single" w:sz="4" w:space="0" w:color="auto"/>
            </w:tcBorders>
            <w:shd w:val="clear" w:color="auto" w:fill="C6EFCE"/>
            <w:noWrap/>
          </w:tcPr>
          <w:p w14:paraId="23F0E461" w14:textId="77777777" w:rsidR="003F46B9" w:rsidRDefault="0065662E">
            <w:pPr>
              <w:pStyle w:val="P68B1DB1-Normal5"/>
              <w:spacing w:after="0" w:line="240" w:lineRule="auto"/>
              <w:jc w:val="both"/>
              <w:rPr>
                <w:rFonts w:eastAsia="Times New Roman" w:cs="Times New Roman"/>
                <w:noProof/>
              </w:rPr>
            </w:pPr>
            <w:r>
              <w:rPr>
                <w:noProof/>
              </w:rPr>
              <w:t xml:space="preserve">Ulaganje 1. </w:t>
            </w:r>
          </w:p>
          <w:p w14:paraId="6B762AC9" w14:textId="77777777" w:rsidR="003F46B9" w:rsidRDefault="0065662E">
            <w:pPr>
              <w:pStyle w:val="P68B1DB1-Normal5"/>
              <w:spacing w:after="0" w:line="240" w:lineRule="auto"/>
              <w:jc w:val="both"/>
              <w:rPr>
                <w:rFonts w:eastAsia="Times New Roman" w:cs="Times New Roman"/>
                <w:noProof/>
              </w:rPr>
            </w:pPr>
            <w:r>
              <w:rPr>
                <w:noProof/>
              </w:rPr>
              <w:t xml:space="preserve">Uvođenje državne infrastrukture oblaka </w:t>
            </w:r>
          </w:p>
          <w:p w14:paraId="2F546126"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531FB9A8"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03224D7C" w14:textId="77777777" w:rsidR="003F46B9" w:rsidRDefault="0065662E">
            <w:pPr>
              <w:pStyle w:val="P68B1DB1-Normal5"/>
              <w:spacing w:after="0" w:line="240" w:lineRule="auto"/>
              <w:jc w:val="both"/>
              <w:rPr>
                <w:rFonts w:eastAsia="Times New Roman" w:cs="Times New Roman"/>
                <w:noProof/>
              </w:rPr>
            </w:pPr>
            <w:r>
              <w:rPr>
                <w:noProof/>
              </w:rPr>
              <w:t>Podatkovni centri razine III. i IV. razine po dizajnu, infrastrukturi i tehnologijama za usluge računalstva u oblaku</w:t>
            </w:r>
          </w:p>
        </w:tc>
        <w:tc>
          <w:tcPr>
            <w:tcW w:w="1474" w:type="dxa"/>
            <w:tcBorders>
              <w:top w:val="single" w:sz="4" w:space="0" w:color="auto"/>
              <w:left w:val="nil"/>
              <w:bottom w:val="single" w:sz="4" w:space="0" w:color="auto"/>
              <w:right w:val="single" w:sz="4" w:space="0" w:color="auto"/>
            </w:tcBorders>
            <w:shd w:val="clear" w:color="auto" w:fill="C6EFCE"/>
            <w:noWrap/>
          </w:tcPr>
          <w:p w14:paraId="56032D4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2ED6645"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7879559B"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61D614C4" w14:textId="77777777" w:rsidR="003F46B9" w:rsidRDefault="0065662E">
            <w:pPr>
              <w:pStyle w:val="P68B1DB1-Normal5"/>
              <w:spacing w:after="0" w:line="240" w:lineRule="auto"/>
              <w:jc w:val="both"/>
              <w:rPr>
                <w:rFonts w:eastAsia="Times New Roman" w:cs="Times New Roman"/>
                <w:noProof/>
              </w:rPr>
            </w:pPr>
            <w:r>
              <w:rPr>
                <w:noProof/>
              </w:rPr>
              <w:t>4</w:t>
            </w:r>
          </w:p>
        </w:tc>
        <w:tc>
          <w:tcPr>
            <w:tcW w:w="908" w:type="dxa"/>
            <w:tcBorders>
              <w:top w:val="single" w:sz="4" w:space="0" w:color="auto"/>
              <w:left w:val="nil"/>
              <w:bottom w:val="single" w:sz="4" w:space="0" w:color="auto"/>
              <w:right w:val="single" w:sz="4" w:space="0" w:color="auto"/>
            </w:tcBorders>
            <w:shd w:val="clear" w:color="auto" w:fill="C6EFCE"/>
            <w:noWrap/>
          </w:tcPr>
          <w:p w14:paraId="6CE78DF9"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A3E8372"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1B4554CE" w14:textId="77777777" w:rsidR="003F46B9" w:rsidRDefault="0065662E">
            <w:pPr>
              <w:pStyle w:val="P68B1DB1-Normal5"/>
              <w:spacing w:after="0" w:line="240" w:lineRule="auto"/>
              <w:jc w:val="both"/>
              <w:rPr>
                <w:rFonts w:eastAsia="Times New Roman" w:cs="Times New Roman"/>
                <w:noProof/>
              </w:rPr>
            </w:pPr>
            <w:r>
              <w:rPr>
                <w:noProof/>
              </w:rPr>
              <w:t xml:space="preserve">Dva podatkovna centra III. i dva </w:t>
            </w:r>
            <w:r>
              <w:rPr>
                <w:noProof/>
              </w:rPr>
              <w:t>stupnja IV. po dizajnu, hardverski i softverski oblak (infrastruktura kao usluga – IaaS/Platforma kao usluga – PaaS/Software-as-a-a – SaaS) funkcioniraju, u skladu s odredbama ključne etape 153.</w:t>
            </w:r>
          </w:p>
          <w:p w14:paraId="4DD312A4" w14:textId="77777777" w:rsidR="003F46B9" w:rsidRDefault="0065662E">
            <w:pPr>
              <w:pStyle w:val="P68B1DB1-Normal5"/>
              <w:spacing w:after="0" w:line="240" w:lineRule="auto"/>
              <w:jc w:val="both"/>
              <w:rPr>
                <w:rFonts w:eastAsia="Times New Roman" w:cs="Times New Roman"/>
                <w:noProof/>
              </w:rPr>
            </w:pPr>
            <w:r>
              <w:rPr>
                <w:noProof/>
              </w:rPr>
              <w:t xml:space="preserve">Podatkovni centri poštuju „Europski kodeks ponašanja za </w:t>
            </w:r>
            <w:r>
              <w:rPr>
                <w:noProof/>
              </w:rPr>
              <w:t>energetsku učinkovitost podatkovnih centara”.</w:t>
            </w:r>
          </w:p>
        </w:tc>
      </w:tr>
      <w:tr w:rsidR="003F46B9" w14:paraId="6492725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23FDD0B" w14:textId="77777777" w:rsidR="003F46B9" w:rsidRDefault="0065662E">
            <w:pPr>
              <w:pStyle w:val="P68B1DB1-Normal5"/>
              <w:spacing w:after="0" w:line="240" w:lineRule="auto"/>
              <w:jc w:val="center"/>
              <w:rPr>
                <w:rFonts w:eastAsia="Times New Roman" w:cs="Times New Roman"/>
                <w:noProof/>
              </w:rPr>
            </w:pPr>
            <w:r>
              <w:rPr>
                <w:noProof/>
              </w:rPr>
              <w:t>156</w:t>
            </w:r>
          </w:p>
        </w:tc>
        <w:tc>
          <w:tcPr>
            <w:tcW w:w="1740" w:type="dxa"/>
            <w:tcBorders>
              <w:top w:val="single" w:sz="4" w:space="0" w:color="auto"/>
              <w:left w:val="nil"/>
              <w:bottom w:val="single" w:sz="4" w:space="0" w:color="auto"/>
              <w:right w:val="single" w:sz="4" w:space="0" w:color="auto"/>
            </w:tcBorders>
            <w:shd w:val="clear" w:color="auto" w:fill="C6EFCE"/>
            <w:noWrap/>
          </w:tcPr>
          <w:p w14:paraId="470FD13A" w14:textId="77777777" w:rsidR="003F46B9" w:rsidRDefault="0065662E">
            <w:pPr>
              <w:pStyle w:val="P68B1DB1-Normal5"/>
              <w:spacing w:after="0" w:line="240" w:lineRule="auto"/>
              <w:jc w:val="both"/>
              <w:rPr>
                <w:rFonts w:eastAsia="Times New Roman" w:cs="Times New Roman"/>
                <w:noProof/>
              </w:rPr>
            </w:pPr>
            <w:r>
              <w:rPr>
                <w:noProof/>
              </w:rPr>
              <w:t>Ulaganje 2.</w:t>
            </w:r>
          </w:p>
          <w:p w14:paraId="44DA7CEE" w14:textId="77777777" w:rsidR="003F46B9" w:rsidRDefault="0065662E">
            <w:pPr>
              <w:pStyle w:val="P68B1DB1-Normal5"/>
              <w:spacing w:after="0" w:line="240" w:lineRule="auto"/>
              <w:jc w:val="both"/>
              <w:rPr>
                <w:rFonts w:eastAsia="Times New Roman" w:cs="Times New Roman"/>
                <w:noProof/>
              </w:rPr>
            </w:pPr>
            <w:r>
              <w:rPr>
                <w:noProof/>
              </w:rPr>
              <w:t xml:space="preserve">Razvoj računalstva u oblaku i migracije </w:t>
            </w:r>
          </w:p>
          <w:p w14:paraId="0CF78EA8"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0286E7E"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7A2398BC" w14:textId="77777777" w:rsidR="003F46B9" w:rsidRDefault="0065662E">
            <w:pPr>
              <w:pStyle w:val="P68B1DB1-Normal5"/>
              <w:spacing w:after="0" w:line="240" w:lineRule="auto"/>
              <w:jc w:val="both"/>
              <w:rPr>
                <w:rFonts w:eastAsia="Times New Roman" w:cs="Times New Roman"/>
                <w:noProof/>
              </w:rPr>
            </w:pPr>
            <w:r>
              <w:rPr>
                <w:noProof/>
              </w:rPr>
              <w:t>Aplikacije digitalnih usluga za državne potrebe migrirale su u infrastrukturu kao uslugu – IaaS/Platforma kao usluga – PaaS/</w:t>
            </w:r>
          </w:p>
        </w:tc>
        <w:tc>
          <w:tcPr>
            <w:tcW w:w="1474" w:type="dxa"/>
            <w:tcBorders>
              <w:top w:val="single" w:sz="4" w:space="0" w:color="auto"/>
              <w:left w:val="nil"/>
              <w:bottom w:val="single" w:sz="4" w:space="0" w:color="auto"/>
              <w:right w:val="single" w:sz="4" w:space="0" w:color="auto"/>
            </w:tcBorders>
            <w:shd w:val="clear" w:color="auto" w:fill="C6EFCE"/>
            <w:noWrap/>
          </w:tcPr>
          <w:p w14:paraId="42A750A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27CD9698"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5171818"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2040026" w14:textId="77777777" w:rsidR="003F46B9" w:rsidRDefault="0065662E">
            <w:pPr>
              <w:pStyle w:val="P68B1DB1-Normal5"/>
              <w:spacing w:after="0" w:line="240" w:lineRule="auto"/>
              <w:jc w:val="both"/>
              <w:rPr>
                <w:rFonts w:eastAsia="Times New Roman" w:cs="Times New Roman"/>
                <w:noProof/>
              </w:rPr>
            </w:pPr>
            <w:r>
              <w:rPr>
                <w:noProof/>
              </w:rPr>
              <w:t>5</w:t>
            </w:r>
          </w:p>
        </w:tc>
        <w:tc>
          <w:tcPr>
            <w:tcW w:w="908" w:type="dxa"/>
            <w:tcBorders>
              <w:top w:val="single" w:sz="4" w:space="0" w:color="auto"/>
              <w:left w:val="nil"/>
              <w:bottom w:val="single" w:sz="4" w:space="0" w:color="auto"/>
              <w:right w:val="single" w:sz="4" w:space="0" w:color="auto"/>
            </w:tcBorders>
            <w:shd w:val="clear" w:color="auto" w:fill="C6EFCE"/>
            <w:noWrap/>
          </w:tcPr>
          <w:p w14:paraId="5E868AD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A886C09"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EA575A1" w14:textId="77777777" w:rsidR="003F46B9" w:rsidRDefault="0065662E">
            <w:pPr>
              <w:pStyle w:val="P68B1DB1-Normal5"/>
              <w:spacing w:after="0" w:line="240" w:lineRule="auto"/>
              <w:jc w:val="both"/>
              <w:rPr>
                <w:rFonts w:eastAsia="Times New Roman" w:cs="Times New Roman"/>
                <w:noProof/>
              </w:rPr>
            </w:pPr>
            <w:r>
              <w:rPr>
                <w:noProof/>
              </w:rPr>
              <w:t>Broj vladinih aplikacija za digitalne usluge u oblaku u PaaS-u i migracija postojećih/virtualiziranih u IaaS-u, nakon analize razvijene u ključnoj etapi 143.</w:t>
            </w:r>
          </w:p>
          <w:p w14:paraId="7C9E6B97" w14:textId="77777777" w:rsidR="003F46B9" w:rsidRDefault="0065662E">
            <w:pPr>
              <w:pStyle w:val="P68B1DB1-Normal5"/>
              <w:spacing w:after="0" w:line="240" w:lineRule="auto"/>
              <w:jc w:val="both"/>
              <w:rPr>
                <w:rFonts w:eastAsia="Times New Roman" w:cs="Times New Roman"/>
                <w:noProof/>
              </w:rPr>
            </w:pPr>
            <w:r>
              <w:rPr>
                <w:noProof/>
              </w:rPr>
              <w:t xml:space="preserve">Aplikacije/usluge razvijaju se za javna tijela/institucije kako bi im se pomoglo </w:t>
            </w:r>
            <w:r>
              <w:rPr>
                <w:noProof/>
              </w:rPr>
              <w:t>u pružanju javnih usluga koje su u njihovoj nadležnosti i koje se ne koriste za gospodarske djelatnosti.</w:t>
            </w:r>
          </w:p>
        </w:tc>
      </w:tr>
      <w:tr w:rsidR="003F46B9" w14:paraId="00EB4182"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3988C9" w14:textId="77777777" w:rsidR="003F46B9" w:rsidRDefault="0065662E">
            <w:pPr>
              <w:pStyle w:val="P68B1DB1-Normal5"/>
              <w:spacing w:after="0" w:line="240" w:lineRule="auto"/>
              <w:jc w:val="center"/>
              <w:rPr>
                <w:rFonts w:eastAsia="Times New Roman" w:cs="Times New Roman"/>
                <w:noProof/>
              </w:rPr>
            </w:pPr>
            <w:r>
              <w:rPr>
                <w:noProof/>
              </w:rPr>
              <w:t>157</w:t>
            </w:r>
          </w:p>
        </w:tc>
        <w:tc>
          <w:tcPr>
            <w:tcW w:w="1740" w:type="dxa"/>
            <w:tcBorders>
              <w:top w:val="single" w:sz="4" w:space="0" w:color="auto"/>
              <w:left w:val="nil"/>
              <w:bottom w:val="single" w:sz="4" w:space="0" w:color="auto"/>
              <w:right w:val="single" w:sz="4" w:space="0" w:color="auto"/>
            </w:tcBorders>
            <w:shd w:val="clear" w:color="auto" w:fill="C6EFCE"/>
            <w:noWrap/>
          </w:tcPr>
          <w:p w14:paraId="774179A8" w14:textId="77777777" w:rsidR="003F46B9" w:rsidRDefault="0065662E">
            <w:pPr>
              <w:pStyle w:val="P68B1DB1-Normal5"/>
              <w:spacing w:after="0" w:line="240" w:lineRule="auto"/>
              <w:jc w:val="both"/>
              <w:rPr>
                <w:rFonts w:eastAsia="Times New Roman" w:cs="Times New Roman"/>
                <w:noProof/>
              </w:rPr>
            </w:pPr>
            <w:r>
              <w:rPr>
                <w:noProof/>
              </w:rPr>
              <w:t>Ulaganje 2.</w:t>
            </w:r>
          </w:p>
          <w:p w14:paraId="25E51ECA" w14:textId="77777777" w:rsidR="003F46B9" w:rsidRDefault="0065662E">
            <w:pPr>
              <w:pStyle w:val="P68B1DB1-Normal5"/>
              <w:spacing w:after="0" w:line="240" w:lineRule="auto"/>
              <w:jc w:val="both"/>
              <w:rPr>
                <w:rFonts w:eastAsia="Times New Roman" w:cs="Times New Roman"/>
                <w:noProof/>
              </w:rPr>
            </w:pPr>
            <w:r>
              <w:rPr>
                <w:noProof/>
              </w:rPr>
              <w:t xml:space="preserve">Razvoj računalstva u oblaku i migracije </w:t>
            </w:r>
          </w:p>
          <w:p w14:paraId="61DAEF7E" w14:textId="77777777" w:rsidR="003F46B9" w:rsidRDefault="0065662E">
            <w:pPr>
              <w:pStyle w:val="P68B1DB1-Normal5"/>
              <w:spacing w:after="0" w:line="240" w:lineRule="auto"/>
              <w:jc w:val="both"/>
              <w:rPr>
                <w:rFonts w:eastAsia="Times New Roman" w:cs="Times New Roman"/>
                <w:noProof/>
              </w:rPr>
            </w:pPr>
            <w:r>
              <w:rPr>
                <w:noProof/>
              </w:rPr>
              <w:t xml:space="preserve"> </w:t>
            </w:r>
          </w:p>
          <w:p w14:paraId="272292E3"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469C755"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91102EA" w14:textId="77777777" w:rsidR="003F46B9" w:rsidRDefault="0065662E">
            <w:pPr>
              <w:pStyle w:val="P68B1DB1-Normal5"/>
              <w:spacing w:after="0" w:line="240" w:lineRule="auto"/>
              <w:jc w:val="both"/>
              <w:rPr>
                <w:rFonts w:eastAsia="Times New Roman" w:cs="Times New Roman"/>
                <w:noProof/>
              </w:rPr>
            </w:pPr>
            <w:r>
              <w:rPr>
                <w:noProof/>
              </w:rPr>
              <w:t xml:space="preserve">Aplikacije digitalnih usluga za državne potrebe migrirale su u infrastrukturu kao </w:t>
            </w:r>
            <w:r>
              <w:rPr>
                <w:noProof/>
              </w:rPr>
              <w:t>uslugu – IaaS/Platforma kao usluga – PaaS</w:t>
            </w:r>
          </w:p>
        </w:tc>
        <w:tc>
          <w:tcPr>
            <w:tcW w:w="1474" w:type="dxa"/>
            <w:tcBorders>
              <w:top w:val="single" w:sz="4" w:space="0" w:color="auto"/>
              <w:left w:val="nil"/>
              <w:bottom w:val="single" w:sz="4" w:space="0" w:color="auto"/>
              <w:right w:val="single" w:sz="4" w:space="0" w:color="auto"/>
            </w:tcBorders>
            <w:shd w:val="clear" w:color="auto" w:fill="C6EFCE"/>
            <w:noWrap/>
          </w:tcPr>
          <w:p w14:paraId="3CA98860"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EE19BA6"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401D01CD" w14:textId="77777777" w:rsidR="003F46B9" w:rsidRDefault="0065662E">
            <w:pPr>
              <w:pStyle w:val="P68B1DB1-Normal5"/>
              <w:spacing w:after="0" w:line="240" w:lineRule="auto"/>
              <w:jc w:val="both"/>
              <w:rPr>
                <w:rFonts w:eastAsia="Times New Roman" w:cs="Times New Roman"/>
                <w:noProof/>
              </w:rPr>
            </w:pPr>
            <w:r>
              <w:rPr>
                <w:noProof/>
              </w:rPr>
              <w:t>5</w:t>
            </w:r>
          </w:p>
        </w:tc>
        <w:tc>
          <w:tcPr>
            <w:tcW w:w="725" w:type="dxa"/>
            <w:tcBorders>
              <w:top w:val="single" w:sz="4" w:space="0" w:color="auto"/>
              <w:left w:val="nil"/>
              <w:bottom w:val="single" w:sz="4" w:space="0" w:color="auto"/>
              <w:right w:val="single" w:sz="4" w:space="0" w:color="auto"/>
            </w:tcBorders>
            <w:shd w:val="clear" w:color="auto" w:fill="C6EFCE"/>
            <w:noWrap/>
          </w:tcPr>
          <w:p w14:paraId="33DAEECA" w14:textId="77777777" w:rsidR="003F46B9" w:rsidRDefault="0065662E">
            <w:pPr>
              <w:pStyle w:val="P68B1DB1-Normal5"/>
              <w:spacing w:after="0" w:line="240" w:lineRule="auto"/>
              <w:jc w:val="both"/>
              <w:rPr>
                <w:rFonts w:eastAsia="Times New Roman" w:cs="Times New Roman"/>
                <w:noProof/>
              </w:rPr>
            </w:pPr>
            <w:r>
              <w:rPr>
                <w:noProof/>
              </w:rPr>
              <w:t>30</w:t>
            </w:r>
          </w:p>
        </w:tc>
        <w:tc>
          <w:tcPr>
            <w:tcW w:w="908" w:type="dxa"/>
            <w:tcBorders>
              <w:top w:val="single" w:sz="4" w:space="0" w:color="auto"/>
              <w:left w:val="nil"/>
              <w:bottom w:val="single" w:sz="4" w:space="0" w:color="auto"/>
              <w:right w:val="single" w:sz="4" w:space="0" w:color="auto"/>
            </w:tcBorders>
            <w:shd w:val="clear" w:color="auto" w:fill="C6EFCE"/>
            <w:noWrap/>
          </w:tcPr>
          <w:p w14:paraId="710782A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482B9D74"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4C4436E5" w14:textId="77777777" w:rsidR="003F46B9" w:rsidRDefault="0065662E">
            <w:pPr>
              <w:pStyle w:val="P68B1DB1-Normal5"/>
              <w:spacing w:after="0" w:line="240" w:lineRule="auto"/>
              <w:jc w:val="both"/>
              <w:rPr>
                <w:rFonts w:eastAsia="Times New Roman" w:cs="Times New Roman"/>
                <w:noProof/>
              </w:rPr>
            </w:pPr>
            <w:r>
              <w:rPr>
                <w:noProof/>
              </w:rPr>
              <w:t>Broj vladinih aplikacija za digitalne usluge u oblaku u PaaS-u i migracija postojećih/virtualiziranih u IaaS-u, nakon analize razvijene u ključnoj etapi 143.</w:t>
            </w:r>
          </w:p>
          <w:p w14:paraId="6FFABB2B" w14:textId="77777777" w:rsidR="003F46B9" w:rsidRDefault="0065662E">
            <w:pPr>
              <w:pStyle w:val="P68B1DB1-Normal5"/>
              <w:spacing w:after="0" w:line="240" w:lineRule="auto"/>
              <w:jc w:val="both"/>
              <w:rPr>
                <w:rFonts w:eastAsia="Times New Roman" w:cs="Times New Roman"/>
                <w:noProof/>
              </w:rPr>
            </w:pPr>
            <w:r>
              <w:rPr>
                <w:noProof/>
              </w:rPr>
              <w:t>Aplikacije/usluge razvijaju</w:t>
            </w:r>
            <w:r>
              <w:rPr>
                <w:noProof/>
              </w:rPr>
              <w:t xml:space="preserve"> se za javna tijela/institucije kako bi im se pomoglo u pružanju javnih usluga koje su u njihovoj nadležnosti i koje se ne koriste za gospodarske djelatnosti.</w:t>
            </w:r>
          </w:p>
        </w:tc>
      </w:tr>
      <w:tr w:rsidR="003F46B9" w14:paraId="2133202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C3CC675" w14:textId="77777777" w:rsidR="003F46B9" w:rsidRDefault="0065662E">
            <w:pPr>
              <w:pStyle w:val="P68B1DB1-Normal5"/>
              <w:spacing w:after="0" w:line="240" w:lineRule="auto"/>
              <w:jc w:val="center"/>
              <w:rPr>
                <w:rFonts w:eastAsia="Times New Roman" w:cs="Times New Roman"/>
                <w:noProof/>
              </w:rPr>
            </w:pPr>
            <w:r>
              <w:rPr>
                <w:noProof/>
              </w:rPr>
              <w:t>158</w:t>
            </w:r>
          </w:p>
        </w:tc>
        <w:tc>
          <w:tcPr>
            <w:tcW w:w="1740" w:type="dxa"/>
            <w:tcBorders>
              <w:top w:val="single" w:sz="4" w:space="0" w:color="auto"/>
              <w:left w:val="nil"/>
              <w:bottom w:val="single" w:sz="4" w:space="0" w:color="auto"/>
              <w:right w:val="single" w:sz="4" w:space="0" w:color="auto"/>
            </w:tcBorders>
            <w:shd w:val="clear" w:color="auto" w:fill="C6EFCE"/>
            <w:noWrap/>
          </w:tcPr>
          <w:p w14:paraId="2296531E" w14:textId="77777777" w:rsidR="003F46B9" w:rsidRDefault="0065662E">
            <w:pPr>
              <w:pStyle w:val="P68B1DB1-Normal5"/>
              <w:spacing w:after="120" w:line="240" w:lineRule="auto"/>
              <w:jc w:val="both"/>
              <w:rPr>
                <w:rFonts w:cs="Times New Roman"/>
                <w:noProof/>
              </w:rPr>
            </w:pPr>
            <w:r>
              <w:rPr>
                <w:noProof/>
              </w:rPr>
              <w:t>Ulaganje 3. Razvoj sustava e-zdravstva i telemedicine</w:t>
            </w:r>
          </w:p>
          <w:p w14:paraId="7BFF7851" w14:textId="77777777" w:rsidR="003F46B9" w:rsidRDefault="0065662E">
            <w:pPr>
              <w:pStyle w:val="P68B1DB1-Normal5"/>
              <w:spacing w:after="120" w:line="240" w:lineRule="auto"/>
              <w:jc w:val="both"/>
              <w:rPr>
                <w:rFonts w:eastAsia="Times New Roman" w:cs="Times New Roman"/>
                <w:noProof/>
              </w:rPr>
            </w:pPr>
            <w:r>
              <w:rPr>
                <w:noProof/>
              </w:rPr>
              <w:t xml:space="preserve"> </w:t>
            </w:r>
          </w:p>
        </w:tc>
        <w:tc>
          <w:tcPr>
            <w:tcW w:w="1073" w:type="dxa"/>
            <w:tcBorders>
              <w:top w:val="single" w:sz="4" w:space="0" w:color="auto"/>
              <w:left w:val="nil"/>
              <w:bottom w:val="single" w:sz="4" w:space="0" w:color="auto"/>
              <w:right w:val="single" w:sz="4" w:space="0" w:color="auto"/>
            </w:tcBorders>
            <w:shd w:val="clear" w:color="auto" w:fill="C6EFCE"/>
            <w:noWrap/>
          </w:tcPr>
          <w:p w14:paraId="12B7B423"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2C866E2B" w14:textId="77777777" w:rsidR="003F46B9" w:rsidRDefault="0065662E">
            <w:pPr>
              <w:pStyle w:val="P68B1DB1-Normal5"/>
              <w:spacing w:after="0" w:line="240" w:lineRule="auto"/>
              <w:jc w:val="both"/>
              <w:rPr>
                <w:rFonts w:eastAsia="Times New Roman" w:cs="Times New Roman"/>
                <w:noProof/>
              </w:rPr>
            </w:pPr>
            <w:r>
              <w:rPr>
                <w:noProof/>
              </w:rPr>
              <w:t xml:space="preserve">Ustanove javnog zdravstva digitalizirane </w:t>
            </w:r>
          </w:p>
        </w:tc>
        <w:tc>
          <w:tcPr>
            <w:tcW w:w="1474" w:type="dxa"/>
            <w:tcBorders>
              <w:top w:val="single" w:sz="4" w:space="0" w:color="auto"/>
              <w:left w:val="nil"/>
              <w:bottom w:val="single" w:sz="4" w:space="0" w:color="auto"/>
              <w:right w:val="single" w:sz="4" w:space="0" w:color="auto"/>
            </w:tcBorders>
            <w:shd w:val="clear" w:color="auto" w:fill="C6EFCE"/>
            <w:noWrap/>
          </w:tcPr>
          <w:p w14:paraId="3C3D3E1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483C35D"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DEA7372"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65B99C8" w14:textId="77777777" w:rsidR="003F46B9" w:rsidRDefault="0065662E">
            <w:pPr>
              <w:pStyle w:val="P68B1DB1-Normal5"/>
              <w:spacing w:after="0" w:line="240" w:lineRule="auto"/>
              <w:jc w:val="both"/>
              <w:rPr>
                <w:rFonts w:eastAsia="Times New Roman" w:cs="Times New Roman"/>
                <w:noProof/>
              </w:rPr>
            </w:pPr>
            <w:r>
              <w:rPr>
                <w:noProof/>
              </w:rPr>
              <w:t>60</w:t>
            </w:r>
          </w:p>
        </w:tc>
        <w:tc>
          <w:tcPr>
            <w:tcW w:w="908" w:type="dxa"/>
            <w:tcBorders>
              <w:top w:val="single" w:sz="4" w:space="0" w:color="auto"/>
              <w:left w:val="nil"/>
              <w:bottom w:val="single" w:sz="4" w:space="0" w:color="auto"/>
              <w:right w:val="single" w:sz="4" w:space="0" w:color="auto"/>
            </w:tcBorders>
            <w:shd w:val="clear" w:color="auto" w:fill="C6EFCE"/>
            <w:noWrap/>
          </w:tcPr>
          <w:p w14:paraId="43275E6E" w14:textId="77777777" w:rsidR="003F46B9" w:rsidRDefault="0065662E">
            <w:pPr>
              <w:pStyle w:val="P68B1DB1-Normal5"/>
              <w:spacing w:after="0" w:line="240" w:lineRule="auto"/>
              <w:jc w:val="both"/>
              <w:rPr>
                <w:rFonts w:eastAsia="Calibri"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85E7475" w14:textId="77777777" w:rsidR="003F46B9" w:rsidRDefault="0065662E">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3AA685D2" w14:textId="77777777" w:rsidR="003F46B9" w:rsidRDefault="0065662E">
            <w:pPr>
              <w:pStyle w:val="P68B1DB1-Normal5"/>
              <w:spacing w:after="0" w:line="240" w:lineRule="auto"/>
              <w:jc w:val="both"/>
              <w:rPr>
                <w:rFonts w:eastAsia="Times New Roman" w:cs="Times New Roman"/>
                <w:noProof/>
              </w:rPr>
            </w:pPr>
            <w:r>
              <w:rPr>
                <w:noProof/>
              </w:rPr>
              <w:t>Najmanje 60 ustanova javnog zdravstva digitalizirat će se.</w:t>
            </w:r>
          </w:p>
          <w:p w14:paraId="2168908C" w14:textId="1B29DA85"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Institucije s odgovornostima u području zdravstva uključuju: uprave za javno zdravstvo, instituti javnog zdravstva, nacionalna</w:t>
            </w:r>
            <w:r>
              <w:rPr>
                <w:rFonts w:ascii="Times New Roman" w:hAnsi="Times New Roman"/>
                <w:noProof/>
                <w:sz w:val="24"/>
              </w:rPr>
              <w:t xml:space="preserve"> agencija za lijekove, nacionalna škola za javno zdravstvo i upravljanje te Ministarstvo zdravstva.</w:t>
            </w:r>
            <w:r>
              <w:rPr>
                <w:noProof/>
              </w:rPr>
              <w:t xml:space="preserve"> </w:t>
            </w:r>
            <w:r>
              <w:rPr>
                <w:noProof/>
              </w:rPr>
              <w:br/>
            </w:r>
            <w:r>
              <w:rPr>
                <w:rFonts w:ascii="Times New Roman" w:hAnsi="Times New Roman"/>
                <w:noProof/>
                <w:sz w:val="24"/>
              </w:rPr>
              <w:t>Proces digitalizacije uključuje:</w:t>
            </w:r>
            <w:r>
              <w:rPr>
                <w:noProof/>
              </w:rPr>
              <w:t xml:space="preserve"> </w:t>
            </w:r>
            <w:r>
              <w:rPr>
                <w:noProof/>
              </w:rPr>
              <w:br/>
            </w:r>
            <w:r>
              <w:rPr>
                <w:rFonts w:ascii="Times New Roman" w:hAnsi="Times New Roman"/>
                <w:noProof/>
                <w:sz w:val="24"/>
              </w:rPr>
              <w:t xml:space="preserve">1. Ulaganje u IT sustave i digitalnu infrastrukturu (IT oprema, licencije, informatički softver, komunikacijski sustavi) </w:t>
            </w:r>
            <w:r>
              <w:rPr>
                <w:rFonts w:ascii="Times New Roman" w:hAnsi="Times New Roman"/>
                <w:noProof/>
                <w:sz w:val="24"/>
              </w:rPr>
              <w:t>za sljedeće institucije: Ministarstvo zdravstva, okružna tijela za javno zdravstvo (zdravstveni statistički podaci, zdravstvena uprava (zdravstveno planiranje) i potpora pri donošenju odluka (preispitivanje u tijeku, nacionalni zdravstveni računi, upravlja</w:t>
            </w:r>
            <w:r>
              <w:rPr>
                <w:rFonts w:ascii="Times New Roman" w:hAnsi="Times New Roman"/>
                <w:noProof/>
                <w:sz w:val="24"/>
              </w:rPr>
              <w:t>nje ljudskim resursima, HR – registar, potpora pri odlučivanju); Okružne službe hitne pomoći (uključujući Službu hitne pomoći u Bukureštu – Ilfov), Nacionalni institut za javno zdravstvo, Nacionalni institut za sportsku medicinu, Nacionalni institut za tra</w:t>
            </w:r>
            <w:r>
              <w:rPr>
                <w:rFonts w:ascii="Times New Roman" w:hAnsi="Times New Roman"/>
                <w:noProof/>
                <w:sz w:val="24"/>
              </w:rPr>
              <w:t>nsfuziju Hematologije „Prof. dr. CT Nicolau”, Nacionalnu agenciju za transplantaciju, Središnji ured za pohranu posebnih situacija, Nacionalni registar dobrovoljnih darivatelja hematopoetskih stanica, Nacionalnu agenciju za lijekove i medicinske proizvode,</w:t>
            </w:r>
            <w:r>
              <w:rPr>
                <w:rFonts w:ascii="Times New Roman" w:hAnsi="Times New Roman"/>
                <w:noProof/>
                <w:sz w:val="24"/>
              </w:rPr>
              <w:t xml:space="preserve"> forenzičke institute, Nacionalni centar za mentalno zdravlje i kontrolu protiv droga Bukurešt, Nacionalnu školu za javno zdravstvo, upravljanje i osposobljavanje u zdravstvu Bukurešt. Sustav nadzora zaraznih bolesti, zdravstveni statistički podaci, potpor</w:t>
            </w:r>
            <w:r>
              <w:rPr>
                <w:rFonts w:ascii="Times New Roman" w:hAnsi="Times New Roman"/>
                <w:noProof/>
                <w:sz w:val="24"/>
              </w:rPr>
              <w:t>a pri odlučivanju, registri transplantacije matičnih stanica).</w:t>
            </w:r>
          </w:p>
          <w:p w14:paraId="437E1ABC" w14:textId="77777777" w:rsidR="003F46B9" w:rsidRDefault="0065662E">
            <w:pPr>
              <w:pStyle w:val="P68B1DB1-Normal5"/>
              <w:spacing w:after="0" w:line="240" w:lineRule="auto"/>
              <w:jc w:val="both"/>
              <w:rPr>
                <w:rFonts w:eastAsia="Times New Roman" w:cs="Times New Roman"/>
                <w:noProof/>
              </w:rPr>
            </w:pPr>
            <w:r>
              <w:rPr>
                <w:noProof/>
              </w:rPr>
              <w:t>2. Tehnička pomoć za razvoj i integraciju digitalnih zdravstvenih rješenja u zdravstveni sustav.</w:t>
            </w:r>
          </w:p>
          <w:p w14:paraId="57D469E6" w14:textId="77777777" w:rsidR="003F46B9" w:rsidRDefault="0065662E">
            <w:pPr>
              <w:pStyle w:val="P68B1DB1-Normal5"/>
              <w:spacing w:after="0" w:line="240" w:lineRule="auto"/>
              <w:jc w:val="both"/>
              <w:rPr>
                <w:rFonts w:eastAsia="Times New Roman" w:cs="Times New Roman"/>
                <w:noProof/>
              </w:rPr>
            </w:pPr>
            <w:r>
              <w:rPr>
                <w:noProof/>
              </w:rPr>
              <w:t>3. Osposobljavanje osoblja kako bi naučilo kako upravljati informatičkim aplikacijama. Osposoblj</w:t>
            </w:r>
            <w:r>
              <w:rPr>
                <w:noProof/>
              </w:rPr>
              <w:t>avanje za 2970 zaposlenika podupire se iz nacionalnog plana za oporavak i otpornost.</w:t>
            </w:r>
          </w:p>
          <w:p w14:paraId="0AEF80F6" w14:textId="77777777" w:rsidR="003F46B9" w:rsidRDefault="0065662E">
            <w:pPr>
              <w:pStyle w:val="P68B1DB1-Normal5"/>
              <w:spacing w:after="0" w:line="240" w:lineRule="auto"/>
              <w:jc w:val="both"/>
              <w:rPr>
                <w:rFonts w:eastAsia="Times New Roman" w:cs="Times New Roman"/>
                <w:noProof/>
              </w:rPr>
            </w:pPr>
            <w:r>
              <w:rPr>
                <w:noProof/>
              </w:rPr>
              <w:t>Prednost imaju pružatelji zdravstvene zaštite u udaljenim ili siromašnim područjima.</w:t>
            </w:r>
          </w:p>
        </w:tc>
      </w:tr>
      <w:tr w:rsidR="003F46B9" w14:paraId="7000933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16465C2" w14:textId="77777777" w:rsidR="003F46B9" w:rsidRDefault="0065662E">
            <w:pPr>
              <w:pStyle w:val="P68B1DB1-Normal5"/>
              <w:spacing w:after="0" w:line="240" w:lineRule="auto"/>
              <w:jc w:val="center"/>
              <w:rPr>
                <w:rFonts w:eastAsia="Times New Roman" w:cs="Times New Roman"/>
                <w:noProof/>
              </w:rPr>
            </w:pPr>
            <w:bookmarkStart w:id="8" w:name="_Hlk146892231"/>
            <w:r>
              <w:rPr>
                <w:noProof/>
              </w:rPr>
              <w:t>159</w:t>
            </w:r>
          </w:p>
        </w:tc>
        <w:tc>
          <w:tcPr>
            <w:tcW w:w="1740" w:type="dxa"/>
            <w:tcBorders>
              <w:top w:val="single" w:sz="4" w:space="0" w:color="auto"/>
              <w:left w:val="nil"/>
              <w:bottom w:val="single" w:sz="4" w:space="0" w:color="auto"/>
              <w:right w:val="single" w:sz="4" w:space="0" w:color="auto"/>
            </w:tcBorders>
            <w:shd w:val="clear" w:color="auto" w:fill="C6EFCE"/>
            <w:noWrap/>
          </w:tcPr>
          <w:p w14:paraId="43A0A02A" w14:textId="77777777" w:rsidR="003F46B9" w:rsidRDefault="0065662E">
            <w:pPr>
              <w:pStyle w:val="P68B1DB1-Normal5"/>
              <w:spacing w:after="120" w:line="240" w:lineRule="auto"/>
              <w:jc w:val="both"/>
              <w:rPr>
                <w:rFonts w:cs="Times New Roman"/>
                <w:noProof/>
              </w:rPr>
            </w:pPr>
            <w:r>
              <w:rPr>
                <w:noProof/>
              </w:rPr>
              <w:t>Ulaganje 3. Razvoj sustava e-zdravstva i telemedicine</w:t>
            </w:r>
          </w:p>
          <w:p w14:paraId="042D3930" w14:textId="77777777" w:rsidR="003F46B9" w:rsidRDefault="003F46B9">
            <w:pPr>
              <w:spacing w:after="0" w:line="240" w:lineRule="auto"/>
              <w:jc w:val="both"/>
              <w:rPr>
                <w:rFonts w:ascii="Times New Roman" w:eastAsia="Times New Roman" w:hAnsi="Times New Roman" w:cs="Times New Roman"/>
                <w:noProof/>
                <w:sz w:val="24"/>
              </w:rPr>
            </w:pPr>
          </w:p>
          <w:p w14:paraId="55F79651"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64E7DE4"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C404CD9" w14:textId="77777777" w:rsidR="003F46B9" w:rsidRDefault="0065662E">
            <w:pPr>
              <w:pStyle w:val="P68B1DB1-Normal5"/>
              <w:spacing w:after="0" w:line="240" w:lineRule="auto"/>
              <w:jc w:val="both"/>
              <w:rPr>
                <w:rFonts w:eastAsia="Times New Roman" w:cs="Times New Roman"/>
                <w:noProof/>
              </w:rPr>
            </w:pPr>
            <w:r>
              <w:rPr>
                <w:noProof/>
              </w:rPr>
              <w:t>Uveden sustav</w:t>
            </w:r>
            <w:r>
              <w:rPr>
                <w:noProof/>
              </w:rPr>
              <w:t xml:space="preserve"> telemedicine</w:t>
            </w:r>
          </w:p>
        </w:tc>
        <w:tc>
          <w:tcPr>
            <w:tcW w:w="1474" w:type="dxa"/>
            <w:tcBorders>
              <w:top w:val="single" w:sz="4" w:space="0" w:color="auto"/>
              <w:left w:val="nil"/>
              <w:bottom w:val="single" w:sz="4" w:space="0" w:color="auto"/>
              <w:right w:val="single" w:sz="4" w:space="0" w:color="auto"/>
            </w:tcBorders>
            <w:shd w:val="clear" w:color="auto" w:fill="C6EFCE"/>
            <w:noWrap/>
          </w:tcPr>
          <w:p w14:paraId="29D10370"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27DBB06"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C7CBF21"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8BD28B0"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BCE974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F8EEA4B"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18BF151E" w14:textId="77777777" w:rsidR="003F46B9" w:rsidRDefault="0065662E">
            <w:pPr>
              <w:pStyle w:val="P68B1DB1-Normal5"/>
              <w:spacing w:after="0" w:line="240" w:lineRule="auto"/>
              <w:jc w:val="both"/>
              <w:rPr>
                <w:rFonts w:eastAsia="Times New Roman" w:cs="Times New Roman"/>
                <w:noProof/>
              </w:rPr>
            </w:pPr>
            <w:r>
              <w:rPr>
                <w:noProof/>
              </w:rPr>
              <w:t>Sustav telemedicine dostupan je širokom rasponu relevantnih pružatelja zdravstvene zaštite, uz mogućnost široke primjene u cijeloj zemlji, s naglaskom na ruralna područja i mala urbana područja.</w:t>
            </w:r>
          </w:p>
          <w:p w14:paraId="7599D984" w14:textId="77777777" w:rsidR="003F46B9" w:rsidRDefault="0065662E">
            <w:pPr>
              <w:pStyle w:val="P68B1DB1-Normal5"/>
              <w:spacing w:after="0" w:line="240" w:lineRule="auto"/>
              <w:jc w:val="both"/>
              <w:rPr>
                <w:rFonts w:eastAsia="Times New Roman" w:cs="Times New Roman"/>
                <w:noProof/>
              </w:rPr>
            </w:pPr>
            <w:r>
              <w:rPr>
                <w:noProof/>
              </w:rPr>
              <w:t>Ruralna područja i</w:t>
            </w:r>
            <w:r>
              <w:rPr>
                <w:noProof/>
              </w:rPr>
              <w:t xml:space="preserve"> mala urbana područja u kojima će se uvesti telemedicinski sustav odabiru se na temelju nekoliko čimbenika, uključujući: </w:t>
            </w:r>
          </w:p>
          <w:p w14:paraId="2A3A90F2"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 xml:space="preserve">trenutačni pristup zdravstvenoj skrbi (izmjeren brojem liječnika opće prakse ili obiteljskih liječnika/populacije) davanjem prednosti </w:t>
            </w:r>
            <w:r>
              <w:rPr>
                <w:noProof/>
              </w:rPr>
              <w:t>područjima s manjim pristupom zdravstvenoj skrbi.</w:t>
            </w:r>
          </w:p>
          <w:p w14:paraId="23D74E49"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slabije razvijene regije (prema klasifikaciji EU-a, mjereno BDP-om/kapitalom) davanjem prednosti područjima izvan Bukurešta i okruga Ilfov.</w:t>
            </w:r>
          </w:p>
          <w:p w14:paraId="15E30D1B" w14:textId="77777777" w:rsidR="003F46B9" w:rsidRDefault="0065662E">
            <w:pPr>
              <w:pStyle w:val="P68B1DB1-Normal5"/>
              <w:spacing w:after="0" w:line="240" w:lineRule="auto"/>
              <w:jc w:val="both"/>
              <w:rPr>
                <w:rFonts w:eastAsia="Times New Roman" w:cs="Times New Roman"/>
                <w:noProof/>
              </w:rPr>
            </w:pPr>
            <w:r>
              <w:rPr>
                <w:noProof/>
              </w:rPr>
              <w:t>Sustav osigurava i savjetovanja na daljinu u stvarnom vremenu pute</w:t>
            </w:r>
            <w:r>
              <w:rPr>
                <w:noProof/>
              </w:rPr>
              <w:t>m videokonferencije i prijenosa podataka uživo ili asinkronih veza.</w:t>
            </w:r>
          </w:p>
          <w:p w14:paraId="427A7C55" w14:textId="77777777" w:rsidR="003F46B9" w:rsidRDefault="0065662E">
            <w:pPr>
              <w:pStyle w:val="P68B1DB1-Normal5"/>
              <w:spacing w:after="0" w:line="240" w:lineRule="auto"/>
              <w:jc w:val="both"/>
              <w:rPr>
                <w:rFonts w:eastAsia="Times New Roman" w:cs="Times New Roman"/>
                <w:noProof/>
              </w:rPr>
            </w:pPr>
            <w:r>
              <w:rPr>
                <w:noProof/>
              </w:rPr>
              <w:t>Uvođenjem telemedicinskog sustava osigurava se najmanje 200000 savjetovanja s telemedicinom u posljednjoj godini provedbe plana za oporavak i otpornost (Q3/2025 – Q2/2026).</w:t>
            </w:r>
          </w:p>
        </w:tc>
      </w:tr>
      <w:bookmarkEnd w:id="8"/>
      <w:tr w:rsidR="003F46B9" w14:paraId="0975E60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1C3949" w14:textId="77777777" w:rsidR="003F46B9" w:rsidRDefault="0065662E">
            <w:pPr>
              <w:pStyle w:val="P68B1DB1-Normal5"/>
              <w:spacing w:after="0" w:line="240" w:lineRule="auto"/>
              <w:jc w:val="center"/>
              <w:rPr>
                <w:rFonts w:eastAsia="Times New Roman" w:cs="Times New Roman"/>
                <w:noProof/>
              </w:rPr>
            </w:pPr>
            <w:r>
              <w:rPr>
                <w:noProof/>
              </w:rPr>
              <w:t>160</w:t>
            </w:r>
          </w:p>
        </w:tc>
        <w:tc>
          <w:tcPr>
            <w:tcW w:w="1740" w:type="dxa"/>
            <w:tcBorders>
              <w:top w:val="single" w:sz="4" w:space="0" w:color="auto"/>
              <w:left w:val="nil"/>
              <w:bottom w:val="single" w:sz="4" w:space="0" w:color="auto"/>
              <w:right w:val="single" w:sz="4" w:space="0" w:color="auto"/>
            </w:tcBorders>
            <w:shd w:val="clear" w:color="auto" w:fill="C6EFCE"/>
            <w:noWrap/>
          </w:tcPr>
          <w:p w14:paraId="12CE880E" w14:textId="77777777" w:rsidR="003F46B9" w:rsidRDefault="0065662E">
            <w:pPr>
              <w:pStyle w:val="P68B1DB1-Normal5"/>
              <w:spacing w:after="0" w:line="240" w:lineRule="auto"/>
              <w:jc w:val="both"/>
              <w:rPr>
                <w:rFonts w:eastAsia="Times New Roman" w:cs="Times New Roman"/>
                <w:noProof/>
              </w:rPr>
            </w:pPr>
            <w:r>
              <w:rPr>
                <w:noProof/>
              </w:rPr>
              <w:t xml:space="preserve">Ulaganje </w:t>
            </w:r>
            <w:r>
              <w:rPr>
                <w:noProof/>
              </w:rPr>
              <w:t>3.</w:t>
            </w:r>
          </w:p>
          <w:p w14:paraId="18462F18" w14:textId="77777777" w:rsidR="003F46B9" w:rsidRDefault="0065662E">
            <w:pPr>
              <w:pStyle w:val="P68B1DB1-Normal5"/>
              <w:spacing w:after="0" w:line="240" w:lineRule="auto"/>
              <w:jc w:val="both"/>
              <w:rPr>
                <w:rFonts w:eastAsia="Times New Roman" w:cs="Times New Roman"/>
                <w:noProof/>
              </w:rPr>
            </w:pPr>
            <w:r>
              <w:rPr>
                <w:noProof/>
              </w:rPr>
              <w:t>Razvoj sustava e-zdravstva i telemedicine</w:t>
            </w:r>
          </w:p>
        </w:tc>
        <w:tc>
          <w:tcPr>
            <w:tcW w:w="1073" w:type="dxa"/>
            <w:tcBorders>
              <w:top w:val="single" w:sz="4" w:space="0" w:color="auto"/>
              <w:left w:val="nil"/>
              <w:bottom w:val="single" w:sz="4" w:space="0" w:color="auto"/>
              <w:right w:val="single" w:sz="4" w:space="0" w:color="auto"/>
            </w:tcBorders>
            <w:shd w:val="clear" w:color="auto" w:fill="C6EFCE"/>
            <w:noWrap/>
          </w:tcPr>
          <w:p w14:paraId="5789736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4F1DEFEB" w14:textId="77777777" w:rsidR="003F46B9" w:rsidRDefault="0065662E">
            <w:pPr>
              <w:pStyle w:val="P68B1DB1-Normal5"/>
              <w:spacing w:after="0" w:line="240" w:lineRule="auto"/>
              <w:jc w:val="both"/>
              <w:rPr>
                <w:rFonts w:eastAsia="Times New Roman" w:cs="Times New Roman"/>
                <w:noProof/>
              </w:rPr>
            </w:pPr>
            <w:r>
              <w:rPr>
                <w:noProof/>
              </w:rPr>
              <w:t>U funkciji je nova IT platforma za zdravstveno osiguranje</w:t>
            </w:r>
          </w:p>
        </w:tc>
        <w:tc>
          <w:tcPr>
            <w:tcW w:w="1474" w:type="dxa"/>
            <w:tcBorders>
              <w:top w:val="single" w:sz="4" w:space="0" w:color="auto"/>
              <w:left w:val="nil"/>
              <w:bottom w:val="single" w:sz="4" w:space="0" w:color="auto"/>
              <w:right w:val="single" w:sz="4" w:space="0" w:color="auto"/>
            </w:tcBorders>
            <w:shd w:val="clear" w:color="auto" w:fill="C6EFCE"/>
            <w:noWrap/>
          </w:tcPr>
          <w:p w14:paraId="4A89E39C" w14:textId="77777777" w:rsidR="003F46B9" w:rsidRDefault="0065662E">
            <w:pPr>
              <w:pStyle w:val="P68B1DB1-Normal5"/>
              <w:spacing w:after="0" w:line="240" w:lineRule="auto"/>
              <w:jc w:val="both"/>
              <w:rPr>
                <w:rFonts w:eastAsia="Times New Roman" w:cs="Times New Roman"/>
                <w:noProof/>
              </w:rPr>
            </w:pPr>
            <w:r>
              <w:rPr>
                <w:noProof/>
              </w:rPr>
              <w:t>PIA (operativna IT platforma za zdravstveno osiguranje)</w:t>
            </w:r>
          </w:p>
        </w:tc>
        <w:tc>
          <w:tcPr>
            <w:tcW w:w="940" w:type="dxa"/>
            <w:tcBorders>
              <w:top w:val="single" w:sz="4" w:space="0" w:color="auto"/>
              <w:left w:val="nil"/>
              <w:bottom w:val="single" w:sz="4" w:space="0" w:color="auto"/>
              <w:right w:val="single" w:sz="4" w:space="0" w:color="auto"/>
            </w:tcBorders>
            <w:shd w:val="clear" w:color="auto" w:fill="C6EFCE"/>
            <w:noWrap/>
          </w:tcPr>
          <w:p w14:paraId="26EDBE53"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09AB4A27"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0B485F09"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2729DD4"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321DCBBF"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C1E306F" w14:textId="77777777" w:rsidR="003F46B9" w:rsidRDefault="0065662E">
            <w:pPr>
              <w:pStyle w:val="P68B1DB1-Normal5"/>
              <w:spacing w:after="0" w:line="240" w:lineRule="auto"/>
              <w:jc w:val="both"/>
              <w:rPr>
                <w:rFonts w:eastAsia="Times New Roman" w:cs="Times New Roman"/>
                <w:noProof/>
              </w:rPr>
            </w:pPr>
            <w:r>
              <w:rPr>
                <w:noProof/>
              </w:rPr>
              <w:t>Očekuje se da će se novom IT platformom za zdravstveno osiguranje</w:t>
            </w:r>
            <w:r>
              <w:rPr>
                <w:noProof/>
              </w:rPr>
              <w:t xml:space="preserve"> (PIA):</w:t>
            </w:r>
          </w:p>
          <w:p w14:paraId="6D34E831"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 xml:space="preserve">osigurati prilagođeno i pristupačno okruženje za korisnike, uključujući one s invaliditetom; </w:t>
            </w:r>
          </w:p>
          <w:p w14:paraId="21BC7FC9"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 xml:space="preserve">poboljšati međusobnu povezanost i interoperabilnost; </w:t>
            </w:r>
          </w:p>
          <w:p w14:paraId="577F0FB8"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 xml:space="preserve">omogućivanje novih funkcija (npr. digitalizacija medicinskih dokumenata); </w:t>
            </w:r>
          </w:p>
          <w:p w14:paraId="408AED8B"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optimizirati protok podat</w:t>
            </w:r>
            <w:r>
              <w:rPr>
                <w:noProof/>
              </w:rPr>
              <w:t xml:space="preserve">aka, elektroničko praćenje općih ciljeva, posebnih ciljeva, aktivnosti i pokazatelja uspješnosti pretpostavljenih na razini nacionalnog osiguravatelja/pružatelja zdravstvene zaštite. </w:t>
            </w:r>
          </w:p>
          <w:p w14:paraId="2CC7D653" w14:textId="77777777" w:rsidR="003F46B9" w:rsidRDefault="0065662E">
            <w:pPr>
              <w:spacing w:after="0" w:line="240" w:lineRule="auto"/>
              <w:jc w:val="both"/>
              <w:rPr>
                <w:rFonts w:ascii="Times New Roman" w:eastAsia="Times New Roman" w:hAnsi="Times New Roman" w:cs="Times New Roman"/>
                <w:noProof/>
                <w:sz w:val="24"/>
              </w:rPr>
            </w:pPr>
            <w:r>
              <w:rPr>
                <w:rFonts w:ascii="Times New Roman" w:hAnsi="Times New Roman"/>
                <w:noProof/>
                <w:sz w:val="24"/>
              </w:rPr>
              <w:t>Platforma ima sljedeće značajke: Ažuriranje jedinstvenog integriranog in</w:t>
            </w:r>
            <w:r>
              <w:rPr>
                <w:rFonts w:ascii="Times New Roman" w:hAnsi="Times New Roman"/>
                <w:noProof/>
                <w:sz w:val="24"/>
              </w:rPr>
              <w:t>formacijskog sustava (SIUI), nacionalnog sustava kartice zdravstvenog osiguranja (CEAS) i nacionalnog elektroničkog sustava propisivanja (SIPE).</w:t>
            </w:r>
            <w:r>
              <w:rPr>
                <w:noProof/>
              </w:rPr>
              <w:t xml:space="preserve"> </w:t>
            </w:r>
            <w:r>
              <w:rPr>
                <w:noProof/>
              </w:rPr>
              <w:br/>
            </w:r>
            <w:r>
              <w:rPr>
                <w:rFonts w:ascii="Times New Roman" w:hAnsi="Times New Roman"/>
                <w:noProof/>
                <w:sz w:val="24"/>
              </w:rPr>
              <w:t xml:space="preserve">Cilj je ažuriranja zamijeniti poslužitelje, ponovno pisati njihove aplikacije u modernoj tehnologiji spremnoj </w:t>
            </w:r>
            <w:r>
              <w:rPr>
                <w:rFonts w:ascii="Times New Roman" w:hAnsi="Times New Roman"/>
                <w:noProof/>
                <w:sz w:val="24"/>
              </w:rPr>
              <w:t>za u oblaku i zamijeniti druge informatičke i komunikacijske uređaje.</w:t>
            </w:r>
            <w:r>
              <w:rPr>
                <w:noProof/>
              </w:rPr>
              <w:t xml:space="preserve"> </w:t>
            </w:r>
            <w:r>
              <w:rPr>
                <w:noProof/>
              </w:rPr>
              <w:br/>
            </w:r>
            <w:r>
              <w:rPr>
                <w:rFonts w:ascii="Times New Roman" w:hAnsi="Times New Roman"/>
                <w:noProof/>
                <w:sz w:val="24"/>
              </w:rPr>
              <w:t>SIUI sadržava Module internetskih validacijskih usluga koje se pružaju za namiru na svim vrstama pružatelja (specijalne izvanbolničke bolnice, specijalisti za liječnike, obiteljske lije</w:t>
            </w:r>
            <w:r>
              <w:rPr>
                <w:rFonts w:ascii="Times New Roman" w:hAnsi="Times New Roman"/>
                <w:noProof/>
                <w:sz w:val="24"/>
              </w:rPr>
              <w:t>čnike, farmaceute, pružatelje medicinskih proizvoda).</w:t>
            </w:r>
          </w:p>
        </w:tc>
      </w:tr>
      <w:tr w:rsidR="003F46B9" w14:paraId="181C39F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B074789" w14:textId="77777777" w:rsidR="003F46B9" w:rsidRDefault="0065662E">
            <w:pPr>
              <w:pStyle w:val="P68B1DB1-Normal5"/>
              <w:spacing w:after="0" w:line="240" w:lineRule="auto"/>
              <w:jc w:val="center"/>
              <w:rPr>
                <w:rFonts w:eastAsia="Times New Roman" w:cs="Times New Roman"/>
                <w:noProof/>
              </w:rPr>
            </w:pPr>
            <w:r>
              <w:rPr>
                <w:noProof/>
              </w:rPr>
              <w:t>161</w:t>
            </w:r>
          </w:p>
        </w:tc>
        <w:tc>
          <w:tcPr>
            <w:tcW w:w="1740" w:type="dxa"/>
            <w:tcBorders>
              <w:top w:val="single" w:sz="4" w:space="0" w:color="auto"/>
              <w:left w:val="nil"/>
              <w:bottom w:val="single" w:sz="4" w:space="0" w:color="auto"/>
              <w:right w:val="single" w:sz="4" w:space="0" w:color="auto"/>
            </w:tcBorders>
            <w:shd w:val="clear" w:color="auto" w:fill="C6EFCE"/>
            <w:noWrap/>
          </w:tcPr>
          <w:p w14:paraId="314FF8D6" w14:textId="77777777" w:rsidR="003F46B9" w:rsidRDefault="0065662E">
            <w:pPr>
              <w:pStyle w:val="P68B1DB1-Normal5"/>
              <w:spacing w:after="0" w:line="240" w:lineRule="auto"/>
              <w:jc w:val="both"/>
              <w:rPr>
                <w:rFonts w:eastAsia="Times New Roman" w:cs="Times New Roman"/>
                <w:noProof/>
              </w:rPr>
            </w:pPr>
            <w:r>
              <w:rPr>
                <w:noProof/>
              </w:rPr>
              <w:t>Ulaganje 3. Razvoj sustava e-zdravstva i telemedicine</w:t>
            </w:r>
          </w:p>
          <w:p w14:paraId="6409E7B5"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6B0AECE8"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D2F7E8A" w14:textId="77777777" w:rsidR="003F46B9" w:rsidRDefault="0065662E">
            <w:pPr>
              <w:pStyle w:val="P68B1DB1-Normal5"/>
              <w:spacing w:after="0" w:line="240" w:lineRule="auto"/>
              <w:jc w:val="both"/>
              <w:rPr>
                <w:rFonts w:eastAsia="Times New Roman" w:cs="Times New Roman"/>
                <w:noProof/>
              </w:rPr>
            </w:pPr>
            <w:r>
              <w:rPr>
                <w:noProof/>
              </w:rPr>
              <w:t>Digitalizacija 200 ustanova javnog zdravstva</w:t>
            </w:r>
          </w:p>
          <w:p w14:paraId="42162A28"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675C18F2"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335E2A4"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5544888A"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137039A" w14:textId="77777777" w:rsidR="003F46B9" w:rsidRDefault="0065662E">
            <w:pPr>
              <w:pStyle w:val="P68B1DB1-Normal5"/>
              <w:spacing w:after="0" w:line="240" w:lineRule="auto"/>
              <w:jc w:val="both"/>
              <w:rPr>
                <w:rFonts w:eastAsia="Times New Roman" w:cs="Times New Roman"/>
                <w:noProof/>
              </w:rPr>
            </w:pPr>
            <w:r>
              <w:rPr>
                <w:noProof/>
              </w:rPr>
              <w:t>200</w:t>
            </w:r>
          </w:p>
        </w:tc>
        <w:tc>
          <w:tcPr>
            <w:tcW w:w="908" w:type="dxa"/>
            <w:tcBorders>
              <w:top w:val="single" w:sz="4" w:space="0" w:color="auto"/>
              <w:left w:val="nil"/>
              <w:bottom w:val="single" w:sz="4" w:space="0" w:color="auto"/>
              <w:right w:val="single" w:sz="4" w:space="0" w:color="auto"/>
            </w:tcBorders>
            <w:shd w:val="clear" w:color="auto" w:fill="C6EFCE"/>
            <w:noWrap/>
          </w:tcPr>
          <w:p w14:paraId="7692133E"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CF92BBB"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E0F88A9" w14:textId="77777777" w:rsidR="003F46B9" w:rsidRDefault="0065662E">
            <w:pPr>
              <w:pStyle w:val="P68B1DB1-Normal5"/>
              <w:spacing w:after="0" w:line="240" w:lineRule="auto"/>
              <w:jc w:val="both"/>
              <w:rPr>
                <w:rFonts w:eastAsia="Times New Roman" w:cs="Times New Roman"/>
                <w:noProof/>
              </w:rPr>
            </w:pPr>
            <w:r>
              <w:rPr>
                <w:noProof/>
              </w:rPr>
              <w:t>200 javnozdravstvenih ustanova koristit će:</w:t>
            </w:r>
          </w:p>
          <w:p w14:paraId="14FAB289"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 xml:space="preserve">IT sustavi i digitalna infrastruktura jedinica javnog zdravstva. Bolnički IT sustavi uključuju upravljanje zdravstvenim kartonima pacijenata, prihvat i otpuštanje, ljekarnu, upravljanje skladištima, upravljanje objektima, grupnu skupinu za dijagnozu (DRG) </w:t>
            </w:r>
            <w:r>
              <w:rPr>
                <w:noProof/>
              </w:rPr>
              <w:t>i podršku kodiranju DRG-a, zdravstvenu statistiku, financijsko upravljanje, računovodstvo troškova, upravljanje kvalitetom, obračun plaća i upravljanje ljudskim resursima, financijska izvješća za financijsku agenciju, potporu pri odlučivanju i ambulantni I</w:t>
            </w:r>
            <w:r>
              <w:rPr>
                <w:noProof/>
              </w:rPr>
              <w:t>T sustav;</w:t>
            </w:r>
          </w:p>
          <w:p w14:paraId="709FDDE6"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Jačanje telemedicine i mobilnih sustava praćenja pacijenata. Bolnički informacijski sustavi trebali bi biti interoperabilni sa sustavima telemedicine (modul za praćenje i modul ambulantnog specijalističkog savjetovanja), a specijalisti iz bolničk</w:t>
            </w:r>
            <w:r>
              <w:rPr>
                <w:noProof/>
              </w:rPr>
              <w:t>ih ambulantnih ambulanta trebali bi moći pružati savjetovanja na daljinu te pratiti ambulantne i kronične pacijente uz potporu pružatelja kućne njege ili obiteljskih liječnika/liječnika opće prakse;</w:t>
            </w:r>
          </w:p>
          <w:p w14:paraId="4010C03C"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Tehnička pomoć za razvoj i integraciju digitalnih zdravst</w:t>
            </w:r>
            <w:r>
              <w:rPr>
                <w:noProof/>
              </w:rPr>
              <w:t>venih rješenja u zdravstveni sustav.</w:t>
            </w:r>
          </w:p>
          <w:p w14:paraId="5DAB850D" w14:textId="77777777" w:rsidR="003F46B9" w:rsidRDefault="0065662E">
            <w:pPr>
              <w:pStyle w:val="P68B1DB1-Normal5"/>
              <w:numPr>
                <w:ilvl w:val="0"/>
                <w:numId w:val="49"/>
              </w:numPr>
              <w:spacing w:after="0" w:line="240" w:lineRule="auto"/>
              <w:ind w:left="259" w:hanging="218"/>
              <w:jc w:val="both"/>
              <w:rPr>
                <w:rFonts w:eastAsia="Times New Roman" w:cs="Times New Roman"/>
                <w:noProof/>
              </w:rPr>
            </w:pPr>
            <w:r>
              <w:rPr>
                <w:noProof/>
              </w:rPr>
              <w:t>Osposobljavanje osoblja kako bi naučilo kako upravljati informatičkim aplikacijama. Osposobljavanje se podupire iz Mehanizma za oporavak i otpornost za 3000 liječnika.</w:t>
            </w:r>
          </w:p>
        </w:tc>
      </w:tr>
      <w:tr w:rsidR="003F46B9" w14:paraId="7928F60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E85DF9" w14:textId="77777777" w:rsidR="003F46B9" w:rsidRDefault="0065662E">
            <w:pPr>
              <w:pStyle w:val="P68B1DB1-Normal5"/>
              <w:spacing w:after="0" w:line="240" w:lineRule="auto"/>
              <w:jc w:val="center"/>
              <w:rPr>
                <w:rFonts w:eastAsia="Times New Roman" w:cs="Times New Roman"/>
                <w:noProof/>
              </w:rPr>
            </w:pPr>
            <w:r>
              <w:rPr>
                <w:noProof/>
              </w:rPr>
              <w:t>162</w:t>
            </w:r>
          </w:p>
        </w:tc>
        <w:tc>
          <w:tcPr>
            <w:tcW w:w="1740" w:type="dxa"/>
            <w:tcBorders>
              <w:top w:val="single" w:sz="4" w:space="0" w:color="auto"/>
              <w:left w:val="nil"/>
              <w:bottom w:val="single" w:sz="4" w:space="0" w:color="auto"/>
              <w:right w:val="single" w:sz="4" w:space="0" w:color="auto"/>
            </w:tcBorders>
            <w:shd w:val="clear" w:color="auto" w:fill="C6EFCE"/>
            <w:noWrap/>
          </w:tcPr>
          <w:p w14:paraId="2669D780" w14:textId="77777777" w:rsidR="003F46B9" w:rsidRDefault="0065662E">
            <w:pPr>
              <w:pStyle w:val="P68B1DB1-Normal5"/>
              <w:spacing w:after="0" w:line="240" w:lineRule="auto"/>
              <w:jc w:val="both"/>
              <w:rPr>
                <w:rFonts w:eastAsia="Times New Roman" w:cs="Times New Roman"/>
                <w:noProof/>
              </w:rPr>
            </w:pPr>
            <w:r>
              <w:rPr>
                <w:noProof/>
              </w:rPr>
              <w:t>Ulaganje 3.</w:t>
            </w:r>
          </w:p>
          <w:p w14:paraId="457D0C43" w14:textId="77777777" w:rsidR="003F46B9" w:rsidRDefault="0065662E">
            <w:pPr>
              <w:pStyle w:val="P68B1DB1-Normal5"/>
              <w:spacing w:after="120" w:line="240" w:lineRule="auto"/>
              <w:jc w:val="both"/>
              <w:rPr>
                <w:rFonts w:cs="Times New Roman"/>
                <w:noProof/>
              </w:rPr>
            </w:pPr>
            <w:r>
              <w:rPr>
                <w:noProof/>
              </w:rPr>
              <w:t xml:space="preserve">Razvoj sustava e-zdravstva i </w:t>
            </w:r>
            <w:r>
              <w:rPr>
                <w:noProof/>
              </w:rPr>
              <w:t>telemedicine</w:t>
            </w:r>
          </w:p>
          <w:p w14:paraId="694C3A1C"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2C5E20DC" w14:textId="77777777" w:rsidR="003F46B9" w:rsidRDefault="003F46B9">
            <w:pPr>
              <w:spacing w:after="0" w:line="240" w:lineRule="auto"/>
              <w:jc w:val="both"/>
              <w:rPr>
                <w:rFonts w:ascii="Times New Roman" w:eastAsia="Times New Roman" w:hAnsi="Times New Roman" w:cs="Times New Roman"/>
                <w:noProof/>
                <w:sz w:val="24"/>
              </w:rPr>
            </w:pPr>
          </w:p>
          <w:p w14:paraId="321F65D9" w14:textId="77777777" w:rsidR="003F46B9" w:rsidRDefault="003F46B9">
            <w:pPr>
              <w:spacing w:after="0" w:line="240" w:lineRule="auto"/>
              <w:jc w:val="both"/>
              <w:rPr>
                <w:rFonts w:ascii="Times New Roman" w:eastAsia="Times New Roman" w:hAnsi="Times New Roman" w:cs="Times New Roman"/>
                <w:noProof/>
                <w:sz w:val="24"/>
              </w:rPr>
            </w:pPr>
          </w:p>
          <w:p w14:paraId="79930C12"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943115E" w14:textId="77777777" w:rsidR="003F46B9" w:rsidRDefault="0065662E">
            <w:pPr>
              <w:pStyle w:val="P68B1DB1-Normal5"/>
              <w:spacing w:after="0" w:line="240" w:lineRule="auto"/>
              <w:jc w:val="both"/>
              <w:rPr>
                <w:rFonts w:eastAsia="Times New Roman" w:cs="Times New Roman"/>
                <w:noProof/>
              </w:rPr>
            </w:pPr>
            <w:r>
              <w:rPr>
                <w:noProof/>
              </w:rPr>
              <w:t>Pružatelji zdravstvene zaštite povezani s novom platformom PIA</w:t>
            </w:r>
          </w:p>
        </w:tc>
        <w:tc>
          <w:tcPr>
            <w:tcW w:w="1474" w:type="dxa"/>
            <w:tcBorders>
              <w:top w:val="single" w:sz="4" w:space="0" w:color="auto"/>
              <w:left w:val="nil"/>
              <w:bottom w:val="single" w:sz="4" w:space="0" w:color="auto"/>
              <w:right w:val="single" w:sz="4" w:space="0" w:color="auto"/>
            </w:tcBorders>
            <w:shd w:val="clear" w:color="auto" w:fill="C6EFCE"/>
            <w:noWrap/>
          </w:tcPr>
          <w:p w14:paraId="3CFDFC52"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76C59FF7"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696C031"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057DC36" w14:textId="77777777" w:rsidR="003F46B9" w:rsidRDefault="0065662E">
            <w:pPr>
              <w:pStyle w:val="P68B1DB1-Normal5"/>
              <w:spacing w:after="0" w:line="240" w:lineRule="auto"/>
              <w:jc w:val="both"/>
              <w:rPr>
                <w:rFonts w:eastAsia="Times New Roman" w:cs="Times New Roman"/>
                <w:noProof/>
              </w:rPr>
            </w:pPr>
            <w:r>
              <w:rPr>
                <w:noProof/>
              </w:rPr>
              <w:t>25 000</w:t>
            </w:r>
          </w:p>
        </w:tc>
        <w:tc>
          <w:tcPr>
            <w:tcW w:w="908" w:type="dxa"/>
            <w:tcBorders>
              <w:top w:val="single" w:sz="4" w:space="0" w:color="auto"/>
              <w:left w:val="nil"/>
              <w:bottom w:val="single" w:sz="4" w:space="0" w:color="auto"/>
              <w:right w:val="single" w:sz="4" w:space="0" w:color="auto"/>
            </w:tcBorders>
            <w:shd w:val="clear" w:color="auto" w:fill="C6EFCE"/>
            <w:noWrap/>
          </w:tcPr>
          <w:p w14:paraId="35A7D73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2F90DEA"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79779D0" w14:textId="77777777" w:rsidR="003F46B9" w:rsidRDefault="0065662E">
            <w:pPr>
              <w:pStyle w:val="P68B1DB1-Normal5"/>
              <w:spacing w:after="120" w:line="240" w:lineRule="auto"/>
              <w:jc w:val="both"/>
              <w:rPr>
                <w:rFonts w:eastAsia="Times New Roman" w:cs="Times New Roman"/>
                <w:noProof/>
              </w:rPr>
            </w:pPr>
            <w:r>
              <w:rPr>
                <w:noProof/>
              </w:rPr>
              <w:t>25000 pružatelja zdravstvene zaštite (Hospitalsi, ambulantni specijalist, ambulante, laboratoriji, obiteljski liječnici, ljekarne, pružate</w:t>
            </w:r>
            <w:r>
              <w:rPr>
                <w:noProof/>
              </w:rPr>
              <w:t>lji medicinskih proizvoda, kućna njega) bit će povezano s novom platformom PIA.</w:t>
            </w:r>
          </w:p>
        </w:tc>
      </w:tr>
      <w:tr w:rsidR="003F46B9" w14:paraId="6975347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3747198" w14:textId="77777777" w:rsidR="003F46B9" w:rsidRDefault="0065662E">
            <w:pPr>
              <w:pStyle w:val="P68B1DB1-Normal5"/>
              <w:spacing w:after="0" w:line="240" w:lineRule="auto"/>
              <w:jc w:val="center"/>
              <w:rPr>
                <w:rFonts w:eastAsia="Times New Roman" w:cs="Times New Roman"/>
                <w:noProof/>
              </w:rPr>
            </w:pPr>
            <w:r>
              <w:rPr>
                <w:noProof/>
              </w:rPr>
              <w:t>163</w:t>
            </w:r>
          </w:p>
        </w:tc>
        <w:tc>
          <w:tcPr>
            <w:tcW w:w="1740" w:type="dxa"/>
            <w:tcBorders>
              <w:top w:val="single" w:sz="4" w:space="0" w:color="auto"/>
              <w:left w:val="nil"/>
              <w:bottom w:val="single" w:sz="4" w:space="0" w:color="auto"/>
              <w:right w:val="single" w:sz="4" w:space="0" w:color="auto"/>
            </w:tcBorders>
            <w:shd w:val="clear" w:color="auto" w:fill="C6EFCE"/>
            <w:noWrap/>
          </w:tcPr>
          <w:p w14:paraId="1536AD76" w14:textId="77777777" w:rsidR="003F46B9" w:rsidRDefault="0065662E">
            <w:pPr>
              <w:pStyle w:val="P68B1DB1-Normal5"/>
              <w:spacing w:after="0" w:line="240" w:lineRule="auto"/>
              <w:jc w:val="both"/>
              <w:rPr>
                <w:rFonts w:eastAsia="Times New Roman" w:cs="Times New Roman"/>
                <w:noProof/>
              </w:rPr>
            </w:pPr>
            <w:r>
              <w:rPr>
                <w:noProof/>
              </w:rPr>
              <w:t xml:space="preserve">Ulaganje 4. Digitalizacija pravosuđa </w:t>
            </w:r>
          </w:p>
          <w:p w14:paraId="6DA94827"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241FA87"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0834D85A" w14:textId="2EA599D1" w:rsidR="003F46B9" w:rsidRDefault="0065662E">
            <w:pPr>
              <w:pStyle w:val="P68B1DB1-Normal5"/>
              <w:spacing w:after="0" w:line="240" w:lineRule="auto"/>
              <w:jc w:val="both"/>
              <w:rPr>
                <w:rFonts w:eastAsia="Times New Roman" w:cs="Times New Roman"/>
                <w:noProof/>
              </w:rPr>
            </w:pPr>
            <w:r>
              <w:rPr>
                <w:noProof/>
              </w:rPr>
              <w:t>Virtualizacija i centralizacija poslovnih aplikacija koje su operacionalizirane</w:t>
            </w:r>
          </w:p>
        </w:tc>
        <w:tc>
          <w:tcPr>
            <w:tcW w:w="1474" w:type="dxa"/>
            <w:tcBorders>
              <w:top w:val="single" w:sz="4" w:space="0" w:color="auto"/>
              <w:left w:val="nil"/>
              <w:bottom w:val="single" w:sz="4" w:space="0" w:color="auto"/>
              <w:right w:val="single" w:sz="4" w:space="0" w:color="auto"/>
            </w:tcBorders>
            <w:shd w:val="clear" w:color="auto" w:fill="C6EFCE"/>
            <w:noWrap/>
          </w:tcPr>
          <w:p w14:paraId="6E5C96DC" w14:textId="77777777" w:rsidR="003F46B9" w:rsidRDefault="0065662E">
            <w:pPr>
              <w:pStyle w:val="P68B1DB1-Normal5"/>
              <w:spacing w:after="0" w:line="240" w:lineRule="auto"/>
              <w:jc w:val="both"/>
              <w:rPr>
                <w:rFonts w:eastAsia="Times New Roman" w:cs="Times New Roman"/>
                <w:noProof/>
              </w:rPr>
            </w:pPr>
            <w:r>
              <w:rPr>
                <w:noProof/>
              </w:rPr>
              <w:t xml:space="preserve">Operativno i sudsko vođenje nacionalnih </w:t>
            </w:r>
            <w:r>
              <w:rPr>
                <w:noProof/>
              </w:rPr>
              <w:t>(centraliziranih) elektroničkih datoteka (e-datoteka) virtualizirano na manjem broju lokacija</w:t>
            </w:r>
          </w:p>
        </w:tc>
        <w:tc>
          <w:tcPr>
            <w:tcW w:w="940" w:type="dxa"/>
            <w:tcBorders>
              <w:top w:val="single" w:sz="4" w:space="0" w:color="auto"/>
              <w:left w:val="nil"/>
              <w:bottom w:val="single" w:sz="4" w:space="0" w:color="auto"/>
              <w:right w:val="single" w:sz="4" w:space="0" w:color="auto"/>
            </w:tcBorders>
            <w:shd w:val="clear" w:color="auto" w:fill="C6EFCE"/>
            <w:noWrap/>
          </w:tcPr>
          <w:p w14:paraId="71146F87"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80786C1"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C96592"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304A422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BD85072" w14:textId="77777777" w:rsidR="003F46B9" w:rsidRDefault="0065662E">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2492F870" w14:textId="77777777" w:rsidR="003F46B9" w:rsidRDefault="0065662E">
            <w:pPr>
              <w:pStyle w:val="P68B1DB1-Normal5"/>
              <w:spacing w:after="0" w:line="240" w:lineRule="auto"/>
              <w:jc w:val="both"/>
              <w:rPr>
                <w:rFonts w:eastAsia="Times New Roman" w:cs="Times New Roman"/>
                <w:noProof/>
              </w:rPr>
            </w:pPr>
            <w:r>
              <w:rPr>
                <w:noProof/>
              </w:rPr>
              <w:t>Kako bi se smanjio operativni rizik postojećeg sustava vođenja predmeta (tj. elektroničkog informacijskog sustava sudske evidencije, verzija E</w:t>
            </w:r>
            <w:r>
              <w:rPr>
                <w:noProof/>
              </w:rPr>
              <w:t xml:space="preserve">CRIS IV) i uvela moderna alternativa za elektronički pristup spisima predmeta („e-datoteka”), to ulaganje: </w:t>
            </w:r>
          </w:p>
          <w:p w14:paraId="35519E0E" w14:textId="77777777" w:rsidR="003F46B9" w:rsidRDefault="0065662E">
            <w:pPr>
              <w:pStyle w:val="P68B1DB1-Normal5"/>
              <w:numPr>
                <w:ilvl w:val="0"/>
                <w:numId w:val="54"/>
              </w:numPr>
              <w:spacing w:after="0" w:line="240" w:lineRule="auto"/>
              <w:ind w:left="259" w:hanging="259"/>
              <w:contextualSpacing/>
              <w:jc w:val="both"/>
              <w:rPr>
                <w:rFonts w:eastAsia="Times New Roman" w:cs="Times New Roman"/>
                <w:noProof/>
              </w:rPr>
            </w:pPr>
            <w:r>
              <w:rPr>
                <w:noProof/>
              </w:rPr>
              <w:t>upotrebljavati „virtualizaciju” za smanjenje broja poslužitelja s oko 270 lokacija na 60 lokacija (ne potpuna centralizacija zbog ograničenja prijen</w:t>
            </w:r>
            <w:r>
              <w:rPr>
                <w:noProof/>
              </w:rPr>
              <w:t>osa podataka za kratkoročnu i staru tehnologiju za ECRIS IV);</w:t>
            </w:r>
          </w:p>
          <w:p w14:paraId="17294FDD" w14:textId="77777777" w:rsidR="003F46B9" w:rsidRDefault="0065662E">
            <w:pPr>
              <w:pStyle w:val="P68B1DB1-Normal5"/>
              <w:numPr>
                <w:ilvl w:val="0"/>
                <w:numId w:val="54"/>
              </w:numPr>
              <w:spacing w:line="240" w:lineRule="auto"/>
              <w:ind w:left="259" w:hanging="259"/>
              <w:contextualSpacing/>
              <w:jc w:val="both"/>
              <w:rPr>
                <w:rFonts w:eastAsia="Times New Roman" w:cs="Times New Roman"/>
                <w:noProof/>
              </w:rPr>
            </w:pPr>
            <w:r>
              <w:rPr>
                <w:noProof/>
              </w:rPr>
              <w:t>„centralizirati” četiri postojeća proširenja e-datoteke u jednom nacionalnom „e-datoteku” putem kojeg stranke u sporu mogu lako i sigurno pristupiti dokumentima u sudskim spisima.</w:t>
            </w:r>
          </w:p>
          <w:p w14:paraId="26E97D6B" w14:textId="77777777" w:rsidR="003F46B9" w:rsidRDefault="0065662E">
            <w:pPr>
              <w:pStyle w:val="P68B1DB1-Normal5"/>
              <w:spacing w:after="0" w:line="240" w:lineRule="auto"/>
              <w:jc w:val="both"/>
              <w:rPr>
                <w:rFonts w:eastAsia="Times New Roman" w:cs="Times New Roman"/>
                <w:noProof/>
              </w:rPr>
            </w:pPr>
            <w:r>
              <w:rPr>
                <w:noProof/>
              </w:rPr>
              <w:t>Osim toga, gla</w:t>
            </w:r>
            <w:r>
              <w:rPr>
                <w:noProof/>
              </w:rPr>
              <w:t>vni je strateški cilj ubrzati i osigurati jednostavan prijelaz na sljedeću verziju ECRIS-a (ECRIS V).</w:t>
            </w:r>
          </w:p>
          <w:p w14:paraId="667D4B2F" w14:textId="77777777" w:rsidR="003F46B9" w:rsidRDefault="0065662E">
            <w:pPr>
              <w:pStyle w:val="P68B1DB1-Normal5"/>
              <w:spacing w:after="0" w:line="240" w:lineRule="auto"/>
              <w:jc w:val="both"/>
              <w:rPr>
                <w:rFonts w:eastAsia="Times New Roman" w:cs="Times New Roman"/>
                <w:noProof/>
              </w:rPr>
            </w:pPr>
            <w:r>
              <w:rPr>
                <w:noProof/>
              </w:rPr>
              <w:t>Stoga je konkretan cilj „virtualizacije i centralizacije” predložen u nacionalnom planu za oporavak i otpornost tehnološka nadogradnja informatičke infras</w:t>
            </w:r>
            <w:r>
              <w:rPr>
                <w:noProof/>
              </w:rPr>
              <w:t>trukture pravosuđa na sljedeće načine:</w:t>
            </w:r>
          </w:p>
          <w:p w14:paraId="6FBA37B1" w14:textId="77777777" w:rsidR="003F46B9" w:rsidRDefault="0065662E">
            <w:pPr>
              <w:pStyle w:val="P68B1DB1-Normal5"/>
              <w:numPr>
                <w:ilvl w:val="0"/>
                <w:numId w:val="54"/>
              </w:numPr>
              <w:spacing w:after="0" w:line="240" w:lineRule="auto"/>
              <w:ind w:left="259" w:hanging="259"/>
              <w:contextualSpacing/>
              <w:jc w:val="both"/>
              <w:rPr>
                <w:rFonts w:eastAsia="Times New Roman" w:cs="Times New Roman"/>
                <w:noProof/>
              </w:rPr>
            </w:pPr>
            <w:r>
              <w:rPr>
                <w:noProof/>
              </w:rPr>
              <w:t xml:space="preserve">povećanje kapaciteta prijenosa podataka na WAN-u (povećanje pojasne širine) potrebnog za pravilno funkcioniranje elektroničkog sustava vođenja predmeta u centraliziranoj konfiguraciji; </w:t>
            </w:r>
          </w:p>
          <w:p w14:paraId="55F77789" w14:textId="77777777" w:rsidR="003F46B9" w:rsidRDefault="0065662E">
            <w:pPr>
              <w:pStyle w:val="P68B1DB1-Normal5"/>
              <w:numPr>
                <w:ilvl w:val="0"/>
                <w:numId w:val="54"/>
              </w:numPr>
              <w:spacing w:after="0" w:line="240" w:lineRule="auto"/>
              <w:ind w:left="259" w:hanging="259"/>
              <w:contextualSpacing/>
              <w:jc w:val="both"/>
              <w:rPr>
                <w:rFonts w:eastAsia="Times New Roman" w:cs="Times New Roman"/>
                <w:noProof/>
              </w:rPr>
            </w:pPr>
            <w:r>
              <w:rPr>
                <w:noProof/>
              </w:rPr>
              <w:t>osiguravanje odgovarajućeg kapa</w:t>
            </w:r>
            <w:r>
              <w:rPr>
                <w:noProof/>
              </w:rPr>
              <w:t>citeta za obradu i pohranu na razini sudova i žalbenih sudova kako bi se centralizirale pravosudne aplikacije i postiglo učinkovito upravljanje informatičkim resursima na sudovima;</w:t>
            </w:r>
          </w:p>
          <w:p w14:paraId="11B1B4E3" w14:textId="77777777" w:rsidR="003F46B9" w:rsidRDefault="0065662E">
            <w:pPr>
              <w:pStyle w:val="P68B1DB1-Normal5"/>
              <w:numPr>
                <w:ilvl w:val="0"/>
                <w:numId w:val="54"/>
              </w:numPr>
              <w:spacing w:after="0" w:line="240" w:lineRule="auto"/>
              <w:ind w:left="259" w:hanging="259"/>
              <w:contextualSpacing/>
              <w:jc w:val="both"/>
              <w:rPr>
                <w:rFonts w:eastAsia="Times New Roman" w:cs="Times New Roman"/>
                <w:noProof/>
              </w:rPr>
            </w:pPr>
            <w:r>
              <w:rPr>
                <w:noProof/>
              </w:rPr>
              <w:t>povećanje sigurnosti i dostupnosti usluga koje se nude široj javnosti uvođe</w:t>
            </w:r>
            <w:r>
              <w:rPr>
                <w:noProof/>
              </w:rPr>
              <w:t>njem nacionalne elektroničke datoteke (e-datoteka).</w:t>
            </w:r>
          </w:p>
        </w:tc>
      </w:tr>
      <w:tr w:rsidR="003F46B9" w14:paraId="610FCFE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069B3EF" w14:textId="77777777" w:rsidR="003F46B9" w:rsidRDefault="0065662E">
            <w:pPr>
              <w:pStyle w:val="P68B1DB1-Normal5"/>
              <w:spacing w:after="0" w:line="240" w:lineRule="auto"/>
              <w:jc w:val="center"/>
              <w:rPr>
                <w:rFonts w:eastAsia="Times New Roman" w:cs="Times New Roman"/>
                <w:noProof/>
              </w:rPr>
            </w:pPr>
            <w:r>
              <w:rPr>
                <w:noProof/>
              </w:rPr>
              <w:t>164</w:t>
            </w:r>
          </w:p>
        </w:tc>
        <w:tc>
          <w:tcPr>
            <w:tcW w:w="1740" w:type="dxa"/>
            <w:tcBorders>
              <w:top w:val="single" w:sz="4" w:space="0" w:color="auto"/>
              <w:left w:val="nil"/>
              <w:bottom w:val="single" w:sz="4" w:space="0" w:color="auto"/>
              <w:right w:val="single" w:sz="4" w:space="0" w:color="auto"/>
            </w:tcBorders>
            <w:shd w:val="clear" w:color="auto" w:fill="C6EFCE"/>
            <w:noWrap/>
          </w:tcPr>
          <w:p w14:paraId="0228AC59" w14:textId="77777777" w:rsidR="003F46B9" w:rsidRDefault="0065662E">
            <w:pPr>
              <w:pStyle w:val="P68B1DB1-Normal5"/>
              <w:spacing w:after="0" w:line="240" w:lineRule="auto"/>
              <w:jc w:val="both"/>
              <w:rPr>
                <w:rFonts w:eastAsia="Times New Roman" w:cs="Times New Roman"/>
                <w:noProof/>
              </w:rPr>
            </w:pPr>
            <w:r>
              <w:rPr>
                <w:noProof/>
              </w:rPr>
              <w:t xml:space="preserve">Ulaganje 4. Digitalizacija pravosuđa </w:t>
            </w:r>
          </w:p>
          <w:p w14:paraId="6D68819C"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5D412F1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28B95C9B" w14:textId="77777777" w:rsidR="003F46B9" w:rsidRDefault="0065662E">
            <w:pPr>
              <w:pStyle w:val="P68B1DB1-Normal5"/>
              <w:spacing w:after="0" w:line="240" w:lineRule="auto"/>
              <w:jc w:val="both"/>
              <w:rPr>
                <w:rFonts w:eastAsia="Times New Roman" w:cs="Times New Roman"/>
                <w:noProof/>
              </w:rPr>
            </w:pPr>
            <w:r>
              <w:rPr>
                <w:noProof/>
              </w:rPr>
              <w:t>Završena operacionalizacija sustava ECRIS V (elektronički zapis predmeta i informacijski sustav)</w:t>
            </w:r>
          </w:p>
        </w:tc>
        <w:tc>
          <w:tcPr>
            <w:tcW w:w="1474" w:type="dxa"/>
            <w:tcBorders>
              <w:top w:val="single" w:sz="4" w:space="0" w:color="auto"/>
              <w:left w:val="nil"/>
              <w:bottom w:val="single" w:sz="4" w:space="0" w:color="auto"/>
              <w:right w:val="single" w:sz="4" w:space="0" w:color="auto"/>
            </w:tcBorders>
            <w:shd w:val="clear" w:color="auto" w:fill="C6EFCE"/>
            <w:noWrap/>
          </w:tcPr>
          <w:p w14:paraId="6A225D74" w14:textId="77777777" w:rsidR="003F46B9" w:rsidRDefault="0065662E">
            <w:pPr>
              <w:pStyle w:val="P68B1DB1-Normal5"/>
              <w:spacing w:after="0" w:line="240" w:lineRule="auto"/>
              <w:jc w:val="both"/>
              <w:rPr>
                <w:rFonts w:eastAsia="Times New Roman" w:cs="Times New Roman"/>
                <w:noProof/>
              </w:rPr>
            </w:pPr>
            <w:r>
              <w:rPr>
                <w:noProof/>
              </w:rPr>
              <w:t>Operativni i funkcionalni sustav ECRIS V</w:t>
            </w:r>
          </w:p>
        </w:tc>
        <w:tc>
          <w:tcPr>
            <w:tcW w:w="940" w:type="dxa"/>
            <w:tcBorders>
              <w:top w:val="single" w:sz="4" w:space="0" w:color="auto"/>
              <w:left w:val="nil"/>
              <w:bottom w:val="single" w:sz="4" w:space="0" w:color="auto"/>
              <w:right w:val="single" w:sz="4" w:space="0" w:color="auto"/>
            </w:tcBorders>
            <w:shd w:val="clear" w:color="auto" w:fill="C6EFCE"/>
            <w:noWrap/>
          </w:tcPr>
          <w:p w14:paraId="43681F5B"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0C87B556"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4D445E76"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2E8B3E0" w14:textId="77777777" w:rsidR="003F46B9" w:rsidRDefault="0065662E">
            <w:pPr>
              <w:pStyle w:val="P68B1DB1-Normal5"/>
              <w:spacing w:after="0" w:line="240" w:lineRule="auto"/>
              <w:jc w:val="both"/>
              <w:rPr>
                <w:rFonts w:eastAsia="Times New Roman" w:cs="Times New Roman"/>
                <w:noProof/>
              </w:rPr>
            </w:pPr>
            <w:r>
              <w:rPr>
                <w:noProof/>
              </w:rPr>
              <w:t>ČETVRTO</w:t>
            </w:r>
            <w:r>
              <w:rPr>
                <w:noProof/>
              </w:rPr>
              <w:t xml:space="preserve">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44497E81"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286E471" w14:textId="77777777" w:rsidR="003F46B9" w:rsidRDefault="0065662E">
            <w:pPr>
              <w:pStyle w:val="P68B1DB1-Normal5"/>
              <w:spacing w:after="0" w:line="240" w:lineRule="auto"/>
              <w:jc w:val="both"/>
              <w:rPr>
                <w:rFonts w:eastAsia="Times New Roman" w:cs="Times New Roman"/>
                <w:noProof/>
              </w:rPr>
            </w:pPr>
            <w:r>
              <w:rPr>
                <w:noProof/>
              </w:rPr>
              <w:t xml:space="preserve">Središnji element digitalne transformacije pravosuđa jest provedba novog sustava vođenja predmeta (ECRIS V), kojim se s jedne strane omogućuje digitalna interakcija stranke u sporu i svih zainteresiranih subjekata s pravosuđem, a s druge </w:t>
            </w:r>
            <w:r>
              <w:rPr>
                <w:noProof/>
              </w:rPr>
              <w:t>strane bolja i proširena digitalna interakcija među institucijama na razini pravosudnog sustava te između njih i drugih susjednih institucija.</w:t>
            </w:r>
          </w:p>
          <w:p w14:paraId="1BF6AB21" w14:textId="65BDF5C4" w:rsidR="003F46B9" w:rsidRDefault="003F46B9">
            <w:pPr>
              <w:spacing w:after="120" w:line="240" w:lineRule="auto"/>
              <w:jc w:val="both"/>
              <w:rPr>
                <w:rFonts w:ascii="Times New Roman" w:eastAsia="Times New Roman" w:hAnsi="Times New Roman" w:cs="Times New Roman"/>
                <w:noProof/>
                <w:sz w:val="24"/>
              </w:rPr>
            </w:pPr>
          </w:p>
        </w:tc>
      </w:tr>
      <w:tr w:rsidR="003F46B9" w14:paraId="34F35010"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6A8A71E" w14:textId="77777777" w:rsidR="003F46B9" w:rsidRDefault="0065662E">
            <w:pPr>
              <w:pStyle w:val="P68B1DB1-Normal5"/>
              <w:spacing w:after="0" w:line="240" w:lineRule="auto"/>
              <w:jc w:val="center"/>
              <w:rPr>
                <w:rFonts w:eastAsia="Times New Roman" w:cs="Times New Roman"/>
                <w:noProof/>
              </w:rPr>
            </w:pPr>
            <w:r>
              <w:rPr>
                <w:noProof/>
              </w:rPr>
              <w:t>165</w:t>
            </w:r>
          </w:p>
        </w:tc>
        <w:tc>
          <w:tcPr>
            <w:tcW w:w="1740" w:type="dxa"/>
            <w:tcBorders>
              <w:top w:val="single" w:sz="4" w:space="0" w:color="auto"/>
              <w:left w:val="nil"/>
              <w:bottom w:val="single" w:sz="4" w:space="0" w:color="auto"/>
              <w:right w:val="single" w:sz="4" w:space="0" w:color="auto"/>
            </w:tcBorders>
            <w:shd w:val="clear" w:color="auto" w:fill="C6EFCE"/>
            <w:noWrap/>
          </w:tcPr>
          <w:p w14:paraId="7F1FF293" w14:textId="0CDAA732" w:rsidR="003F46B9" w:rsidRDefault="0065662E">
            <w:pPr>
              <w:pStyle w:val="P68B1DB1-Normal5"/>
              <w:spacing w:after="0" w:line="240" w:lineRule="auto"/>
              <w:jc w:val="both"/>
              <w:rPr>
                <w:rFonts w:eastAsia="Times New Roman" w:cs="Times New Roman"/>
                <w:noProof/>
              </w:rPr>
            </w:pPr>
            <w:r>
              <w:rPr>
                <w:noProof/>
              </w:rPr>
              <w:t xml:space="preserve">Ulaganje 4. Digitalizacija pravosuđa </w:t>
            </w:r>
          </w:p>
          <w:p w14:paraId="07A9F8F4"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EC04C62"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23F17BA" w14:textId="77777777" w:rsidR="003F46B9" w:rsidRDefault="0065662E">
            <w:pPr>
              <w:pStyle w:val="P68B1DB1-Normal5"/>
              <w:spacing w:after="0" w:line="240" w:lineRule="auto"/>
              <w:jc w:val="both"/>
              <w:rPr>
                <w:rFonts w:eastAsia="Times New Roman" w:cs="Times New Roman"/>
                <w:noProof/>
              </w:rPr>
            </w:pPr>
            <w:r>
              <w:rPr>
                <w:noProof/>
              </w:rPr>
              <w:t xml:space="preserve">Središnja javna tijela u području pravosuđa </w:t>
            </w:r>
            <w:r>
              <w:rPr>
                <w:noProof/>
              </w:rPr>
              <w:t>digitalizirana</w:t>
            </w:r>
          </w:p>
        </w:tc>
        <w:tc>
          <w:tcPr>
            <w:tcW w:w="1474" w:type="dxa"/>
            <w:tcBorders>
              <w:top w:val="single" w:sz="4" w:space="0" w:color="auto"/>
              <w:left w:val="nil"/>
              <w:bottom w:val="single" w:sz="4" w:space="0" w:color="auto"/>
              <w:right w:val="single" w:sz="4" w:space="0" w:color="auto"/>
            </w:tcBorders>
            <w:shd w:val="clear" w:color="auto" w:fill="C6EFCE"/>
            <w:noWrap/>
          </w:tcPr>
          <w:p w14:paraId="597E2963" w14:textId="77777777" w:rsidR="003F46B9" w:rsidRDefault="0065662E">
            <w:pPr>
              <w:pStyle w:val="P68B1DB1-Normal5"/>
              <w:spacing w:after="0" w:line="240" w:lineRule="auto"/>
              <w:jc w:val="both"/>
              <w:rPr>
                <w:rFonts w:eastAsia="Times New Roman" w:cs="Times New Roman"/>
                <w:noProof/>
              </w:rPr>
            </w:pPr>
            <w:r>
              <w:rPr>
                <w:noProof/>
              </w:rPr>
              <w:t xml:space="preserve">Povećan kapacitet prijenosa podataka na WAN-u središnjih javnih tijela u području pravosuđa </w:t>
            </w:r>
          </w:p>
        </w:tc>
        <w:tc>
          <w:tcPr>
            <w:tcW w:w="940" w:type="dxa"/>
            <w:tcBorders>
              <w:top w:val="single" w:sz="4" w:space="0" w:color="auto"/>
              <w:left w:val="nil"/>
              <w:bottom w:val="single" w:sz="4" w:space="0" w:color="auto"/>
              <w:right w:val="single" w:sz="4" w:space="0" w:color="auto"/>
            </w:tcBorders>
            <w:shd w:val="clear" w:color="auto" w:fill="C6EFCE"/>
            <w:noWrap/>
          </w:tcPr>
          <w:p w14:paraId="5806AD9B"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33EE9B4"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F98626C"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404C6B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6492418"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EFA619E" w14:textId="77777777" w:rsidR="003F46B9" w:rsidRDefault="0065662E">
            <w:pPr>
              <w:pStyle w:val="P68B1DB1-Normal5"/>
              <w:spacing w:after="0" w:line="240" w:lineRule="auto"/>
              <w:jc w:val="both"/>
              <w:rPr>
                <w:rFonts w:eastAsia="Times New Roman" w:cs="Times New Roman"/>
                <w:noProof/>
              </w:rPr>
            </w:pPr>
            <w:r>
              <w:rPr>
                <w:noProof/>
              </w:rPr>
              <w:t>Za poboljšanje e-uprave i ubrzavanje digitalne transformacije u pravosudnom sektoru javna tijela u području središnjeg pravosuđa</w:t>
            </w:r>
            <w:r>
              <w:rPr>
                <w:noProof/>
              </w:rPr>
              <w:t xml:space="preserve"> imaju koristi od sljedećih tehnoloških nadogradnji koje uključuju:</w:t>
            </w:r>
          </w:p>
          <w:p w14:paraId="267FCD61"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Komunikacije LAN i WAN. Time će se omogućiti bolja videokonferencija u skladu s najnovijim zakonodavstvom donesenim tijekom pandemije bolesti COVID-19;</w:t>
            </w:r>
          </w:p>
          <w:p w14:paraId="0FF6DA0F"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Opremu za informacijsku sigurnost i </w:t>
            </w:r>
            <w:r>
              <w:rPr>
                <w:noProof/>
              </w:rPr>
              <w:t>rješenja za kibernetičku zaštitu;</w:t>
            </w:r>
          </w:p>
          <w:p w14:paraId="0C18206F"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IT terminali/perifere</w:t>
            </w:r>
          </w:p>
          <w:p w14:paraId="14A0F188"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nadogradnja i povećanje broja videokonferencijskih sustava s 400 na 600;</w:t>
            </w:r>
          </w:p>
          <w:p w14:paraId="7D5EB283"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specijalizirana oprema – za složene pravne istrage kao što su audio i videonadzor, specijalizirana oprema za ključne procese (d</w:t>
            </w:r>
            <w:r>
              <w:rPr>
                <w:noProof/>
              </w:rPr>
              <w:t>igitalni mikroskopi za forenzičko stručno znanje).</w:t>
            </w:r>
          </w:p>
        </w:tc>
      </w:tr>
      <w:tr w:rsidR="003F46B9" w14:paraId="1CD63C87"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553550B" w14:textId="77777777" w:rsidR="003F46B9" w:rsidRDefault="0065662E">
            <w:pPr>
              <w:pStyle w:val="P68B1DB1-Normal5"/>
              <w:spacing w:after="0" w:line="240" w:lineRule="auto"/>
              <w:jc w:val="center"/>
              <w:rPr>
                <w:rFonts w:eastAsia="Times New Roman" w:cs="Times New Roman"/>
                <w:noProof/>
              </w:rPr>
            </w:pPr>
            <w:r>
              <w:rPr>
                <w:noProof/>
              </w:rPr>
              <w:t>166</w:t>
            </w:r>
          </w:p>
        </w:tc>
        <w:tc>
          <w:tcPr>
            <w:tcW w:w="1740" w:type="dxa"/>
            <w:tcBorders>
              <w:top w:val="single" w:sz="4" w:space="0" w:color="auto"/>
              <w:left w:val="nil"/>
              <w:bottom w:val="single" w:sz="4" w:space="0" w:color="auto"/>
              <w:right w:val="single" w:sz="4" w:space="0" w:color="auto"/>
            </w:tcBorders>
            <w:shd w:val="clear" w:color="auto" w:fill="C6EFCE"/>
            <w:noWrap/>
          </w:tcPr>
          <w:p w14:paraId="18F28208" w14:textId="0F548A45" w:rsidR="003F46B9" w:rsidRDefault="0065662E">
            <w:pPr>
              <w:pStyle w:val="P68B1DB1-Normal5"/>
              <w:spacing w:after="0" w:line="240" w:lineRule="auto"/>
              <w:jc w:val="both"/>
              <w:rPr>
                <w:rFonts w:eastAsia="Times New Roman" w:cs="Times New Roman"/>
                <w:noProof/>
              </w:rPr>
            </w:pPr>
            <w:r>
              <w:rPr>
                <w:noProof/>
              </w:rPr>
              <w:t xml:space="preserve">Ulaganje 4. Digitalizacija pravosuđa </w:t>
            </w:r>
          </w:p>
          <w:p w14:paraId="2A732A46"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F299034"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188DED64" w14:textId="77777777" w:rsidR="003F46B9" w:rsidRDefault="0065662E">
            <w:pPr>
              <w:pStyle w:val="P68B1DB1-Normal5"/>
              <w:spacing w:after="0" w:line="240" w:lineRule="auto"/>
              <w:jc w:val="both"/>
              <w:rPr>
                <w:rFonts w:eastAsia="Times New Roman" w:cs="Times New Roman"/>
                <w:noProof/>
              </w:rPr>
            </w:pPr>
            <w:r>
              <w:rPr>
                <w:noProof/>
              </w:rPr>
              <w:t>Operativni podatkovni centar</w:t>
            </w:r>
          </w:p>
        </w:tc>
        <w:tc>
          <w:tcPr>
            <w:tcW w:w="1474" w:type="dxa"/>
            <w:tcBorders>
              <w:top w:val="single" w:sz="4" w:space="0" w:color="auto"/>
              <w:left w:val="nil"/>
              <w:bottom w:val="single" w:sz="4" w:space="0" w:color="auto"/>
              <w:right w:val="single" w:sz="4" w:space="0" w:color="auto"/>
            </w:tcBorders>
            <w:shd w:val="clear" w:color="auto" w:fill="C6EFCE"/>
            <w:noWrap/>
          </w:tcPr>
          <w:p w14:paraId="17D8C848" w14:textId="77777777" w:rsidR="003F46B9" w:rsidRDefault="0065662E">
            <w:pPr>
              <w:pStyle w:val="P68B1DB1-Normal5"/>
              <w:spacing w:after="0" w:line="240" w:lineRule="auto"/>
              <w:jc w:val="both"/>
              <w:rPr>
                <w:rFonts w:eastAsia="Times New Roman" w:cs="Times New Roman"/>
                <w:noProof/>
              </w:rPr>
            </w:pPr>
            <w:r>
              <w:rPr>
                <w:noProof/>
              </w:rPr>
              <w:t>Uspostavljen je i operativan podatkovni centar</w:t>
            </w:r>
          </w:p>
        </w:tc>
        <w:tc>
          <w:tcPr>
            <w:tcW w:w="940" w:type="dxa"/>
            <w:tcBorders>
              <w:top w:val="single" w:sz="4" w:space="0" w:color="auto"/>
              <w:left w:val="nil"/>
              <w:bottom w:val="single" w:sz="4" w:space="0" w:color="auto"/>
              <w:right w:val="single" w:sz="4" w:space="0" w:color="auto"/>
            </w:tcBorders>
            <w:shd w:val="clear" w:color="auto" w:fill="C6EFCE"/>
            <w:noWrap/>
          </w:tcPr>
          <w:p w14:paraId="72883969"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F0F6761"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CFDE65B"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37AFD1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04D0306"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579CDBB" w14:textId="77777777" w:rsidR="003F46B9" w:rsidRDefault="0065662E">
            <w:pPr>
              <w:pStyle w:val="P68B1DB1-Normal5"/>
              <w:spacing w:after="0" w:line="240" w:lineRule="auto"/>
              <w:jc w:val="both"/>
              <w:rPr>
                <w:rFonts w:eastAsia="Times New Roman" w:cs="Times New Roman"/>
                <w:noProof/>
              </w:rPr>
            </w:pPr>
            <w:r>
              <w:rPr>
                <w:noProof/>
              </w:rPr>
              <w:t xml:space="preserve">Novi podatkovni centar operacionaliziran je za </w:t>
            </w:r>
            <w:r>
              <w:rPr>
                <w:noProof/>
              </w:rPr>
              <w:t>upotrebu Ministarstva pravosuđa, javnog ministarstva i podređenih institucija, koji je interoperabilan s državnim oblakom razvijenim u okviru nacionalnog plana za oporavak i otpornost. Nove zgrade moraju biti usklađene s ciljem postizanja potražnje za prim</w:t>
            </w:r>
            <w:r>
              <w:rPr>
                <w:noProof/>
              </w:rPr>
              <w:t>arnom energijom koja je najmanje 20 % niža od zahtjeva za zgrade gotovo nulte energije (NZEB) u skladu s nacionalnim smjernicama, što se osigurava energetskim certifikatima.</w:t>
            </w:r>
          </w:p>
        </w:tc>
      </w:tr>
      <w:tr w:rsidR="003F46B9" w14:paraId="2C35356A"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1DCC65B" w14:textId="77777777" w:rsidR="003F46B9" w:rsidRDefault="0065662E">
            <w:pPr>
              <w:pStyle w:val="P68B1DB1-Normal5"/>
              <w:spacing w:after="0" w:line="240" w:lineRule="auto"/>
              <w:jc w:val="center"/>
              <w:rPr>
                <w:rFonts w:eastAsia="Times New Roman" w:cs="Times New Roman"/>
                <w:noProof/>
              </w:rPr>
            </w:pPr>
            <w:r>
              <w:rPr>
                <w:noProof/>
              </w:rPr>
              <w:t>167</w:t>
            </w:r>
          </w:p>
        </w:tc>
        <w:tc>
          <w:tcPr>
            <w:tcW w:w="1740" w:type="dxa"/>
            <w:tcBorders>
              <w:top w:val="single" w:sz="4" w:space="0" w:color="auto"/>
              <w:left w:val="nil"/>
              <w:bottom w:val="single" w:sz="4" w:space="0" w:color="auto"/>
              <w:right w:val="single" w:sz="4" w:space="0" w:color="auto"/>
            </w:tcBorders>
            <w:shd w:val="clear" w:color="auto" w:fill="C6EFCE"/>
            <w:noWrap/>
          </w:tcPr>
          <w:p w14:paraId="6DB27D8D" w14:textId="77777777" w:rsidR="003F46B9" w:rsidRDefault="0065662E">
            <w:pPr>
              <w:pStyle w:val="P68B1DB1-Normal5"/>
              <w:spacing w:after="0" w:line="240" w:lineRule="auto"/>
              <w:jc w:val="both"/>
              <w:rPr>
                <w:rFonts w:eastAsia="Times New Roman" w:cs="Times New Roman"/>
                <w:noProof/>
              </w:rPr>
            </w:pPr>
            <w:r>
              <w:rPr>
                <w:noProof/>
              </w:rPr>
              <w:t>Ulaganje 5.</w:t>
            </w:r>
          </w:p>
          <w:p w14:paraId="73878B06" w14:textId="77777777" w:rsidR="003F46B9" w:rsidRDefault="0065662E">
            <w:pPr>
              <w:pStyle w:val="P68B1DB1-Normal5"/>
              <w:spacing w:after="0" w:line="240" w:lineRule="auto"/>
              <w:jc w:val="both"/>
              <w:rPr>
                <w:rFonts w:eastAsia="Times New Roman" w:cs="Times New Roman"/>
                <w:noProof/>
              </w:rPr>
            </w:pPr>
            <w:r>
              <w:rPr>
                <w:noProof/>
              </w:rPr>
              <w:t xml:space="preserve">Digitalizacija u području okoliša </w:t>
            </w:r>
          </w:p>
          <w:p w14:paraId="31ED4850"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6FBE486"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387AE31D" w14:textId="77777777" w:rsidR="003F46B9" w:rsidRDefault="0065662E">
            <w:pPr>
              <w:pStyle w:val="P68B1DB1-Normal5"/>
              <w:spacing w:after="0" w:line="240" w:lineRule="auto"/>
              <w:jc w:val="both"/>
              <w:rPr>
                <w:rFonts w:eastAsia="Times New Roman" w:cs="Times New Roman"/>
                <w:noProof/>
              </w:rPr>
            </w:pPr>
            <w:r>
              <w:rPr>
                <w:noProof/>
              </w:rPr>
              <w:t xml:space="preserve">Povećani </w:t>
            </w:r>
            <w:r>
              <w:rPr>
                <w:noProof/>
              </w:rPr>
              <w:t>kapacitet za nadzor, kontrolu i praćenje šuma s pomoću integriranog IT sustava</w:t>
            </w:r>
          </w:p>
        </w:tc>
        <w:tc>
          <w:tcPr>
            <w:tcW w:w="1474" w:type="dxa"/>
            <w:tcBorders>
              <w:top w:val="single" w:sz="4" w:space="0" w:color="auto"/>
              <w:left w:val="nil"/>
              <w:bottom w:val="single" w:sz="4" w:space="0" w:color="auto"/>
              <w:right w:val="single" w:sz="4" w:space="0" w:color="auto"/>
            </w:tcBorders>
            <w:shd w:val="clear" w:color="auto" w:fill="C6EFCE"/>
            <w:noWrap/>
          </w:tcPr>
          <w:p w14:paraId="5D67A1E1" w14:textId="77777777" w:rsidR="003F46B9" w:rsidRDefault="0065662E">
            <w:pPr>
              <w:pStyle w:val="P68B1DB1-Normal5"/>
              <w:spacing w:after="0" w:line="240" w:lineRule="auto"/>
              <w:jc w:val="both"/>
              <w:rPr>
                <w:rFonts w:eastAsia="Times New Roman" w:cs="Times New Roman"/>
                <w:noProof/>
              </w:rPr>
            </w:pPr>
            <w:r>
              <w:rPr>
                <w:noProof/>
              </w:rPr>
              <w:t>Uspostavljen je i operativan sustav za borbu protiv nezakonite sječe</w:t>
            </w:r>
          </w:p>
        </w:tc>
        <w:tc>
          <w:tcPr>
            <w:tcW w:w="940" w:type="dxa"/>
            <w:tcBorders>
              <w:top w:val="single" w:sz="4" w:space="0" w:color="auto"/>
              <w:left w:val="nil"/>
              <w:bottom w:val="single" w:sz="4" w:space="0" w:color="auto"/>
              <w:right w:val="single" w:sz="4" w:space="0" w:color="auto"/>
            </w:tcBorders>
            <w:shd w:val="clear" w:color="auto" w:fill="C6EFCE"/>
            <w:noWrap/>
          </w:tcPr>
          <w:p w14:paraId="6BBA267A"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F630C2E"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75D73645"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5C49F50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1C4A8A21"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2A1D360" w14:textId="5A79A252" w:rsidR="003F46B9" w:rsidRDefault="0065662E">
            <w:pPr>
              <w:pStyle w:val="P68B1DB1-Normal5"/>
              <w:spacing w:after="0" w:line="240" w:lineRule="auto"/>
              <w:jc w:val="both"/>
              <w:rPr>
                <w:rFonts w:eastAsia="Times New Roman" w:cs="Times New Roman"/>
                <w:noProof/>
              </w:rPr>
            </w:pPr>
            <w:r>
              <w:rPr>
                <w:noProof/>
              </w:rPr>
              <w:t>Uspostavlja se i djeluje sustav za borbu protiv nezakonite sječe. Uključuje se u</w:t>
            </w:r>
            <w:r>
              <w:rPr>
                <w:noProof/>
              </w:rPr>
              <w:t xml:space="preserve"> SUMAL 2.0 (rumunjski sustav za suzbijanje drvne sirovine) i prati pravne obveze povezane sa sječom drva, pravodobnom obnovom šuma, zdravljem šuma, stanjem očuvanosti šumskih staništa (kao što su gubitak šumskog pokrova i dobitka šumskog pokrova).</w:t>
            </w:r>
          </w:p>
          <w:p w14:paraId="69A1C8FF" w14:textId="31502882" w:rsidR="003F46B9" w:rsidRDefault="0065662E">
            <w:pPr>
              <w:pStyle w:val="P68B1DB1-Normal5"/>
              <w:spacing w:after="0" w:line="240" w:lineRule="auto"/>
              <w:jc w:val="both"/>
              <w:rPr>
                <w:rFonts w:eastAsia="Times New Roman" w:cs="Times New Roman"/>
                <w:noProof/>
              </w:rPr>
            </w:pPr>
            <w:r>
              <w:rPr>
                <w:noProof/>
              </w:rPr>
              <w:t>Šumska z</w:t>
            </w:r>
            <w:r>
              <w:rPr>
                <w:noProof/>
              </w:rPr>
              <w:t>emljišna knjiga, kako je predviđena nacionalnim sustavom eTerra3 (baza podataka o vlasništvu zemljišta), uključuje se u SUMAL 2.0 putem sučelja za programiranje aplikacija (API) kako bi se dobio potpuni skup podataka o pravima vlasništva i upravljanja. Sus</w:t>
            </w:r>
            <w:r>
              <w:rPr>
                <w:noProof/>
              </w:rPr>
              <w:t>tav mora imati tri glavna sastavna dijela: i. usporedba satelitskih snimaka (automatska i na zahtjev) kako bi se otkrile promjene u šumskoj krošnjama; ii. praćenje prijevoza drvne sirovine s pomoću kamera videonadzora potpomognutih umjetnom inteligencijom;</w:t>
            </w:r>
            <w:r>
              <w:rPr>
                <w:noProof/>
              </w:rPr>
              <w:t xml:space="preserve"> ii. digitalni model šuma dobiven zračnim i kopnenim skeniranjem LiDAR (visoka gustoća – više od 30 bodova/sqm). Podatkovni centri sustava moraju biti u skladu s „Europskim kodeksom ponašanja za energetsku učinkovitost podatkovnih centara”.</w:t>
            </w:r>
          </w:p>
          <w:p w14:paraId="7EA8C908"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3308A1E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04EE094" w14:textId="77777777" w:rsidR="003F46B9" w:rsidRDefault="0065662E">
            <w:pPr>
              <w:pStyle w:val="P68B1DB1-Normal5"/>
              <w:spacing w:after="0" w:line="240" w:lineRule="auto"/>
              <w:jc w:val="center"/>
              <w:rPr>
                <w:rFonts w:eastAsia="Times New Roman" w:cs="Times New Roman"/>
                <w:noProof/>
              </w:rPr>
            </w:pPr>
            <w:r>
              <w:rPr>
                <w:noProof/>
              </w:rPr>
              <w:t>168</w:t>
            </w:r>
          </w:p>
        </w:tc>
        <w:tc>
          <w:tcPr>
            <w:tcW w:w="1740" w:type="dxa"/>
            <w:tcBorders>
              <w:top w:val="single" w:sz="4" w:space="0" w:color="auto"/>
              <w:left w:val="nil"/>
              <w:bottom w:val="single" w:sz="4" w:space="0" w:color="auto"/>
              <w:right w:val="single" w:sz="4" w:space="0" w:color="auto"/>
            </w:tcBorders>
            <w:shd w:val="clear" w:color="auto" w:fill="C6EFCE"/>
            <w:noWrap/>
          </w:tcPr>
          <w:p w14:paraId="3D0A42AA" w14:textId="77777777" w:rsidR="003F46B9" w:rsidRDefault="0065662E">
            <w:pPr>
              <w:pStyle w:val="P68B1DB1-Normal5"/>
              <w:spacing w:after="0" w:line="240" w:lineRule="auto"/>
              <w:jc w:val="both"/>
              <w:rPr>
                <w:rFonts w:eastAsia="Times New Roman" w:cs="Times New Roman"/>
                <w:noProof/>
              </w:rPr>
            </w:pPr>
            <w:r>
              <w:rPr>
                <w:noProof/>
              </w:rPr>
              <w:t xml:space="preserve">Ulaganje </w:t>
            </w:r>
            <w:r>
              <w:rPr>
                <w:noProof/>
              </w:rPr>
              <w:t>5.</w:t>
            </w:r>
          </w:p>
          <w:p w14:paraId="4DAC56BD" w14:textId="77777777" w:rsidR="003F46B9" w:rsidRDefault="0065662E">
            <w:pPr>
              <w:pStyle w:val="P68B1DB1-Normal5"/>
              <w:spacing w:after="0" w:line="240" w:lineRule="auto"/>
              <w:jc w:val="both"/>
              <w:rPr>
                <w:rFonts w:eastAsia="Times New Roman" w:cs="Times New Roman"/>
                <w:noProof/>
              </w:rPr>
            </w:pPr>
            <w:r>
              <w:rPr>
                <w:noProof/>
              </w:rPr>
              <w:t xml:space="preserve">Digitalizacija u području okoliša </w:t>
            </w:r>
          </w:p>
          <w:p w14:paraId="67886879"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71CE5A9"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2AA38054" w14:textId="77777777" w:rsidR="003F46B9" w:rsidRDefault="0065662E">
            <w:pPr>
              <w:pStyle w:val="P68B1DB1-Normal5"/>
              <w:spacing w:after="0" w:line="240" w:lineRule="auto"/>
              <w:jc w:val="both"/>
              <w:rPr>
                <w:rFonts w:eastAsia="Times New Roman" w:cs="Times New Roman"/>
                <w:noProof/>
              </w:rPr>
            </w:pPr>
            <w:r>
              <w:rPr>
                <w:noProof/>
              </w:rPr>
              <w:t xml:space="preserve">Digitalizirane javne usluge u području okoliša </w:t>
            </w:r>
          </w:p>
        </w:tc>
        <w:tc>
          <w:tcPr>
            <w:tcW w:w="1474" w:type="dxa"/>
            <w:tcBorders>
              <w:top w:val="single" w:sz="4" w:space="0" w:color="auto"/>
              <w:left w:val="nil"/>
              <w:bottom w:val="single" w:sz="4" w:space="0" w:color="auto"/>
              <w:right w:val="single" w:sz="4" w:space="0" w:color="auto"/>
            </w:tcBorders>
            <w:shd w:val="clear" w:color="auto" w:fill="C6EFCE"/>
            <w:noWrap/>
          </w:tcPr>
          <w:p w14:paraId="5D7EDAC6"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669BC9F9"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01A052D1"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E95CAFA" w14:textId="77777777" w:rsidR="003F46B9" w:rsidRDefault="0065662E">
            <w:pPr>
              <w:pStyle w:val="P68B1DB1-Normal5"/>
              <w:spacing w:after="0" w:line="240" w:lineRule="auto"/>
              <w:jc w:val="both"/>
              <w:rPr>
                <w:rFonts w:eastAsia="Times New Roman" w:cs="Times New Roman"/>
                <w:noProof/>
              </w:rPr>
            </w:pPr>
            <w:r>
              <w:rPr>
                <w:noProof/>
              </w:rPr>
              <w:t>32</w:t>
            </w:r>
          </w:p>
        </w:tc>
        <w:tc>
          <w:tcPr>
            <w:tcW w:w="908" w:type="dxa"/>
            <w:tcBorders>
              <w:top w:val="single" w:sz="4" w:space="0" w:color="auto"/>
              <w:left w:val="nil"/>
              <w:bottom w:val="single" w:sz="4" w:space="0" w:color="auto"/>
              <w:right w:val="single" w:sz="4" w:space="0" w:color="auto"/>
            </w:tcBorders>
            <w:shd w:val="clear" w:color="auto" w:fill="C6EFCE"/>
            <w:noWrap/>
          </w:tcPr>
          <w:p w14:paraId="5398DBB8"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A3213D0"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E2ED09A" w14:textId="77777777" w:rsidR="003F46B9" w:rsidRDefault="0065662E">
            <w:pPr>
              <w:pStyle w:val="P68B1DB1-Normal5"/>
              <w:spacing w:after="0" w:line="240" w:lineRule="auto"/>
              <w:jc w:val="both"/>
              <w:rPr>
                <w:rFonts w:eastAsia="Times New Roman" w:cs="Times New Roman"/>
                <w:noProof/>
              </w:rPr>
            </w:pPr>
            <w:r>
              <w:rPr>
                <w:noProof/>
              </w:rPr>
              <w:t>Najmanje 32 javne usluge povezane s okolišem digitaliziraju se i provode na internetu kako bi uključivale:</w:t>
            </w:r>
          </w:p>
          <w:p w14:paraId="45058D12" w14:textId="77777777" w:rsidR="003F46B9" w:rsidRDefault="0065662E">
            <w:pPr>
              <w:pStyle w:val="P68B1DB1-Normal5"/>
              <w:numPr>
                <w:ilvl w:val="0"/>
                <w:numId w:val="50"/>
              </w:numPr>
              <w:spacing w:after="0" w:line="240" w:lineRule="auto"/>
              <w:ind w:left="259" w:hanging="214"/>
              <w:contextualSpacing/>
              <w:jc w:val="both"/>
              <w:rPr>
                <w:rFonts w:eastAsia="Times New Roman" w:cs="Times New Roman"/>
                <w:noProof/>
              </w:rPr>
            </w:pPr>
            <w:r>
              <w:rPr>
                <w:noProof/>
              </w:rPr>
              <w:t xml:space="preserve">Prijenos podataka i </w:t>
            </w:r>
            <w:r>
              <w:rPr>
                <w:noProof/>
              </w:rPr>
              <w:t>informacija za evidencije emisija.</w:t>
            </w:r>
          </w:p>
          <w:p w14:paraId="0101BF50" w14:textId="77777777" w:rsidR="003F46B9" w:rsidRDefault="0065662E">
            <w:pPr>
              <w:pStyle w:val="P68B1DB1-Normal5"/>
              <w:numPr>
                <w:ilvl w:val="0"/>
                <w:numId w:val="50"/>
              </w:numPr>
              <w:spacing w:after="0" w:line="240" w:lineRule="auto"/>
              <w:ind w:left="259" w:hanging="214"/>
              <w:contextualSpacing/>
              <w:jc w:val="both"/>
              <w:rPr>
                <w:rFonts w:eastAsia="Times New Roman" w:cs="Times New Roman"/>
                <w:noProof/>
              </w:rPr>
            </w:pPr>
            <w:r>
              <w:rPr>
                <w:noProof/>
              </w:rPr>
              <w:t>Usluge izvješćivanja o mreži Natura 2000 i očuvanja prirode</w:t>
            </w:r>
          </w:p>
          <w:p w14:paraId="3B151663" w14:textId="485295C1" w:rsidR="003F46B9" w:rsidRDefault="0065662E">
            <w:pPr>
              <w:pStyle w:val="P68B1DB1-Normal5"/>
              <w:numPr>
                <w:ilvl w:val="0"/>
                <w:numId w:val="50"/>
              </w:numPr>
              <w:spacing w:after="0" w:line="240" w:lineRule="auto"/>
              <w:ind w:left="259" w:hanging="214"/>
              <w:contextualSpacing/>
              <w:jc w:val="both"/>
              <w:rPr>
                <w:rFonts w:eastAsia="Times New Roman" w:cs="Times New Roman"/>
                <w:noProof/>
              </w:rPr>
            </w:pPr>
            <w:r>
              <w:rPr>
                <w:noProof/>
              </w:rPr>
              <w:t xml:space="preserve">Upravljanje registrima okoliša, postupcima obavješćivanja i odobrenja te dozvolama s ciljem pojednostavnjenja usluga gospodarenja otpadom za građane i poduzeća. </w:t>
            </w:r>
          </w:p>
        </w:tc>
      </w:tr>
      <w:tr w:rsidR="003F46B9" w14:paraId="5D24090D"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D378988" w14:textId="77777777" w:rsidR="003F46B9" w:rsidRDefault="0065662E">
            <w:pPr>
              <w:pStyle w:val="P68B1DB1-Normal5"/>
              <w:spacing w:after="0" w:line="240" w:lineRule="auto"/>
              <w:jc w:val="center"/>
              <w:rPr>
                <w:rFonts w:cs="Times New Roman"/>
                <w:noProof/>
              </w:rPr>
            </w:pPr>
            <w:r>
              <w:rPr>
                <w:noProof/>
              </w:rPr>
              <w:t>169</w:t>
            </w:r>
          </w:p>
        </w:tc>
        <w:tc>
          <w:tcPr>
            <w:tcW w:w="1740" w:type="dxa"/>
            <w:tcBorders>
              <w:top w:val="single" w:sz="4" w:space="0" w:color="auto"/>
              <w:left w:val="nil"/>
              <w:bottom w:val="single" w:sz="4" w:space="0" w:color="auto"/>
              <w:right w:val="single" w:sz="4" w:space="0" w:color="auto"/>
            </w:tcBorders>
            <w:shd w:val="clear" w:color="auto" w:fill="C6EFCE"/>
            <w:noWrap/>
          </w:tcPr>
          <w:p w14:paraId="06A42138" w14:textId="77777777" w:rsidR="003F46B9" w:rsidRDefault="0065662E">
            <w:pPr>
              <w:pStyle w:val="P68B1DB1-Normal5"/>
              <w:spacing w:after="0" w:line="240" w:lineRule="auto"/>
              <w:jc w:val="both"/>
              <w:rPr>
                <w:rFonts w:eastAsia="Times New Roman" w:cs="Times New Roman"/>
                <w:noProof/>
              </w:rPr>
            </w:pPr>
            <w:r>
              <w:rPr>
                <w:noProof/>
              </w:rPr>
              <w:t xml:space="preserve">Ulaganje 6. Digitalizacija u području zapošljavanja i socijalne zaštite </w:t>
            </w:r>
          </w:p>
          <w:p w14:paraId="619B09BA"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13D1211B"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58EFB7F0" w14:textId="77777777" w:rsidR="003F46B9" w:rsidRDefault="0065662E">
            <w:pPr>
              <w:pStyle w:val="P68B1DB1-Normal5"/>
              <w:spacing w:after="0" w:line="240" w:lineRule="auto"/>
              <w:jc w:val="both"/>
              <w:rPr>
                <w:rFonts w:eastAsia="Times New Roman" w:cs="Times New Roman"/>
                <w:noProof/>
              </w:rPr>
            </w:pPr>
            <w:r>
              <w:rPr>
                <w:noProof/>
              </w:rPr>
              <w:t>Početak rada internetskog sustava REGES</w:t>
            </w:r>
          </w:p>
        </w:tc>
        <w:tc>
          <w:tcPr>
            <w:tcW w:w="1474" w:type="dxa"/>
            <w:tcBorders>
              <w:top w:val="single" w:sz="4" w:space="0" w:color="auto"/>
              <w:left w:val="nil"/>
              <w:bottom w:val="single" w:sz="4" w:space="0" w:color="auto"/>
              <w:right w:val="single" w:sz="4" w:space="0" w:color="auto"/>
            </w:tcBorders>
            <w:shd w:val="clear" w:color="auto" w:fill="C6EFCE"/>
            <w:noWrap/>
          </w:tcPr>
          <w:p w14:paraId="7F7055B0" w14:textId="77777777" w:rsidR="003F46B9" w:rsidRDefault="0065662E">
            <w:pPr>
              <w:pStyle w:val="P68B1DB1-Normal5"/>
              <w:spacing w:after="0" w:line="240" w:lineRule="auto"/>
              <w:jc w:val="both"/>
              <w:rPr>
                <w:rFonts w:eastAsia="Times New Roman" w:cs="Times New Roman"/>
                <w:noProof/>
              </w:rPr>
            </w:pPr>
            <w:r>
              <w:rPr>
                <w:noProof/>
              </w:rPr>
              <w:t>REGES Funkcionalan internetski sustav</w:t>
            </w:r>
          </w:p>
        </w:tc>
        <w:tc>
          <w:tcPr>
            <w:tcW w:w="940" w:type="dxa"/>
            <w:tcBorders>
              <w:top w:val="single" w:sz="4" w:space="0" w:color="auto"/>
              <w:left w:val="nil"/>
              <w:bottom w:val="single" w:sz="4" w:space="0" w:color="auto"/>
              <w:right w:val="single" w:sz="4" w:space="0" w:color="auto"/>
            </w:tcBorders>
            <w:shd w:val="clear" w:color="auto" w:fill="C6EFCE"/>
            <w:noWrap/>
          </w:tcPr>
          <w:p w14:paraId="13944989"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AD5C557"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360079C4"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4B4C21E7"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42BD829E"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7B48D038" w14:textId="77777777" w:rsidR="003F46B9" w:rsidRDefault="0065662E">
            <w:pPr>
              <w:pStyle w:val="P68B1DB1-Normal5"/>
              <w:spacing w:after="120" w:line="240" w:lineRule="auto"/>
              <w:jc w:val="both"/>
              <w:rPr>
                <w:rFonts w:eastAsia="Times New Roman" w:cs="Times New Roman"/>
                <w:noProof/>
              </w:rPr>
            </w:pPr>
            <w:r>
              <w:rPr>
                <w:noProof/>
              </w:rPr>
              <w:t xml:space="preserve">IT sustav REGES-ONLINE provodi se i interoperabilan </w:t>
            </w:r>
            <w:r>
              <w:rPr>
                <w:noProof/>
              </w:rPr>
              <w:t>osigurava pristup javnih tijela i institucija registraciji podataka na razini sučelja za programiranje aplikacija (API).</w:t>
            </w:r>
          </w:p>
          <w:p w14:paraId="3368F8F8" w14:textId="77777777" w:rsidR="003F46B9" w:rsidRDefault="0065662E">
            <w:pPr>
              <w:pStyle w:val="P68B1DB1-Normal5"/>
              <w:spacing w:after="120" w:line="240" w:lineRule="auto"/>
              <w:jc w:val="both"/>
              <w:rPr>
                <w:rFonts w:eastAsia="Times New Roman" w:cs="Times New Roman"/>
                <w:noProof/>
              </w:rPr>
            </w:pPr>
            <w:r>
              <w:rPr>
                <w:noProof/>
              </w:rPr>
              <w:t>Projektom REGES-ONLINE nastoji se digitalizirati odnos teritorijalnih inspektorata rada s poslodavcima, čime se olakšava prijenos podat</w:t>
            </w:r>
            <w:r>
              <w:rPr>
                <w:noProof/>
              </w:rPr>
              <w:t>aka o zaposlenicima i njihovim pojedinačnim ugovorima o radu.</w:t>
            </w:r>
          </w:p>
        </w:tc>
      </w:tr>
      <w:tr w:rsidR="003F46B9" w14:paraId="25A6212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A7C1216" w14:textId="77777777" w:rsidR="003F46B9" w:rsidRDefault="0065662E">
            <w:pPr>
              <w:pStyle w:val="P68B1DB1-Normal5"/>
              <w:spacing w:after="0" w:line="240" w:lineRule="auto"/>
              <w:jc w:val="center"/>
              <w:rPr>
                <w:rFonts w:eastAsia="Times New Roman" w:cs="Times New Roman"/>
                <w:noProof/>
              </w:rPr>
            </w:pPr>
            <w:r>
              <w:rPr>
                <w:noProof/>
              </w:rPr>
              <w:t>170</w:t>
            </w:r>
          </w:p>
        </w:tc>
        <w:tc>
          <w:tcPr>
            <w:tcW w:w="1740" w:type="dxa"/>
            <w:tcBorders>
              <w:top w:val="single" w:sz="4" w:space="0" w:color="auto"/>
              <w:left w:val="nil"/>
              <w:bottom w:val="single" w:sz="4" w:space="0" w:color="auto"/>
              <w:right w:val="single" w:sz="4" w:space="0" w:color="auto"/>
            </w:tcBorders>
            <w:shd w:val="clear" w:color="auto" w:fill="C6EFCE"/>
            <w:noWrap/>
          </w:tcPr>
          <w:p w14:paraId="14CEB215" w14:textId="77777777" w:rsidR="003F46B9" w:rsidRDefault="0065662E">
            <w:pPr>
              <w:pStyle w:val="P68B1DB1-Normal5"/>
              <w:spacing w:after="0" w:line="240" w:lineRule="auto"/>
              <w:jc w:val="both"/>
              <w:rPr>
                <w:rFonts w:eastAsia="Times New Roman" w:cs="Times New Roman"/>
                <w:noProof/>
              </w:rPr>
            </w:pPr>
            <w:r>
              <w:rPr>
                <w:noProof/>
              </w:rPr>
              <w:t xml:space="preserve">Ulaganje 6. Digitalizacija u području zapošljavanja i socijalne zaštite </w:t>
            </w:r>
          </w:p>
          <w:p w14:paraId="58928C2B"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91844D6"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031578D9" w14:textId="77777777" w:rsidR="003F46B9" w:rsidRDefault="0065662E">
            <w:pPr>
              <w:pStyle w:val="P68B1DB1-Normal5"/>
              <w:spacing w:after="0" w:line="240" w:lineRule="auto"/>
              <w:jc w:val="both"/>
              <w:rPr>
                <w:rFonts w:eastAsia="Times New Roman" w:cs="Times New Roman"/>
                <w:noProof/>
              </w:rPr>
            </w:pPr>
            <w:r>
              <w:rPr>
                <w:noProof/>
              </w:rPr>
              <w:t xml:space="preserve">Provedba digitalnih usluga u području zapošljavanja i socijalne zaštite </w:t>
            </w:r>
          </w:p>
        </w:tc>
        <w:tc>
          <w:tcPr>
            <w:tcW w:w="1474" w:type="dxa"/>
            <w:tcBorders>
              <w:top w:val="single" w:sz="4" w:space="0" w:color="auto"/>
              <w:left w:val="nil"/>
              <w:bottom w:val="single" w:sz="4" w:space="0" w:color="auto"/>
              <w:right w:val="single" w:sz="4" w:space="0" w:color="auto"/>
            </w:tcBorders>
            <w:shd w:val="clear" w:color="auto" w:fill="C6EFCE"/>
            <w:noWrap/>
          </w:tcPr>
          <w:p w14:paraId="69C9CBA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D970063"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24F6DFAF"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DF01105" w14:textId="77777777" w:rsidR="003F46B9" w:rsidRDefault="0065662E">
            <w:pPr>
              <w:pStyle w:val="P68B1DB1-Normal5"/>
              <w:spacing w:after="0" w:line="240" w:lineRule="auto"/>
              <w:jc w:val="both"/>
              <w:rPr>
                <w:rFonts w:eastAsia="Times New Roman" w:cs="Times New Roman"/>
                <w:noProof/>
              </w:rPr>
            </w:pPr>
            <w:r>
              <w:rPr>
                <w:noProof/>
              </w:rPr>
              <w:t>3</w:t>
            </w:r>
          </w:p>
        </w:tc>
        <w:tc>
          <w:tcPr>
            <w:tcW w:w="908" w:type="dxa"/>
            <w:tcBorders>
              <w:top w:val="single" w:sz="4" w:space="0" w:color="auto"/>
              <w:left w:val="nil"/>
              <w:bottom w:val="single" w:sz="4" w:space="0" w:color="auto"/>
              <w:right w:val="single" w:sz="4" w:space="0" w:color="auto"/>
            </w:tcBorders>
            <w:shd w:val="clear" w:color="auto" w:fill="C6EFCE"/>
            <w:noWrap/>
          </w:tcPr>
          <w:p w14:paraId="6DC9BB7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F2A9FF8"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47ED25" w14:textId="77777777" w:rsidR="003F46B9" w:rsidRDefault="0065662E">
            <w:pPr>
              <w:pStyle w:val="P68B1DB1-Normal5"/>
              <w:spacing w:after="0" w:line="240" w:lineRule="auto"/>
              <w:jc w:val="both"/>
              <w:rPr>
                <w:rFonts w:eastAsia="Times New Roman" w:cs="Times New Roman"/>
                <w:noProof/>
              </w:rPr>
            </w:pPr>
            <w:r>
              <w:rPr>
                <w:noProof/>
              </w:rPr>
              <w:t>Početak rada digitalnih usluga e-uprave u području rada i socijalne zaštite:</w:t>
            </w:r>
          </w:p>
          <w:p w14:paraId="4F618E9D" w14:textId="77777777" w:rsidR="003F46B9" w:rsidRDefault="0065662E">
            <w:pPr>
              <w:pStyle w:val="P68B1DB1-Normal5"/>
              <w:numPr>
                <w:ilvl w:val="0"/>
                <w:numId w:val="55"/>
              </w:numPr>
              <w:spacing w:after="0" w:line="240" w:lineRule="auto"/>
              <w:ind w:left="260" w:hanging="215"/>
              <w:contextualSpacing/>
              <w:jc w:val="both"/>
              <w:rPr>
                <w:rFonts w:eastAsia="Times New Roman" w:cs="Times New Roman"/>
                <w:noProof/>
              </w:rPr>
            </w:pPr>
            <w:r>
              <w:rPr>
                <w:noProof/>
              </w:rPr>
              <w:t>Digitalizacija usluga koje nudi javna služba za zapošljavanje (ANOFM) kako bi se učinkovito odgovorilo na nove potrebe tržišta rada optimizacijom operacija u korist građana i osp</w:t>
            </w:r>
            <w:r>
              <w:rPr>
                <w:noProof/>
              </w:rPr>
              <w:t>osobljavanjem digitalnih vještina za upravljanje određenim aktivnostima (kao što su internetsko podnošenje dokumenata za registraciju korisnika i dodjelu naknada, mogućnost registracije i pohađanja osposobljavanja putem interneta te procjena stručnih kompe</w:t>
            </w:r>
            <w:r>
              <w:rPr>
                <w:noProof/>
              </w:rPr>
              <w:t>tencija, internetski savjetodavni sastanci) i nadogradnja informatičke infrastrukture.</w:t>
            </w:r>
          </w:p>
          <w:p w14:paraId="6CA905A2" w14:textId="77777777" w:rsidR="003F46B9" w:rsidRDefault="0065662E">
            <w:pPr>
              <w:pStyle w:val="P68B1DB1-Normal5"/>
              <w:numPr>
                <w:ilvl w:val="0"/>
                <w:numId w:val="55"/>
              </w:numPr>
              <w:spacing w:after="0" w:line="240" w:lineRule="auto"/>
              <w:ind w:left="260" w:hanging="215"/>
              <w:contextualSpacing/>
              <w:jc w:val="both"/>
              <w:rPr>
                <w:rFonts w:eastAsia="Times New Roman" w:cs="Times New Roman"/>
                <w:noProof/>
              </w:rPr>
            </w:pPr>
            <w:r>
              <w:rPr>
                <w:noProof/>
              </w:rPr>
              <w:t>digitalizacija aktivnosti kontrole u području radnih odnosa te sigurnosti i zdravlja na radu.</w:t>
            </w:r>
          </w:p>
          <w:p w14:paraId="2B4A0792" w14:textId="77777777" w:rsidR="003F46B9" w:rsidRDefault="0065662E">
            <w:pPr>
              <w:pStyle w:val="P68B1DB1-Normal5"/>
              <w:numPr>
                <w:ilvl w:val="0"/>
                <w:numId w:val="55"/>
              </w:numPr>
              <w:spacing w:after="0" w:line="240" w:lineRule="auto"/>
              <w:ind w:left="260" w:hanging="215"/>
              <w:contextualSpacing/>
              <w:jc w:val="both"/>
              <w:rPr>
                <w:rFonts w:eastAsia="Times New Roman" w:cs="Times New Roman"/>
                <w:noProof/>
              </w:rPr>
            </w:pPr>
            <w:r>
              <w:rPr>
                <w:noProof/>
              </w:rPr>
              <w:t xml:space="preserve">digitalizacija naknada socijalne pomoći kojom upravlja Nacionalna agencija </w:t>
            </w:r>
            <w:r>
              <w:rPr>
                <w:noProof/>
              </w:rPr>
              <w:t>za plaćanja i socijalnu inspekciju – ANPIS (uključujući funkcionalne informacijske sustave koji služe korisnicima minimalnog uključivanja). Operacionalizacija digitalne platforme za provedbu minimalnog dohotka za uključivanje omogućuje, među ostalim,</w:t>
            </w:r>
          </w:p>
          <w:p w14:paraId="52113F49" w14:textId="77777777" w:rsidR="003F46B9" w:rsidRDefault="0065662E">
            <w:pPr>
              <w:pStyle w:val="P68B1DB1-Normal5"/>
              <w:numPr>
                <w:ilvl w:val="1"/>
                <w:numId w:val="50"/>
              </w:numPr>
              <w:spacing w:after="0" w:line="240" w:lineRule="auto"/>
              <w:ind w:left="543" w:hanging="219"/>
              <w:contextualSpacing/>
              <w:jc w:val="both"/>
              <w:rPr>
                <w:rFonts w:eastAsia="Times New Roman" w:cs="Times New Roman"/>
                <w:noProof/>
              </w:rPr>
            </w:pPr>
            <w:r>
              <w:rPr>
                <w:noProof/>
              </w:rPr>
              <w:t>provo</w:t>
            </w:r>
            <w:r>
              <w:rPr>
                <w:noProof/>
              </w:rPr>
              <w:t>đenje svih operacija povezanih s provedbom MII-ja, s modulima koji omogućuju pristup upravljanju od slučaja do slučaja, uključujući poticajne mjere, na intuitivan/korisnički prilagođen način</w:t>
            </w:r>
          </w:p>
          <w:p w14:paraId="7AB5A5CA" w14:textId="77777777" w:rsidR="003F46B9" w:rsidRDefault="0065662E">
            <w:pPr>
              <w:pStyle w:val="P68B1DB1-Normal5"/>
              <w:numPr>
                <w:ilvl w:val="1"/>
                <w:numId w:val="50"/>
              </w:numPr>
              <w:spacing w:after="0" w:line="240" w:lineRule="auto"/>
              <w:ind w:left="543" w:hanging="219"/>
              <w:contextualSpacing/>
              <w:jc w:val="both"/>
              <w:rPr>
                <w:rFonts w:eastAsia="Times New Roman" w:cs="Times New Roman"/>
                <w:noProof/>
              </w:rPr>
            </w:pPr>
            <w:r>
              <w:rPr>
                <w:noProof/>
              </w:rPr>
              <w:t>interoperabilnost s drugim relevantnim bazama podataka, npr. s Mi</w:t>
            </w:r>
            <w:r>
              <w:rPr>
                <w:noProof/>
              </w:rPr>
              <w:t>nistarstvom financija, Ministarstvom rada, Ministarstvom obrazovanja, javnom službom za zapošljavanje.</w:t>
            </w:r>
          </w:p>
        </w:tc>
      </w:tr>
      <w:tr w:rsidR="003F46B9" w14:paraId="33B47F7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52CF39" w14:textId="77777777" w:rsidR="003F46B9" w:rsidRDefault="0065662E">
            <w:pPr>
              <w:pStyle w:val="P68B1DB1-Normal5"/>
              <w:spacing w:after="0" w:line="240" w:lineRule="auto"/>
              <w:jc w:val="center"/>
              <w:rPr>
                <w:rFonts w:eastAsia="Times New Roman" w:cs="Times New Roman"/>
                <w:noProof/>
              </w:rPr>
            </w:pPr>
            <w:r>
              <w:rPr>
                <w:noProof/>
              </w:rPr>
              <w:t>171</w:t>
            </w:r>
          </w:p>
        </w:tc>
        <w:tc>
          <w:tcPr>
            <w:tcW w:w="1740" w:type="dxa"/>
            <w:tcBorders>
              <w:top w:val="single" w:sz="4" w:space="0" w:color="auto"/>
              <w:left w:val="nil"/>
              <w:bottom w:val="single" w:sz="4" w:space="0" w:color="auto"/>
              <w:right w:val="single" w:sz="4" w:space="0" w:color="auto"/>
            </w:tcBorders>
            <w:shd w:val="clear" w:color="auto" w:fill="C6EFCE"/>
            <w:noWrap/>
          </w:tcPr>
          <w:p w14:paraId="10E4B9CB" w14:textId="77777777" w:rsidR="003F46B9" w:rsidRDefault="0065662E">
            <w:pPr>
              <w:pStyle w:val="P68B1DB1-Normal5"/>
              <w:spacing w:after="0" w:line="240" w:lineRule="auto"/>
              <w:jc w:val="both"/>
              <w:rPr>
                <w:rFonts w:eastAsia="Times New Roman" w:cs="Times New Roman"/>
                <w:noProof/>
              </w:rPr>
            </w:pPr>
            <w:r>
              <w:rPr>
                <w:noProof/>
              </w:rPr>
              <w:t xml:space="preserve">Ulaganje 6. Digitalizacija u području zapošljavanja i socijalne zaštite </w:t>
            </w:r>
          </w:p>
          <w:p w14:paraId="31B84C6E"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658EDD5"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CA8BE00" w14:textId="77777777" w:rsidR="003F46B9" w:rsidRDefault="0065662E">
            <w:pPr>
              <w:pStyle w:val="P68B1DB1-Normal5"/>
              <w:spacing w:after="0" w:line="240" w:lineRule="auto"/>
              <w:jc w:val="both"/>
              <w:rPr>
                <w:rFonts w:eastAsia="Times New Roman" w:cs="Times New Roman"/>
                <w:noProof/>
              </w:rPr>
            </w:pPr>
            <w:r>
              <w:rPr>
                <w:noProof/>
              </w:rPr>
              <w:t xml:space="preserve">Broj zaposlenika koji sudjeluju u osposobljavanju o digitalnim </w:t>
            </w:r>
            <w:r>
              <w:rPr>
                <w:noProof/>
              </w:rPr>
              <w:t>vještinama</w:t>
            </w:r>
          </w:p>
        </w:tc>
        <w:tc>
          <w:tcPr>
            <w:tcW w:w="1474" w:type="dxa"/>
            <w:tcBorders>
              <w:top w:val="single" w:sz="4" w:space="0" w:color="auto"/>
              <w:left w:val="nil"/>
              <w:bottom w:val="single" w:sz="4" w:space="0" w:color="auto"/>
              <w:right w:val="single" w:sz="4" w:space="0" w:color="auto"/>
            </w:tcBorders>
            <w:shd w:val="clear" w:color="auto" w:fill="C6EFCE"/>
            <w:noWrap/>
          </w:tcPr>
          <w:p w14:paraId="108DD3A1"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2BFC81DC"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10E9B82"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87081BF" w14:textId="77777777" w:rsidR="003F46B9" w:rsidRDefault="0065662E">
            <w:pPr>
              <w:pStyle w:val="P68B1DB1-Normal5"/>
              <w:spacing w:after="0" w:line="240" w:lineRule="auto"/>
              <w:jc w:val="both"/>
              <w:rPr>
                <w:rFonts w:eastAsia="Times New Roman" w:cs="Times New Roman"/>
                <w:noProof/>
              </w:rPr>
            </w:pPr>
            <w:r>
              <w:rPr>
                <w:noProof/>
              </w:rPr>
              <w:t>4 777</w:t>
            </w:r>
          </w:p>
        </w:tc>
        <w:tc>
          <w:tcPr>
            <w:tcW w:w="908" w:type="dxa"/>
            <w:tcBorders>
              <w:top w:val="single" w:sz="4" w:space="0" w:color="auto"/>
              <w:left w:val="nil"/>
              <w:bottom w:val="single" w:sz="4" w:space="0" w:color="auto"/>
              <w:right w:val="single" w:sz="4" w:space="0" w:color="auto"/>
            </w:tcBorders>
            <w:shd w:val="clear" w:color="auto" w:fill="C6EFCE"/>
            <w:noWrap/>
          </w:tcPr>
          <w:p w14:paraId="0F2E6D1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31B794D"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093B11" w14:textId="77777777" w:rsidR="003F46B9" w:rsidRDefault="0065662E">
            <w:pPr>
              <w:pStyle w:val="P68B1DB1-Normal5"/>
              <w:spacing w:after="0" w:line="240" w:lineRule="auto"/>
              <w:jc w:val="both"/>
              <w:rPr>
                <w:rFonts w:eastAsia="Times New Roman" w:cs="Times New Roman"/>
                <w:noProof/>
              </w:rPr>
            </w:pPr>
            <w:r>
              <w:rPr>
                <w:noProof/>
              </w:rPr>
              <w:t xml:space="preserve">Broj zaposlenika koji sudjeluju u osposobljavanju o digitalnim vještinama: </w:t>
            </w:r>
          </w:p>
          <w:p w14:paraId="0D2BC895" w14:textId="77777777" w:rsidR="003F46B9" w:rsidRDefault="0065662E">
            <w:pPr>
              <w:pStyle w:val="P68B1DB1-Normal5"/>
              <w:numPr>
                <w:ilvl w:val="0"/>
                <w:numId w:val="56"/>
              </w:numPr>
              <w:spacing w:after="0" w:line="240" w:lineRule="auto"/>
              <w:ind w:left="260" w:hanging="215"/>
              <w:contextualSpacing/>
              <w:jc w:val="both"/>
              <w:rPr>
                <w:rFonts w:eastAsia="Times New Roman" w:cs="Times New Roman"/>
                <w:noProof/>
              </w:rPr>
            </w:pPr>
            <w:r>
              <w:rPr>
                <w:noProof/>
              </w:rPr>
              <w:t>Nacionalna agencija za zapošljavanje: 1200 zaposlenika</w:t>
            </w:r>
          </w:p>
          <w:p w14:paraId="63BAB898" w14:textId="77777777" w:rsidR="003F46B9" w:rsidRDefault="0065662E">
            <w:pPr>
              <w:pStyle w:val="P68B1DB1-Normal5"/>
              <w:numPr>
                <w:ilvl w:val="0"/>
                <w:numId w:val="56"/>
              </w:numPr>
              <w:spacing w:after="0" w:line="240" w:lineRule="auto"/>
              <w:ind w:left="260" w:hanging="215"/>
              <w:contextualSpacing/>
              <w:jc w:val="both"/>
              <w:rPr>
                <w:rFonts w:eastAsia="Times New Roman" w:cs="Times New Roman"/>
                <w:noProof/>
              </w:rPr>
            </w:pPr>
            <w:r>
              <w:rPr>
                <w:noProof/>
              </w:rPr>
              <w:t>Nacionalna agencija za plaćanja i socijalnu inspekciju: 1595 zaposlenika.</w:t>
            </w:r>
          </w:p>
          <w:p w14:paraId="0D488F77" w14:textId="77777777" w:rsidR="003F46B9" w:rsidRDefault="0065662E">
            <w:pPr>
              <w:pStyle w:val="P68B1DB1-Normal5"/>
              <w:numPr>
                <w:ilvl w:val="0"/>
                <w:numId w:val="56"/>
              </w:numPr>
              <w:spacing w:after="0" w:line="240" w:lineRule="auto"/>
              <w:ind w:left="260" w:hanging="215"/>
              <w:contextualSpacing/>
              <w:jc w:val="both"/>
              <w:rPr>
                <w:rFonts w:eastAsia="Times New Roman" w:cs="Times New Roman"/>
                <w:noProof/>
              </w:rPr>
            </w:pPr>
            <w:r>
              <w:rPr>
                <w:noProof/>
              </w:rPr>
              <w:t>Inspekcija rada i teritorijalni inspektorati rada: 1982. zaposlenici</w:t>
            </w:r>
          </w:p>
        </w:tc>
      </w:tr>
      <w:tr w:rsidR="003F46B9" w14:paraId="6F1329D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E8A59F6" w14:textId="77777777" w:rsidR="003F46B9" w:rsidRDefault="0065662E">
            <w:pPr>
              <w:pStyle w:val="P68B1DB1-Normal5"/>
              <w:spacing w:after="0" w:line="240" w:lineRule="auto"/>
              <w:jc w:val="center"/>
              <w:rPr>
                <w:rFonts w:eastAsia="Times New Roman" w:cs="Times New Roman"/>
                <w:noProof/>
              </w:rPr>
            </w:pPr>
            <w:r>
              <w:rPr>
                <w:noProof/>
              </w:rPr>
              <w:t>172</w:t>
            </w:r>
          </w:p>
        </w:tc>
        <w:tc>
          <w:tcPr>
            <w:tcW w:w="1740" w:type="dxa"/>
            <w:tcBorders>
              <w:top w:val="single" w:sz="4" w:space="0" w:color="auto"/>
              <w:left w:val="nil"/>
              <w:bottom w:val="single" w:sz="4" w:space="0" w:color="auto"/>
              <w:right w:val="single" w:sz="4" w:space="0" w:color="auto"/>
            </w:tcBorders>
            <w:shd w:val="clear" w:color="auto" w:fill="C6EFCE"/>
            <w:noWrap/>
          </w:tcPr>
          <w:p w14:paraId="0CA9FD86" w14:textId="77777777" w:rsidR="003F46B9" w:rsidRDefault="0065662E">
            <w:pPr>
              <w:pStyle w:val="P68B1DB1-Normal5"/>
              <w:spacing w:after="0" w:line="240" w:lineRule="auto"/>
              <w:jc w:val="both"/>
              <w:rPr>
                <w:rFonts w:eastAsia="Times New Roman" w:cs="Times New Roman"/>
                <w:noProof/>
              </w:rPr>
            </w:pPr>
            <w:r>
              <w:rPr>
                <w:noProof/>
              </w:rPr>
              <w:t xml:space="preserve">Ulaganje 7. Uvođenje e-obrazaca u javnu nabavu </w:t>
            </w:r>
          </w:p>
          <w:p w14:paraId="706FB845"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8FD30EC"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744A78F7" w14:textId="77777777" w:rsidR="003F46B9" w:rsidRDefault="0065662E">
            <w:pPr>
              <w:pStyle w:val="P68B1DB1-Normal5"/>
              <w:spacing w:after="0" w:line="240" w:lineRule="auto"/>
              <w:jc w:val="both"/>
              <w:rPr>
                <w:rFonts w:eastAsia="Times New Roman" w:cs="Times New Roman"/>
                <w:noProof/>
              </w:rPr>
            </w:pPr>
            <w:r>
              <w:rPr>
                <w:noProof/>
              </w:rPr>
              <w:t xml:space="preserve">Uvođenje elektroničkih nacionalnih obrazaca u postupcima javne nabave u skladu sa zakonodavstvom EU-a </w:t>
            </w:r>
          </w:p>
        </w:tc>
        <w:tc>
          <w:tcPr>
            <w:tcW w:w="1474" w:type="dxa"/>
            <w:tcBorders>
              <w:top w:val="single" w:sz="4" w:space="0" w:color="auto"/>
              <w:left w:val="nil"/>
              <w:bottom w:val="single" w:sz="4" w:space="0" w:color="auto"/>
              <w:right w:val="single" w:sz="4" w:space="0" w:color="auto"/>
            </w:tcBorders>
            <w:shd w:val="clear" w:color="auto" w:fill="C6EFCE"/>
            <w:noWrap/>
          </w:tcPr>
          <w:p w14:paraId="680F9483" w14:textId="77777777" w:rsidR="003F46B9" w:rsidRDefault="0065662E">
            <w:pPr>
              <w:pStyle w:val="P68B1DB1-Normal5"/>
              <w:spacing w:after="0" w:line="240" w:lineRule="auto"/>
              <w:jc w:val="both"/>
              <w:rPr>
                <w:rFonts w:eastAsia="Times New Roman" w:cs="Times New Roman"/>
                <w:noProof/>
              </w:rPr>
            </w:pPr>
            <w:r>
              <w:rPr>
                <w:noProof/>
              </w:rPr>
              <w:t xml:space="preserve">Operativni </w:t>
            </w:r>
            <w:r>
              <w:rPr>
                <w:noProof/>
              </w:rPr>
              <w:t>elektronički standardni obrasci za postupke nabave</w:t>
            </w:r>
          </w:p>
        </w:tc>
        <w:tc>
          <w:tcPr>
            <w:tcW w:w="940" w:type="dxa"/>
            <w:tcBorders>
              <w:top w:val="single" w:sz="4" w:space="0" w:color="auto"/>
              <w:left w:val="nil"/>
              <w:bottom w:val="single" w:sz="4" w:space="0" w:color="auto"/>
              <w:right w:val="single" w:sz="4" w:space="0" w:color="auto"/>
            </w:tcBorders>
            <w:shd w:val="clear" w:color="auto" w:fill="C6EFCE"/>
            <w:noWrap/>
          </w:tcPr>
          <w:p w14:paraId="38C15E4D"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6D4B7B59"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03C7FB33"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9FC7C5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63BD566" w14:textId="77777777" w:rsidR="003F46B9" w:rsidRDefault="0065662E">
            <w:pPr>
              <w:pStyle w:val="P68B1DB1-Normal5"/>
              <w:spacing w:after="0" w:line="240" w:lineRule="auto"/>
              <w:jc w:val="both"/>
              <w:rPr>
                <w:rFonts w:eastAsia="Times New Roman" w:cs="Times New Roman"/>
                <w:noProof/>
              </w:rPr>
            </w:pPr>
            <w:r>
              <w:rPr>
                <w:noProof/>
              </w:rPr>
              <w:t>2023</w:t>
            </w:r>
          </w:p>
        </w:tc>
        <w:tc>
          <w:tcPr>
            <w:tcW w:w="3021" w:type="dxa"/>
            <w:tcBorders>
              <w:top w:val="single" w:sz="4" w:space="0" w:color="auto"/>
              <w:left w:val="nil"/>
              <w:bottom w:val="single" w:sz="4" w:space="0" w:color="auto"/>
              <w:right w:val="single" w:sz="4" w:space="0" w:color="auto"/>
            </w:tcBorders>
            <w:shd w:val="clear" w:color="auto" w:fill="C6EFCE"/>
            <w:noWrap/>
          </w:tcPr>
          <w:p w14:paraId="50768D2F" w14:textId="77777777" w:rsidR="003F46B9" w:rsidRDefault="0065662E">
            <w:pPr>
              <w:pStyle w:val="P68B1DB1-Normal5"/>
              <w:spacing w:after="0" w:line="240" w:lineRule="auto"/>
              <w:jc w:val="both"/>
              <w:rPr>
                <w:rFonts w:eastAsia="Times New Roman" w:cs="Times New Roman"/>
                <w:noProof/>
              </w:rPr>
            </w:pPr>
            <w:r>
              <w:rPr>
                <w:noProof/>
              </w:rPr>
              <w:t>Ulaganjem se osigurava provedba Provedbene uredbe (EU) 2019/1780 (e-obrasci) u rumunjskoj usluzi javne nabave SEAP-a. Ne očekuje se da će uvođenje e-obrazaca utjecati na krajnjeg korisn</w:t>
            </w:r>
            <w:r>
              <w:rPr>
                <w:noProof/>
              </w:rPr>
              <w:t xml:space="preserve">ika jer se promjene provode u pozadinskom dijelu. Cilj je ulaganja osigurati izvlačenje i uključivanje podataka posebno u nove tehnološke zahtjeve na razini Direktive. </w:t>
            </w:r>
          </w:p>
        </w:tc>
      </w:tr>
      <w:tr w:rsidR="003F46B9" w14:paraId="3DE81FD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4D38771E" w14:textId="77777777" w:rsidR="003F46B9" w:rsidRDefault="0065662E">
            <w:pPr>
              <w:pStyle w:val="P68B1DB1-Normal5"/>
              <w:spacing w:after="0" w:line="240" w:lineRule="auto"/>
              <w:jc w:val="center"/>
              <w:rPr>
                <w:rFonts w:eastAsia="Times New Roman" w:cs="Times New Roman"/>
                <w:noProof/>
              </w:rPr>
            </w:pPr>
            <w:r>
              <w:rPr>
                <w:noProof/>
              </w:rPr>
              <w:t>173</w:t>
            </w:r>
          </w:p>
        </w:tc>
        <w:tc>
          <w:tcPr>
            <w:tcW w:w="1740" w:type="dxa"/>
            <w:tcBorders>
              <w:top w:val="single" w:sz="4" w:space="0" w:color="auto"/>
              <w:left w:val="nil"/>
              <w:bottom w:val="single" w:sz="4" w:space="0" w:color="auto"/>
              <w:right w:val="single" w:sz="4" w:space="0" w:color="auto"/>
            </w:tcBorders>
            <w:shd w:val="clear" w:color="auto" w:fill="C6EFCE"/>
            <w:noWrap/>
          </w:tcPr>
          <w:p w14:paraId="0A3E904B" w14:textId="77777777" w:rsidR="003F46B9" w:rsidRDefault="0065662E">
            <w:pPr>
              <w:pStyle w:val="P68B1DB1-Normal5"/>
              <w:spacing w:after="0" w:line="240" w:lineRule="auto"/>
              <w:jc w:val="both"/>
              <w:rPr>
                <w:rFonts w:eastAsia="Times New Roman" w:cs="Times New Roman"/>
                <w:noProof/>
              </w:rPr>
            </w:pPr>
            <w:r>
              <w:rPr>
                <w:noProof/>
              </w:rPr>
              <w:t>Ulaganje 8.</w:t>
            </w:r>
          </w:p>
          <w:p w14:paraId="1D325149" w14:textId="6B2EBEB8" w:rsidR="003F46B9" w:rsidRDefault="0065662E">
            <w:pPr>
              <w:pStyle w:val="P68B1DB1-Normal5"/>
              <w:spacing w:after="0" w:line="240" w:lineRule="auto"/>
              <w:jc w:val="both"/>
              <w:rPr>
                <w:rFonts w:eastAsia="Times New Roman" w:cs="Times New Roman"/>
                <w:noProof/>
              </w:rPr>
            </w:pPr>
            <w:r>
              <w:rPr>
                <w:noProof/>
              </w:rPr>
              <w:t>Elektronička osobna iskaznica i digitalni potpis</w:t>
            </w:r>
          </w:p>
          <w:p w14:paraId="2E650E4D"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75E25CF6"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08154407" w14:textId="77777777" w:rsidR="003F46B9" w:rsidRDefault="0065662E">
            <w:pPr>
              <w:pStyle w:val="P68B1DB1-Normal5"/>
              <w:spacing w:after="0" w:line="240" w:lineRule="auto"/>
              <w:jc w:val="both"/>
              <w:rPr>
                <w:rFonts w:eastAsia="Times New Roman" w:cs="Times New Roman"/>
                <w:noProof/>
              </w:rPr>
            </w:pPr>
            <w:r>
              <w:rPr>
                <w:noProof/>
              </w:rPr>
              <w:t xml:space="preserve">Građani kojima je izdana elektronička osobna iskaznica </w:t>
            </w:r>
          </w:p>
        </w:tc>
        <w:tc>
          <w:tcPr>
            <w:tcW w:w="1474" w:type="dxa"/>
            <w:tcBorders>
              <w:top w:val="single" w:sz="4" w:space="0" w:color="auto"/>
              <w:left w:val="nil"/>
              <w:bottom w:val="single" w:sz="4" w:space="0" w:color="auto"/>
              <w:right w:val="single" w:sz="4" w:space="0" w:color="auto"/>
            </w:tcBorders>
            <w:shd w:val="clear" w:color="auto" w:fill="C6EFCE"/>
            <w:noWrap/>
          </w:tcPr>
          <w:p w14:paraId="32DF815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3725E78"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59EF657"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E5D2BCB" w14:textId="7B577B39" w:rsidR="003F46B9" w:rsidRDefault="0065662E">
            <w:pPr>
              <w:pStyle w:val="P68B1DB1-Normal5"/>
              <w:spacing w:after="0" w:line="240" w:lineRule="auto"/>
              <w:jc w:val="both"/>
              <w:rPr>
                <w:rFonts w:eastAsia="Times New Roman" w:cs="Times New Roman"/>
                <w:noProof/>
              </w:rPr>
            </w:pPr>
            <w:r>
              <w:rPr>
                <w:noProof/>
              </w:rPr>
              <w:t>5 000 000</w:t>
            </w:r>
          </w:p>
        </w:tc>
        <w:tc>
          <w:tcPr>
            <w:tcW w:w="908" w:type="dxa"/>
            <w:tcBorders>
              <w:top w:val="single" w:sz="4" w:space="0" w:color="auto"/>
              <w:left w:val="nil"/>
              <w:bottom w:val="single" w:sz="4" w:space="0" w:color="auto"/>
              <w:right w:val="single" w:sz="4" w:space="0" w:color="auto"/>
            </w:tcBorders>
            <w:shd w:val="clear" w:color="auto" w:fill="C6EFCE"/>
            <w:noWrap/>
          </w:tcPr>
          <w:p w14:paraId="2765C977" w14:textId="661F2693"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06EE8EFC" w14:textId="5417D2C2"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08F0083B" w14:textId="77777777" w:rsidR="003F46B9" w:rsidRDefault="0065662E">
            <w:pPr>
              <w:pStyle w:val="P68B1DB1-Normal5"/>
              <w:spacing w:after="0" w:line="240" w:lineRule="auto"/>
              <w:jc w:val="both"/>
              <w:rPr>
                <w:rFonts w:eastAsia="Times New Roman" w:cs="Times New Roman"/>
                <w:noProof/>
              </w:rPr>
            </w:pPr>
            <w:r>
              <w:rPr>
                <w:noProof/>
              </w:rPr>
              <w:t>Osobna iskaznica mora biti u skladu sa zahtjevima Europske komisije u pogledu sigurnosti isprava, u skladu s ciljevima utvrđenima u Uredbi (EU) 1157/2019. U elektro</w:t>
            </w:r>
            <w:r>
              <w:rPr>
                <w:noProof/>
              </w:rPr>
              <w:t>ničkoj osobnoj iskaznici pohranjuju se dva digitalna certifikata:</w:t>
            </w:r>
          </w:p>
          <w:p w14:paraId="7B787920" w14:textId="77777777" w:rsidR="003F46B9" w:rsidRDefault="0065662E">
            <w:pPr>
              <w:pStyle w:val="P68B1DB1-Normal5"/>
              <w:numPr>
                <w:ilvl w:val="0"/>
                <w:numId w:val="56"/>
              </w:numPr>
              <w:spacing w:after="0" w:line="240" w:lineRule="auto"/>
              <w:ind w:left="260" w:hanging="215"/>
              <w:contextualSpacing/>
              <w:jc w:val="both"/>
              <w:rPr>
                <w:rFonts w:eastAsia="Times New Roman" w:cs="Times New Roman"/>
                <w:noProof/>
              </w:rPr>
            </w:pPr>
            <w:r>
              <w:rPr>
                <w:noProof/>
              </w:rPr>
              <w:t>obvezan za napredni elektronički potpis, registriran na svim elektroničkim osobnim iskaznicama, valjan u Rumunjskoj, koji se može upotrebljavati nakon izdavanja elektroničke osobne iskaznice</w:t>
            </w:r>
            <w:r>
              <w:rPr>
                <w:noProof/>
              </w:rPr>
              <w:t>.</w:t>
            </w:r>
          </w:p>
          <w:p w14:paraId="57CBBB95" w14:textId="77777777" w:rsidR="003F46B9" w:rsidRDefault="0065662E">
            <w:pPr>
              <w:pStyle w:val="P68B1DB1-Normal5"/>
              <w:numPr>
                <w:ilvl w:val="0"/>
                <w:numId w:val="56"/>
              </w:numPr>
              <w:spacing w:after="0" w:line="240" w:lineRule="auto"/>
              <w:ind w:left="260" w:hanging="215"/>
              <w:contextualSpacing/>
              <w:jc w:val="both"/>
              <w:rPr>
                <w:rFonts w:eastAsia="Times New Roman" w:cs="Times New Roman"/>
                <w:noProof/>
              </w:rPr>
            </w:pPr>
            <w:r>
              <w:rPr>
                <w:noProof/>
              </w:rPr>
              <w:t>neobavezni certifikat za kvalificirani elektronički potpis koji izdaju kvalificirani pružatelji usluga certificiranja (domaći/nenacionalni), koji vrijedi i za usluge trećih strana, valjan u Rumunjskoj i EU-u i dostupan je građanima za kupnju.</w:t>
            </w:r>
          </w:p>
        </w:tc>
      </w:tr>
      <w:tr w:rsidR="003F46B9" w14:paraId="06BE98AC"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D1962DB" w14:textId="77777777" w:rsidR="003F46B9" w:rsidRDefault="0065662E">
            <w:pPr>
              <w:pStyle w:val="P68B1DB1-Normal5"/>
              <w:spacing w:after="0" w:line="240" w:lineRule="auto"/>
              <w:jc w:val="center"/>
              <w:rPr>
                <w:rFonts w:eastAsia="Times New Roman" w:cs="Times New Roman"/>
                <w:noProof/>
              </w:rPr>
            </w:pPr>
            <w:r>
              <w:rPr>
                <w:noProof/>
              </w:rPr>
              <w:t>174</w:t>
            </w:r>
          </w:p>
        </w:tc>
        <w:tc>
          <w:tcPr>
            <w:tcW w:w="1740" w:type="dxa"/>
            <w:tcBorders>
              <w:top w:val="single" w:sz="4" w:space="0" w:color="auto"/>
              <w:left w:val="nil"/>
              <w:bottom w:val="single" w:sz="4" w:space="0" w:color="auto"/>
              <w:right w:val="single" w:sz="4" w:space="0" w:color="auto"/>
            </w:tcBorders>
            <w:shd w:val="clear" w:color="auto" w:fill="C6EFCE"/>
            <w:noWrap/>
          </w:tcPr>
          <w:p w14:paraId="21F21B71" w14:textId="77777777" w:rsidR="003F46B9" w:rsidRDefault="0065662E">
            <w:pPr>
              <w:pStyle w:val="P68B1DB1-Normal5"/>
              <w:spacing w:after="0" w:line="240" w:lineRule="auto"/>
              <w:jc w:val="both"/>
              <w:rPr>
                <w:rFonts w:eastAsia="Times New Roman" w:cs="Times New Roman"/>
                <w:noProof/>
              </w:rPr>
            </w:pPr>
            <w:r>
              <w:rPr>
                <w:noProof/>
              </w:rPr>
              <w:t>Ulaganje 8.</w:t>
            </w:r>
          </w:p>
          <w:p w14:paraId="60137426" w14:textId="7C6FFAB9" w:rsidR="003F46B9" w:rsidRDefault="0065662E">
            <w:pPr>
              <w:pStyle w:val="P68B1DB1-Normal5"/>
              <w:spacing w:after="0" w:line="240" w:lineRule="auto"/>
              <w:jc w:val="both"/>
              <w:rPr>
                <w:rFonts w:eastAsia="Times New Roman" w:cs="Times New Roman"/>
                <w:noProof/>
              </w:rPr>
            </w:pPr>
            <w:r>
              <w:rPr>
                <w:noProof/>
              </w:rPr>
              <w:t>Elektronička osobna iskaznica i digitalni potpis</w:t>
            </w:r>
          </w:p>
          <w:p w14:paraId="655BB530"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0A42D50C" w14:textId="6EF297EB"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40F3E255" w14:textId="037C5AE0" w:rsidR="003F46B9" w:rsidRDefault="0065662E">
            <w:pPr>
              <w:pStyle w:val="P68B1DB1-Normal5"/>
              <w:spacing w:after="0" w:line="240" w:lineRule="auto"/>
              <w:jc w:val="both"/>
              <w:rPr>
                <w:rFonts w:eastAsia="Times New Roman" w:cs="Times New Roman"/>
                <w:noProof/>
              </w:rPr>
            </w:pPr>
            <w:r>
              <w:rPr>
                <w:noProof/>
              </w:rPr>
              <w:t xml:space="preserve">Provedene mjere potpore za uvođenje elektroničke osobne iskaznice </w:t>
            </w:r>
          </w:p>
        </w:tc>
        <w:tc>
          <w:tcPr>
            <w:tcW w:w="1474" w:type="dxa"/>
            <w:tcBorders>
              <w:top w:val="single" w:sz="4" w:space="0" w:color="auto"/>
              <w:left w:val="nil"/>
              <w:bottom w:val="single" w:sz="4" w:space="0" w:color="auto"/>
              <w:right w:val="single" w:sz="4" w:space="0" w:color="auto"/>
            </w:tcBorders>
            <w:shd w:val="clear" w:color="auto" w:fill="C6EFCE"/>
            <w:noWrap/>
          </w:tcPr>
          <w:p w14:paraId="673EC0D3" w14:textId="77777777" w:rsidR="003F46B9" w:rsidRDefault="0065662E">
            <w:pPr>
              <w:pStyle w:val="P68B1DB1-Normal5"/>
              <w:spacing w:after="0" w:line="240" w:lineRule="auto"/>
              <w:jc w:val="both"/>
              <w:rPr>
                <w:rFonts w:eastAsia="Times New Roman" w:cs="Times New Roman"/>
                <w:noProof/>
              </w:rPr>
            </w:pPr>
            <w:r>
              <w:rPr>
                <w:noProof/>
              </w:rPr>
              <w:t>Uvedene internetske javne usluge, razvijen sustav ranog upozoravanja, provedena kampanja za podizanje svijesti</w:t>
            </w:r>
          </w:p>
        </w:tc>
        <w:tc>
          <w:tcPr>
            <w:tcW w:w="940" w:type="dxa"/>
            <w:tcBorders>
              <w:top w:val="single" w:sz="4" w:space="0" w:color="auto"/>
              <w:left w:val="nil"/>
              <w:bottom w:val="single" w:sz="4" w:space="0" w:color="auto"/>
              <w:right w:val="single" w:sz="4" w:space="0" w:color="auto"/>
            </w:tcBorders>
            <w:shd w:val="clear" w:color="auto" w:fill="C6EFCE"/>
            <w:noWrap/>
          </w:tcPr>
          <w:p w14:paraId="6D7858B5" w14:textId="54B7023D"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3CF013D6" w14:textId="0BDDC73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135CAC9" w14:textId="56302F6B"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7B17D40"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1F1EE03C" w14:textId="1197FCAE"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7E8D2B6B" w14:textId="445664CC" w:rsidR="003F46B9" w:rsidRDefault="0065662E">
            <w:pPr>
              <w:pStyle w:val="P68B1DB1-Normal5"/>
              <w:spacing w:before="120" w:after="0" w:line="240" w:lineRule="auto"/>
              <w:jc w:val="both"/>
              <w:textAlignment w:val="baseline"/>
              <w:rPr>
                <w:rFonts w:eastAsia="Times New Roman" w:cs="Times New Roman"/>
                <w:noProof/>
              </w:rPr>
            </w:pPr>
            <w:r>
              <w:rPr>
                <w:noProof/>
              </w:rPr>
              <w:t xml:space="preserve">11 internetskih javnih usluga, koje imaju barem razinu „3” sofisticiranosti, moraju biti dostupne s pomoću elektroničke osobne iskaznice. Te internetske javne usluge uključuju sljedeće sastavnice: IT &amp; C infrastruktura za razvoj, pružanje </w:t>
            </w:r>
            <w:r>
              <w:rPr>
                <w:noProof/>
              </w:rPr>
              <w:t xml:space="preserve">i bolji kontinuitet usluga kojima se pristupa putem elektroničke osobne iskaznice, rješenja za virtualizaciju za poboljšanje dostupnosti infrastrukture kako bi se osigurao pristup elektroničkim uslugama, širenje postojećih rezervnih jedinica i oporavka od </w:t>
            </w:r>
            <w:r>
              <w:rPr>
                <w:noProof/>
              </w:rPr>
              <w:t xml:space="preserve">katastrofa s pomoću modularnih rješenja. </w:t>
            </w:r>
          </w:p>
          <w:p w14:paraId="08C7AEF8" w14:textId="4165B562" w:rsidR="003F46B9" w:rsidRDefault="0065662E">
            <w:pPr>
              <w:pStyle w:val="P68B1DB1-Normal5"/>
              <w:spacing w:before="120" w:after="0" w:line="240" w:lineRule="auto"/>
              <w:jc w:val="both"/>
              <w:textAlignment w:val="baseline"/>
              <w:rPr>
                <w:rFonts w:eastAsia="Times New Roman" w:cs="Times New Roman"/>
                <w:noProof/>
              </w:rPr>
            </w:pPr>
            <w:r>
              <w:rPr>
                <w:noProof/>
              </w:rPr>
              <w:t>Dovršava se razvoj sustava ranog upozoravanja u pogledu sigurnosnih rizika (uključujući kiberrizike).</w:t>
            </w:r>
          </w:p>
          <w:p w14:paraId="6F9026C0" w14:textId="77777777" w:rsidR="003F46B9" w:rsidRDefault="0065662E">
            <w:pPr>
              <w:pStyle w:val="P68B1DB1-Normal5"/>
              <w:spacing w:before="120" w:after="0" w:line="240" w:lineRule="auto"/>
              <w:jc w:val="both"/>
              <w:textAlignment w:val="baseline"/>
              <w:rPr>
                <w:rFonts w:eastAsia="Times New Roman" w:cs="Times New Roman"/>
                <w:noProof/>
              </w:rPr>
            </w:pPr>
            <w:r>
              <w:rPr>
                <w:noProof/>
              </w:rPr>
              <w:t>Dovršava se provedba kampanje podizanja svijesti kojom se potiče široka upotreba elektroničke osobne iskaznice i</w:t>
            </w:r>
            <w:r>
              <w:rPr>
                <w:noProof/>
              </w:rPr>
              <w:t xml:space="preserve"> implicitno povezanih elektroničkih javnih usluga.</w:t>
            </w:r>
          </w:p>
          <w:p w14:paraId="082B789B" w14:textId="05F35716" w:rsidR="003F46B9" w:rsidRDefault="003F46B9">
            <w:pPr>
              <w:spacing w:after="0" w:line="240" w:lineRule="auto"/>
              <w:jc w:val="both"/>
              <w:rPr>
                <w:rFonts w:ascii="Times New Roman" w:eastAsia="Times New Roman" w:hAnsi="Times New Roman" w:cs="Times New Roman"/>
                <w:noProof/>
                <w:sz w:val="24"/>
              </w:rPr>
            </w:pPr>
          </w:p>
        </w:tc>
      </w:tr>
      <w:tr w:rsidR="003F46B9" w14:paraId="134D2CD5"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8F3A11A" w14:textId="77777777" w:rsidR="003F46B9" w:rsidRDefault="0065662E">
            <w:pPr>
              <w:pStyle w:val="P68B1DB1-Normal5"/>
              <w:spacing w:after="0" w:line="240" w:lineRule="auto"/>
              <w:jc w:val="center"/>
              <w:rPr>
                <w:rFonts w:eastAsia="Times New Roman" w:cs="Times New Roman"/>
                <w:noProof/>
              </w:rPr>
            </w:pPr>
            <w:r>
              <w:rPr>
                <w:noProof/>
              </w:rPr>
              <w:t>175</w:t>
            </w:r>
          </w:p>
        </w:tc>
        <w:tc>
          <w:tcPr>
            <w:tcW w:w="1740" w:type="dxa"/>
            <w:tcBorders>
              <w:top w:val="single" w:sz="4" w:space="0" w:color="auto"/>
              <w:left w:val="nil"/>
              <w:bottom w:val="single" w:sz="4" w:space="0" w:color="auto"/>
              <w:right w:val="single" w:sz="4" w:space="0" w:color="auto"/>
            </w:tcBorders>
            <w:shd w:val="clear" w:color="auto" w:fill="C6EFCE"/>
            <w:noWrap/>
          </w:tcPr>
          <w:p w14:paraId="15783924" w14:textId="77777777" w:rsidR="003F46B9" w:rsidRDefault="0065662E">
            <w:pPr>
              <w:pStyle w:val="P68B1DB1-Normal5"/>
              <w:spacing w:after="0" w:line="240" w:lineRule="auto"/>
              <w:jc w:val="both"/>
              <w:rPr>
                <w:rFonts w:eastAsia="Times New Roman" w:cs="Times New Roman"/>
                <w:noProof/>
              </w:rPr>
            </w:pPr>
            <w:r>
              <w:rPr>
                <w:noProof/>
              </w:rPr>
              <w:t xml:space="preserve">Ulaganje 9. Digitalizacija sektora nevladinih organizacija </w:t>
            </w:r>
          </w:p>
        </w:tc>
        <w:tc>
          <w:tcPr>
            <w:tcW w:w="1073" w:type="dxa"/>
            <w:tcBorders>
              <w:top w:val="single" w:sz="4" w:space="0" w:color="auto"/>
              <w:left w:val="nil"/>
              <w:bottom w:val="single" w:sz="4" w:space="0" w:color="auto"/>
              <w:right w:val="single" w:sz="4" w:space="0" w:color="auto"/>
            </w:tcBorders>
            <w:shd w:val="clear" w:color="auto" w:fill="C6EFCE"/>
            <w:noWrap/>
          </w:tcPr>
          <w:p w14:paraId="4034D3A0"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45A767C8" w14:textId="77777777" w:rsidR="003F46B9" w:rsidRDefault="0065662E">
            <w:pPr>
              <w:pStyle w:val="P68B1DB1-Normal5"/>
              <w:spacing w:after="0" w:line="240" w:lineRule="auto"/>
              <w:jc w:val="both"/>
              <w:rPr>
                <w:rFonts w:eastAsia="Times New Roman" w:cs="Times New Roman"/>
                <w:noProof/>
              </w:rPr>
            </w:pPr>
            <w:r>
              <w:rPr>
                <w:noProof/>
              </w:rPr>
              <w:t>Dovršeni projekti za digitalizaciju nevladinih organizacija</w:t>
            </w:r>
          </w:p>
        </w:tc>
        <w:tc>
          <w:tcPr>
            <w:tcW w:w="1474" w:type="dxa"/>
            <w:tcBorders>
              <w:top w:val="single" w:sz="4" w:space="0" w:color="auto"/>
              <w:left w:val="nil"/>
              <w:bottom w:val="single" w:sz="4" w:space="0" w:color="auto"/>
              <w:right w:val="single" w:sz="4" w:space="0" w:color="auto"/>
            </w:tcBorders>
            <w:shd w:val="clear" w:color="auto" w:fill="C6EFCE"/>
            <w:noWrap/>
          </w:tcPr>
          <w:p w14:paraId="42454883"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76FB8FCB"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2BC86685"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211B4E3" w14:textId="77777777" w:rsidR="003F46B9" w:rsidRDefault="0065662E">
            <w:pPr>
              <w:pStyle w:val="P68B1DB1-Normal5"/>
              <w:spacing w:after="0" w:line="240" w:lineRule="auto"/>
              <w:jc w:val="both"/>
              <w:rPr>
                <w:rFonts w:eastAsia="Times New Roman" w:cs="Times New Roman"/>
                <w:noProof/>
              </w:rPr>
            </w:pPr>
            <w:r>
              <w:rPr>
                <w:noProof/>
              </w:rPr>
              <w:t>200</w:t>
            </w:r>
          </w:p>
        </w:tc>
        <w:tc>
          <w:tcPr>
            <w:tcW w:w="908" w:type="dxa"/>
            <w:tcBorders>
              <w:top w:val="single" w:sz="4" w:space="0" w:color="auto"/>
              <w:left w:val="nil"/>
              <w:bottom w:val="single" w:sz="4" w:space="0" w:color="auto"/>
              <w:right w:val="single" w:sz="4" w:space="0" w:color="auto"/>
            </w:tcBorders>
            <w:shd w:val="clear" w:color="auto" w:fill="C6EFCE"/>
            <w:noWrap/>
          </w:tcPr>
          <w:p w14:paraId="3C5547A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EA992D4"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3A72905B" w14:textId="77777777" w:rsidR="003F46B9" w:rsidRDefault="0065662E">
            <w:pPr>
              <w:pStyle w:val="P68B1DB1-Normal5"/>
              <w:spacing w:after="0" w:line="240" w:lineRule="auto"/>
              <w:jc w:val="both"/>
              <w:rPr>
                <w:rFonts w:eastAsia="Times New Roman" w:cs="Times New Roman"/>
                <w:noProof/>
              </w:rPr>
            </w:pPr>
            <w:r>
              <w:rPr>
                <w:noProof/>
              </w:rPr>
              <w:t xml:space="preserve">Uspješno dovršeni projekti u </w:t>
            </w:r>
            <w:r>
              <w:rPr>
                <w:noProof/>
              </w:rPr>
              <w:t>području digitalizacije i digitalne transformacije nevladinih organizacija.</w:t>
            </w:r>
          </w:p>
          <w:p w14:paraId="5818B585" w14:textId="77777777" w:rsidR="003F46B9" w:rsidRDefault="0065662E">
            <w:pPr>
              <w:pStyle w:val="P68B1DB1-Normal5"/>
              <w:spacing w:after="0" w:line="240" w:lineRule="auto"/>
              <w:jc w:val="both"/>
              <w:rPr>
                <w:rFonts w:eastAsia="Times New Roman" w:cs="Times New Roman"/>
                <w:noProof/>
              </w:rPr>
            </w:pPr>
            <w:r>
              <w:rPr>
                <w:noProof/>
              </w:rPr>
              <w:t>Odabranim projektima podupiru se nevladine organizacije u digitalizaciji njihovih aktivnosti ulaganjem u digitalnu infrastrukturu, povećanjem digitalnih kompetencija osoblja i volo</w:t>
            </w:r>
            <w:r>
              <w:rPr>
                <w:noProof/>
              </w:rPr>
              <w:t xml:space="preserve">ntera u pružanju usluga na daljinu korisnicima, razvojem platformi i rješenja za upravljanje odnosima s klijentima. </w:t>
            </w:r>
          </w:p>
          <w:p w14:paraId="46F88D93" w14:textId="77777777" w:rsidR="003F46B9" w:rsidRDefault="0065662E">
            <w:pPr>
              <w:pStyle w:val="P68B1DB1-Normal5"/>
              <w:spacing w:after="0" w:line="240" w:lineRule="auto"/>
              <w:jc w:val="both"/>
              <w:rPr>
                <w:rFonts w:eastAsia="Times New Roman" w:cs="Times New Roman"/>
                <w:noProof/>
              </w:rPr>
            </w:pPr>
            <w:r>
              <w:rPr>
                <w:noProof/>
              </w:rPr>
              <w:t>Postupak odabira temelji se na sljedećim kriterijima: važnost projekta za digitalnu transformaciju i usklađenost; metodologija i izvedivost</w:t>
            </w:r>
            <w:r>
              <w:rPr>
                <w:noProof/>
              </w:rPr>
              <w:t xml:space="preserve"> projekta; održivost; predloženi proračun: predviđeni troškovi gospodarski su, opravdani i povezani s aktivnostima predloženima za digitalizaciju. Prijavitelj i predloženi projektni tim imaju iskustvo, stručnost, motivaciju i kapacitet za provedbu projekta</w:t>
            </w:r>
            <w:r>
              <w:rPr>
                <w:noProof/>
              </w:rPr>
              <w:t>.</w:t>
            </w:r>
          </w:p>
          <w:p w14:paraId="485C2D93" w14:textId="77777777" w:rsidR="003F46B9" w:rsidRDefault="0065662E">
            <w:pPr>
              <w:pStyle w:val="P68B1DB1-Normal5"/>
              <w:spacing w:after="0" w:line="240" w:lineRule="auto"/>
              <w:jc w:val="both"/>
              <w:rPr>
                <w:rFonts w:eastAsia="Times New Roman" w:cs="Times New Roman"/>
                <w:noProof/>
              </w:rPr>
            </w:pPr>
            <w:r>
              <w:rPr>
                <w:noProof/>
              </w:rPr>
              <w:t>Potpora iznosi do 70 000 EUR po projektu za razdoblje provedbe od najviše 30 mjeseci.</w:t>
            </w:r>
          </w:p>
        </w:tc>
      </w:tr>
      <w:tr w:rsidR="003F46B9" w14:paraId="5CA907E8"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2BDA559" w14:textId="77777777" w:rsidR="003F46B9" w:rsidRDefault="0065662E">
            <w:pPr>
              <w:pStyle w:val="P68B1DB1-Normal5"/>
              <w:spacing w:after="0" w:line="240" w:lineRule="auto"/>
              <w:jc w:val="center"/>
              <w:rPr>
                <w:rFonts w:eastAsia="Times New Roman" w:cs="Times New Roman"/>
                <w:noProof/>
              </w:rPr>
            </w:pPr>
            <w:r>
              <w:rPr>
                <w:noProof/>
              </w:rPr>
              <w:t>176</w:t>
            </w:r>
          </w:p>
        </w:tc>
        <w:tc>
          <w:tcPr>
            <w:tcW w:w="1740" w:type="dxa"/>
            <w:tcBorders>
              <w:top w:val="single" w:sz="4" w:space="0" w:color="auto"/>
              <w:left w:val="nil"/>
              <w:bottom w:val="single" w:sz="4" w:space="0" w:color="auto"/>
              <w:right w:val="single" w:sz="4" w:space="0" w:color="auto"/>
            </w:tcBorders>
            <w:shd w:val="clear" w:color="auto" w:fill="C6EFCE"/>
            <w:noWrap/>
          </w:tcPr>
          <w:p w14:paraId="107D0321" w14:textId="77777777" w:rsidR="003F46B9" w:rsidRDefault="0065662E">
            <w:pPr>
              <w:pStyle w:val="P68B1DB1-Normal5"/>
              <w:spacing w:after="0" w:line="240" w:lineRule="auto"/>
              <w:jc w:val="both"/>
              <w:rPr>
                <w:rFonts w:eastAsia="Times New Roman" w:cs="Times New Roman"/>
                <w:noProof/>
              </w:rPr>
            </w:pPr>
            <w:r>
              <w:rPr>
                <w:noProof/>
              </w:rPr>
              <w:t>Ulaganje 9.</w:t>
            </w:r>
          </w:p>
          <w:p w14:paraId="26EDBA85" w14:textId="77777777" w:rsidR="003F46B9" w:rsidRDefault="0065662E">
            <w:pPr>
              <w:pStyle w:val="P68B1DB1-Normal5"/>
              <w:spacing w:after="0" w:line="240" w:lineRule="auto"/>
              <w:jc w:val="both"/>
              <w:rPr>
                <w:rFonts w:eastAsia="Times New Roman" w:cs="Times New Roman"/>
                <w:noProof/>
              </w:rPr>
            </w:pPr>
            <w:r>
              <w:rPr>
                <w:noProof/>
              </w:rPr>
              <w:t xml:space="preserve">Digitalizacija nevladinih organizacija </w:t>
            </w:r>
          </w:p>
        </w:tc>
        <w:tc>
          <w:tcPr>
            <w:tcW w:w="1073" w:type="dxa"/>
            <w:tcBorders>
              <w:top w:val="single" w:sz="4" w:space="0" w:color="auto"/>
              <w:left w:val="nil"/>
              <w:bottom w:val="single" w:sz="4" w:space="0" w:color="auto"/>
              <w:right w:val="single" w:sz="4" w:space="0" w:color="auto"/>
            </w:tcBorders>
            <w:shd w:val="clear" w:color="auto" w:fill="C6EFCE"/>
            <w:noWrap/>
          </w:tcPr>
          <w:p w14:paraId="09193645"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2743A027" w14:textId="77777777" w:rsidR="003F46B9" w:rsidRDefault="0065662E">
            <w:pPr>
              <w:pStyle w:val="P68B1DB1-Normal5"/>
              <w:spacing w:after="0" w:line="240" w:lineRule="auto"/>
              <w:jc w:val="both"/>
              <w:rPr>
                <w:rFonts w:eastAsia="Times New Roman" w:cs="Times New Roman"/>
                <w:noProof/>
              </w:rPr>
            </w:pPr>
            <w:r>
              <w:rPr>
                <w:noProof/>
              </w:rPr>
              <w:t>Resursni centar za digitalnu transformaciju nevladinih organizacija</w:t>
            </w:r>
          </w:p>
          <w:p w14:paraId="6863BCA6"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55492D41" w14:textId="77777777" w:rsidR="003F46B9" w:rsidRDefault="0065662E">
            <w:pPr>
              <w:pStyle w:val="P68B1DB1-Normal5"/>
              <w:spacing w:after="0" w:line="240" w:lineRule="auto"/>
              <w:jc w:val="both"/>
              <w:rPr>
                <w:rFonts w:eastAsia="Times New Roman" w:cs="Times New Roman"/>
                <w:noProof/>
              </w:rPr>
            </w:pPr>
            <w:r>
              <w:rPr>
                <w:noProof/>
              </w:rPr>
              <w:t xml:space="preserve">Osnovan je i operativan </w:t>
            </w:r>
            <w:r>
              <w:rPr>
                <w:noProof/>
              </w:rPr>
              <w:t>resursni centar</w:t>
            </w:r>
          </w:p>
        </w:tc>
        <w:tc>
          <w:tcPr>
            <w:tcW w:w="940" w:type="dxa"/>
            <w:tcBorders>
              <w:top w:val="single" w:sz="4" w:space="0" w:color="auto"/>
              <w:left w:val="nil"/>
              <w:bottom w:val="single" w:sz="4" w:space="0" w:color="auto"/>
              <w:right w:val="single" w:sz="4" w:space="0" w:color="auto"/>
            </w:tcBorders>
            <w:shd w:val="clear" w:color="auto" w:fill="C6EFCE"/>
            <w:noWrap/>
          </w:tcPr>
          <w:p w14:paraId="735A079A"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5FE29BD9"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1381CC3F"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75853C6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136AA850"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7DC7D2C2" w14:textId="77777777" w:rsidR="003F46B9" w:rsidRDefault="0065662E">
            <w:pPr>
              <w:pStyle w:val="P68B1DB1-Normal5"/>
              <w:spacing w:after="0" w:line="240" w:lineRule="auto"/>
              <w:jc w:val="both"/>
              <w:rPr>
                <w:rFonts w:eastAsia="Times New Roman" w:cs="Times New Roman"/>
                <w:noProof/>
              </w:rPr>
            </w:pPr>
            <w:r>
              <w:rPr>
                <w:noProof/>
              </w:rPr>
              <w:t>Resursni centar za digitalizaciju nevladinih organizacija osigurava:</w:t>
            </w:r>
          </w:p>
          <w:p w14:paraId="75ED6A8A" w14:textId="77777777" w:rsidR="003F46B9" w:rsidRDefault="0065662E">
            <w:pPr>
              <w:pStyle w:val="P68B1DB1-ListParagraph13"/>
              <w:numPr>
                <w:ilvl w:val="0"/>
                <w:numId w:val="57"/>
              </w:numPr>
              <w:spacing w:after="0" w:line="240" w:lineRule="auto"/>
              <w:ind w:left="260" w:hanging="218"/>
              <w:jc w:val="both"/>
              <w:rPr>
                <w:rFonts w:eastAsia="Times New Roman" w:cs="Times New Roman"/>
                <w:noProof/>
              </w:rPr>
            </w:pPr>
            <w:r>
              <w:rPr>
                <w:noProof/>
              </w:rPr>
              <w:t xml:space="preserve">razvoj informatičkih usluga i softverskih rješenja otvorenog koda te tehnička pomoć u provedbi strategija digitalne transformacije </w:t>
            </w:r>
          </w:p>
          <w:p w14:paraId="301D18F5" w14:textId="77777777" w:rsidR="003F46B9" w:rsidRDefault="0065662E">
            <w:pPr>
              <w:pStyle w:val="P68B1DB1-ListParagraph13"/>
              <w:numPr>
                <w:ilvl w:val="0"/>
                <w:numId w:val="57"/>
              </w:numPr>
              <w:spacing w:after="0" w:line="240" w:lineRule="auto"/>
              <w:ind w:left="260" w:hanging="218"/>
              <w:jc w:val="both"/>
              <w:rPr>
                <w:rFonts w:eastAsia="Times New Roman" w:cs="Times New Roman"/>
                <w:noProof/>
              </w:rPr>
            </w:pPr>
            <w:r>
              <w:rPr>
                <w:noProof/>
              </w:rPr>
              <w:t>centralizacija post</w:t>
            </w:r>
            <w:r>
              <w:rPr>
                <w:noProof/>
              </w:rPr>
              <w:t xml:space="preserve">ojećih digitalnih resursa u otvorenoj digitalnoj knjižari </w:t>
            </w:r>
          </w:p>
          <w:p w14:paraId="67534D56" w14:textId="77777777" w:rsidR="003F46B9" w:rsidRDefault="0065662E">
            <w:pPr>
              <w:pStyle w:val="ListParagraph"/>
              <w:numPr>
                <w:ilvl w:val="0"/>
                <w:numId w:val="57"/>
              </w:numPr>
              <w:spacing w:after="0" w:line="240" w:lineRule="auto"/>
              <w:ind w:left="260" w:hanging="218"/>
              <w:jc w:val="both"/>
              <w:rPr>
                <w:rFonts w:ascii="Times New Roman" w:eastAsia="Times New Roman" w:hAnsi="Times New Roman" w:cs="Times New Roman"/>
                <w:noProof/>
                <w:sz w:val="24"/>
              </w:rPr>
            </w:pPr>
            <w:r>
              <w:rPr>
                <w:rFonts w:ascii="Times New Roman" w:hAnsi="Times New Roman"/>
                <w:noProof/>
                <w:sz w:val="24"/>
              </w:rPr>
              <w:t>omogućivanje lakšeg pristupa</w:t>
            </w:r>
            <w:r>
              <w:rPr>
                <w:noProof/>
              </w:rPr>
              <w:t xml:space="preserve"> </w:t>
            </w:r>
            <w:r>
              <w:rPr>
                <w:noProof/>
              </w:rPr>
              <w:br/>
            </w:r>
            <w:r>
              <w:rPr>
                <w:rFonts w:ascii="Times New Roman" w:hAnsi="Times New Roman"/>
                <w:noProof/>
                <w:sz w:val="24"/>
              </w:rPr>
              <w:t xml:space="preserve">pomoć, e-učenje i osposobljavanje </w:t>
            </w:r>
          </w:p>
          <w:p w14:paraId="01CAD063" w14:textId="1696C5C9" w:rsidR="003F46B9" w:rsidRDefault="0065662E">
            <w:pPr>
              <w:pStyle w:val="ListParagraph"/>
              <w:numPr>
                <w:ilvl w:val="0"/>
                <w:numId w:val="57"/>
              </w:numPr>
              <w:spacing w:after="0" w:line="240" w:lineRule="auto"/>
              <w:ind w:left="260" w:hanging="218"/>
              <w:jc w:val="both"/>
              <w:rPr>
                <w:rFonts w:ascii="Times New Roman" w:eastAsia="Times New Roman" w:hAnsi="Times New Roman" w:cs="Times New Roman"/>
                <w:noProof/>
                <w:sz w:val="24"/>
              </w:rPr>
            </w:pPr>
            <w:r>
              <w:rPr>
                <w:rFonts w:ascii="Times New Roman" w:hAnsi="Times New Roman"/>
                <w:noProof/>
                <w:sz w:val="24"/>
              </w:rPr>
              <w:t>Zajednice praktičara</w:t>
            </w:r>
            <w:r>
              <w:rPr>
                <w:noProof/>
              </w:rPr>
              <w:br/>
            </w:r>
            <w:r>
              <w:rPr>
                <w:rFonts w:ascii="Times New Roman" w:hAnsi="Times New Roman"/>
                <w:noProof/>
                <w:sz w:val="24"/>
              </w:rPr>
              <w:t xml:space="preserve">prilagođena potpora u procesima digitalne transformacije. </w:t>
            </w:r>
          </w:p>
        </w:tc>
      </w:tr>
      <w:tr w:rsidR="003F46B9" w14:paraId="0110845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BA133FC" w14:textId="77777777" w:rsidR="003F46B9" w:rsidRDefault="0065662E">
            <w:pPr>
              <w:pStyle w:val="P68B1DB1-Normal5"/>
              <w:spacing w:after="0" w:line="240" w:lineRule="auto"/>
              <w:jc w:val="center"/>
              <w:rPr>
                <w:rFonts w:eastAsia="Times New Roman" w:cs="Times New Roman"/>
                <w:noProof/>
              </w:rPr>
            </w:pPr>
            <w:r>
              <w:rPr>
                <w:noProof/>
              </w:rPr>
              <w:t>177</w:t>
            </w:r>
          </w:p>
        </w:tc>
        <w:tc>
          <w:tcPr>
            <w:tcW w:w="1740" w:type="dxa"/>
            <w:tcBorders>
              <w:top w:val="single" w:sz="4" w:space="0" w:color="auto"/>
              <w:left w:val="nil"/>
              <w:bottom w:val="single" w:sz="4" w:space="0" w:color="auto"/>
              <w:right w:val="single" w:sz="4" w:space="0" w:color="auto"/>
            </w:tcBorders>
            <w:shd w:val="clear" w:color="auto" w:fill="C6EFCE"/>
            <w:noWrap/>
          </w:tcPr>
          <w:p w14:paraId="5254402F" w14:textId="77777777" w:rsidR="003F46B9" w:rsidRDefault="0065662E">
            <w:pPr>
              <w:pStyle w:val="P68B1DB1-Normal5"/>
              <w:spacing w:after="0" w:line="240" w:lineRule="auto"/>
              <w:jc w:val="both"/>
              <w:rPr>
                <w:rFonts w:eastAsia="Times New Roman" w:cs="Times New Roman"/>
                <w:noProof/>
              </w:rPr>
            </w:pPr>
            <w:r>
              <w:rPr>
                <w:noProof/>
              </w:rPr>
              <w:t>Ulaganje 10.</w:t>
            </w:r>
          </w:p>
          <w:p w14:paraId="052F2BA9" w14:textId="77777777" w:rsidR="003F46B9" w:rsidRDefault="0065662E">
            <w:pPr>
              <w:pStyle w:val="P68B1DB1-Normal5"/>
              <w:spacing w:after="0" w:line="240" w:lineRule="auto"/>
              <w:jc w:val="both"/>
              <w:rPr>
                <w:rFonts w:eastAsia="Times New Roman" w:cs="Times New Roman"/>
                <w:noProof/>
              </w:rPr>
            </w:pPr>
            <w:r>
              <w:rPr>
                <w:noProof/>
              </w:rPr>
              <w:t xml:space="preserve">Digitalna transformacija u </w:t>
            </w:r>
            <w:r>
              <w:rPr>
                <w:noProof/>
              </w:rPr>
              <w:t>upravljanju javnim službama</w:t>
            </w:r>
          </w:p>
        </w:tc>
        <w:tc>
          <w:tcPr>
            <w:tcW w:w="1073" w:type="dxa"/>
            <w:tcBorders>
              <w:top w:val="single" w:sz="4" w:space="0" w:color="auto"/>
              <w:left w:val="nil"/>
              <w:bottom w:val="single" w:sz="4" w:space="0" w:color="auto"/>
              <w:right w:val="single" w:sz="4" w:space="0" w:color="auto"/>
            </w:tcBorders>
            <w:shd w:val="clear" w:color="auto" w:fill="C6EFCE"/>
            <w:noWrap/>
          </w:tcPr>
          <w:p w14:paraId="7DAAAB09"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177084C3" w14:textId="77777777" w:rsidR="003F46B9" w:rsidRDefault="0065662E">
            <w:pPr>
              <w:pStyle w:val="P68B1DB1-Normal5"/>
              <w:spacing w:after="0" w:line="240" w:lineRule="auto"/>
              <w:jc w:val="both"/>
              <w:rPr>
                <w:rFonts w:eastAsia="Times New Roman" w:cs="Times New Roman"/>
                <w:noProof/>
              </w:rPr>
            </w:pPr>
            <w:r>
              <w:rPr>
                <w:noProof/>
              </w:rPr>
              <w:t>Uspostavljaju se i operacionaliziraju interaktivne i suradničke platforme za standardizirano upravljanje ljudskim resursima u središnjoj javnoj upravi</w:t>
            </w:r>
          </w:p>
        </w:tc>
        <w:tc>
          <w:tcPr>
            <w:tcW w:w="1474" w:type="dxa"/>
            <w:tcBorders>
              <w:top w:val="single" w:sz="4" w:space="0" w:color="auto"/>
              <w:left w:val="nil"/>
              <w:bottom w:val="single" w:sz="4" w:space="0" w:color="auto"/>
              <w:right w:val="single" w:sz="4" w:space="0" w:color="auto"/>
            </w:tcBorders>
            <w:shd w:val="clear" w:color="auto" w:fill="C6EFCE"/>
            <w:noWrap/>
          </w:tcPr>
          <w:p w14:paraId="52A1F67E" w14:textId="77777777" w:rsidR="003F46B9" w:rsidRDefault="0065662E">
            <w:pPr>
              <w:pStyle w:val="P68B1DB1-Normal5"/>
              <w:spacing w:after="0" w:line="240" w:lineRule="auto"/>
              <w:jc w:val="both"/>
              <w:rPr>
                <w:rFonts w:eastAsia="Times New Roman" w:cs="Times New Roman"/>
                <w:noProof/>
              </w:rPr>
            </w:pPr>
            <w:r>
              <w:rPr>
                <w:noProof/>
              </w:rPr>
              <w:t>Operacionalizirane platforme</w:t>
            </w:r>
          </w:p>
        </w:tc>
        <w:tc>
          <w:tcPr>
            <w:tcW w:w="940" w:type="dxa"/>
            <w:tcBorders>
              <w:top w:val="single" w:sz="4" w:space="0" w:color="auto"/>
              <w:left w:val="nil"/>
              <w:bottom w:val="single" w:sz="4" w:space="0" w:color="auto"/>
              <w:right w:val="single" w:sz="4" w:space="0" w:color="auto"/>
            </w:tcBorders>
            <w:shd w:val="clear" w:color="auto" w:fill="C6EFCE"/>
            <w:noWrap/>
          </w:tcPr>
          <w:p w14:paraId="2A7A2ED2"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2C62E91C"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6995A133"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2C560D0D"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7C3F784C"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29F6EDE0" w14:textId="77777777" w:rsidR="003F46B9" w:rsidRDefault="0065662E">
            <w:pPr>
              <w:pStyle w:val="P68B1DB1-Normal5"/>
              <w:spacing w:after="0" w:line="240" w:lineRule="auto"/>
              <w:jc w:val="both"/>
              <w:rPr>
                <w:rFonts w:eastAsia="Times New Roman" w:cs="Times New Roman"/>
                <w:noProof/>
              </w:rPr>
            </w:pPr>
            <w:r>
              <w:rPr>
                <w:noProof/>
              </w:rPr>
              <w:t>Platform</w:t>
            </w:r>
            <w:r>
              <w:rPr>
                <w:noProof/>
              </w:rPr>
              <w:t xml:space="preserve">e za suradnju obuhvaćaju sve postupke, od uključivanja u posao do evaluacije, promidžbe i izlaska iz javnog sustava, na temelju modela okvira kompetencija i standardiziranih opisa radnih mjesta. </w:t>
            </w:r>
          </w:p>
        </w:tc>
      </w:tr>
      <w:tr w:rsidR="003F46B9" w14:paraId="2CB837A1"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1B2C364" w14:textId="77777777" w:rsidR="003F46B9" w:rsidRDefault="0065662E">
            <w:pPr>
              <w:pStyle w:val="P68B1DB1-Normal5"/>
              <w:spacing w:after="0" w:line="240" w:lineRule="auto"/>
              <w:jc w:val="center"/>
              <w:rPr>
                <w:rFonts w:eastAsia="Times New Roman" w:cs="Times New Roman"/>
                <w:noProof/>
              </w:rPr>
            </w:pPr>
            <w:r>
              <w:rPr>
                <w:noProof/>
              </w:rPr>
              <w:t>178</w:t>
            </w:r>
          </w:p>
        </w:tc>
        <w:tc>
          <w:tcPr>
            <w:tcW w:w="1740" w:type="dxa"/>
            <w:tcBorders>
              <w:top w:val="single" w:sz="4" w:space="0" w:color="auto"/>
              <w:left w:val="nil"/>
              <w:bottom w:val="single" w:sz="4" w:space="0" w:color="auto"/>
              <w:right w:val="single" w:sz="4" w:space="0" w:color="auto"/>
            </w:tcBorders>
            <w:shd w:val="clear" w:color="auto" w:fill="C6EFCE"/>
            <w:noWrap/>
          </w:tcPr>
          <w:p w14:paraId="71FECAD6" w14:textId="77777777" w:rsidR="003F46B9" w:rsidRDefault="0065662E">
            <w:pPr>
              <w:pStyle w:val="P68B1DB1-Normal5"/>
              <w:spacing w:after="0" w:line="240" w:lineRule="auto"/>
              <w:jc w:val="both"/>
              <w:rPr>
                <w:rFonts w:eastAsia="Times New Roman" w:cs="Times New Roman"/>
                <w:noProof/>
              </w:rPr>
            </w:pPr>
            <w:r>
              <w:rPr>
                <w:noProof/>
              </w:rPr>
              <w:t>Ulaganje 11.</w:t>
            </w:r>
          </w:p>
          <w:p w14:paraId="56B874B1" w14:textId="77777777" w:rsidR="003F46B9" w:rsidRDefault="0065662E">
            <w:pPr>
              <w:pStyle w:val="P68B1DB1-Normal5"/>
              <w:spacing w:after="0" w:line="240" w:lineRule="auto"/>
              <w:jc w:val="both"/>
              <w:rPr>
                <w:rFonts w:eastAsia="Times New Roman" w:cs="Times New Roman"/>
                <w:noProof/>
              </w:rPr>
            </w:pPr>
            <w:r>
              <w:rPr>
                <w:noProof/>
              </w:rPr>
              <w:t xml:space="preserve">Provedba programa za potporu upotrebi komunikacijskih usluga s pomoću različitih vrsta instrumenata za korisnike, s naglaskom na bijelim područjima </w:t>
            </w:r>
          </w:p>
        </w:tc>
        <w:tc>
          <w:tcPr>
            <w:tcW w:w="1073" w:type="dxa"/>
            <w:tcBorders>
              <w:top w:val="single" w:sz="4" w:space="0" w:color="auto"/>
              <w:left w:val="nil"/>
              <w:bottom w:val="single" w:sz="4" w:space="0" w:color="auto"/>
              <w:right w:val="single" w:sz="4" w:space="0" w:color="auto"/>
            </w:tcBorders>
            <w:shd w:val="clear" w:color="auto" w:fill="C6EFCE"/>
            <w:noWrap/>
          </w:tcPr>
          <w:p w14:paraId="7D619B5D"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A141B3F" w14:textId="77777777" w:rsidR="003F46B9" w:rsidRDefault="0065662E">
            <w:pPr>
              <w:pStyle w:val="P68B1DB1-Normal5"/>
              <w:spacing w:after="0" w:line="240" w:lineRule="auto"/>
              <w:jc w:val="both"/>
              <w:rPr>
                <w:rFonts w:eastAsia="Times New Roman" w:cs="Times New Roman"/>
                <w:noProof/>
              </w:rPr>
            </w:pPr>
            <w:r>
              <w:rPr>
                <w:noProof/>
              </w:rPr>
              <w:t xml:space="preserve">Sela u bijelim područjima povezana s internetom vrlo velike brzine </w:t>
            </w:r>
          </w:p>
        </w:tc>
        <w:tc>
          <w:tcPr>
            <w:tcW w:w="1474" w:type="dxa"/>
            <w:tcBorders>
              <w:top w:val="single" w:sz="4" w:space="0" w:color="auto"/>
              <w:left w:val="nil"/>
              <w:bottom w:val="single" w:sz="4" w:space="0" w:color="auto"/>
              <w:right w:val="single" w:sz="4" w:space="0" w:color="auto"/>
            </w:tcBorders>
            <w:shd w:val="clear" w:color="auto" w:fill="C6EFCE"/>
            <w:noWrap/>
          </w:tcPr>
          <w:p w14:paraId="10660F2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3660787A"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2DFABF55"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78ADFA6" w14:textId="77777777" w:rsidR="003F46B9" w:rsidRDefault="0065662E">
            <w:pPr>
              <w:pStyle w:val="P68B1DB1-Normal5"/>
              <w:spacing w:after="0" w:line="240" w:lineRule="auto"/>
              <w:jc w:val="both"/>
              <w:rPr>
                <w:rFonts w:eastAsia="Times New Roman" w:cs="Times New Roman"/>
                <w:noProof/>
              </w:rPr>
            </w:pPr>
            <w:r>
              <w:rPr>
                <w:noProof/>
              </w:rPr>
              <w:t>945</w:t>
            </w:r>
          </w:p>
        </w:tc>
        <w:tc>
          <w:tcPr>
            <w:tcW w:w="908" w:type="dxa"/>
            <w:tcBorders>
              <w:top w:val="single" w:sz="4" w:space="0" w:color="auto"/>
              <w:left w:val="nil"/>
              <w:bottom w:val="single" w:sz="4" w:space="0" w:color="auto"/>
              <w:right w:val="single" w:sz="4" w:space="0" w:color="auto"/>
            </w:tcBorders>
            <w:shd w:val="clear" w:color="auto" w:fill="C6EFCE"/>
            <w:noWrap/>
          </w:tcPr>
          <w:p w14:paraId="75B28685"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CDF8464"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05E6D5B6" w14:textId="77777777" w:rsidR="003F46B9" w:rsidRDefault="0065662E">
            <w:pPr>
              <w:pStyle w:val="P68B1DB1-Normal5"/>
              <w:spacing w:after="0" w:line="240" w:lineRule="auto"/>
              <w:jc w:val="both"/>
              <w:rPr>
                <w:rFonts w:eastAsia="Times New Roman" w:cs="Times New Roman"/>
                <w:noProof/>
              </w:rPr>
            </w:pPr>
            <w:r>
              <w:rPr>
                <w:noProof/>
              </w:rPr>
              <w:t>945 sela na bijelim područjima moraju biti povezana s uslugama pristupa internetu vrlo velike brzine na fiksnoj lokaciji na kojoj tržište ne može pružati usluge. Selima se daje prednost kako slijedi:</w:t>
            </w:r>
          </w:p>
          <w:p w14:paraId="03A15161" w14:textId="77777777" w:rsidR="003F46B9" w:rsidRDefault="0065662E">
            <w:pPr>
              <w:pStyle w:val="P68B1DB1-Normal5"/>
              <w:spacing w:after="0" w:line="240" w:lineRule="auto"/>
              <w:jc w:val="both"/>
              <w:rPr>
                <w:rFonts w:eastAsia="Times New Roman" w:cs="Times New Roman"/>
                <w:noProof/>
              </w:rPr>
            </w:pPr>
            <w:r>
              <w:rPr>
                <w:noProof/>
              </w:rPr>
              <w:t>—apsolutan prioritet za ruralne ili udaljene općin</w:t>
            </w:r>
            <w:r>
              <w:rPr>
                <w:noProof/>
              </w:rPr>
              <w:t>e koje ne opskrbljuju fiksnim mrežama.</w:t>
            </w:r>
          </w:p>
          <w:p w14:paraId="5EBBBACC" w14:textId="77777777" w:rsidR="003F46B9" w:rsidRDefault="0065662E">
            <w:pPr>
              <w:pStyle w:val="P68B1DB1-Normal5"/>
              <w:spacing w:after="0" w:line="240" w:lineRule="auto"/>
              <w:jc w:val="both"/>
              <w:rPr>
                <w:rFonts w:eastAsia="Times New Roman" w:cs="Times New Roman"/>
                <w:noProof/>
              </w:rPr>
            </w:pPr>
            <w:r>
              <w:rPr>
                <w:noProof/>
              </w:rPr>
              <w:t>—glavni prioritet daje se ruralnim i udaljenim područjima koja nisu dovoljno opterećena fiksnim mrežama.</w:t>
            </w:r>
          </w:p>
          <w:p w14:paraId="62FA05AA" w14:textId="77777777" w:rsidR="003F46B9" w:rsidRDefault="0065662E">
            <w:pPr>
              <w:pStyle w:val="P68B1DB1-Normal5"/>
              <w:spacing w:after="0" w:line="240" w:lineRule="auto"/>
              <w:jc w:val="both"/>
              <w:rPr>
                <w:rFonts w:eastAsia="Times New Roman" w:cs="Times New Roman"/>
                <w:noProof/>
              </w:rPr>
            </w:pPr>
            <w:r>
              <w:rPr>
                <w:noProof/>
              </w:rPr>
              <w:t>Minimalna brzina mora biti prilagodljiva najmanje 100 Mbps, a mreže moraju biti FTTB/H i/ili 5G.</w:t>
            </w:r>
          </w:p>
        </w:tc>
      </w:tr>
      <w:tr w:rsidR="003F46B9" w14:paraId="56FF773C"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323AF268" w14:textId="77777777" w:rsidR="003F46B9" w:rsidRDefault="0065662E">
            <w:pPr>
              <w:pStyle w:val="P68B1DB1-Normal5"/>
              <w:spacing w:after="0" w:line="240" w:lineRule="auto"/>
              <w:jc w:val="center"/>
              <w:rPr>
                <w:rFonts w:eastAsia="Times New Roman" w:cs="Times New Roman"/>
                <w:noProof/>
              </w:rPr>
            </w:pPr>
            <w:r>
              <w:rPr>
                <w:noProof/>
              </w:rPr>
              <w:t>179</w:t>
            </w:r>
          </w:p>
        </w:tc>
        <w:tc>
          <w:tcPr>
            <w:tcW w:w="1740" w:type="dxa"/>
            <w:tcBorders>
              <w:top w:val="single" w:sz="4" w:space="0" w:color="auto"/>
              <w:left w:val="nil"/>
              <w:bottom w:val="single" w:sz="4" w:space="0" w:color="auto"/>
              <w:right w:val="single" w:sz="4" w:space="0" w:color="auto"/>
            </w:tcBorders>
            <w:shd w:val="clear" w:color="auto" w:fill="C6EFCE"/>
            <w:noWrap/>
          </w:tcPr>
          <w:p w14:paraId="1A724E3C" w14:textId="77777777" w:rsidR="003F46B9" w:rsidRDefault="0065662E">
            <w:pPr>
              <w:pStyle w:val="P68B1DB1-Normal5"/>
              <w:spacing w:after="0" w:line="240" w:lineRule="auto"/>
              <w:jc w:val="both"/>
              <w:rPr>
                <w:rFonts w:eastAsia="Times New Roman" w:cs="Times New Roman"/>
                <w:noProof/>
              </w:rPr>
            </w:pPr>
            <w:r>
              <w:rPr>
                <w:noProof/>
              </w:rPr>
              <w:t xml:space="preserve">Ulaganje 12. </w:t>
            </w:r>
          </w:p>
          <w:p w14:paraId="2E300E18" w14:textId="77777777" w:rsidR="003F46B9" w:rsidRDefault="0065662E">
            <w:pPr>
              <w:pStyle w:val="P68B1DB1-Normal5"/>
              <w:spacing w:after="0" w:line="240" w:lineRule="auto"/>
              <w:jc w:val="both"/>
              <w:rPr>
                <w:rFonts w:eastAsia="Times New Roman" w:cs="Times New Roman"/>
                <w:noProof/>
              </w:rPr>
            </w:pPr>
            <w:r>
              <w:rPr>
                <w:noProof/>
              </w:rPr>
              <w:t xml:space="preserve">Osiguravanje zaštite kibersigurnosti za javne i privatne infrastrukture ITC-a koje imaju ključnu vrijednost za nacionalnu sigurnost primjenom pametnih tehnologija </w:t>
            </w:r>
          </w:p>
        </w:tc>
        <w:tc>
          <w:tcPr>
            <w:tcW w:w="1073" w:type="dxa"/>
            <w:tcBorders>
              <w:top w:val="single" w:sz="4" w:space="0" w:color="auto"/>
              <w:left w:val="nil"/>
              <w:bottom w:val="single" w:sz="4" w:space="0" w:color="auto"/>
              <w:right w:val="single" w:sz="4" w:space="0" w:color="auto"/>
            </w:tcBorders>
            <w:shd w:val="clear" w:color="auto" w:fill="C6EFCE"/>
            <w:noWrap/>
          </w:tcPr>
          <w:p w14:paraId="04996E56"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0D2A94E3" w14:textId="77777777" w:rsidR="003F46B9" w:rsidRDefault="0065662E">
            <w:pPr>
              <w:pStyle w:val="P68B1DB1-Normal5"/>
              <w:spacing w:after="0" w:line="240" w:lineRule="auto"/>
              <w:jc w:val="both"/>
              <w:rPr>
                <w:rFonts w:eastAsia="Times New Roman" w:cs="Times New Roman"/>
                <w:noProof/>
              </w:rPr>
            </w:pPr>
            <w:r>
              <w:rPr>
                <w:noProof/>
              </w:rPr>
              <w:t xml:space="preserve">Subjekti sa sigurnim infrastrukturama informacijske i komunikacijske </w:t>
            </w:r>
            <w:r>
              <w:rPr>
                <w:noProof/>
              </w:rPr>
              <w:t>tehnologije</w:t>
            </w:r>
          </w:p>
          <w:p w14:paraId="359E926C"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1F63F76D"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917E14B"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042AEC24"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DB1D826" w14:textId="77777777" w:rsidR="003F46B9" w:rsidRDefault="0065662E">
            <w:pPr>
              <w:pStyle w:val="P68B1DB1-Normal5"/>
              <w:spacing w:after="0" w:line="240" w:lineRule="auto"/>
              <w:jc w:val="both"/>
              <w:rPr>
                <w:rFonts w:eastAsia="Times New Roman" w:cs="Times New Roman"/>
                <w:noProof/>
              </w:rPr>
            </w:pPr>
            <w:r>
              <w:rPr>
                <w:noProof/>
              </w:rPr>
              <w:t>101</w:t>
            </w:r>
          </w:p>
        </w:tc>
        <w:tc>
          <w:tcPr>
            <w:tcW w:w="908" w:type="dxa"/>
            <w:tcBorders>
              <w:top w:val="single" w:sz="4" w:space="0" w:color="auto"/>
              <w:left w:val="nil"/>
              <w:bottom w:val="single" w:sz="4" w:space="0" w:color="auto"/>
              <w:right w:val="single" w:sz="4" w:space="0" w:color="auto"/>
            </w:tcBorders>
            <w:shd w:val="clear" w:color="auto" w:fill="C6EFCE"/>
            <w:noWrap/>
          </w:tcPr>
          <w:p w14:paraId="2ABE170D"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9872144"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30141BD9" w14:textId="77777777" w:rsidR="003F46B9" w:rsidRDefault="0065662E">
            <w:pPr>
              <w:pStyle w:val="P68B1DB1-Normal5"/>
              <w:spacing w:after="0" w:line="240" w:lineRule="auto"/>
              <w:jc w:val="both"/>
              <w:rPr>
                <w:rFonts w:eastAsia="Times New Roman" w:cs="Times New Roman"/>
                <w:noProof/>
              </w:rPr>
            </w:pPr>
            <w:r>
              <w:rPr>
                <w:noProof/>
              </w:rPr>
              <w:t>Osiguravanje infrastrukture 101 javnog i privatnog subjekta, koji imaju infrastrukturu informacijske i komunikacijske tehnologije od ključne važnosti za nacionalnu sigurnost: subjekti u državnom području, u područ</w:t>
            </w:r>
            <w:r>
              <w:rPr>
                <w:noProof/>
              </w:rPr>
              <w:t>ju energetike (kao što su dobavljači/distributeri plina ili električne energije), vodoopskrba i kanalizacija, osnovne usluge, zdravstvo i promet (kao što su zračne luke, luke). Među njima je 59 subjekata uključeno u nacionalni sustav kibernetičke sigurnost</w:t>
            </w:r>
            <w:r>
              <w:rPr>
                <w:noProof/>
              </w:rPr>
              <w:t>i u svrhu povećanja razine sigurnosti dodavanjem novih tehnologija i rješenja, a 42 su korisnika koja treba utvrditi u skladu s kriterijima navedenima u nastavku. Nadalje, devet od 101 subjekta koji imaju infrastrukturu za OT ima koristi od rješenja za kib</w:t>
            </w:r>
            <w:r>
              <w:rPr>
                <w:noProof/>
              </w:rPr>
              <w:t>ersigurnost za kontrolu industrije (ICS).</w:t>
            </w:r>
          </w:p>
          <w:p w14:paraId="0E7D2E20" w14:textId="77777777" w:rsidR="003F46B9" w:rsidRDefault="0065662E">
            <w:pPr>
              <w:pStyle w:val="P68B1DB1-Normal5"/>
              <w:spacing w:after="0" w:line="240" w:lineRule="auto"/>
              <w:jc w:val="both"/>
              <w:rPr>
                <w:rFonts w:eastAsia="Times New Roman" w:cs="Times New Roman"/>
                <w:noProof/>
              </w:rPr>
            </w:pPr>
            <w:r>
              <w:rPr>
                <w:noProof/>
              </w:rPr>
              <w:t>Infrastrukturu odabire:</w:t>
            </w:r>
          </w:p>
          <w:p w14:paraId="735F3061"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uzimajući u obzir vjerojatnost napada kibernapadima APT-a (napredne trajne prijetnje), </w:t>
            </w:r>
          </w:p>
          <w:p w14:paraId="25CFE044"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broj korisnika i utjecaj koji bi takav napad imao na infrastrukturu i implicitno na gospodarsko i soci</w:t>
            </w:r>
            <w:r>
              <w:rPr>
                <w:noProof/>
              </w:rPr>
              <w:t>jalno okruženje. Za svaki novi subjekt provodi se terenska analiza kojom se iscrpno razmatraju potrebe za kibersigurnošću IT i/ili OT mreža.</w:t>
            </w:r>
          </w:p>
          <w:p w14:paraId="32DB6141"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složenost OT mreža koje se drže, </w:t>
            </w:r>
          </w:p>
          <w:p w14:paraId="252EB835"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stupanj osjetljivosti na kibernapade (npr. daljinsko upravljanje industrijskim su</w:t>
            </w:r>
            <w:r>
              <w:rPr>
                <w:noProof/>
              </w:rPr>
              <w:t xml:space="preserve">stavima/podsustavima), </w:t>
            </w:r>
          </w:p>
          <w:p w14:paraId="0C5D8892"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broj korisnika usluga koje pružaju ti subjekti.</w:t>
            </w:r>
          </w:p>
          <w:p w14:paraId="7B4D0F2B" w14:textId="77777777" w:rsidR="003F46B9" w:rsidRDefault="0065662E">
            <w:pPr>
              <w:pStyle w:val="P68B1DB1-Normal5"/>
              <w:tabs>
                <w:tab w:val="left" w:pos="149"/>
                <w:tab w:val="left" w:pos="366"/>
              </w:tabs>
              <w:spacing w:after="0" w:line="240" w:lineRule="auto"/>
              <w:jc w:val="both"/>
              <w:rPr>
                <w:rFonts w:eastAsia="Times New Roman" w:cs="Times New Roman"/>
                <w:noProof/>
              </w:rPr>
            </w:pPr>
            <w:r>
              <w:rPr>
                <w:noProof/>
              </w:rPr>
              <w:t>Za 101 subjekt operacionaliziraju se barem sljedeći elementi:</w:t>
            </w:r>
          </w:p>
          <w:p w14:paraId="564BE56C"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sustav za otkrivanje napredne ranjivosti u informacijskim sustavima i komunikacijskoj opremi (softverska i hardverska </w:t>
            </w:r>
            <w:r>
              <w:rPr>
                <w:noProof/>
              </w:rPr>
              <w:t>rješenja);</w:t>
            </w:r>
          </w:p>
          <w:p w14:paraId="38AD435E"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integrirani sustav za identifikaciju TTP-ova povezanih s kibernapadima na mrežne i informacijske sustave (softverska rješenja i hardver);</w:t>
            </w:r>
          </w:p>
          <w:p w14:paraId="69FE2C89"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a Complex Security Platform for Automatic Analysis and Processing of Cyber Incidents (Softlex Security Plat</w:t>
            </w:r>
            <w:r>
              <w:rPr>
                <w:noProof/>
              </w:rPr>
              <w:t>form for Automatic Analysis and Processing of Cyber Incidents (Software and Hardware Solutions).</w:t>
            </w:r>
          </w:p>
        </w:tc>
      </w:tr>
      <w:tr w:rsidR="003F46B9" w14:paraId="2A6AEF3B"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18E0F1E" w14:textId="77777777" w:rsidR="003F46B9" w:rsidRDefault="0065662E">
            <w:pPr>
              <w:pStyle w:val="P68B1DB1-Normal5"/>
              <w:spacing w:after="0" w:line="240" w:lineRule="auto"/>
              <w:jc w:val="center"/>
              <w:rPr>
                <w:rFonts w:eastAsia="Times New Roman" w:cs="Times New Roman"/>
                <w:noProof/>
              </w:rPr>
            </w:pPr>
            <w:r>
              <w:rPr>
                <w:noProof/>
              </w:rPr>
              <w:t>180</w:t>
            </w:r>
          </w:p>
        </w:tc>
        <w:tc>
          <w:tcPr>
            <w:tcW w:w="1740" w:type="dxa"/>
            <w:tcBorders>
              <w:top w:val="single" w:sz="4" w:space="0" w:color="auto"/>
              <w:left w:val="nil"/>
              <w:bottom w:val="single" w:sz="4" w:space="0" w:color="auto"/>
              <w:right w:val="single" w:sz="4" w:space="0" w:color="auto"/>
            </w:tcBorders>
            <w:shd w:val="clear" w:color="auto" w:fill="C6EFCE"/>
            <w:noWrap/>
          </w:tcPr>
          <w:p w14:paraId="61E6AEF7" w14:textId="77777777" w:rsidR="003F46B9" w:rsidRDefault="0065662E">
            <w:pPr>
              <w:pStyle w:val="P68B1DB1-Normal5"/>
              <w:spacing w:after="0" w:line="240" w:lineRule="auto"/>
              <w:jc w:val="both"/>
              <w:rPr>
                <w:rFonts w:eastAsia="Times New Roman" w:cs="Times New Roman"/>
                <w:noProof/>
              </w:rPr>
            </w:pPr>
            <w:r>
              <w:rPr>
                <w:noProof/>
              </w:rPr>
              <w:t>Ulaganje 12. Osiguravanje zaštite kibersigurnosti za javne i privatne infrastrukture ITC-a koje imaju ključnu vrijednost za nacionalnu sigurnost primjenom</w:t>
            </w:r>
            <w:r>
              <w:rPr>
                <w:noProof/>
              </w:rPr>
              <w:t xml:space="preserve"> pametnih tehnologija</w:t>
            </w:r>
          </w:p>
          <w:p w14:paraId="69D314FE" w14:textId="77777777" w:rsidR="003F46B9" w:rsidRDefault="003F46B9">
            <w:pPr>
              <w:spacing w:after="0" w:line="240" w:lineRule="auto"/>
              <w:jc w:val="both"/>
              <w:rPr>
                <w:rFonts w:ascii="Times New Roman" w:eastAsia="Times New Roman" w:hAnsi="Times New Roman" w:cs="Times New Roman"/>
                <w:noProof/>
                <w:sz w:val="24"/>
              </w:rPr>
            </w:pPr>
          </w:p>
        </w:tc>
        <w:tc>
          <w:tcPr>
            <w:tcW w:w="1073" w:type="dxa"/>
            <w:tcBorders>
              <w:top w:val="single" w:sz="4" w:space="0" w:color="auto"/>
              <w:left w:val="nil"/>
              <w:bottom w:val="single" w:sz="4" w:space="0" w:color="auto"/>
              <w:right w:val="single" w:sz="4" w:space="0" w:color="auto"/>
            </w:tcBorders>
            <w:shd w:val="clear" w:color="auto" w:fill="C6EFCE"/>
            <w:noWrap/>
          </w:tcPr>
          <w:p w14:paraId="61D93741"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741" w:type="dxa"/>
            <w:tcBorders>
              <w:top w:val="single" w:sz="4" w:space="0" w:color="auto"/>
              <w:left w:val="nil"/>
              <w:bottom w:val="single" w:sz="4" w:space="0" w:color="auto"/>
              <w:right w:val="single" w:sz="4" w:space="0" w:color="auto"/>
            </w:tcBorders>
            <w:shd w:val="clear" w:color="auto" w:fill="C6EFCE"/>
            <w:noWrap/>
          </w:tcPr>
          <w:p w14:paraId="6529906D" w14:textId="77777777" w:rsidR="003F46B9" w:rsidRDefault="0065662E">
            <w:pPr>
              <w:pStyle w:val="P68B1DB1-Normal5"/>
              <w:spacing w:after="0" w:line="240" w:lineRule="auto"/>
              <w:jc w:val="both"/>
              <w:rPr>
                <w:rFonts w:eastAsia="Times New Roman" w:cs="Times New Roman"/>
                <w:noProof/>
              </w:rPr>
            </w:pPr>
            <w:r>
              <w:rPr>
                <w:noProof/>
              </w:rPr>
              <w:t>Ojačani nacionalni centri za kiberinte</w:t>
            </w:r>
          </w:p>
        </w:tc>
        <w:tc>
          <w:tcPr>
            <w:tcW w:w="1474" w:type="dxa"/>
            <w:tcBorders>
              <w:top w:val="single" w:sz="4" w:space="0" w:color="auto"/>
              <w:left w:val="nil"/>
              <w:bottom w:val="single" w:sz="4" w:space="0" w:color="auto"/>
              <w:right w:val="single" w:sz="4" w:space="0" w:color="auto"/>
            </w:tcBorders>
            <w:shd w:val="clear" w:color="auto" w:fill="C6EFCE"/>
            <w:noWrap/>
          </w:tcPr>
          <w:p w14:paraId="0696A14F" w14:textId="77777777" w:rsidR="003F46B9" w:rsidRDefault="0065662E">
            <w:pPr>
              <w:pStyle w:val="P68B1DB1-Normal5"/>
              <w:spacing w:after="0" w:line="240" w:lineRule="auto"/>
              <w:jc w:val="both"/>
              <w:rPr>
                <w:rFonts w:eastAsia="Times New Roman" w:cs="Times New Roman"/>
                <w:noProof/>
              </w:rPr>
            </w:pPr>
            <w:r>
              <w:rPr>
                <w:noProof/>
              </w:rPr>
              <w:t>Dodatni kapaciteti</w:t>
            </w:r>
          </w:p>
        </w:tc>
        <w:tc>
          <w:tcPr>
            <w:tcW w:w="940" w:type="dxa"/>
            <w:tcBorders>
              <w:top w:val="single" w:sz="4" w:space="0" w:color="auto"/>
              <w:left w:val="nil"/>
              <w:bottom w:val="single" w:sz="4" w:space="0" w:color="auto"/>
              <w:right w:val="single" w:sz="4" w:space="0" w:color="auto"/>
            </w:tcBorders>
            <w:shd w:val="clear" w:color="auto" w:fill="C6EFCE"/>
            <w:noWrap/>
          </w:tcPr>
          <w:p w14:paraId="5BB702E7" w14:textId="77777777" w:rsidR="003F46B9" w:rsidRDefault="003F46B9">
            <w:pPr>
              <w:spacing w:after="0" w:line="240" w:lineRule="auto"/>
              <w:jc w:val="both"/>
              <w:rPr>
                <w:rFonts w:ascii="Times New Roman" w:eastAsia="Times New Roman" w:hAnsi="Times New Roman" w:cs="Times New Roman"/>
                <w:noProof/>
                <w:sz w:val="24"/>
              </w:rPr>
            </w:pPr>
          </w:p>
        </w:tc>
        <w:tc>
          <w:tcPr>
            <w:tcW w:w="1341" w:type="dxa"/>
            <w:tcBorders>
              <w:top w:val="single" w:sz="4" w:space="0" w:color="auto"/>
              <w:left w:val="nil"/>
              <w:bottom w:val="single" w:sz="4" w:space="0" w:color="auto"/>
              <w:right w:val="single" w:sz="4" w:space="0" w:color="auto"/>
            </w:tcBorders>
            <w:shd w:val="clear" w:color="auto" w:fill="C6EFCE"/>
            <w:noWrap/>
          </w:tcPr>
          <w:p w14:paraId="16F74265" w14:textId="77777777" w:rsidR="003F46B9" w:rsidRDefault="003F46B9">
            <w:pPr>
              <w:spacing w:after="0" w:line="240" w:lineRule="auto"/>
              <w:jc w:val="both"/>
              <w:rPr>
                <w:rFonts w:ascii="Times New Roman" w:eastAsia="Times New Roman" w:hAnsi="Times New Roman" w:cs="Times New Roman"/>
                <w:noProof/>
                <w:sz w:val="24"/>
              </w:rPr>
            </w:pPr>
          </w:p>
        </w:tc>
        <w:tc>
          <w:tcPr>
            <w:tcW w:w="725" w:type="dxa"/>
            <w:tcBorders>
              <w:top w:val="single" w:sz="4" w:space="0" w:color="auto"/>
              <w:left w:val="nil"/>
              <w:bottom w:val="single" w:sz="4" w:space="0" w:color="auto"/>
              <w:right w:val="single" w:sz="4" w:space="0" w:color="auto"/>
            </w:tcBorders>
            <w:shd w:val="clear" w:color="auto" w:fill="C6EFCE"/>
            <w:noWrap/>
          </w:tcPr>
          <w:p w14:paraId="26BAD471" w14:textId="77777777" w:rsidR="003F46B9" w:rsidRDefault="003F46B9">
            <w:pPr>
              <w:spacing w:after="0" w:line="240" w:lineRule="auto"/>
              <w:jc w:val="both"/>
              <w:rPr>
                <w:rFonts w:ascii="Times New Roman" w:eastAsia="Times New Roman" w:hAnsi="Times New Roman" w:cs="Times New Roman"/>
                <w:noProof/>
                <w:sz w:val="24"/>
              </w:rPr>
            </w:pPr>
          </w:p>
        </w:tc>
        <w:tc>
          <w:tcPr>
            <w:tcW w:w="908" w:type="dxa"/>
            <w:tcBorders>
              <w:top w:val="single" w:sz="4" w:space="0" w:color="auto"/>
              <w:left w:val="nil"/>
              <w:bottom w:val="single" w:sz="4" w:space="0" w:color="auto"/>
              <w:right w:val="single" w:sz="4" w:space="0" w:color="auto"/>
            </w:tcBorders>
            <w:shd w:val="clear" w:color="auto" w:fill="C6EFCE"/>
            <w:noWrap/>
          </w:tcPr>
          <w:p w14:paraId="6874ABE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5EF45167"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DE3BFFF" w14:textId="77777777" w:rsidR="003F46B9" w:rsidRDefault="0065662E">
            <w:pPr>
              <w:pStyle w:val="P68B1DB1-Normal5"/>
              <w:spacing w:after="0" w:line="240" w:lineRule="auto"/>
              <w:jc w:val="both"/>
              <w:rPr>
                <w:rFonts w:eastAsia="Times New Roman" w:cs="Times New Roman"/>
                <w:noProof/>
              </w:rPr>
            </w:pPr>
            <w:r>
              <w:rPr>
                <w:noProof/>
              </w:rPr>
              <w:t xml:space="preserve">Struktura nacionalnog centra za kiberinte razvija kapacitet za integriranu zaštitu kibersigurnosti IKT infrastruktura IT-a i OT-a. </w:t>
            </w:r>
            <w:r>
              <w:rPr>
                <w:noProof/>
              </w:rPr>
              <w:t>Nadalje, centar ima koristi od:</w:t>
            </w:r>
          </w:p>
          <w:p w14:paraId="054982D7"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Razvoj tehničke infrastrukture za utvrđivanje, praćenje, upravljanje i odgovor na kiberincidente s ciljem zaštite infrastruktura IKT-a od ključne vrijednosti za nacionalnu sigurnost koje ne uživaju ili više nemaju koristi od</w:t>
            </w:r>
            <w:r>
              <w:rPr>
                <w:noProof/>
              </w:rPr>
              <w:t xml:space="preserve"> zaštite koju nudi nacionalni sustav za zaštitu infrastruktura IKT-a od nacionalnog interesa od prijetnji iz kiberprostora, uz komplementarnu ulogu.</w:t>
            </w:r>
          </w:p>
          <w:p w14:paraId="702D267A"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Uspostava nacionalne platforme za procjenu kibersigurnosnih rizika i upravljanje njima u području novih teh</w:t>
            </w:r>
            <w:r>
              <w:rPr>
                <w:noProof/>
              </w:rPr>
              <w:t>nologija.</w:t>
            </w:r>
          </w:p>
          <w:p w14:paraId="0F2A1541"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Uvođenje infrastrukture za sigurnost radijskih komunikacija, kojom se povećava razina zaštite i dostupnost komunikacijskih usluga tijelima javne vlasti koja građanima pružaju digitalne usluge.</w:t>
            </w:r>
          </w:p>
          <w:p w14:paraId="5C7E06B3"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platformu za sigurnost i usmjeravanje podataka za pri</w:t>
            </w:r>
            <w:r>
              <w:rPr>
                <w:noProof/>
              </w:rPr>
              <w:t>jenos između mreža različitih razina pouzdanosti;</w:t>
            </w:r>
          </w:p>
          <w:p w14:paraId="69D3E1AF"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Povećati istražni kapacitet nacionalnog koordinacijskog centra (softverska i hardverska rješenja).</w:t>
            </w:r>
          </w:p>
          <w:p w14:paraId="0085DC8E" w14:textId="77777777" w:rsidR="003F46B9" w:rsidRDefault="0065662E">
            <w:pPr>
              <w:pStyle w:val="P68B1DB1-Normal5"/>
              <w:spacing w:after="0" w:line="240" w:lineRule="auto"/>
              <w:jc w:val="both"/>
              <w:rPr>
                <w:rFonts w:eastAsia="Times New Roman" w:cs="Times New Roman"/>
                <w:noProof/>
              </w:rPr>
            </w:pPr>
            <w:r>
              <w:rPr>
                <w:noProof/>
              </w:rPr>
              <w:t xml:space="preserve">Osim toga, operacionalizira se nacionalni program za pripremu gospodarskih subjekata i nadležnih tijela za </w:t>
            </w:r>
            <w:r>
              <w:rPr>
                <w:noProof/>
              </w:rPr>
              <w:t>kiberkrize i hibridne krizne situacije organiziranjem vježbi te se izrađuju planovi za upravljanje krizama.</w:t>
            </w:r>
          </w:p>
        </w:tc>
      </w:tr>
      <w:tr w:rsidR="003F46B9" w14:paraId="1A95661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63687463" w14:textId="77777777" w:rsidR="003F46B9" w:rsidRDefault="0065662E">
            <w:pPr>
              <w:pStyle w:val="P68B1DB1-Normal5"/>
              <w:spacing w:after="0" w:line="240" w:lineRule="auto"/>
              <w:jc w:val="center"/>
              <w:rPr>
                <w:rFonts w:eastAsia="Times New Roman" w:cs="Times New Roman"/>
                <w:noProof/>
              </w:rPr>
            </w:pPr>
            <w:r>
              <w:rPr>
                <w:noProof/>
              </w:rPr>
              <w:t>181</w:t>
            </w:r>
          </w:p>
        </w:tc>
        <w:tc>
          <w:tcPr>
            <w:tcW w:w="1740" w:type="dxa"/>
            <w:tcBorders>
              <w:top w:val="single" w:sz="4" w:space="0" w:color="auto"/>
              <w:left w:val="nil"/>
              <w:bottom w:val="single" w:sz="4" w:space="0" w:color="auto"/>
              <w:right w:val="single" w:sz="4" w:space="0" w:color="auto"/>
            </w:tcBorders>
            <w:shd w:val="clear" w:color="auto" w:fill="C6EFCE"/>
            <w:noWrap/>
          </w:tcPr>
          <w:p w14:paraId="3945EA05" w14:textId="77777777" w:rsidR="003F46B9" w:rsidRDefault="0065662E">
            <w:pPr>
              <w:pStyle w:val="P68B1DB1-Normal5"/>
              <w:spacing w:after="0" w:line="240" w:lineRule="auto"/>
              <w:jc w:val="both"/>
              <w:rPr>
                <w:rFonts w:eastAsia="Times New Roman" w:cs="Times New Roman"/>
                <w:noProof/>
              </w:rPr>
            </w:pPr>
            <w:r>
              <w:rPr>
                <w:noProof/>
              </w:rPr>
              <w:t>Ulaganje 13.</w:t>
            </w:r>
          </w:p>
          <w:p w14:paraId="4A2FA120" w14:textId="5AA35CB5" w:rsidR="003F46B9" w:rsidRDefault="0065662E">
            <w:pPr>
              <w:pStyle w:val="P68B1DB1-Normal5"/>
              <w:spacing w:after="0" w:line="240" w:lineRule="auto"/>
              <w:jc w:val="both"/>
              <w:rPr>
                <w:rFonts w:eastAsia="Times New Roman" w:cs="Times New Roman"/>
                <w:noProof/>
              </w:rPr>
            </w:pPr>
            <w:r>
              <w:rPr>
                <w:noProof/>
              </w:rPr>
              <w:t xml:space="preserve">Razvoj sigurnosnih sustava za zaštitu državnog spektra </w:t>
            </w:r>
          </w:p>
        </w:tc>
        <w:tc>
          <w:tcPr>
            <w:tcW w:w="1073" w:type="dxa"/>
            <w:tcBorders>
              <w:top w:val="single" w:sz="4" w:space="0" w:color="auto"/>
              <w:left w:val="nil"/>
              <w:bottom w:val="single" w:sz="4" w:space="0" w:color="auto"/>
              <w:right w:val="single" w:sz="4" w:space="0" w:color="auto"/>
            </w:tcBorders>
            <w:shd w:val="clear" w:color="auto" w:fill="C6EFCE"/>
            <w:noWrap/>
          </w:tcPr>
          <w:p w14:paraId="20452444"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178CFDCD" w14:textId="77777777" w:rsidR="003F46B9" w:rsidRDefault="0065662E">
            <w:pPr>
              <w:pStyle w:val="P68B1DB1-Normal5"/>
              <w:spacing w:after="0" w:line="240" w:lineRule="auto"/>
              <w:jc w:val="both"/>
              <w:rPr>
                <w:rFonts w:eastAsia="Times New Roman" w:cs="Times New Roman"/>
                <w:noProof/>
              </w:rPr>
            </w:pPr>
            <w:r>
              <w:rPr>
                <w:noProof/>
              </w:rPr>
              <w:t xml:space="preserve">Prihvatni centri operacionalizirani na nacionalnoj razini </w:t>
            </w:r>
          </w:p>
        </w:tc>
        <w:tc>
          <w:tcPr>
            <w:tcW w:w="1474" w:type="dxa"/>
            <w:tcBorders>
              <w:top w:val="single" w:sz="4" w:space="0" w:color="auto"/>
              <w:left w:val="nil"/>
              <w:bottom w:val="single" w:sz="4" w:space="0" w:color="auto"/>
              <w:right w:val="single" w:sz="4" w:space="0" w:color="auto"/>
            </w:tcBorders>
            <w:shd w:val="clear" w:color="auto" w:fill="C6EFCE"/>
            <w:noWrap/>
          </w:tcPr>
          <w:p w14:paraId="16F164B0"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45B064CA"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B1783B5"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702486ED" w14:textId="77777777" w:rsidR="003F46B9" w:rsidRDefault="0065662E">
            <w:pPr>
              <w:pStyle w:val="P68B1DB1-Normal5"/>
              <w:spacing w:after="0" w:line="240" w:lineRule="auto"/>
              <w:jc w:val="both"/>
              <w:rPr>
                <w:rFonts w:eastAsia="Times New Roman" w:cs="Times New Roman"/>
                <w:noProof/>
              </w:rPr>
            </w:pPr>
            <w:r>
              <w:rPr>
                <w:noProof/>
              </w:rPr>
              <w:t>65</w:t>
            </w:r>
          </w:p>
        </w:tc>
        <w:tc>
          <w:tcPr>
            <w:tcW w:w="908" w:type="dxa"/>
            <w:tcBorders>
              <w:top w:val="single" w:sz="4" w:space="0" w:color="auto"/>
              <w:left w:val="nil"/>
              <w:bottom w:val="single" w:sz="4" w:space="0" w:color="auto"/>
              <w:right w:val="single" w:sz="4" w:space="0" w:color="auto"/>
            </w:tcBorders>
            <w:shd w:val="clear" w:color="auto" w:fill="C6EFCE"/>
            <w:noWrap/>
          </w:tcPr>
          <w:p w14:paraId="44591993"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936F066"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3BB14449" w14:textId="77777777" w:rsidR="003F46B9" w:rsidRDefault="0065662E">
            <w:pPr>
              <w:pStyle w:val="P68B1DB1-Normal5"/>
              <w:spacing w:after="0" w:line="240" w:lineRule="auto"/>
              <w:jc w:val="both"/>
              <w:rPr>
                <w:rFonts w:eastAsia="Times New Roman" w:cs="Times New Roman"/>
                <w:noProof/>
              </w:rPr>
            </w:pPr>
            <w:r>
              <w:rPr>
                <w:noProof/>
              </w:rPr>
              <w:t>Prihvatni centri operacionalizirani na nacionalnoj razini: STS (Posebna telekomunikacijska usluga) razvija novu mrežu senzora koji se distribuiraju na nacionalnoj razini i koji se nalaze na namjenskim prijamnim mjestima za automatsko o</w:t>
            </w:r>
            <w:r>
              <w:rPr>
                <w:noProof/>
              </w:rPr>
              <w:t>tkrivanje i upozoravanje u slučaju smetnji u radiofrekvencijskom spektru. Osigurava se dostupnost državnog spektra i kontinuitet radijskih usluga za državne potrebe pruža građanima i javnim subjektima na temelju modela G2G/G2B/G2C.</w:t>
            </w:r>
          </w:p>
        </w:tc>
      </w:tr>
      <w:tr w:rsidR="003F46B9" w14:paraId="195F9106"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07A0AFE" w14:textId="77777777" w:rsidR="003F46B9" w:rsidRDefault="0065662E">
            <w:pPr>
              <w:pStyle w:val="P68B1DB1-Normal5"/>
              <w:spacing w:after="0" w:line="240" w:lineRule="auto"/>
              <w:jc w:val="center"/>
              <w:rPr>
                <w:rFonts w:eastAsia="Times New Roman" w:cs="Times New Roman"/>
                <w:noProof/>
              </w:rPr>
            </w:pPr>
            <w:r>
              <w:rPr>
                <w:noProof/>
              </w:rPr>
              <w:t>182</w:t>
            </w:r>
          </w:p>
        </w:tc>
        <w:tc>
          <w:tcPr>
            <w:tcW w:w="1740" w:type="dxa"/>
            <w:tcBorders>
              <w:top w:val="single" w:sz="4" w:space="0" w:color="auto"/>
              <w:left w:val="nil"/>
              <w:bottom w:val="single" w:sz="4" w:space="0" w:color="auto"/>
              <w:right w:val="single" w:sz="4" w:space="0" w:color="auto"/>
            </w:tcBorders>
            <w:shd w:val="clear" w:color="auto" w:fill="C6EFCE"/>
            <w:noWrap/>
          </w:tcPr>
          <w:p w14:paraId="1504AA89" w14:textId="77777777" w:rsidR="003F46B9" w:rsidRDefault="0065662E">
            <w:pPr>
              <w:pStyle w:val="P68B1DB1-Normal5"/>
              <w:spacing w:after="0" w:line="240" w:lineRule="auto"/>
              <w:jc w:val="both"/>
              <w:rPr>
                <w:rFonts w:eastAsia="Times New Roman" w:cs="Times New Roman"/>
                <w:noProof/>
              </w:rPr>
            </w:pPr>
            <w:r>
              <w:rPr>
                <w:noProof/>
              </w:rPr>
              <w:t xml:space="preserve">Ulaganje 14. </w:t>
            </w:r>
          </w:p>
          <w:p w14:paraId="6F0F11C6" w14:textId="77777777" w:rsidR="003F46B9" w:rsidRDefault="0065662E">
            <w:pPr>
              <w:pStyle w:val="P68B1DB1-Normal5"/>
              <w:spacing w:after="0" w:line="240" w:lineRule="auto"/>
              <w:jc w:val="both"/>
              <w:rPr>
                <w:rFonts w:eastAsia="Times New Roman" w:cs="Times New Roman"/>
                <w:noProof/>
              </w:rPr>
            </w:pPr>
            <w:r>
              <w:rPr>
                <w:noProof/>
              </w:rPr>
              <w:t>Povećanje otpornosti i kibersigurnosti infrastrukturnih usluga pružatelja internetskih usluga koje se pružaju javnim tijelima u Rumunjskoj</w:t>
            </w:r>
          </w:p>
        </w:tc>
        <w:tc>
          <w:tcPr>
            <w:tcW w:w="1073" w:type="dxa"/>
            <w:tcBorders>
              <w:top w:val="single" w:sz="4" w:space="0" w:color="auto"/>
              <w:left w:val="nil"/>
              <w:bottom w:val="single" w:sz="4" w:space="0" w:color="auto"/>
              <w:right w:val="single" w:sz="4" w:space="0" w:color="auto"/>
            </w:tcBorders>
            <w:shd w:val="clear" w:color="auto" w:fill="C6EFCE"/>
            <w:noWrap/>
          </w:tcPr>
          <w:p w14:paraId="3029C820"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4DEF3C61" w14:textId="5010926D" w:rsidR="003F46B9" w:rsidRDefault="0065662E">
            <w:pPr>
              <w:pStyle w:val="P68B1DB1-Normal5"/>
              <w:spacing w:after="0" w:line="240" w:lineRule="auto"/>
              <w:jc w:val="both"/>
              <w:rPr>
                <w:rFonts w:eastAsia="Times New Roman" w:cs="Times New Roman"/>
                <w:noProof/>
              </w:rPr>
            </w:pPr>
            <w:r>
              <w:rPr>
                <w:noProof/>
              </w:rPr>
              <w:t>Centri koji središnjim i lokalnim institucijama i subjektima od javnog interesa omogućuju pristup uslugama pru</w:t>
            </w:r>
            <w:r>
              <w:rPr>
                <w:noProof/>
              </w:rPr>
              <w:t>žatelja internetskih usluga (ISP)</w:t>
            </w:r>
          </w:p>
        </w:tc>
        <w:tc>
          <w:tcPr>
            <w:tcW w:w="1474" w:type="dxa"/>
            <w:tcBorders>
              <w:top w:val="single" w:sz="4" w:space="0" w:color="auto"/>
              <w:left w:val="nil"/>
              <w:bottom w:val="single" w:sz="4" w:space="0" w:color="auto"/>
              <w:right w:val="single" w:sz="4" w:space="0" w:color="auto"/>
            </w:tcBorders>
            <w:shd w:val="clear" w:color="auto" w:fill="C6EFCE"/>
            <w:noWrap/>
          </w:tcPr>
          <w:p w14:paraId="6DEC3D63"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1AFBEB3D"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4D7C48C5"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4007D97" w14:textId="77777777" w:rsidR="003F46B9" w:rsidRDefault="0065662E">
            <w:pPr>
              <w:pStyle w:val="P68B1DB1-Normal5"/>
              <w:spacing w:after="0" w:line="240" w:lineRule="auto"/>
              <w:jc w:val="both"/>
              <w:rPr>
                <w:rFonts w:eastAsia="Times New Roman" w:cs="Times New Roman"/>
                <w:noProof/>
              </w:rPr>
            </w:pPr>
            <w:r>
              <w:rPr>
                <w:noProof/>
              </w:rPr>
              <w:t>41</w:t>
            </w:r>
          </w:p>
        </w:tc>
        <w:tc>
          <w:tcPr>
            <w:tcW w:w="908" w:type="dxa"/>
            <w:tcBorders>
              <w:top w:val="single" w:sz="4" w:space="0" w:color="auto"/>
              <w:left w:val="nil"/>
              <w:bottom w:val="single" w:sz="4" w:space="0" w:color="auto"/>
              <w:right w:val="single" w:sz="4" w:space="0" w:color="auto"/>
            </w:tcBorders>
            <w:shd w:val="clear" w:color="auto" w:fill="C6EFCE"/>
            <w:noWrap/>
          </w:tcPr>
          <w:p w14:paraId="11DEE366"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EC675DB" w14:textId="77777777" w:rsidR="003F46B9" w:rsidRDefault="0065662E">
            <w:pPr>
              <w:pStyle w:val="P68B1DB1-Normal5"/>
              <w:spacing w:after="0" w:line="240" w:lineRule="auto"/>
              <w:jc w:val="both"/>
              <w:rPr>
                <w:rFonts w:eastAsia="Times New Roman" w:cs="Times New Roman"/>
                <w:noProof/>
              </w:rPr>
            </w:pPr>
            <w:r>
              <w:rPr>
                <w:noProof/>
              </w:rPr>
              <w:t>2024</w:t>
            </w:r>
          </w:p>
        </w:tc>
        <w:tc>
          <w:tcPr>
            <w:tcW w:w="3021" w:type="dxa"/>
            <w:tcBorders>
              <w:top w:val="single" w:sz="4" w:space="0" w:color="auto"/>
              <w:left w:val="nil"/>
              <w:bottom w:val="single" w:sz="4" w:space="0" w:color="auto"/>
              <w:right w:val="single" w:sz="4" w:space="0" w:color="auto"/>
            </w:tcBorders>
            <w:shd w:val="clear" w:color="auto" w:fill="C6EFCE"/>
            <w:noWrap/>
          </w:tcPr>
          <w:p w14:paraId="0EA41613" w14:textId="77777777" w:rsidR="003F46B9" w:rsidRDefault="0065662E">
            <w:pPr>
              <w:pStyle w:val="P68B1DB1-Normal5"/>
              <w:spacing w:after="0" w:line="240" w:lineRule="auto"/>
              <w:jc w:val="both"/>
              <w:rPr>
                <w:rFonts w:eastAsia="Times New Roman" w:cs="Times New Roman"/>
                <w:noProof/>
              </w:rPr>
            </w:pPr>
            <w:r>
              <w:rPr>
                <w:noProof/>
              </w:rPr>
              <w:t>Svakoj od 41 okruga u Rumunjskoj dodjeljuje se jedno čvorište.</w:t>
            </w:r>
          </w:p>
          <w:p w14:paraId="47EF7D44" w14:textId="77777777" w:rsidR="003F46B9" w:rsidRDefault="0065662E">
            <w:pPr>
              <w:pStyle w:val="P68B1DB1-Normal5"/>
              <w:spacing w:after="0" w:line="240" w:lineRule="auto"/>
              <w:jc w:val="both"/>
              <w:rPr>
                <w:rFonts w:eastAsia="Times New Roman" w:cs="Times New Roman"/>
                <w:noProof/>
              </w:rPr>
            </w:pPr>
            <w:r>
              <w:rPr>
                <w:noProof/>
              </w:rPr>
              <w:t xml:space="preserve">Broj sigurnih centara visokog kapaciteta povezanih s nacionalnom mrežom za distribuciju interneta, s više dobavljača prve </w:t>
            </w:r>
            <w:r>
              <w:rPr>
                <w:noProof/>
              </w:rPr>
              <w:t>razine i povezanim sigurnosnim mehanizmima, kojima se središnjim i lokalnim javnim tijelima osigurava pristup internetu i uslugama povezanima s internetom.</w:t>
            </w:r>
          </w:p>
          <w:p w14:paraId="49A5738B" w14:textId="77777777" w:rsidR="003F46B9" w:rsidRDefault="0065662E">
            <w:pPr>
              <w:pStyle w:val="P68B1DB1-Normal5"/>
              <w:spacing w:after="0" w:line="240" w:lineRule="auto"/>
              <w:jc w:val="both"/>
              <w:rPr>
                <w:rFonts w:eastAsia="Times New Roman" w:cs="Times New Roman"/>
                <w:noProof/>
              </w:rPr>
            </w:pPr>
            <w:r>
              <w:rPr>
                <w:noProof/>
              </w:rPr>
              <w:t>Pružene sigurnosne usluge:</w:t>
            </w:r>
          </w:p>
          <w:p w14:paraId="6B4E6D2A"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Zaštita od umnožaka od 10 Gbps (uskraćivanje uporabe)</w:t>
            </w:r>
          </w:p>
          <w:p w14:paraId="3ABEE403"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Povezane usluge tim</w:t>
            </w:r>
            <w:r>
              <w:rPr>
                <w:noProof/>
              </w:rPr>
              <w:t>a za hitne računalne intervencije (CERT) (publika u području sigurnosti, praćenje sigurnosnih događaja u cijeloj mreži, odgovor na sigurnosne incidente)</w:t>
            </w:r>
          </w:p>
          <w:p w14:paraId="483E1564"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Povezane usluge centara za sigurnosne operacije (mehanizmi obavješćivanja i eskalacije za korisnike)</w:t>
            </w:r>
          </w:p>
          <w:p w14:paraId="10C7700D"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Me</w:t>
            </w:r>
            <w:r>
              <w:rPr>
                <w:noProof/>
              </w:rPr>
              <w:t>hanizmi za ugled i filtriranje zlonamjernog prometa na temelju ugleda i zlonamjernog boravišta na razini DNS usluga koje se pružaju korisnicima</w:t>
            </w:r>
          </w:p>
          <w:p w14:paraId="4E226A94"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Analiza izoliranog okruženja za pružene usluge.</w:t>
            </w:r>
          </w:p>
        </w:tc>
      </w:tr>
      <w:tr w:rsidR="003F46B9" w14:paraId="68306B0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024B642E" w14:textId="77777777" w:rsidR="003F46B9" w:rsidRDefault="0065662E">
            <w:pPr>
              <w:pStyle w:val="P68B1DB1-Normal5"/>
              <w:spacing w:after="0" w:line="240" w:lineRule="auto"/>
              <w:jc w:val="center"/>
              <w:rPr>
                <w:rFonts w:eastAsia="Times New Roman" w:cs="Times New Roman"/>
                <w:noProof/>
              </w:rPr>
            </w:pPr>
            <w:r>
              <w:rPr>
                <w:noProof/>
              </w:rPr>
              <w:t>183</w:t>
            </w:r>
          </w:p>
        </w:tc>
        <w:tc>
          <w:tcPr>
            <w:tcW w:w="1740" w:type="dxa"/>
            <w:tcBorders>
              <w:top w:val="single" w:sz="4" w:space="0" w:color="auto"/>
              <w:left w:val="nil"/>
              <w:bottom w:val="single" w:sz="4" w:space="0" w:color="auto"/>
              <w:right w:val="single" w:sz="4" w:space="0" w:color="auto"/>
            </w:tcBorders>
            <w:shd w:val="clear" w:color="auto" w:fill="C6EFCE"/>
            <w:noWrap/>
          </w:tcPr>
          <w:p w14:paraId="214EF9C0" w14:textId="77777777" w:rsidR="003F46B9" w:rsidRDefault="0065662E">
            <w:pPr>
              <w:pStyle w:val="P68B1DB1-Normal5"/>
              <w:spacing w:after="0" w:line="240" w:lineRule="auto"/>
              <w:jc w:val="both"/>
              <w:rPr>
                <w:rFonts w:eastAsia="Times New Roman" w:cs="Times New Roman"/>
                <w:noProof/>
              </w:rPr>
            </w:pPr>
            <w:r>
              <w:rPr>
                <w:noProof/>
              </w:rPr>
              <w:t xml:space="preserve">Ulaganje 15. Stvaranje novih vještina u području </w:t>
            </w:r>
            <w:r>
              <w:rPr>
                <w:noProof/>
              </w:rPr>
              <w:t>kibersigurnosti za društvo i gospodarstvo</w:t>
            </w:r>
          </w:p>
        </w:tc>
        <w:tc>
          <w:tcPr>
            <w:tcW w:w="1073" w:type="dxa"/>
            <w:tcBorders>
              <w:top w:val="single" w:sz="4" w:space="0" w:color="auto"/>
              <w:left w:val="nil"/>
              <w:bottom w:val="single" w:sz="4" w:space="0" w:color="auto"/>
              <w:right w:val="single" w:sz="4" w:space="0" w:color="auto"/>
            </w:tcBorders>
            <w:shd w:val="clear" w:color="auto" w:fill="C6EFCE"/>
            <w:noWrap/>
          </w:tcPr>
          <w:p w14:paraId="6DD007B4"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60C463C6" w14:textId="77777777" w:rsidR="003F46B9" w:rsidRDefault="0065662E">
            <w:pPr>
              <w:pStyle w:val="P68B1DB1-Normal5"/>
              <w:spacing w:after="0" w:line="240" w:lineRule="auto"/>
              <w:jc w:val="both"/>
              <w:rPr>
                <w:rFonts w:eastAsia="Times New Roman" w:cs="Times New Roman"/>
                <w:noProof/>
              </w:rPr>
            </w:pPr>
            <w:r>
              <w:rPr>
                <w:noProof/>
              </w:rPr>
              <w:t>Predavači koji sudjeluju u osposobljavanju u području kibersigurnosti</w:t>
            </w:r>
          </w:p>
          <w:p w14:paraId="6934859C" w14:textId="77777777" w:rsidR="003F46B9" w:rsidRDefault="003F46B9">
            <w:pPr>
              <w:spacing w:after="0" w:line="240" w:lineRule="auto"/>
              <w:jc w:val="both"/>
              <w:rPr>
                <w:rFonts w:ascii="Times New Roman" w:eastAsia="Times New Roman" w:hAnsi="Times New Roman" w:cs="Times New Roman"/>
                <w:noProof/>
                <w:sz w:val="24"/>
              </w:rPr>
            </w:pPr>
          </w:p>
        </w:tc>
        <w:tc>
          <w:tcPr>
            <w:tcW w:w="1474" w:type="dxa"/>
            <w:tcBorders>
              <w:top w:val="single" w:sz="4" w:space="0" w:color="auto"/>
              <w:left w:val="nil"/>
              <w:bottom w:val="single" w:sz="4" w:space="0" w:color="auto"/>
              <w:right w:val="single" w:sz="4" w:space="0" w:color="auto"/>
            </w:tcBorders>
            <w:shd w:val="clear" w:color="auto" w:fill="C6EFCE"/>
            <w:noWrap/>
          </w:tcPr>
          <w:p w14:paraId="1EF693F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497C3A5"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7D398B5F"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23A4B439" w14:textId="77777777" w:rsidR="003F46B9" w:rsidRDefault="0065662E">
            <w:pPr>
              <w:pStyle w:val="P68B1DB1-Normal5"/>
              <w:spacing w:after="0" w:line="240" w:lineRule="auto"/>
              <w:jc w:val="both"/>
              <w:rPr>
                <w:rFonts w:eastAsia="Times New Roman" w:cs="Times New Roman"/>
                <w:noProof/>
              </w:rPr>
            </w:pPr>
            <w:r>
              <w:rPr>
                <w:noProof/>
              </w:rPr>
              <w:t>5 000</w:t>
            </w:r>
          </w:p>
        </w:tc>
        <w:tc>
          <w:tcPr>
            <w:tcW w:w="908" w:type="dxa"/>
            <w:tcBorders>
              <w:top w:val="single" w:sz="4" w:space="0" w:color="auto"/>
              <w:left w:val="nil"/>
              <w:bottom w:val="single" w:sz="4" w:space="0" w:color="auto"/>
              <w:right w:val="single" w:sz="4" w:space="0" w:color="auto"/>
            </w:tcBorders>
            <w:shd w:val="clear" w:color="auto" w:fill="C6EFCE"/>
            <w:noWrap/>
          </w:tcPr>
          <w:p w14:paraId="00A2BA2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7DCC8D5C"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B57F3CB" w14:textId="77777777" w:rsidR="003F46B9" w:rsidRDefault="0065662E">
            <w:pPr>
              <w:pStyle w:val="P68B1DB1-Normal5"/>
              <w:spacing w:after="0" w:line="240" w:lineRule="auto"/>
              <w:jc w:val="both"/>
              <w:rPr>
                <w:rFonts w:eastAsia="Times New Roman" w:cs="Times New Roman"/>
                <w:noProof/>
              </w:rPr>
            </w:pPr>
            <w:r>
              <w:rPr>
                <w:noProof/>
              </w:rPr>
              <w:t xml:space="preserve">Završeno osposobljavanje voditelja osposobljavanja u području kibersigurnosti, primjenjivo u </w:t>
            </w:r>
            <w:r>
              <w:rPr>
                <w:noProof/>
              </w:rPr>
              <w:t>prioritetnim područjima gospodarstva i društva i specifično za osobe s diplomom i studente (alati koji su besplatno dostupni poduzećima i javnoj upravi za tečajeve u području kibersigurnosti, stroža kontrola zaštite podataka i sigurnost upotrebe novih tehn</w:t>
            </w:r>
            <w:r>
              <w:rPr>
                <w:noProof/>
              </w:rPr>
              <w:t>ologija i u okolišu).</w:t>
            </w:r>
          </w:p>
        </w:tc>
      </w:tr>
      <w:tr w:rsidR="003F46B9" w14:paraId="64286C73"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2486621B" w14:textId="77777777" w:rsidR="003F46B9" w:rsidRDefault="0065662E">
            <w:pPr>
              <w:pStyle w:val="P68B1DB1-Normal5"/>
              <w:spacing w:after="0" w:line="240" w:lineRule="auto"/>
              <w:jc w:val="center"/>
              <w:rPr>
                <w:rFonts w:eastAsia="Times New Roman" w:cs="Times New Roman"/>
                <w:noProof/>
              </w:rPr>
            </w:pPr>
            <w:r>
              <w:rPr>
                <w:noProof/>
              </w:rPr>
              <w:t>184</w:t>
            </w:r>
          </w:p>
        </w:tc>
        <w:tc>
          <w:tcPr>
            <w:tcW w:w="1740" w:type="dxa"/>
            <w:tcBorders>
              <w:top w:val="single" w:sz="4" w:space="0" w:color="auto"/>
              <w:left w:val="nil"/>
              <w:bottom w:val="single" w:sz="4" w:space="0" w:color="auto"/>
              <w:right w:val="single" w:sz="4" w:space="0" w:color="auto"/>
            </w:tcBorders>
            <w:shd w:val="clear" w:color="auto" w:fill="C6EFCE"/>
            <w:noWrap/>
          </w:tcPr>
          <w:p w14:paraId="526E5DA1" w14:textId="77777777" w:rsidR="003F46B9" w:rsidRDefault="0065662E">
            <w:pPr>
              <w:pStyle w:val="P68B1DB1-Normal5"/>
              <w:spacing w:after="0" w:line="240" w:lineRule="auto"/>
              <w:jc w:val="both"/>
              <w:rPr>
                <w:rFonts w:eastAsia="Times New Roman" w:cs="Times New Roman"/>
                <w:noProof/>
              </w:rPr>
            </w:pPr>
            <w:r>
              <w:rPr>
                <w:noProof/>
              </w:rPr>
              <w:t>Ulaganje 15.</w:t>
            </w:r>
          </w:p>
          <w:p w14:paraId="6F0ACFB0" w14:textId="77777777" w:rsidR="003F46B9" w:rsidRDefault="0065662E">
            <w:pPr>
              <w:pStyle w:val="P68B1DB1-Normal5"/>
              <w:spacing w:after="0" w:line="240" w:lineRule="auto"/>
              <w:jc w:val="both"/>
              <w:rPr>
                <w:rFonts w:eastAsia="Times New Roman" w:cs="Times New Roman"/>
                <w:noProof/>
              </w:rPr>
            </w:pPr>
            <w:r>
              <w:rPr>
                <w:noProof/>
              </w:rPr>
              <w:t>Stvaranje novih vještina u području kibersigurnosti za društvo i gospodarstvo</w:t>
            </w:r>
          </w:p>
        </w:tc>
        <w:tc>
          <w:tcPr>
            <w:tcW w:w="1073" w:type="dxa"/>
            <w:tcBorders>
              <w:top w:val="single" w:sz="4" w:space="0" w:color="auto"/>
              <w:left w:val="nil"/>
              <w:bottom w:val="single" w:sz="4" w:space="0" w:color="auto"/>
              <w:right w:val="single" w:sz="4" w:space="0" w:color="auto"/>
            </w:tcBorders>
            <w:shd w:val="clear" w:color="auto" w:fill="C6EFCE"/>
            <w:noWrap/>
          </w:tcPr>
          <w:p w14:paraId="0CCE89DA"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6A8B2DDC" w14:textId="77777777" w:rsidR="003F46B9" w:rsidRDefault="0065662E">
            <w:pPr>
              <w:pStyle w:val="P68B1DB1-Normal5"/>
              <w:spacing w:after="0" w:line="240" w:lineRule="auto"/>
              <w:jc w:val="both"/>
              <w:rPr>
                <w:rFonts w:eastAsia="Times New Roman" w:cs="Times New Roman"/>
                <w:noProof/>
              </w:rPr>
            </w:pPr>
            <w:r>
              <w:rPr>
                <w:noProof/>
              </w:rPr>
              <w:t>Subjekti koji primaju vladine alate i usluge za povećanje razine zrelosti kibersigurnosti</w:t>
            </w:r>
          </w:p>
        </w:tc>
        <w:tc>
          <w:tcPr>
            <w:tcW w:w="1474" w:type="dxa"/>
            <w:tcBorders>
              <w:top w:val="single" w:sz="4" w:space="0" w:color="auto"/>
              <w:left w:val="nil"/>
              <w:bottom w:val="single" w:sz="4" w:space="0" w:color="auto"/>
              <w:right w:val="single" w:sz="4" w:space="0" w:color="auto"/>
            </w:tcBorders>
            <w:shd w:val="clear" w:color="auto" w:fill="C6EFCE"/>
            <w:noWrap/>
          </w:tcPr>
          <w:p w14:paraId="786B3D91"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4525CC0D"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5611E99C"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083BEC2D" w14:textId="77777777" w:rsidR="003F46B9" w:rsidRDefault="0065662E">
            <w:pPr>
              <w:pStyle w:val="P68B1DB1-Normal5"/>
              <w:spacing w:after="0" w:line="240" w:lineRule="auto"/>
              <w:jc w:val="both"/>
              <w:rPr>
                <w:rFonts w:eastAsia="Times New Roman" w:cs="Times New Roman"/>
                <w:noProof/>
              </w:rPr>
            </w:pPr>
            <w:r>
              <w:rPr>
                <w:noProof/>
              </w:rPr>
              <w:t>1 000</w:t>
            </w:r>
          </w:p>
        </w:tc>
        <w:tc>
          <w:tcPr>
            <w:tcW w:w="908" w:type="dxa"/>
            <w:tcBorders>
              <w:top w:val="single" w:sz="4" w:space="0" w:color="auto"/>
              <w:left w:val="nil"/>
              <w:bottom w:val="single" w:sz="4" w:space="0" w:color="auto"/>
              <w:right w:val="single" w:sz="4" w:space="0" w:color="auto"/>
            </w:tcBorders>
            <w:shd w:val="clear" w:color="auto" w:fill="C6EFCE"/>
            <w:noWrap/>
          </w:tcPr>
          <w:p w14:paraId="7DE0406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1F13A941"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050E393" w14:textId="77777777" w:rsidR="003F46B9" w:rsidRDefault="0065662E">
            <w:pPr>
              <w:pStyle w:val="P68B1DB1-Normal5"/>
              <w:spacing w:after="0" w:line="240" w:lineRule="auto"/>
              <w:jc w:val="both"/>
              <w:rPr>
                <w:rFonts w:eastAsia="Times New Roman" w:cs="Times New Roman"/>
                <w:noProof/>
              </w:rPr>
            </w:pPr>
            <w:r>
              <w:rPr>
                <w:noProof/>
              </w:rPr>
              <w:t xml:space="preserve">To </w:t>
            </w:r>
            <w:r>
              <w:rPr>
                <w:noProof/>
              </w:rPr>
              <w:t>ulaganje ima sljedeće ciljeve:</w:t>
            </w:r>
          </w:p>
          <w:p w14:paraId="4A376AC0"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Razvoj nacionalnog programa za analizu, pregled i dokumentiranje potreba za kibernetičkim vještinama i njihovih posljedica na prioritetna područja gospodarstva i društva.</w:t>
            </w:r>
          </w:p>
          <w:p w14:paraId="4B071440" w14:textId="77777777" w:rsidR="003F46B9" w:rsidRDefault="0065662E">
            <w:pPr>
              <w:pStyle w:val="P68B1DB1-Normal5"/>
              <w:numPr>
                <w:ilvl w:val="0"/>
                <w:numId w:val="49"/>
              </w:numPr>
              <w:spacing w:after="0" w:line="240" w:lineRule="auto"/>
              <w:ind w:left="259" w:hanging="218"/>
              <w:contextualSpacing/>
              <w:jc w:val="both"/>
              <w:rPr>
                <w:rFonts w:eastAsia="Times New Roman" w:cs="Times New Roman"/>
                <w:noProof/>
              </w:rPr>
            </w:pPr>
            <w:r>
              <w:rPr>
                <w:noProof/>
              </w:rPr>
              <w:t xml:space="preserve">Evaluacija, dokumentiranje i praćenje razine zrelosti </w:t>
            </w:r>
            <w:r>
              <w:rPr>
                <w:noProof/>
              </w:rPr>
              <w:t>u području kibersigurnosti (operativna, tehnologija, vještine) za 1000 ključnih aktera u gospodarstvu i javnoj upravi (uključujući poduzeća, MSP-ove, škole, bolnice, tijela središnje i lokalne uprave).</w:t>
            </w:r>
          </w:p>
          <w:p w14:paraId="69A0C68C" w14:textId="77777777" w:rsidR="003F46B9" w:rsidRDefault="0065662E">
            <w:pPr>
              <w:pStyle w:val="P68B1DB1-Normal5"/>
              <w:spacing w:after="0" w:line="240" w:lineRule="auto"/>
              <w:jc w:val="both"/>
              <w:rPr>
                <w:rFonts w:eastAsia="Times New Roman" w:cs="Times New Roman"/>
                <w:noProof/>
              </w:rPr>
            </w:pPr>
            <w:r>
              <w:rPr>
                <w:noProof/>
              </w:rPr>
              <w:t>Stvaranje i pružanje „vladinih alata i usluga” kako bi</w:t>
            </w:r>
            <w:r>
              <w:rPr>
                <w:noProof/>
              </w:rPr>
              <w:t xml:space="preserve"> se povećala razina zrelosti kibersigurnosti 1000 ključnih aktera.</w:t>
            </w:r>
          </w:p>
          <w:p w14:paraId="57EDC6E5" w14:textId="77777777" w:rsidR="003F46B9" w:rsidRDefault="0065662E">
            <w:pPr>
              <w:pStyle w:val="P68B1DB1-Normal5"/>
              <w:spacing w:after="0" w:line="240" w:lineRule="auto"/>
              <w:jc w:val="both"/>
              <w:rPr>
                <w:rFonts w:cs="Times New Roman"/>
                <w:noProof/>
              </w:rPr>
            </w:pPr>
            <w:r>
              <w:rPr>
                <w:noProof/>
              </w:rPr>
              <w:t>Ključni sudionici odabiru se na temelju sljedeća dva kriterija:</w:t>
            </w:r>
          </w:p>
          <w:p w14:paraId="57F41775" w14:textId="77777777" w:rsidR="003F46B9" w:rsidRDefault="0065662E">
            <w:pPr>
              <w:pStyle w:val="P68B1DB1-Normal5"/>
              <w:numPr>
                <w:ilvl w:val="0"/>
                <w:numId w:val="58"/>
              </w:numPr>
              <w:spacing w:after="0" w:line="240" w:lineRule="auto"/>
              <w:ind w:left="260" w:hanging="260"/>
              <w:jc w:val="both"/>
              <w:rPr>
                <w:rFonts w:cs="Times New Roman"/>
                <w:noProof/>
              </w:rPr>
            </w:pPr>
            <w:r>
              <w:rPr>
                <w:noProof/>
              </w:rPr>
              <w:t>dionici odabrani kao reprezentativni za područja utvrđena Direktivom NIS i prenošenje Direktive NIS u rumunjsko pravo (tj. Za</w:t>
            </w:r>
            <w:r>
              <w:rPr>
                <w:noProof/>
              </w:rPr>
              <w:t>kon 362/2018)</w:t>
            </w:r>
          </w:p>
          <w:p w14:paraId="4A34BC4B" w14:textId="77777777" w:rsidR="003F46B9" w:rsidRDefault="0065662E">
            <w:pPr>
              <w:pStyle w:val="P68B1DB1-Normal5"/>
              <w:numPr>
                <w:ilvl w:val="0"/>
                <w:numId w:val="58"/>
              </w:numPr>
              <w:spacing w:after="0" w:line="240" w:lineRule="auto"/>
              <w:ind w:left="260" w:hanging="260"/>
              <w:jc w:val="both"/>
              <w:rPr>
                <w:rFonts w:eastAsia="Times New Roman" w:cs="Times New Roman"/>
                <w:noProof/>
              </w:rPr>
            </w:pPr>
            <w:r>
              <w:rPr>
                <w:noProof/>
              </w:rPr>
              <w:t>akteri odabrani na temelju procjene razvijenosti kibersigurnosti koju je rumunjsko nacionalno nadležno tijelo već provelo u području kibersigurnosti (tj. CERT-RO) na temelju ankete koja uključuje samoprocjenu zrelosti.</w:t>
            </w:r>
          </w:p>
        </w:tc>
      </w:tr>
      <w:tr w:rsidR="003F46B9" w14:paraId="71B1F719"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7DD5647F" w14:textId="77777777" w:rsidR="003F46B9" w:rsidRDefault="0065662E">
            <w:pPr>
              <w:pStyle w:val="P68B1DB1-Normal5"/>
              <w:spacing w:after="0" w:line="240" w:lineRule="auto"/>
              <w:jc w:val="center"/>
              <w:rPr>
                <w:rFonts w:eastAsia="Times New Roman" w:cs="Times New Roman"/>
                <w:noProof/>
              </w:rPr>
            </w:pPr>
            <w:r>
              <w:rPr>
                <w:noProof/>
              </w:rPr>
              <w:t>185</w:t>
            </w:r>
          </w:p>
        </w:tc>
        <w:tc>
          <w:tcPr>
            <w:tcW w:w="1740" w:type="dxa"/>
            <w:tcBorders>
              <w:top w:val="single" w:sz="4" w:space="0" w:color="auto"/>
              <w:left w:val="nil"/>
              <w:bottom w:val="single" w:sz="4" w:space="0" w:color="auto"/>
              <w:right w:val="single" w:sz="4" w:space="0" w:color="auto"/>
            </w:tcBorders>
            <w:shd w:val="clear" w:color="auto" w:fill="C6EFCE"/>
            <w:noWrap/>
          </w:tcPr>
          <w:p w14:paraId="7E7D4B7A" w14:textId="77777777" w:rsidR="003F46B9" w:rsidRDefault="0065662E">
            <w:pPr>
              <w:pStyle w:val="P68B1DB1-Normal5"/>
              <w:spacing w:after="0" w:line="240" w:lineRule="auto"/>
              <w:jc w:val="both"/>
              <w:rPr>
                <w:rFonts w:eastAsia="Times New Roman" w:cs="Times New Roman"/>
                <w:noProof/>
              </w:rPr>
            </w:pPr>
            <w:r>
              <w:rPr>
                <w:noProof/>
              </w:rPr>
              <w:t>Ulaganje 16.</w:t>
            </w:r>
          </w:p>
          <w:p w14:paraId="27C58487" w14:textId="77777777" w:rsidR="003F46B9" w:rsidRDefault="0065662E">
            <w:pPr>
              <w:pStyle w:val="P68B1DB1-Normal5"/>
              <w:spacing w:after="0" w:line="240" w:lineRule="auto"/>
              <w:jc w:val="both"/>
              <w:rPr>
                <w:rFonts w:eastAsia="Times New Roman" w:cs="Times New Roman"/>
                <w:noProof/>
              </w:rPr>
            </w:pPr>
            <w:r>
              <w:rPr>
                <w:noProof/>
              </w:rPr>
              <w:t xml:space="preserve">Program osposobljavanja državnih službenika u području naprednih digitalnih vještina </w:t>
            </w:r>
          </w:p>
        </w:tc>
        <w:tc>
          <w:tcPr>
            <w:tcW w:w="1073" w:type="dxa"/>
            <w:tcBorders>
              <w:top w:val="single" w:sz="4" w:space="0" w:color="auto"/>
              <w:left w:val="nil"/>
              <w:bottom w:val="single" w:sz="4" w:space="0" w:color="auto"/>
              <w:right w:val="single" w:sz="4" w:space="0" w:color="auto"/>
            </w:tcBorders>
            <w:shd w:val="clear" w:color="auto" w:fill="C6EFCE"/>
            <w:noWrap/>
          </w:tcPr>
          <w:p w14:paraId="5F79F699"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64F63754" w14:textId="77777777" w:rsidR="003F46B9" w:rsidRDefault="0065662E">
            <w:pPr>
              <w:pStyle w:val="P68B1DB1-Normal5"/>
              <w:spacing w:after="0" w:line="240" w:lineRule="auto"/>
              <w:jc w:val="both"/>
              <w:rPr>
                <w:rFonts w:eastAsia="Times New Roman" w:cs="Times New Roman"/>
                <w:noProof/>
              </w:rPr>
            </w:pPr>
            <w:r>
              <w:rPr>
                <w:noProof/>
              </w:rPr>
              <w:t xml:space="preserve">Digitalno osposobljeni državni službenici </w:t>
            </w:r>
          </w:p>
        </w:tc>
        <w:tc>
          <w:tcPr>
            <w:tcW w:w="1474" w:type="dxa"/>
            <w:tcBorders>
              <w:top w:val="single" w:sz="4" w:space="0" w:color="auto"/>
              <w:left w:val="nil"/>
              <w:bottom w:val="single" w:sz="4" w:space="0" w:color="auto"/>
              <w:right w:val="single" w:sz="4" w:space="0" w:color="auto"/>
            </w:tcBorders>
            <w:shd w:val="clear" w:color="auto" w:fill="C6EFCE"/>
            <w:noWrap/>
          </w:tcPr>
          <w:p w14:paraId="54B572F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5009868A"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187B372C"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A00610F" w14:textId="77777777" w:rsidR="003F46B9" w:rsidRDefault="0065662E">
            <w:pPr>
              <w:pStyle w:val="P68B1DB1-Normal5"/>
              <w:spacing w:after="0" w:line="240" w:lineRule="auto"/>
              <w:jc w:val="both"/>
              <w:rPr>
                <w:rFonts w:eastAsia="Times New Roman" w:cs="Times New Roman"/>
                <w:noProof/>
              </w:rPr>
            </w:pPr>
            <w:r>
              <w:rPr>
                <w:noProof/>
              </w:rPr>
              <w:t>32 500</w:t>
            </w:r>
          </w:p>
        </w:tc>
        <w:tc>
          <w:tcPr>
            <w:tcW w:w="908" w:type="dxa"/>
            <w:tcBorders>
              <w:top w:val="single" w:sz="4" w:space="0" w:color="auto"/>
              <w:left w:val="nil"/>
              <w:bottom w:val="single" w:sz="4" w:space="0" w:color="auto"/>
              <w:right w:val="single" w:sz="4" w:space="0" w:color="auto"/>
            </w:tcBorders>
            <w:shd w:val="clear" w:color="auto" w:fill="C6EFCE"/>
            <w:noWrap/>
          </w:tcPr>
          <w:p w14:paraId="0B9860A2"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6FBFD4B5"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2D5003E3" w14:textId="6B5C4329" w:rsidR="003F46B9" w:rsidRDefault="0065662E">
            <w:pPr>
              <w:pStyle w:val="P68B1DB1-Normal5"/>
              <w:spacing w:after="0" w:line="240" w:lineRule="auto"/>
              <w:jc w:val="both"/>
              <w:rPr>
                <w:rFonts w:eastAsia="Times New Roman" w:cs="Times New Roman"/>
                <w:noProof/>
              </w:rPr>
            </w:pPr>
            <w:r>
              <w:rPr>
                <w:noProof/>
              </w:rPr>
              <w:t xml:space="preserve">30000 javnih službenika osposobljenih za stjecanje naprednih digitalnih vještina (npr. </w:t>
            </w:r>
            <w:r>
              <w:rPr>
                <w:noProof/>
              </w:rPr>
              <w:t>administrator baze podataka (SQL, MySQL); upravitelj sustava; poslovni analitičari; analitičar podataka; programeri na različitim platformama) i 2500 državnih službenika u kategorijama viših karijera s osposobljavanjem rukovoditelja i upravljanjem talentim</w:t>
            </w:r>
            <w:r>
              <w:rPr>
                <w:noProof/>
              </w:rPr>
              <w:t xml:space="preserve">a </w:t>
            </w:r>
          </w:p>
        </w:tc>
      </w:tr>
      <w:tr w:rsidR="003F46B9" w14:paraId="5AC387DE"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53617FE7" w14:textId="77777777" w:rsidR="003F46B9" w:rsidRDefault="0065662E">
            <w:pPr>
              <w:pStyle w:val="P68B1DB1-Normal5"/>
              <w:spacing w:after="0" w:line="240" w:lineRule="auto"/>
              <w:jc w:val="center"/>
              <w:rPr>
                <w:rFonts w:eastAsia="Times New Roman" w:cs="Times New Roman"/>
                <w:noProof/>
              </w:rPr>
            </w:pPr>
            <w:r>
              <w:rPr>
                <w:noProof/>
              </w:rPr>
              <w:t>186</w:t>
            </w:r>
          </w:p>
        </w:tc>
        <w:tc>
          <w:tcPr>
            <w:tcW w:w="1740" w:type="dxa"/>
            <w:tcBorders>
              <w:top w:val="single" w:sz="4" w:space="0" w:color="auto"/>
              <w:left w:val="nil"/>
              <w:bottom w:val="single" w:sz="4" w:space="0" w:color="auto"/>
              <w:right w:val="single" w:sz="4" w:space="0" w:color="auto"/>
            </w:tcBorders>
            <w:shd w:val="clear" w:color="auto" w:fill="C6EFCE"/>
            <w:noWrap/>
          </w:tcPr>
          <w:p w14:paraId="5E74AAA4" w14:textId="77777777" w:rsidR="003F46B9" w:rsidRDefault="0065662E">
            <w:pPr>
              <w:pStyle w:val="P68B1DB1-Normal5"/>
              <w:spacing w:after="0" w:line="240" w:lineRule="auto"/>
              <w:jc w:val="both"/>
              <w:rPr>
                <w:rFonts w:eastAsia="Times New Roman" w:cs="Times New Roman"/>
                <w:noProof/>
              </w:rPr>
            </w:pPr>
            <w:r>
              <w:rPr>
                <w:noProof/>
              </w:rPr>
              <w:t>Ulaganje 17.</w:t>
            </w:r>
          </w:p>
          <w:p w14:paraId="3CC33ABB" w14:textId="77777777" w:rsidR="003F46B9" w:rsidRDefault="0065662E">
            <w:pPr>
              <w:pStyle w:val="P68B1DB1-Normal5"/>
              <w:spacing w:after="0" w:line="240" w:lineRule="auto"/>
              <w:jc w:val="both"/>
              <w:rPr>
                <w:rFonts w:eastAsia="Times New Roman" w:cs="Times New Roman"/>
                <w:noProof/>
              </w:rPr>
            </w:pPr>
            <w:r>
              <w:rPr>
                <w:noProof/>
              </w:rPr>
              <w:t xml:space="preserve">Programi financiranja knjižnica kako bi postali centri za digitalne vještine </w:t>
            </w:r>
          </w:p>
        </w:tc>
        <w:tc>
          <w:tcPr>
            <w:tcW w:w="1073" w:type="dxa"/>
            <w:tcBorders>
              <w:top w:val="single" w:sz="4" w:space="0" w:color="auto"/>
              <w:left w:val="nil"/>
              <w:bottom w:val="single" w:sz="4" w:space="0" w:color="auto"/>
              <w:right w:val="single" w:sz="4" w:space="0" w:color="auto"/>
            </w:tcBorders>
            <w:shd w:val="clear" w:color="auto" w:fill="C6EFCE"/>
            <w:noWrap/>
          </w:tcPr>
          <w:p w14:paraId="28B0FA04"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28743C61" w14:textId="77777777" w:rsidR="003F46B9" w:rsidRDefault="0065662E">
            <w:pPr>
              <w:pStyle w:val="P68B1DB1-Normal5"/>
              <w:spacing w:after="0" w:line="240" w:lineRule="auto"/>
              <w:jc w:val="both"/>
              <w:rPr>
                <w:rFonts w:eastAsia="Times New Roman" w:cs="Times New Roman"/>
                <w:noProof/>
              </w:rPr>
            </w:pPr>
            <w:r>
              <w:rPr>
                <w:noProof/>
              </w:rPr>
              <w:t>Knjižnice prenamijenjene u digitalne centre</w:t>
            </w:r>
          </w:p>
        </w:tc>
        <w:tc>
          <w:tcPr>
            <w:tcW w:w="1474" w:type="dxa"/>
            <w:tcBorders>
              <w:top w:val="single" w:sz="4" w:space="0" w:color="auto"/>
              <w:left w:val="nil"/>
              <w:bottom w:val="single" w:sz="4" w:space="0" w:color="auto"/>
              <w:right w:val="single" w:sz="4" w:space="0" w:color="auto"/>
            </w:tcBorders>
            <w:shd w:val="clear" w:color="auto" w:fill="C6EFCE"/>
            <w:noWrap/>
          </w:tcPr>
          <w:p w14:paraId="0E3D0F50" w14:textId="77777777" w:rsidR="003F46B9" w:rsidRDefault="003F46B9">
            <w:pPr>
              <w:spacing w:after="0" w:line="240" w:lineRule="auto"/>
              <w:jc w:val="both"/>
              <w:rPr>
                <w:rFonts w:ascii="Times New Roman" w:eastAsia="Times New Roman" w:hAnsi="Times New Roman" w:cs="Times New Roman"/>
                <w:noProof/>
                <w:sz w:val="24"/>
              </w:rPr>
            </w:pPr>
          </w:p>
        </w:tc>
        <w:tc>
          <w:tcPr>
            <w:tcW w:w="940" w:type="dxa"/>
            <w:tcBorders>
              <w:top w:val="single" w:sz="4" w:space="0" w:color="auto"/>
              <w:left w:val="nil"/>
              <w:bottom w:val="single" w:sz="4" w:space="0" w:color="auto"/>
              <w:right w:val="single" w:sz="4" w:space="0" w:color="auto"/>
            </w:tcBorders>
            <w:shd w:val="clear" w:color="auto" w:fill="C6EFCE"/>
            <w:noWrap/>
          </w:tcPr>
          <w:p w14:paraId="57811AC5"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0EECE5F0"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313DF105" w14:textId="77777777" w:rsidR="003F46B9" w:rsidRDefault="0065662E">
            <w:pPr>
              <w:pStyle w:val="P68B1DB1-Normal5"/>
              <w:spacing w:after="0" w:line="240" w:lineRule="auto"/>
              <w:jc w:val="both"/>
              <w:rPr>
                <w:rFonts w:eastAsia="Times New Roman" w:cs="Times New Roman"/>
                <w:noProof/>
              </w:rPr>
            </w:pPr>
            <w:r>
              <w:rPr>
                <w:noProof/>
              </w:rPr>
              <w:t>1 135</w:t>
            </w:r>
          </w:p>
        </w:tc>
        <w:tc>
          <w:tcPr>
            <w:tcW w:w="908" w:type="dxa"/>
            <w:tcBorders>
              <w:top w:val="single" w:sz="4" w:space="0" w:color="auto"/>
              <w:left w:val="nil"/>
              <w:bottom w:val="single" w:sz="4" w:space="0" w:color="auto"/>
              <w:right w:val="single" w:sz="4" w:space="0" w:color="auto"/>
            </w:tcBorders>
            <w:shd w:val="clear" w:color="auto" w:fill="C6EFCE"/>
            <w:noWrap/>
          </w:tcPr>
          <w:p w14:paraId="30541593"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24CC6A31" w14:textId="77777777" w:rsidR="003F46B9" w:rsidRDefault="0065662E">
            <w:pPr>
              <w:pStyle w:val="P68B1DB1-Normal5"/>
              <w:spacing w:after="0" w:line="240" w:lineRule="auto"/>
              <w:jc w:val="both"/>
              <w:rPr>
                <w:rFonts w:eastAsia="Times New Roman" w:cs="Times New Roman"/>
                <w:noProof/>
              </w:rPr>
            </w:pPr>
            <w:r>
              <w:rPr>
                <w:noProof/>
              </w:rPr>
              <w:t>2025</w:t>
            </w:r>
          </w:p>
        </w:tc>
        <w:tc>
          <w:tcPr>
            <w:tcW w:w="3021" w:type="dxa"/>
            <w:tcBorders>
              <w:top w:val="single" w:sz="4" w:space="0" w:color="auto"/>
              <w:left w:val="nil"/>
              <w:bottom w:val="single" w:sz="4" w:space="0" w:color="auto"/>
              <w:right w:val="single" w:sz="4" w:space="0" w:color="auto"/>
            </w:tcBorders>
            <w:shd w:val="clear" w:color="auto" w:fill="C6EFCE"/>
            <w:noWrap/>
          </w:tcPr>
          <w:p w14:paraId="51129FB5" w14:textId="77777777" w:rsidR="003F46B9" w:rsidRDefault="0065662E">
            <w:pPr>
              <w:pStyle w:val="P68B1DB1-Normal5"/>
              <w:spacing w:after="0" w:line="240" w:lineRule="auto"/>
              <w:jc w:val="both"/>
              <w:rPr>
                <w:rFonts w:eastAsia="Times New Roman" w:cs="Times New Roman"/>
                <w:noProof/>
              </w:rPr>
            </w:pPr>
            <w:r>
              <w:rPr>
                <w:noProof/>
              </w:rPr>
              <w:t>Najmanje 1135 knjižnica digitalizira se kako slijedi:</w:t>
            </w:r>
          </w:p>
          <w:p w14:paraId="5285CEA6" w14:textId="77777777" w:rsidR="003F46B9" w:rsidRDefault="0065662E">
            <w:pPr>
              <w:pStyle w:val="P68B1DB1-Normal5"/>
              <w:numPr>
                <w:ilvl w:val="0"/>
                <w:numId w:val="51"/>
              </w:numPr>
              <w:spacing w:after="0"/>
              <w:ind w:left="259" w:hanging="214"/>
              <w:contextualSpacing/>
              <w:jc w:val="both"/>
              <w:rPr>
                <w:rFonts w:eastAsia="Times New Roman" w:cs="Times New Roman"/>
                <w:noProof/>
              </w:rPr>
            </w:pPr>
            <w:r>
              <w:rPr>
                <w:noProof/>
              </w:rPr>
              <w:t>105 knjižnica, uključujući pet središnjih ureda županijskih knjižnica i 100 ruralnih ili općinskih knjižnica, obnovit će se i opremiti računalima i tehničkom opremom. Obnova se provodi u skladu s Tehničkim smjernicama o nenanošenju bitne štete (2021/C58/01</w:t>
            </w:r>
            <w:r>
              <w:rPr>
                <w:noProof/>
              </w:rPr>
              <w:t>).</w:t>
            </w:r>
          </w:p>
          <w:p w14:paraId="7255A5B8" w14:textId="77777777" w:rsidR="003F46B9" w:rsidRDefault="0065662E">
            <w:pPr>
              <w:pStyle w:val="P68B1DB1-Normal5"/>
              <w:numPr>
                <w:ilvl w:val="0"/>
                <w:numId w:val="51"/>
              </w:numPr>
              <w:spacing w:after="0"/>
              <w:ind w:left="259" w:hanging="214"/>
              <w:contextualSpacing/>
              <w:jc w:val="both"/>
              <w:rPr>
                <w:rFonts w:eastAsia="Times New Roman"/>
                <w:noProof/>
              </w:rPr>
            </w:pPr>
            <w:r>
              <w:rPr>
                <w:noProof/>
              </w:rPr>
              <w:t>1030 knjižnica koristi novu ili nadograđenu informatičku opremu.</w:t>
            </w:r>
          </w:p>
        </w:tc>
      </w:tr>
      <w:tr w:rsidR="003F46B9" w14:paraId="29F41804" w14:textId="77777777">
        <w:trPr>
          <w:trHeight w:val="309"/>
          <w:jc w:val="center"/>
        </w:trPr>
        <w:tc>
          <w:tcPr>
            <w:tcW w:w="1252" w:type="dxa"/>
            <w:tcBorders>
              <w:top w:val="single" w:sz="4" w:space="0" w:color="auto"/>
              <w:left w:val="single" w:sz="4" w:space="0" w:color="auto"/>
              <w:bottom w:val="single" w:sz="4" w:space="0" w:color="auto"/>
              <w:right w:val="single" w:sz="4" w:space="0" w:color="auto"/>
            </w:tcBorders>
            <w:shd w:val="clear" w:color="auto" w:fill="C6EFCE"/>
            <w:noWrap/>
          </w:tcPr>
          <w:p w14:paraId="1A402B97" w14:textId="77777777" w:rsidR="003F46B9" w:rsidRDefault="0065662E">
            <w:pPr>
              <w:pStyle w:val="P68B1DB1-Normal5"/>
              <w:spacing w:after="0" w:line="240" w:lineRule="auto"/>
              <w:jc w:val="center"/>
              <w:rPr>
                <w:rFonts w:eastAsia="Times New Roman" w:cs="Times New Roman"/>
                <w:noProof/>
              </w:rPr>
            </w:pPr>
            <w:r>
              <w:rPr>
                <w:noProof/>
              </w:rPr>
              <w:t>187</w:t>
            </w:r>
          </w:p>
        </w:tc>
        <w:tc>
          <w:tcPr>
            <w:tcW w:w="1740" w:type="dxa"/>
            <w:tcBorders>
              <w:top w:val="single" w:sz="4" w:space="0" w:color="auto"/>
              <w:left w:val="nil"/>
              <w:bottom w:val="single" w:sz="4" w:space="0" w:color="auto"/>
              <w:right w:val="single" w:sz="4" w:space="0" w:color="auto"/>
            </w:tcBorders>
            <w:shd w:val="clear" w:color="auto" w:fill="C6EFCE"/>
            <w:noWrap/>
          </w:tcPr>
          <w:p w14:paraId="2AD4EE76" w14:textId="77777777" w:rsidR="003F46B9" w:rsidRDefault="0065662E">
            <w:pPr>
              <w:pStyle w:val="P68B1DB1-Normal5"/>
              <w:spacing w:after="0" w:line="240" w:lineRule="auto"/>
              <w:jc w:val="both"/>
              <w:rPr>
                <w:rFonts w:eastAsia="Times New Roman" w:cs="Times New Roman"/>
                <w:noProof/>
              </w:rPr>
            </w:pPr>
            <w:r>
              <w:rPr>
                <w:noProof/>
              </w:rPr>
              <w:t>Ulaganje 17.</w:t>
            </w:r>
          </w:p>
          <w:p w14:paraId="45CCFDF5" w14:textId="77777777" w:rsidR="003F46B9" w:rsidRDefault="0065662E">
            <w:pPr>
              <w:pStyle w:val="P68B1DB1-Normal5"/>
              <w:spacing w:after="0" w:line="240" w:lineRule="auto"/>
              <w:jc w:val="both"/>
              <w:rPr>
                <w:rFonts w:eastAsia="Times New Roman" w:cs="Times New Roman"/>
                <w:noProof/>
              </w:rPr>
            </w:pPr>
            <w:r>
              <w:rPr>
                <w:noProof/>
              </w:rPr>
              <w:t xml:space="preserve">Programi financiranja knjižnica kako bi postali centri za digitalne vještine </w:t>
            </w:r>
          </w:p>
        </w:tc>
        <w:tc>
          <w:tcPr>
            <w:tcW w:w="1073" w:type="dxa"/>
            <w:tcBorders>
              <w:top w:val="single" w:sz="4" w:space="0" w:color="auto"/>
              <w:left w:val="nil"/>
              <w:bottom w:val="single" w:sz="4" w:space="0" w:color="auto"/>
              <w:right w:val="single" w:sz="4" w:space="0" w:color="auto"/>
            </w:tcBorders>
            <w:shd w:val="clear" w:color="auto" w:fill="C6EFCE"/>
            <w:noWrap/>
          </w:tcPr>
          <w:p w14:paraId="643778B8" w14:textId="77777777" w:rsidR="003F46B9" w:rsidRDefault="0065662E">
            <w:pPr>
              <w:pStyle w:val="P68B1DB1-Normal5"/>
              <w:spacing w:after="0" w:line="240" w:lineRule="auto"/>
              <w:jc w:val="both"/>
              <w:rPr>
                <w:rFonts w:eastAsia="Times New Roman" w:cs="Times New Roman"/>
                <w:noProof/>
              </w:rPr>
            </w:pPr>
            <w:r>
              <w:rPr>
                <w:noProof/>
              </w:rPr>
              <w:t>Ciljna</w:t>
            </w:r>
          </w:p>
        </w:tc>
        <w:tc>
          <w:tcPr>
            <w:tcW w:w="1741" w:type="dxa"/>
            <w:tcBorders>
              <w:top w:val="single" w:sz="4" w:space="0" w:color="auto"/>
              <w:left w:val="nil"/>
              <w:bottom w:val="single" w:sz="4" w:space="0" w:color="auto"/>
              <w:right w:val="single" w:sz="4" w:space="0" w:color="auto"/>
            </w:tcBorders>
            <w:shd w:val="clear" w:color="auto" w:fill="C6EFCE"/>
            <w:noWrap/>
          </w:tcPr>
          <w:p w14:paraId="3F1F0715" w14:textId="77777777" w:rsidR="003F46B9" w:rsidRDefault="0065662E">
            <w:pPr>
              <w:pStyle w:val="P68B1DB1-Normal5"/>
              <w:spacing w:after="0" w:line="240" w:lineRule="auto"/>
              <w:jc w:val="both"/>
              <w:rPr>
                <w:rFonts w:eastAsia="Times New Roman" w:cs="Times New Roman"/>
                <w:noProof/>
              </w:rPr>
            </w:pPr>
            <w:r>
              <w:rPr>
                <w:noProof/>
              </w:rPr>
              <w:t>Građani koji su prošli osposobljavanje za razvoj digitalnih kompetencija</w:t>
            </w:r>
          </w:p>
        </w:tc>
        <w:tc>
          <w:tcPr>
            <w:tcW w:w="1474" w:type="dxa"/>
            <w:tcBorders>
              <w:top w:val="single" w:sz="4" w:space="0" w:color="auto"/>
              <w:left w:val="nil"/>
              <w:bottom w:val="single" w:sz="4" w:space="0" w:color="auto"/>
              <w:right w:val="single" w:sz="4" w:space="0" w:color="auto"/>
            </w:tcBorders>
            <w:shd w:val="clear" w:color="auto" w:fill="C6EFCE"/>
            <w:noWrap/>
          </w:tcPr>
          <w:p w14:paraId="245F7B1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0" w:type="dxa"/>
            <w:tcBorders>
              <w:top w:val="single" w:sz="4" w:space="0" w:color="auto"/>
              <w:left w:val="nil"/>
              <w:bottom w:val="single" w:sz="4" w:space="0" w:color="auto"/>
              <w:right w:val="single" w:sz="4" w:space="0" w:color="auto"/>
            </w:tcBorders>
            <w:shd w:val="clear" w:color="auto" w:fill="C6EFCE"/>
            <w:noWrap/>
          </w:tcPr>
          <w:p w14:paraId="7E02A9C6" w14:textId="77777777" w:rsidR="003F46B9" w:rsidRDefault="0065662E">
            <w:pPr>
              <w:pStyle w:val="P68B1DB1-Normal5"/>
              <w:spacing w:after="0" w:line="240" w:lineRule="auto"/>
              <w:jc w:val="both"/>
              <w:rPr>
                <w:rFonts w:eastAsia="Times New Roman" w:cs="Times New Roman"/>
                <w:noProof/>
              </w:rPr>
            </w:pPr>
            <w:r>
              <w:rPr>
                <w:noProof/>
              </w:rPr>
              <w:t>Broj</w:t>
            </w:r>
          </w:p>
        </w:tc>
        <w:tc>
          <w:tcPr>
            <w:tcW w:w="1341" w:type="dxa"/>
            <w:tcBorders>
              <w:top w:val="single" w:sz="4" w:space="0" w:color="auto"/>
              <w:left w:val="nil"/>
              <w:bottom w:val="single" w:sz="4" w:space="0" w:color="auto"/>
              <w:right w:val="single" w:sz="4" w:space="0" w:color="auto"/>
            </w:tcBorders>
            <w:shd w:val="clear" w:color="auto" w:fill="C6EFCE"/>
            <w:noWrap/>
          </w:tcPr>
          <w:p w14:paraId="47381182" w14:textId="77777777" w:rsidR="003F46B9" w:rsidRDefault="0065662E">
            <w:pPr>
              <w:pStyle w:val="P68B1DB1-Normal5"/>
              <w:spacing w:after="0" w:line="240" w:lineRule="auto"/>
              <w:jc w:val="both"/>
              <w:rPr>
                <w:rFonts w:eastAsia="Times New Roman" w:cs="Times New Roman"/>
                <w:noProof/>
              </w:rPr>
            </w:pPr>
            <w:r>
              <w:rPr>
                <w:noProof/>
              </w:rPr>
              <w:t>0</w:t>
            </w:r>
          </w:p>
        </w:tc>
        <w:tc>
          <w:tcPr>
            <w:tcW w:w="725" w:type="dxa"/>
            <w:tcBorders>
              <w:top w:val="single" w:sz="4" w:space="0" w:color="auto"/>
              <w:left w:val="nil"/>
              <w:bottom w:val="single" w:sz="4" w:space="0" w:color="auto"/>
              <w:right w:val="single" w:sz="4" w:space="0" w:color="auto"/>
            </w:tcBorders>
            <w:shd w:val="clear" w:color="auto" w:fill="C6EFCE"/>
            <w:noWrap/>
          </w:tcPr>
          <w:p w14:paraId="4D047660" w14:textId="77777777" w:rsidR="003F46B9" w:rsidRDefault="0065662E">
            <w:pPr>
              <w:pStyle w:val="P68B1DB1-Normal5"/>
              <w:spacing w:after="0" w:line="240" w:lineRule="auto"/>
              <w:jc w:val="both"/>
              <w:rPr>
                <w:rFonts w:eastAsia="Times New Roman" w:cs="Times New Roman"/>
                <w:noProof/>
              </w:rPr>
            </w:pPr>
            <w:r>
              <w:rPr>
                <w:noProof/>
              </w:rPr>
              <w:t>100 000</w:t>
            </w:r>
          </w:p>
        </w:tc>
        <w:tc>
          <w:tcPr>
            <w:tcW w:w="908" w:type="dxa"/>
            <w:tcBorders>
              <w:top w:val="single" w:sz="4" w:space="0" w:color="auto"/>
              <w:left w:val="nil"/>
              <w:bottom w:val="single" w:sz="4" w:space="0" w:color="auto"/>
              <w:right w:val="single" w:sz="4" w:space="0" w:color="auto"/>
            </w:tcBorders>
            <w:shd w:val="clear" w:color="auto" w:fill="C6EFCE"/>
            <w:noWrap/>
          </w:tcPr>
          <w:p w14:paraId="3F3E2C06"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708" w:type="dxa"/>
            <w:tcBorders>
              <w:top w:val="single" w:sz="4" w:space="0" w:color="auto"/>
              <w:left w:val="nil"/>
              <w:bottom w:val="single" w:sz="4" w:space="0" w:color="auto"/>
              <w:right w:val="single" w:sz="4" w:space="0" w:color="auto"/>
            </w:tcBorders>
            <w:shd w:val="clear" w:color="auto" w:fill="C6EFCE"/>
            <w:noWrap/>
          </w:tcPr>
          <w:p w14:paraId="4F2BB247" w14:textId="77777777" w:rsidR="003F46B9" w:rsidRDefault="0065662E">
            <w:pPr>
              <w:pStyle w:val="P68B1DB1-Normal5"/>
              <w:spacing w:after="0" w:line="240" w:lineRule="auto"/>
              <w:jc w:val="both"/>
              <w:rPr>
                <w:rFonts w:eastAsia="Times New Roman" w:cs="Times New Roman"/>
                <w:noProof/>
              </w:rPr>
            </w:pPr>
            <w:r>
              <w:rPr>
                <w:noProof/>
              </w:rPr>
              <w:t>2026</w:t>
            </w:r>
          </w:p>
        </w:tc>
        <w:tc>
          <w:tcPr>
            <w:tcW w:w="3021" w:type="dxa"/>
            <w:tcBorders>
              <w:top w:val="single" w:sz="4" w:space="0" w:color="auto"/>
              <w:left w:val="nil"/>
              <w:bottom w:val="single" w:sz="4" w:space="0" w:color="auto"/>
              <w:right w:val="single" w:sz="4" w:space="0" w:color="auto"/>
            </w:tcBorders>
            <w:shd w:val="clear" w:color="auto" w:fill="C6EFCE"/>
            <w:noWrap/>
          </w:tcPr>
          <w:p w14:paraId="5A632E4D" w14:textId="77777777" w:rsidR="003F46B9" w:rsidRDefault="0065662E">
            <w:pPr>
              <w:pStyle w:val="P68B1DB1-Normal5"/>
              <w:spacing w:after="0" w:line="240" w:lineRule="auto"/>
              <w:jc w:val="both"/>
              <w:rPr>
                <w:rFonts w:eastAsia="Times New Roman" w:cs="Times New Roman"/>
                <w:noProof/>
              </w:rPr>
            </w:pPr>
            <w:r>
              <w:rPr>
                <w:noProof/>
              </w:rPr>
              <w:t>Građani iz zajednica u nepovoljnom položaju koji su prošli osposobljavanje za razvoj osnovnih digitalnih vještina u knjižnicama pretvorenima u digitalne centre. Osnovne digitalne vještine uključuju digitalnu pismenost, komunikaciju</w:t>
            </w:r>
            <w:r>
              <w:rPr>
                <w:noProof/>
              </w:rPr>
              <w:t>, medijsku pismenost, tvorač digitalnog sadržaja, digitalnu sigurnost, digitalno poduzetničko obrazovanje.</w:t>
            </w:r>
          </w:p>
        </w:tc>
      </w:tr>
    </w:tbl>
    <w:p w14:paraId="144A1557" w14:textId="77777777" w:rsidR="003F46B9" w:rsidRDefault="003F46B9">
      <w:pPr>
        <w:spacing w:before="120" w:after="120" w:line="240" w:lineRule="auto"/>
        <w:jc w:val="both"/>
        <w:rPr>
          <w:rFonts w:ascii="Times New Roman" w:hAnsi="Times New Roman" w:cs="Times New Roman"/>
          <w:noProof/>
          <w:sz w:val="24"/>
        </w:rPr>
      </w:pPr>
    </w:p>
    <w:p w14:paraId="792173CF" w14:textId="77777777" w:rsidR="003F46B9" w:rsidRDefault="003F46B9">
      <w:pPr>
        <w:spacing w:before="120" w:after="0" w:line="240" w:lineRule="auto"/>
        <w:ind w:left="840"/>
        <w:jc w:val="both"/>
        <w:textAlignment w:val="baseline"/>
        <w:rPr>
          <w:rFonts w:ascii="Times New Roman" w:eastAsia="Times New Roman" w:hAnsi="Times New Roman" w:cs="Times New Roman"/>
          <w:noProof/>
          <w:sz w:val="24"/>
        </w:rPr>
        <w:sectPr w:rsidR="003F46B9">
          <w:headerReference w:type="even" r:id="rId168"/>
          <w:headerReference w:type="default" r:id="rId169"/>
          <w:footerReference w:type="even" r:id="rId170"/>
          <w:footerReference w:type="default" r:id="rId171"/>
          <w:headerReference w:type="first" r:id="rId172"/>
          <w:footerReference w:type="first" r:id="rId173"/>
          <w:pgSz w:w="15840" w:h="12240" w:orient="landscape"/>
          <w:pgMar w:top="1440" w:right="1440" w:bottom="1440" w:left="1440" w:header="709" w:footer="709" w:gutter="0"/>
          <w:cols w:space="708"/>
          <w:docGrid w:linePitch="360"/>
        </w:sectPr>
      </w:pPr>
    </w:p>
    <w:p w14:paraId="1364B7CD"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G.3. </w:t>
      </w:r>
      <w:r>
        <w:rPr>
          <w:noProof/>
        </w:rPr>
        <w:tab/>
      </w:r>
      <w:r>
        <w:rPr>
          <w:rFonts w:ascii="Times New Roman" w:hAnsi="Times New Roman"/>
          <w:b/>
          <w:noProof/>
          <w:sz w:val="24"/>
        </w:rPr>
        <w:t xml:space="preserve">Opis reformi i ulaganja za zajam </w:t>
      </w:r>
    </w:p>
    <w:p w14:paraId="19EBE0A8"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18. Digitalna transformacija i </w:t>
      </w:r>
      <w:r>
        <w:rPr>
          <w:rFonts w:ascii="Times New Roman" w:hAnsi="Times New Roman"/>
          <w:noProof/>
        </w:rPr>
        <w:t xml:space="preserve">automatizacija </w:t>
      </w:r>
      <w:r>
        <w:rPr>
          <w:rFonts w:ascii="Times New Roman" w:hAnsi="Times New Roman"/>
          <w:noProof/>
        </w:rPr>
        <w:t>robotskog procesa u javnoj upravi</w:t>
      </w:r>
    </w:p>
    <w:p w14:paraId="091654D1" w14:textId="77777777" w:rsidR="003F46B9" w:rsidRDefault="0065662E">
      <w:pPr>
        <w:pStyle w:val="P68B1DB1-Normal5"/>
        <w:spacing w:before="120" w:after="120" w:line="240" w:lineRule="auto"/>
        <w:jc w:val="both"/>
        <w:rPr>
          <w:rFonts w:cs="Times New Roman"/>
          <w:noProof/>
        </w:rPr>
      </w:pPr>
      <w:r>
        <w:rPr>
          <w:noProof/>
        </w:rPr>
        <w:t>Cilj je tog ulaganja poduprijeti digitalnu transformaciju, povećati produktivnost i otpornost, smanjiti pogreške i vrijeme potrebno za obradu zahtjeva (građana) od javne uprave donošenjem rješenja za automatizaciju robotsk</w:t>
      </w:r>
      <w:r>
        <w:rPr>
          <w:noProof/>
        </w:rPr>
        <w:t>og procesa (automatizacija zadataka koji se ponavljaju i temelje se na pravilima).</w:t>
      </w:r>
    </w:p>
    <w:p w14:paraId="38C089DA" w14:textId="77777777" w:rsidR="003F46B9" w:rsidRDefault="0065662E">
      <w:pPr>
        <w:pStyle w:val="P68B1DB1-Normal5"/>
        <w:spacing w:before="120" w:after="120" w:line="240" w:lineRule="auto"/>
        <w:jc w:val="both"/>
        <w:rPr>
          <w:rFonts w:cs="Times New Roman"/>
          <w:noProof/>
        </w:rPr>
      </w:pPr>
      <w:r>
        <w:rPr>
          <w:noProof/>
        </w:rPr>
        <w:t>Ulaganje se sastoji od uvođenja naprednih tehnologija, redefiniranja poslovnih procesa i poboljšanja postupaka donošenja odluka u javnom sektoru. Savjetnik najprije analizir</w:t>
      </w:r>
      <w:r>
        <w:rPr>
          <w:noProof/>
        </w:rPr>
        <w:t>a postojeće radne postupke u javnim institucijama i predlaže odgovarajuća tehnološka rješenja za RPA. Sljedeći je korak objava poziva na podnošenje prijedloga institucijama koje žele imati koristi od RPA rješenja.</w:t>
      </w:r>
    </w:p>
    <w:p w14:paraId="4D754550" w14:textId="77777777" w:rsidR="003F46B9" w:rsidRDefault="0065662E">
      <w:pPr>
        <w:pStyle w:val="P68B1DB1-Normal5"/>
        <w:spacing w:before="120" w:after="120" w:line="240" w:lineRule="auto"/>
        <w:jc w:val="both"/>
        <w:rPr>
          <w:rFonts w:cs="Times New Roman"/>
          <w:noProof/>
        </w:rPr>
      </w:pPr>
      <w:r>
        <w:rPr>
          <w:noProof/>
        </w:rPr>
        <w:t>Provedba ulaganja mora biti dovršena do 31</w:t>
      </w:r>
      <w:r>
        <w:rPr>
          <w:noProof/>
        </w:rPr>
        <w:t>. prosinca 2025.</w:t>
      </w:r>
    </w:p>
    <w:p w14:paraId="26F0F51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19. Programi za usavršavanje/prekvalifikaciju zaposlenika u poduzećima</w:t>
      </w:r>
      <w:r>
        <w:rPr>
          <w:rFonts w:ascii="Times New Roman" w:hAnsi="Times New Roman"/>
          <w:noProof/>
        </w:rPr>
        <w:t xml:space="preserve"> </w:t>
      </w:r>
    </w:p>
    <w:p w14:paraId="04F743D5" w14:textId="77777777" w:rsidR="003F46B9" w:rsidRDefault="0065662E">
      <w:pPr>
        <w:pStyle w:val="P68B1DB1-Normal5"/>
        <w:spacing w:before="120" w:after="120" w:line="240" w:lineRule="auto"/>
        <w:jc w:val="both"/>
        <w:rPr>
          <w:rFonts w:cs="Times New Roman"/>
          <w:noProof/>
        </w:rPr>
      </w:pPr>
      <w:r>
        <w:rPr>
          <w:noProof/>
        </w:rPr>
        <w:t>Cilj je tog ulaganja poduprijeti digitalnu transformaciju malih i srednjih poduzeća povećanjem digitalnih vještina njihovih zaposlenika.</w:t>
      </w:r>
    </w:p>
    <w:p w14:paraId="1CF1F901" w14:textId="77777777" w:rsidR="003F46B9" w:rsidRDefault="0065662E">
      <w:pPr>
        <w:pStyle w:val="P68B1DB1-Normal5"/>
        <w:spacing w:before="120" w:after="120" w:line="240" w:lineRule="auto"/>
        <w:jc w:val="both"/>
        <w:rPr>
          <w:rFonts w:cs="Times New Roman"/>
          <w:noProof/>
        </w:rPr>
      </w:pPr>
      <w:r>
        <w:rPr>
          <w:noProof/>
        </w:rPr>
        <w:t>Ulaganje se provodi u</w:t>
      </w:r>
      <w:r>
        <w:rPr>
          <w:noProof/>
        </w:rPr>
        <w:t xml:space="preserve"> nekoliko faza. Najprije se izrađuje kurikulum za usavršavanje radne snage. Naglasak će biti na novim tehnologijama (kao što su internet stvari, velike količine podataka, strojno učenje, umjetna inteligencija, robotska automatizacija procesa, lanac blokova</w:t>
      </w:r>
      <w:r>
        <w:rPr>
          <w:noProof/>
        </w:rPr>
        <w:t>). U drugoj fazi konzultant pruža potporu upravi pri utvrđivanju strukture osposobljavanja, a razredi se održavaju za zaposlenike MSP-ova koji su podnijeli zahtjev za sudjelovanje u programu.</w:t>
      </w:r>
    </w:p>
    <w:p w14:paraId="09EA5ECD"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7F43A43A"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174"/>
          <w:headerReference w:type="default" r:id="rId175"/>
          <w:footerReference w:type="even" r:id="rId176"/>
          <w:footerReference w:type="default" r:id="rId177"/>
          <w:headerReference w:type="first" r:id="rId178"/>
          <w:footerReference w:type="first" r:id="rId179"/>
          <w:pgSz w:w="12240" w:h="15840"/>
          <w:pgMar w:top="1134" w:right="1418" w:bottom="1134" w:left="1418" w:header="709" w:footer="709" w:gutter="0"/>
          <w:cols w:space="708"/>
          <w:docGrid w:linePitch="360"/>
        </w:sectPr>
      </w:pPr>
    </w:p>
    <w:p w14:paraId="61004964"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G.4. </w:t>
      </w:r>
      <w:r>
        <w:rPr>
          <w:noProof/>
        </w:rPr>
        <w:tab/>
      </w:r>
      <w:r>
        <w:rPr>
          <w:rFonts w:ascii="Times New Roman" w:hAnsi="Times New Roman"/>
          <w:b/>
          <w:noProof/>
          <w:sz w:val="24"/>
        </w:rPr>
        <w:t xml:space="preserve">Ključne etape, ciljne vrijednosti, pokazatelji i vremenski raspored za praćenje i provedbu zajma </w:t>
      </w:r>
    </w:p>
    <w:tbl>
      <w:tblPr>
        <w:tblW w:w="15026" w:type="dxa"/>
        <w:jc w:val="center"/>
        <w:tblLayout w:type="fixed"/>
        <w:tblLook w:val="04A0" w:firstRow="1" w:lastRow="0" w:firstColumn="1" w:lastColumn="0" w:noHBand="0" w:noVBand="1"/>
      </w:tblPr>
      <w:tblGrid>
        <w:gridCol w:w="1418"/>
        <w:gridCol w:w="1680"/>
        <w:gridCol w:w="1297"/>
        <w:gridCol w:w="992"/>
        <w:gridCol w:w="1713"/>
        <w:gridCol w:w="1122"/>
        <w:gridCol w:w="709"/>
        <w:gridCol w:w="851"/>
        <w:gridCol w:w="1134"/>
        <w:gridCol w:w="850"/>
        <w:gridCol w:w="3260"/>
      </w:tblGrid>
      <w:tr w:rsidR="003F46B9" w14:paraId="663CB481" w14:textId="77777777">
        <w:trPr>
          <w:trHeight w:val="939"/>
          <w:tblHeader/>
          <w:jc w:val="center"/>
        </w:trPr>
        <w:tc>
          <w:tcPr>
            <w:tcW w:w="1418" w:type="dxa"/>
            <w:vMerge w:val="restart"/>
            <w:tcBorders>
              <w:top w:val="single" w:sz="4" w:space="0" w:color="auto"/>
              <w:left w:val="single" w:sz="4" w:space="0" w:color="auto"/>
              <w:right w:val="single" w:sz="4" w:space="0" w:color="auto"/>
            </w:tcBorders>
            <w:shd w:val="clear" w:color="auto" w:fill="BDD7EE"/>
            <w:vAlign w:val="center"/>
            <w:hideMark/>
          </w:tcPr>
          <w:p w14:paraId="630C7923" w14:textId="77777777" w:rsidR="003F46B9" w:rsidRDefault="0065662E">
            <w:pPr>
              <w:pStyle w:val="P68B1DB1-Normal1"/>
              <w:spacing w:before="120" w:after="0" w:line="240" w:lineRule="auto"/>
              <w:jc w:val="center"/>
              <w:rPr>
                <w:rFonts w:eastAsia="Times New Roman" w:cs="Times New Roman"/>
                <w:noProof/>
              </w:rPr>
            </w:pPr>
            <w:r>
              <w:rPr>
                <w:noProof/>
              </w:rPr>
              <w:t>Redni broj</w:t>
            </w:r>
          </w:p>
        </w:tc>
        <w:tc>
          <w:tcPr>
            <w:tcW w:w="1680" w:type="dxa"/>
            <w:vMerge w:val="restart"/>
            <w:tcBorders>
              <w:top w:val="single" w:sz="4" w:space="0" w:color="auto"/>
              <w:left w:val="single" w:sz="4" w:space="0" w:color="auto"/>
              <w:right w:val="single" w:sz="4" w:space="0" w:color="auto"/>
            </w:tcBorders>
            <w:shd w:val="clear" w:color="auto" w:fill="BDD7EE"/>
            <w:vAlign w:val="center"/>
            <w:hideMark/>
          </w:tcPr>
          <w:p w14:paraId="70901E8F" w14:textId="77777777" w:rsidR="003F46B9" w:rsidRDefault="0065662E">
            <w:pPr>
              <w:pStyle w:val="P68B1DB1-Normal1"/>
              <w:spacing w:before="120" w:after="0" w:line="240" w:lineRule="auto"/>
              <w:jc w:val="center"/>
              <w:rPr>
                <w:rFonts w:eastAsia="Times New Roman" w:cs="Times New Roman"/>
                <w:noProof/>
              </w:rPr>
            </w:pPr>
            <w:r>
              <w:rPr>
                <w:noProof/>
              </w:rPr>
              <w:t>Povezana mjera (reforma ili ulaganje)</w:t>
            </w:r>
          </w:p>
        </w:tc>
        <w:tc>
          <w:tcPr>
            <w:tcW w:w="1297" w:type="dxa"/>
            <w:vMerge w:val="restart"/>
            <w:tcBorders>
              <w:top w:val="single" w:sz="4" w:space="0" w:color="auto"/>
              <w:left w:val="single" w:sz="4" w:space="0" w:color="auto"/>
              <w:right w:val="single" w:sz="4" w:space="0" w:color="auto"/>
            </w:tcBorders>
            <w:shd w:val="clear" w:color="auto" w:fill="BDD7EE"/>
            <w:vAlign w:val="center"/>
            <w:hideMark/>
          </w:tcPr>
          <w:p w14:paraId="63F154E6" w14:textId="77777777" w:rsidR="003F46B9" w:rsidRDefault="0065662E">
            <w:pPr>
              <w:pStyle w:val="P68B1DB1-Normal1"/>
              <w:spacing w:before="120" w:after="0" w:line="240" w:lineRule="auto"/>
              <w:jc w:val="center"/>
              <w:rPr>
                <w:rFonts w:eastAsia="Times New Roman" w:cs="Times New Roman"/>
                <w:noProof/>
              </w:rPr>
            </w:pPr>
            <w:r>
              <w:rPr>
                <w:noProof/>
              </w:rPr>
              <w:t>Ključna etapa/ciljna vrijednost</w:t>
            </w:r>
          </w:p>
        </w:tc>
        <w:tc>
          <w:tcPr>
            <w:tcW w:w="992" w:type="dxa"/>
            <w:vMerge w:val="restart"/>
            <w:tcBorders>
              <w:top w:val="single" w:sz="4" w:space="0" w:color="auto"/>
              <w:left w:val="nil"/>
              <w:right w:val="single" w:sz="4" w:space="0" w:color="auto"/>
            </w:tcBorders>
            <w:shd w:val="clear" w:color="auto" w:fill="BDD7EE"/>
            <w:vAlign w:val="center"/>
            <w:hideMark/>
          </w:tcPr>
          <w:p w14:paraId="3C52EC9F" w14:textId="77777777" w:rsidR="003F46B9" w:rsidRDefault="0065662E">
            <w:pPr>
              <w:pStyle w:val="P68B1DB1-Normal1"/>
              <w:spacing w:before="120" w:after="0" w:line="240" w:lineRule="auto"/>
              <w:jc w:val="center"/>
              <w:rPr>
                <w:rFonts w:eastAsia="Times New Roman" w:cs="Times New Roman"/>
                <w:noProof/>
              </w:rPr>
            </w:pPr>
            <w:r>
              <w:rPr>
                <w:noProof/>
              </w:rPr>
              <w:t>Ime</w:t>
            </w:r>
          </w:p>
        </w:tc>
        <w:tc>
          <w:tcPr>
            <w:tcW w:w="1713" w:type="dxa"/>
            <w:vMerge w:val="restart"/>
            <w:tcBorders>
              <w:top w:val="single" w:sz="4" w:space="0" w:color="auto"/>
              <w:left w:val="single" w:sz="4" w:space="0" w:color="auto"/>
              <w:right w:val="single" w:sz="4" w:space="0" w:color="auto"/>
            </w:tcBorders>
            <w:shd w:val="clear" w:color="auto" w:fill="BDD7EE"/>
            <w:vAlign w:val="center"/>
            <w:hideMark/>
          </w:tcPr>
          <w:p w14:paraId="544C6D45" w14:textId="50F14A30" w:rsidR="003F46B9" w:rsidRDefault="0065662E">
            <w:pPr>
              <w:spacing w:before="120" w:after="0" w:line="240" w:lineRule="auto"/>
              <w:jc w:val="center"/>
              <w:rPr>
                <w:rFonts w:ascii="Times New Roman" w:eastAsia="Times New Roman" w:hAnsi="Times New Roman" w:cs="Times New Roman"/>
                <w:b/>
                <w:noProof/>
                <w:sz w:val="24"/>
              </w:rPr>
            </w:pPr>
            <w:r>
              <w:rPr>
                <w:rFonts w:ascii="Times New Roman" w:hAnsi="Times New Roman"/>
                <w:b/>
                <w:noProof/>
                <w:sz w:val="24"/>
              </w:rPr>
              <w:t xml:space="preserve">Kvalitativni </w:t>
            </w:r>
            <w:r>
              <w:rPr>
                <w:rFonts w:ascii="Times New Roman" w:hAnsi="Times New Roman"/>
                <w:b/>
                <w:noProof/>
                <w:sz w:val="24"/>
              </w:rPr>
              <w:t>pokazatelji</w:t>
            </w:r>
            <w:r>
              <w:rPr>
                <w:noProof/>
              </w:rPr>
              <w:br/>
            </w:r>
            <w:r>
              <w:rPr>
                <w:rFonts w:ascii="Times New Roman" w:hAnsi="Times New Roman"/>
                <w:b/>
                <w:noProof/>
                <w:sz w:val="24"/>
              </w:rPr>
              <w:t>(za ključne etape)</w:t>
            </w:r>
          </w:p>
        </w:tc>
        <w:tc>
          <w:tcPr>
            <w:tcW w:w="2682" w:type="dxa"/>
            <w:gridSpan w:val="3"/>
            <w:tcBorders>
              <w:top w:val="single" w:sz="4" w:space="0" w:color="auto"/>
              <w:left w:val="nil"/>
              <w:bottom w:val="single" w:sz="4" w:space="0" w:color="auto"/>
              <w:right w:val="single" w:sz="4" w:space="0" w:color="auto"/>
            </w:tcBorders>
            <w:shd w:val="clear" w:color="auto" w:fill="BDD7EE"/>
            <w:vAlign w:val="center"/>
            <w:hideMark/>
          </w:tcPr>
          <w:p w14:paraId="1308E449" w14:textId="505062E6" w:rsidR="003F46B9" w:rsidRDefault="0065662E">
            <w:pPr>
              <w:spacing w:before="120"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572A6D6E" w14:textId="77777777" w:rsidR="003F46B9" w:rsidRDefault="0065662E">
            <w:pPr>
              <w:pStyle w:val="P68B1DB1-Normal1"/>
              <w:spacing w:before="120" w:after="0" w:line="240" w:lineRule="auto"/>
              <w:jc w:val="center"/>
              <w:rPr>
                <w:rFonts w:eastAsia="Times New Roman" w:cs="Times New Roman"/>
                <w:noProof/>
              </w:rPr>
            </w:pPr>
            <w:r>
              <w:rPr>
                <w:noProof/>
              </w:rPr>
              <w:t>Okvirni vremenski okvir za dovršetak</w:t>
            </w:r>
          </w:p>
        </w:tc>
        <w:tc>
          <w:tcPr>
            <w:tcW w:w="3260" w:type="dxa"/>
            <w:vMerge w:val="restart"/>
            <w:tcBorders>
              <w:top w:val="single" w:sz="4" w:space="0" w:color="auto"/>
              <w:left w:val="single" w:sz="4" w:space="0" w:color="auto"/>
              <w:right w:val="single" w:sz="4" w:space="0" w:color="auto"/>
            </w:tcBorders>
            <w:shd w:val="clear" w:color="auto" w:fill="BDD7EE"/>
            <w:vAlign w:val="center"/>
            <w:hideMark/>
          </w:tcPr>
          <w:p w14:paraId="11B4F58C" w14:textId="77777777" w:rsidR="003F46B9" w:rsidRDefault="0065662E">
            <w:pPr>
              <w:pStyle w:val="P68B1DB1-Normal1"/>
              <w:spacing w:before="120" w:after="0" w:line="240" w:lineRule="auto"/>
              <w:jc w:val="center"/>
              <w:rPr>
                <w:rFonts w:eastAsia="Times New Roman" w:cs="Times New Roman"/>
                <w:noProof/>
              </w:rPr>
            </w:pPr>
            <w:r>
              <w:rPr>
                <w:noProof/>
              </w:rPr>
              <w:t>Opis svake ključne etape i ciljne vrijednosti</w:t>
            </w:r>
          </w:p>
        </w:tc>
      </w:tr>
      <w:tr w:rsidR="003F46B9" w14:paraId="6891DB6C" w14:textId="77777777">
        <w:trPr>
          <w:trHeight w:val="203"/>
          <w:tblHeader/>
          <w:jc w:val="center"/>
        </w:trPr>
        <w:tc>
          <w:tcPr>
            <w:tcW w:w="1418" w:type="dxa"/>
            <w:vMerge/>
            <w:tcBorders>
              <w:left w:val="single" w:sz="4" w:space="0" w:color="auto"/>
              <w:bottom w:val="single" w:sz="4" w:space="0" w:color="000000"/>
              <w:right w:val="single" w:sz="4" w:space="0" w:color="auto"/>
            </w:tcBorders>
            <w:hideMark/>
          </w:tcPr>
          <w:p w14:paraId="41E59EFE" w14:textId="77777777" w:rsidR="003F46B9" w:rsidRDefault="003F46B9">
            <w:pPr>
              <w:spacing w:before="120" w:after="0" w:line="240" w:lineRule="auto"/>
              <w:jc w:val="center"/>
              <w:rPr>
                <w:rFonts w:ascii="Times New Roman" w:eastAsia="Times New Roman" w:hAnsi="Times New Roman" w:cs="Times New Roman"/>
                <w:b/>
                <w:noProof/>
                <w:sz w:val="24"/>
              </w:rPr>
            </w:pPr>
          </w:p>
        </w:tc>
        <w:tc>
          <w:tcPr>
            <w:tcW w:w="1680" w:type="dxa"/>
            <w:vMerge/>
            <w:tcBorders>
              <w:left w:val="single" w:sz="4" w:space="0" w:color="auto"/>
              <w:bottom w:val="single" w:sz="4" w:space="0" w:color="000000"/>
              <w:right w:val="single" w:sz="4" w:space="0" w:color="auto"/>
            </w:tcBorders>
            <w:hideMark/>
          </w:tcPr>
          <w:p w14:paraId="21113FDB" w14:textId="77777777" w:rsidR="003F46B9" w:rsidRDefault="003F46B9">
            <w:pPr>
              <w:spacing w:before="120" w:after="0" w:line="240" w:lineRule="auto"/>
              <w:jc w:val="both"/>
              <w:rPr>
                <w:rFonts w:ascii="Times New Roman" w:eastAsia="Times New Roman" w:hAnsi="Times New Roman" w:cs="Times New Roman"/>
                <w:b/>
                <w:noProof/>
                <w:sz w:val="24"/>
              </w:rPr>
            </w:pPr>
          </w:p>
        </w:tc>
        <w:tc>
          <w:tcPr>
            <w:tcW w:w="1297" w:type="dxa"/>
            <w:vMerge/>
            <w:tcBorders>
              <w:left w:val="single" w:sz="4" w:space="0" w:color="auto"/>
              <w:bottom w:val="single" w:sz="4" w:space="0" w:color="000000"/>
              <w:right w:val="single" w:sz="4" w:space="0" w:color="auto"/>
            </w:tcBorders>
            <w:hideMark/>
          </w:tcPr>
          <w:p w14:paraId="2DCB7646" w14:textId="77777777" w:rsidR="003F46B9" w:rsidRDefault="003F46B9">
            <w:pPr>
              <w:spacing w:before="120" w:after="0" w:line="240" w:lineRule="auto"/>
              <w:jc w:val="both"/>
              <w:rPr>
                <w:rFonts w:ascii="Times New Roman" w:eastAsia="Times New Roman" w:hAnsi="Times New Roman" w:cs="Times New Roman"/>
                <w:b/>
                <w:noProof/>
                <w:sz w:val="24"/>
              </w:rPr>
            </w:pPr>
          </w:p>
        </w:tc>
        <w:tc>
          <w:tcPr>
            <w:tcW w:w="992" w:type="dxa"/>
            <w:vMerge/>
            <w:tcBorders>
              <w:left w:val="nil"/>
              <w:bottom w:val="single" w:sz="4" w:space="0" w:color="000000"/>
              <w:right w:val="single" w:sz="4" w:space="0" w:color="auto"/>
            </w:tcBorders>
            <w:hideMark/>
          </w:tcPr>
          <w:p w14:paraId="71851A5E" w14:textId="77777777" w:rsidR="003F46B9" w:rsidRDefault="003F46B9">
            <w:pPr>
              <w:spacing w:before="120" w:after="0" w:line="240" w:lineRule="auto"/>
              <w:jc w:val="both"/>
              <w:rPr>
                <w:rFonts w:ascii="Times New Roman" w:eastAsia="Times New Roman" w:hAnsi="Times New Roman" w:cs="Times New Roman"/>
                <w:b/>
                <w:noProof/>
                <w:sz w:val="24"/>
              </w:rPr>
            </w:pPr>
          </w:p>
        </w:tc>
        <w:tc>
          <w:tcPr>
            <w:tcW w:w="1713" w:type="dxa"/>
            <w:vMerge/>
            <w:tcBorders>
              <w:left w:val="single" w:sz="4" w:space="0" w:color="auto"/>
              <w:bottom w:val="single" w:sz="4" w:space="0" w:color="000000"/>
              <w:right w:val="single" w:sz="4" w:space="0" w:color="auto"/>
            </w:tcBorders>
            <w:hideMark/>
          </w:tcPr>
          <w:p w14:paraId="1A51782B" w14:textId="77777777" w:rsidR="003F46B9" w:rsidRDefault="003F46B9">
            <w:pPr>
              <w:spacing w:before="120" w:after="0" w:line="240" w:lineRule="auto"/>
              <w:jc w:val="both"/>
              <w:rPr>
                <w:rFonts w:ascii="Times New Roman" w:eastAsia="Times New Roman" w:hAnsi="Times New Roman" w:cs="Times New Roman"/>
                <w:b/>
                <w:noProof/>
                <w:sz w:val="24"/>
              </w:rPr>
            </w:pPr>
          </w:p>
        </w:tc>
        <w:tc>
          <w:tcPr>
            <w:tcW w:w="1122" w:type="dxa"/>
            <w:tcBorders>
              <w:top w:val="nil"/>
              <w:left w:val="nil"/>
              <w:bottom w:val="single" w:sz="4" w:space="0" w:color="auto"/>
              <w:right w:val="single" w:sz="4" w:space="0" w:color="auto"/>
            </w:tcBorders>
            <w:shd w:val="clear" w:color="auto" w:fill="BDD7EE"/>
            <w:vAlign w:val="center"/>
            <w:hideMark/>
          </w:tcPr>
          <w:p w14:paraId="427BD260" w14:textId="77777777" w:rsidR="003F46B9" w:rsidRDefault="0065662E">
            <w:pPr>
              <w:pStyle w:val="P68B1DB1-Normal1"/>
              <w:spacing w:before="120" w:after="0" w:line="240" w:lineRule="auto"/>
              <w:jc w:val="center"/>
              <w:rPr>
                <w:rFonts w:eastAsia="Times New Roman" w:cs="Times New Roman"/>
                <w:noProof/>
              </w:rPr>
            </w:pPr>
            <w:r>
              <w:rPr>
                <w:noProof/>
              </w:rPr>
              <w:t>Jedinica mjere</w:t>
            </w:r>
          </w:p>
        </w:tc>
        <w:tc>
          <w:tcPr>
            <w:tcW w:w="709" w:type="dxa"/>
            <w:tcBorders>
              <w:top w:val="nil"/>
              <w:left w:val="nil"/>
              <w:bottom w:val="single" w:sz="4" w:space="0" w:color="auto"/>
              <w:right w:val="single" w:sz="4" w:space="0" w:color="auto"/>
            </w:tcBorders>
            <w:shd w:val="clear" w:color="auto" w:fill="BDD7EE"/>
            <w:vAlign w:val="center"/>
            <w:hideMark/>
          </w:tcPr>
          <w:p w14:paraId="23429507" w14:textId="77777777" w:rsidR="003F46B9" w:rsidRDefault="0065662E">
            <w:pPr>
              <w:pStyle w:val="P68B1DB1-Normal1"/>
              <w:spacing w:before="120" w:after="0" w:line="240" w:lineRule="auto"/>
              <w:jc w:val="center"/>
              <w:rPr>
                <w:rFonts w:eastAsia="Times New Roman" w:cs="Times New Roman"/>
                <w:noProof/>
              </w:rPr>
            </w:pPr>
            <w:r>
              <w:rPr>
                <w:noProof/>
              </w:rPr>
              <w:t>Osnovna vrijednost</w:t>
            </w:r>
          </w:p>
        </w:tc>
        <w:tc>
          <w:tcPr>
            <w:tcW w:w="851" w:type="dxa"/>
            <w:tcBorders>
              <w:top w:val="nil"/>
              <w:left w:val="nil"/>
              <w:bottom w:val="single" w:sz="4" w:space="0" w:color="auto"/>
              <w:right w:val="single" w:sz="4" w:space="0" w:color="auto"/>
            </w:tcBorders>
            <w:shd w:val="clear" w:color="auto" w:fill="BDD7EE"/>
            <w:vAlign w:val="center"/>
            <w:hideMark/>
          </w:tcPr>
          <w:p w14:paraId="4C5BF373" w14:textId="77777777" w:rsidR="003F46B9" w:rsidRDefault="0065662E">
            <w:pPr>
              <w:pStyle w:val="P68B1DB1-Normal1"/>
              <w:spacing w:before="120" w:after="0" w:line="240" w:lineRule="auto"/>
              <w:jc w:val="center"/>
              <w:rPr>
                <w:rFonts w:eastAsia="Times New Roman" w:cs="Times New Roman"/>
                <w:noProof/>
              </w:rPr>
            </w:pPr>
            <w:r>
              <w:rPr>
                <w:noProof/>
              </w:rPr>
              <w:t>Cilj</w:t>
            </w:r>
          </w:p>
        </w:tc>
        <w:tc>
          <w:tcPr>
            <w:tcW w:w="1134" w:type="dxa"/>
            <w:tcBorders>
              <w:top w:val="nil"/>
              <w:left w:val="nil"/>
              <w:bottom w:val="single" w:sz="4" w:space="0" w:color="auto"/>
              <w:right w:val="single" w:sz="4" w:space="0" w:color="auto"/>
            </w:tcBorders>
            <w:shd w:val="clear" w:color="auto" w:fill="BDD7EE"/>
            <w:vAlign w:val="center"/>
            <w:hideMark/>
          </w:tcPr>
          <w:p w14:paraId="7E976EAC" w14:textId="77777777" w:rsidR="003F46B9" w:rsidRDefault="0065662E">
            <w:pPr>
              <w:pStyle w:val="P68B1DB1-Normal1"/>
              <w:spacing w:before="120" w:after="0" w:line="240" w:lineRule="auto"/>
              <w:jc w:val="center"/>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BDD7EE"/>
            <w:vAlign w:val="center"/>
            <w:hideMark/>
          </w:tcPr>
          <w:p w14:paraId="127DABE8" w14:textId="77777777" w:rsidR="003F46B9" w:rsidRDefault="0065662E">
            <w:pPr>
              <w:pStyle w:val="P68B1DB1-Normal1"/>
              <w:spacing w:before="120" w:after="0" w:line="240" w:lineRule="auto"/>
              <w:jc w:val="center"/>
              <w:rPr>
                <w:rFonts w:eastAsia="Times New Roman" w:cs="Times New Roman"/>
                <w:noProof/>
              </w:rPr>
            </w:pPr>
            <w:r>
              <w:rPr>
                <w:noProof/>
              </w:rPr>
              <w:t>Godina</w:t>
            </w:r>
          </w:p>
        </w:tc>
        <w:tc>
          <w:tcPr>
            <w:tcW w:w="3260" w:type="dxa"/>
            <w:vMerge/>
            <w:tcBorders>
              <w:left w:val="single" w:sz="4" w:space="0" w:color="auto"/>
              <w:bottom w:val="single" w:sz="4" w:space="0" w:color="auto"/>
              <w:right w:val="single" w:sz="4" w:space="0" w:color="auto"/>
            </w:tcBorders>
            <w:hideMark/>
          </w:tcPr>
          <w:p w14:paraId="7A389AA6" w14:textId="77777777" w:rsidR="003F46B9" w:rsidRDefault="003F46B9">
            <w:pPr>
              <w:spacing w:before="120" w:after="0" w:line="240" w:lineRule="auto"/>
              <w:jc w:val="both"/>
              <w:rPr>
                <w:rFonts w:ascii="Times New Roman" w:eastAsia="Times New Roman" w:hAnsi="Times New Roman" w:cs="Times New Roman"/>
                <w:b/>
                <w:noProof/>
                <w:sz w:val="24"/>
              </w:rPr>
            </w:pPr>
          </w:p>
        </w:tc>
      </w:tr>
      <w:tr w:rsidR="003F46B9" w14:paraId="03372163"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3E9BA7A9" w14:textId="77777777" w:rsidR="003F46B9" w:rsidRDefault="0065662E">
            <w:pPr>
              <w:pStyle w:val="P68B1DB1-Normal5"/>
              <w:spacing w:after="0" w:line="240" w:lineRule="auto"/>
              <w:jc w:val="center"/>
              <w:rPr>
                <w:rFonts w:eastAsia="Times New Roman" w:cs="Times New Roman"/>
                <w:noProof/>
              </w:rPr>
            </w:pPr>
            <w:r>
              <w:rPr>
                <w:noProof/>
              </w:rPr>
              <w:t>188</w:t>
            </w:r>
          </w:p>
        </w:tc>
        <w:tc>
          <w:tcPr>
            <w:tcW w:w="1680" w:type="dxa"/>
            <w:tcBorders>
              <w:top w:val="nil"/>
              <w:left w:val="nil"/>
              <w:bottom w:val="single" w:sz="4" w:space="0" w:color="auto"/>
              <w:right w:val="single" w:sz="4" w:space="0" w:color="auto"/>
            </w:tcBorders>
            <w:shd w:val="clear" w:color="auto" w:fill="C6EFCE"/>
            <w:noWrap/>
            <w:hideMark/>
          </w:tcPr>
          <w:p w14:paraId="747BC7AC" w14:textId="77777777" w:rsidR="003F46B9" w:rsidRDefault="0065662E">
            <w:pPr>
              <w:pStyle w:val="P68B1DB1-Normal5"/>
              <w:spacing w:after="120" w:line="240" w:lineRule="auto"/>
              <w:jc w:val="both"/>
              <w:rPr>
                <w:rFonts w:cs="Times New Roman"/>
                <w:noProof/>
              </w:rPr>
            </w:pPr>
            <w:r>
              <w:rPr>
                <w:noProof/>
              </w:rPr>
              <w:t xml:space="preserve">Ulaganje 18. Digitalna </w:t>
            </w:r>
            <w:r>
              <w:rPr>
                <w:noProof/>
              </w:rPr>
              <w:t>transformacija i automatizacija robotskog procesa u javnoj upravi</w:t>
            </w:r>
          </w:p>
          <w:p w14:paraId="4BA8040D" w14:textId="77777777" w:rsidR="003F46B9" w:rsidRDefault="003F46B9">
            <w:pPr>
              <w:spacing w:after="0" w:line="240" w:lineRule="auto"/>
              <w:jc w:val="both"/>
              <w:rPr>
                <w:rFonts w:ascii="Times New Roman" w:eastAsia="Times New Roman" w:hAnsi="Times New Roman" w:cs="Times New Roman"/>
                <w:noProof/>
                <w:sz w:val="24"/>
              </w:rPr>
            </w:pPr>
          </w:p>
        </w:tc>
        <w:tc>
          <w:tcPr>
            <w:tcW w:w="1297" w:type="dxa"/>
            <w:tcBorders>
              <w:top w:val="nil"/>
              <w:left w:val="nil"/>
              <w:bottom w:val="single" w:sz="4" w:space="0" w:color="auto"/>
              <w:right w:val="single" w:sz="4" w:space="0" w:color="auto"/>
            </w:tcBorders>
            <w:shd w:val="clear" w:color="auto" w:fill="C6EFCE"/>
            <w:noWrap/>
            <w:hideMark/>
          </w:tcPr>
          <w:p w14:paraId="07B0363A" w14:textId="77777777" w:rsidR="003F46B9" w:rsidRDefault="0065662E">
            <w:pPr>
              <w:pStyle w:val="P68B1DB1-Normal5"/>
              <w:spacing w:after="0" w:line="240" w:lineRule="auto"/>
              <w:jc w:val="both"/>
              <w:rPr>
                <w:rFonts w:eastAsia="Times New Roman" w:cs="Times New Roman"/>
                <w:noProof/>
              </w:rPr>
            </w:pPr>
            <w:r>
              <w:rPr>
                <w:noProof/>
              </w:rPr>
              <w:t>Ciljna</w:t>
            </w:r>
          </w:p>
        </w:tc>
        <w:tc>
          <w:tcPr>
            <w:tcW w:w="992" w:type="dxa"/>
            <w:tcBorders>
              <w:top w:val="nil"/>
              <w:left w:val="nil"/>
              <w:bottom w:val="single" w:sz="4" w:space="0" w:color="auto"/>
              <w:right w:val="single" w:sz="4" w:space="0" w:color="auto"/>
            </w:tcBorders>
            <w:shd w:val="clear" w:color="auto" w:fill="C6EFCE"/>
            <w:noWrap/>
            <w:hideMark/>
          </w:tcPr>
          <w:p w14:paraId="0E1CF7D6" w14:textId="77777777" w:rsidR="003F46B9" w:rsidRDefault="0065662E">
            <w:pPr>
              <w:pStyle w:val="P68B1DB1-Normal5"/>
              <w:spacing w:after="0" w:line="240" w:lineRule="auto"/>
              <w:jc w:val="both"/>
              <w:rPr>
                <w:rFonts w:eastAsia="Times New Roman" w:cs="Times New Roman"/>
                <w:noProof/>
              </w:rPr>
            </w:pPr>
            <w:r>
              <w:rPr>
                <w:noProof/>
              </w:rPr>
              <w:t xml:space="preserve">Automatizacija robotskog procesa (RPA) i promicanje umjetne inteligencije (UI) u javnoj upravi </w:t>
            </w:r>
          </w:p>
        </w:tc>
        <w:tc>
          <w:tcPr>
            <w:tcW w:w="1713" w:type="dxa"/>
            <w:tcBorders>
              <w:top w:val="nil"/>
              <w:left w:val="nil"/>
              <w:bottom w:val="single" w:sz="4" w:space="0" w:color="auto"/>
              <w:right w:val="single" w:sz="4" w:space="0" w:color="auto"/>
            </w:tcBorders>
            <w:shd w:val="clear" w:color="auto" w:fill="C6EFCE"/>
            <w:noWrap/>
            <w:hideMark/>
          </w:tcPr>
          <w:p w14:paraId="085C790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22" w:type="dxa"/>
            <w:tcBorders>
              <w:top w:val="nil"/>
              <w:left w:val="nil"/>
              <w:bottom w:val="single" w:sz="4" w:space="0" w:color="auto"/>
              <w:right w:val="single" w:sz="4" w:space="0" w:color="auto"/>
            </w:tcBorders>
            <w:shd w:val="clear" w:color="auto" w:fill="C6EFCE"/>
            <w:noWrap/>
            <w:hideMark/>
          </w:tcPr>
          <w:p w14:paraId="5E9BC26E" w14:textId="77777777" w:rsidR="003F46B9" w:rsidRDefault="0065662E">
            <w:pPr>
              <w:pStyle w:val="P68B1DB1-Normal5"/>
              <w:spacing w:after="0" w:line="240" w:lineRule="auto"/>
              <w:jc w:val="both"/>
              <w:rPr>
                <w:rFonts w:eastAsia="Times New Roman" w:cs="Times New Roman"/>
                <w:noProof/>
              </w:rPr>
            </w:pPr>
            <w:r>
              <w:rPr>
                <w:noProof/>
              </w:rPr>
              <w:t>Broj</w:t>
            </w:r>
          </w:p>
        </w:tc>
        <w:tc>
          <w:tcPr>
            <w:tcW w:w="709" w:type="dxa"/>
            <w:tcBorders>
              <w:top w:val="nil"/>
              <w:left w:val="nil"/>
              <w:bottom w:val="single" w:sz="4" w:space="0" w:color="auto"/>
              <w:right w:val="single" w:sz="4" w:space="0" w:color="auto"/>
            </w:tcBorders>
            <w:shd w:val="clear" w:color="auto" w:fill="C6EFCE"/>
            <w:noWrap/>
            <w:hideMark/>
          </w:tcPr>
          <w:p w14:paraId="187EDB57"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55B1693A" w14:textId="77777777" w:rsidR="003F46B9" w:rsidRDefault="0065662E">
            <w:pPr>
              <w:pStyle w:val="P68B1DB1-Normal5"/>
              <w:spacing w:after="0" w:line="240" w:lineRule="auto"/>
              <w:jc w:val="both"/>
              <w:rPr>
                <w:rFonts w:eastAsia="Times New Roman" w:cs="Times New Roman"/>
                <w:noProof/>
              </w:rPr>
            </w:pPr>
            <w:r>
              <w:rPr>
                <w:noProof/>
              </w:rPr>
              <w:t>18</w:t>
            </w:r>
          </w:p>
        </w:tc>
        <w:tc>
          <w:tcPr>
            <w:tcW w:w="1134" w:type="dxa"/>
            <w:tcBorders>
              <w:top w:val="nil"/>
              <w:left w:val="nil"/>
              <w:bottom w:val="single" w:sz="4" w:space="0" w:color="auto"/>
              <w:right w:val="single" w:sz="4" w:space="0" w:color="auto"/>
            </w:tcBorders>
            <w:shd w:val="clear" w:color="auto" w:fill="C6EFCE"/>
            <w:noWrap/>
            <w:hideMark/>
          </w:tcPr>
          <w:p w14:paraId="121EC0FF"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40DEB1D5" w14:textId="77777777" w:rsidR="003F46B9" w:rsidRDefault="0065662E">
            <w:pPr>
              <w:pStyle w:val="P68B1DB1-Normal5"/>
              <w:spacing w:after="0" w:line="240" w:lineRule="auto"/>
              <w:jc w:val="both"/>
              <w:rPr>
                <w:rFonts w:eastAsia="Times New Roman" w:cs="Times New Roman"/>
                <w:noProof/>
              </w:rPr>
            </w:pPr>
            <w:r>
              <w:rPr>
                <w:noProof/>
              </w:rPr>
              <w:t>2025</w:t>
            </w:r>
          </w:p>
        </w:tc>
        <w:tc>
          <w:tcPr>
            <w:tcW w:w="3260" w:type="dxa"/>
            <w:tcBorders>
              <w:top w:val="nil"/>
              <w:left w:val="nil"/>
              <w:bottom w:val="single" w:sz="4" w:space="0" w:color="auto"/>
              <w:right w:val="single" w:sz="4" w:space="0" w:color="auto"/>
            </w:tcBorders>
            <w:shd w:val="clear" w:color="auto" w:fill="C6EFCE"/>
            <w:noWrap/>
            <w:hideMark/>
          </w:tcPr>
          <w:p w14:paraId="3A58FEE3" w14:textId="77777777" w:rsidR="003F46B9" w:rsidRDefault="0065662E">
            <w:pPr>
              <w:pStyle w:val="P68B1DB1-Normal5"/>
              <w:spacing w:after="0" w:line="240" w:lineRule="auto"/>
              <w:jc w:val="both"/>
              <w:rPr>
                <w:rFonts w:eastAsia="Times New Roman" w:cs="Times New Roman"/>
                <w:noProof/>
              </w:rPr>
            </w:pPr>
            <w:r>
              <w:rPr>
                <w:noProof/>
              </w:rPr>
              <w:t xml:space="preserve">Tim se ulaganjem provode rješenja za potporu </w:t>
            </w:r>
            <w:r>
              <w:rPr>
                <w:noProof/>
              </w:rPr>
              <w:t>automatizaciji robotskog procesa i umjetnoj inteligenciji za 18 javnih institucija središnje uprave.</w:t>
            </w:r>
          </w:p>
        </w:tc>
      </w:tr>
      <w:tr w:rsidR="003F46B9" w14:paraId="00668A02"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5087B0C" w14:textId="77777777" w:rsidR="003F46B9" w:rsidRDefault="0065662E">
            <w:pPr>
              <w:pStyle w:val="P68B1DB1-Normal5"/>
              <w:spacing w:after="0" w:line="240" w:lineRule="auto"/>
              <w:jc w:val="center"/>
              <w:rPr>
                <w:rFonts w:eastAsia="Times New Roman" w:cs="Times New Roman"/>
                <w:noProof/>
              </w:rPr>
            </w:pPr>
            <w:r>
              <w:rPr>
                <w:noProof/>
              </w:rPr>
              <w:t>189</w:t>
            </w:r>
          </w:p>
        </w:tc>
        <w:tc>
          <w:tcPr>
            <w:tcW w:w="1680" w:type="dxa"/>
            <w:tcBorders>
              <w:top w:val="nil"/>
              <w:left w:val="nil"/>
              <w:bottom w:val="single" w:sz="4" w:space="0" w:color="auto"/>
              <w:right w:val="single" w:sz="4" w:space="0" w:color="auto"/>
            </w:tcBorders>
            <w:shd w:val="clear" w:color="auto" w:fill="C6EFCE"/>
            <w:noWrap/>
            <w:hideMark/>
          </w:tcPr>
          <w:p w14:paraId="61658261" w14:textId="77777777" w:rsidR="003F46B9" w:rsidRDefault="0065662E">
            <w:pPr>
              <w:pStyle w:val="P68B1DB1-Normal5"/>
              <w:spacing w:after="0" w:line="240" w:lineRule="auto"/>
              <w:jc w:val="both"/>
              <w:rPr>
                <w:rFonts w:eastAsia="Times New Roman" w:cs="Times New Roman"/>
                <w:noProof/>
              </w:rPr>
            </w:pPr>
            <w:r>
              <w:rPr>
                <w:noProof/>
              </w:rPr>
              <w:t>Ulaganje 19. Programi za usavršavanje/prekvalifikaciju zaposlenika u poduzećima</w:t>
            </w:r>
          </w:p>
          <w:p w14:paraId="0E47C04C" w14:textId="77777777" w:rsidR="003F46B9" w:rsidRDefault="003F46B9">
            <w:pPr>
              <w:spacing w:after="0" w:line="240" w:lineRule="auto"/>
              <w:jc w:val="both"/>
              <w:rPr>
                <w:rFonts w:ascii="Times New Roman" w:eastAsia="Times New Roman" w:hAnsi="Times New Roman" w:cs="Times New Roman"/>
                <w:noProof/>
                <w:sz w:val="24"/>
              </w:rPr>
            </w:pPr>
          </w:p>
        </w:tc>
        <w:tc>
          <w:tcPr>
            <w:tcW w:w="1297" w:type="dxa"/>
            <w:tcBorders>
              <w:top w:val="nil"/>
              <w:left w:val="nil"/>
              <w:bottom w:val="single" w:sz="4" w:space="0" w:color="auto"/>
              <w:right w:val="single" w:sz="4" w:space="0" w:color="auto"/>
            </w:tcBorders>
            <w:shd w:val="clear" w:color="auto" w:fill="C6EFCE"/>
            <w:noWrap/>
            <w:hideMark/>
          </w:tcPr>
          <w:p w14:paraId="71A8DD27"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992" w:type="dxa"/>
            <w:tcBorders>
              <w:top w:val="nil"/>
              <w:left w:val="nil"/>
              <w:bottom w:val="single" w:sz="4" w:space="0" w:color="auto"/>
              <w:right w:val="single" w:sz="4" w:space="0" w:color="auto"/>
            </w:tcBorders>
            <w:shd w:val="clear" w:color="auto" w:fill="C6EFCE"/>
            <w:noWrap/>
            <w:hideMark/>
          </w:tcPr>
          <w:p w14:paraId="76390E30" w14:textId="77777777" w:rsidR="003F46B9" w:rsidRDefault="0065662E">
            <w:pPr>
              <w:pStyle w:val="P68B1DB1-Normal5"/>
              <w:spacing w:after="0" w:line="240" w:lineRule="auto"/>
              <w:jc w:val="both"/>
              <w:rPr>
                <w:rFonts w:eastAsia="Times New Roman" w:cs="Times New Roman"/>
                <w:noProof/>
              </w:rPr>
            </w:pPr>
            <w:r>
              <w:rPr>
                <w:noProof/>
              </w:rPr>
              <w:t xml:space="preserve">Objava poziva na podnošenje prijedloga za „bespovratnu </w:t>
            </w:r>
            <w:r>
              <w:rPr>
                <w:noProof/>
              </w:rPr>
              <w:t>potporu za digitalne vještine”</w:t>
            </w:r>
          </w:p>
        </w:tc>
        <w:tc>
          <w:tcPr>
            <w:tcW w:w="1713" w:type="dxa"/>
            <w:tcBorders>
              <w:top w:val="nil"/>
              <w:left w:val="nil"/>
              <w:bottom w:val="single" w:sz="4" w:space="0" w:color="auto"/>
              <w:right w:val="single" w:sz="4" w:space="0" w:color="auto"/>
            </w:tcBorders>
            <w:shd w:val="clear" w:color="auto" w:fill="C6EFCE"/>
            <w:noWrap/>
            <w:hideMark/>
          </w:tcPr>
          <w:p w14:paraId="05E22C5F" w14:textId="77777777" w:rsidR="003F46B9" w:rsidRDefault="0065662E">
            <w:pPr>
              <w:pStyle w:val="P68B1DB1-Normal5"/>
              <w:spacing w:after="0" w:line="240" w:lineRule="auto"/>
              <w:jc w:val="both"/>
              <w:rPr>
                <w:rFonts w:eastAsia="Times New Roman" w:cs="Times New Roman"/>
                <w:noProof/>
              </w:rPr>
            </w:pPr>
            <w:r>
              <w:rPr>
                <w:noProof/>
              </w:rPr>
              <w:t>Objava poziva</w:t>
            </w:r>
          </w:p>
        </w:tc>
        <w:tc>
          <w:tcPr>
            <w:tcW w:w="1122" w:type="dxa"/>
            <w:tcBorders>
              <w:top w:val="nil"/>
              <w:left w:val="nil"/>
              <w:bottom w:val="single" w:sz="4" w:space="0" w:color="auto"/>
              <w:right w:val="single" w:sz="4" w:space="0" w:color="auto"/>
            </w:tcBorders>
            <w:shd w:val="clear" w:color="auto" w:fill="C6EFCE"/>
            <w:noWrap/>
            <w:hideMark/>
          </w:tcPr>
          <w:p w14:paraId="50CCDF66" w14:textId="77777777" w:rsidR="003F46B9" w:rsidRDefault="003F46B9">
            <w:pPr>
              <w:spacing w:after="0" w:line="240" w:lineRule="auto"/>
              <w:jc w:val="both"/>
              <w:rPr>
                <w:rFonts w:ascii="Times New Roman" w:eastAsia="Times New Roman" w:hAnsi="Times New Roman" w:cs="Times New Roman"/>
                <w:noProof/>
                <w:sz w:val="24"/>
              </w:rPr>
            </w:pPr>
          </w:p>
        </w:tc>
        <w:tc>
          <w:tcPr>
            <w:tcW w:w="709" w:type="dxa"/>
            <w:tcBorders>
              <w:top w:val="nil"/>
              <w:left w:val="nil"/>
              <w:bottom w:val="single" w:sz="4" w:space="0" w:color="auto"/>
              <w:right w:val="single" w:sz="4" w:space="0" w:color="auto"/>
            </w:tcBorders>
            <w:shd w:val="clear" w:color="auto" w:fill="C6EFCE"/>
            <w:noWrap/>
            <w:hideMark/>
          </w:tcPr>
          <w:p w14:paraId="5EA3304F"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58121E3"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35FDDD7A"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hideMark/>
          </w:tcPr>
          <w:p w14:paraId="67266D41" w14:textId="77777777" w:rsidR="003F46B9" w:rsidRDefault="0065662E">
            <w:pPr>
              <w:pStyle w:val="P68B1DB1-Normal5"/>
              <w:spacing w:after="0" w:line="240" w:lineRule="auto"/>
              <w:jc w:val="both"/>
              <w:rPr>
                <w:rFonts w:eastAsia="Times New Roman" w:cs="Times New Roman"/>
                <w:noProof/>
              </w:rPr>
            </w:pPr>
            <w:r>
              <w:rPr>
                <w:noProof/>
              </w:rPr>
              <w:t>2022</w:t>
            </w:r>
          </w:p>
        </w:tc>
        <w:tc>
          <w:tcPr>
            <w:tcW w:w="3260" w:type="dxa"/>
            <w:tcBorders>
              <w:top w:val="nil"/>
              <w:left w:val="nil"/>
              <w:bottom w:val="single" w:sz="4" w:space="0" w:color="auto"/>
              <w:right w:val="single" w:sz="4" w:space="0" w:color="auto"/>
            </w:tcBorders>
            <w:shd w:val="clear" w:color="auto" w:fill="C6EFCE"/>
            <w:noWrap/>
            <w:hideMark/>
          </w:tcPr>
          <w:p w14:paraId="483A51F2" w14:textId="77777777" w:rsidR="003F46B9" w:rsidRDefault="0065662E">
            <w:pPr>
              <w:pStyle w:val="P68B1DB1-Normal5"/>
              <w:spacing w:after="0" w:line="240" w:lineRule="auto"/>
              <w:jc w:val="both"/>
              <w:rPr>
                <w:rFonts w:eastAsia="Times New Roman" w:cs="Times New Roman"/>
                <w:noProof/>
              </w:rPr>
            </w:pPr>
            <w:r>
              <w:rPr>
                <w:noProof/>
              </w:rPr>
              <w:t>Poziv na dodjelu bespovratnih sredstava za potporu MSP-ovima u osposobljavanju za digitalne vještine kao što su digitalni alati i oprema, jačanju digitalnih vještina, uključujući vještine pov</w:t>
            </w:r>
            <w:r>
              <w:rPr>
                <w:noProof/>
              </w:rPr>
              <w:t>ezane s tehnologijama računalstva u oblaku i tehnologijama specifičnima za industriju 4.0.</w:t>
            </w:r>
          </w:p>
        </w:tc>
      </w:tr>
      <w:tr w:rsidR="003F46B9" w14:paraId="7574AACA" w14:textId="77777777">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14:paraId="78C92113" w14:textId="77777777" w:rsidR="003F46B9" w:rsidRDefault="0065662E">
            <w:pPr>
              <w:pStyle w:val="P68B1DB1-Normal5"/>
              <w:spacing w:after="0" w:line="240" w:lineRule="auto"/>
              <w:jc w:val="center"/>
              <w:rPr>
                <w:rFonts w:eastAsia="Times New Roman" w:cs="Times New Roman"/>
                <w:noProof/>
              </w:rPr>
            </w:pPr>
            <w:r>
              <w:rPr>
                <w:noProof/>
              </w:rPr>
              <w:t>190</w:t>
            </w:r>
          </w:p>
        </w:tc>
        <w:tc>
          <w:tcPr>
            <w:tcW w:w="1680" w:type="dxa"/>
            <w:tcBorders>
              <w:top w:val="nil"/>
              <w:left w:val="nil"/>
              <w:bottom w:val="single" w:sz="4" w:space="0" w:color="auto"/>
              <w:right w:val="single" w:sz="4" w:space="0" w:color="auto"/>
            </w:tcBorders>
            <w:shd w:val="clear" w:color="auto" w:fill="C6EFCE"/>
            <w:noWrap/>
            <w:hideMark/>
          </w:tcPr>
          <w:p w14:paraId="5706D881" w14:textId="77777777" w:rsidR="003F46B9" w:rsidRDefault="0065662E">
            <w:pPr>
              <w:pStyle w:val="P68B1DB1-Normal5"/>
              <w:spacing w:after="0" w:line="240" w:lineRule="auto"/>
              <w:jc w:val="both"/>
              <w:rPr>
                <w:rFonts w:eastAsia="Times New Roman" w:cs="Times New Roman"/>
                <w:noProof/>
              </w:rPr>
            </w:pPr>
            <w:r>
              <w:rPr>
                <w:noProof/>
              </w:rPr>
              <w:t>Ulaganje 19. Programi za usavršavanje/prekvalifikaciju zaposlenika u poduzećima</w:t>
            </w:r>
          </w:p>
        </w:tc>
        <w:tc>
          <w:tcPr>
            <w:tcW w:w="1297" w:type="dxa"/>
            <w:tcBorders>
              <w:top w:val="nil"/>
              <w:left w:val="nil"/>
              <w:bottom w:val="single" w:sz="4" w:space="0" w:color="auto"/>
              <w:right w:val="single" w:sz="4" w:space="0" w:color="auto"/>
            </w:tcBorders>
            <w:shd w:val="clear" w:color="auto" w:fill="C6EFCE"/>
            <w:noWrap/>
            <w:hideMark/>
          </w:tcPr>
          <w:p w14:paraId="3CACA5CE" w14:textId="77777777" w:rsidR="003F46B9" w:rsidRDefault="0065662E">
            <w:pPr>
              <w:pStyle w:val="P68B1DB1-Normal5"/>
              <w:spacing w:after="0" w:line="240" w:lineRule="auto"/>
              <w:jc w:val="both"/>
              <w:rPr>
                <w:rFonts w:eastAsia="Times New Roman" w:cs="Times New Roman"/>
                <w:noProof/>
              </w:rPr>
            </w:pPr>
            <w:r>
              <w:rPr>
                <w:noProof/>
              </w:rPr>
              <w:t>Ciljna</w:t>
            </w:r>
          </w:p>
        </w:tc>
        <w:tc>
          <w:tcPr>
            <w:tcW w:w="992" w:type="dxa"/>
            <w:tcBorders>
              <w:top w:val="nil"/>
              <w:left w:val="nil"/>
              <w:bottom w:val="single" w:sz="4" w:space="0" w:color="auto"/>
              <w:right w:val="single" w:sz="4" w:space="0" w:color="auto"/>
            </w:tcBorders>
            <w:shd w:val="clear" w:color="auto" w:fill="C6EFCE"/>
            <w:noWrap/>
            <w:hideMark/>
          </w:tcPr>
          <w:p w14:paraId="46619A9D" w14:textId="77777777" w:rsidR="003F46B9" w:rsidRDefault="0065662E">
            <w:pPr>
              <w:pStyle w:val="P68B1DB1-Normal5"/>
              <w:spacing w:after="0" w:line="240" w:lineRule="auto"/>
              <w:jc w:val="both"/>
              <w:rPr>
                <w:rFonts w:eastAsia="Times New Roman" w:cs="Times New Roman"/>
                <w:noProof/>
              </w:rPr>
            </w:pPr>
            <w:r>
              <w:rPr>
                <w:noProof/>
              </w:rPr>
              <w:t xml:space="preserve">MSP-ovi financirani za osposobljavanje osoblja u području digitalnih vještina </w:t>
            </w:r>
          </w:p>
        </w:tc>
        <w:tc>
          <w:tcPr>
            <w:tcW w:w="1713" w:type="dxa"/>
            <w:tcBorders>
              <w:top w:val="nil"/>
              <w:left w:val="nil"/>
              <w:bottom w:val="single" w:sz="4" w:space="0" w:color="auto"/>
              <w:right w:val="single" w:sz="4" w:space="0" w:color="auto"/>
            </w:tcBorders>
            <w:shd w:val="clear" w:color="auto" w:fill="C6EFCE"/>
            <w:noWrap/>
            <w:hideMark/>
          </w:tcPr>
          <w:p w14:paraId="29755D8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22" w:type="dxa"/>
            <w:tcBorders>
              <w:top w:val="nil"/>
              <w:left w:val="nil"/>
              <w:bottom w:val="single" w:sz="4" w:space="0" w:color="auto"/>
              <w:right w:val="single" w:sz="4" w:space="0" w:color="auto"/>
            </w:tcBorders>
            <w:shd w:val="clear" w:color="auto" w:fill="C6EFCE"/>
            <w:noWrap/>
            <w:hideMark/>
          </w:tcPr>
          <w:p w14:paraId="16915AAF" w14:textId="77777777" w:rsidR="003F46B9" w:rsidRDefault="0065662E">
            <w:pPr>
              <w:pStyle w:val="P68B1DB1-Normal5"/>
              <w:spacing w:after="0" w:line="240" w:lineRule="auto"/>
              <w:jc w:val="both"/>
              <w:rPr>
                <w:rFonts w:eastAsia="Times New Roman" w:cs="Times New Roman"/>
                <w:noProof/>
              </w:rPr>
            </w:pPr>
            <w:r>
              <w:rPr>
                <w:noProof/>
              </w:rPr>
              <w:t>Broj</w:t>
            </w:r>
          </w:p>
        </w:tc>
        <w:tc>
          <w:tcPr>
            <w:tcW w:w="709" w:type="dxa"/>
            <w:tcBorders>
              <w:top w:val="nil"/>
              <w:left w:val="nil"/>
              <w:bottom w:val="single" w:sz="4" w:space="0" w:color="auto"/>
              <w:right w:val="single" w:sz="4" w:space="0" w:color="auto"/>
            </w:tcBorders>
            <w:shd w:val="clear" w:color="auto" w:fill="C6EFCE"/>
            <w:noWrap/>
            <w:hideMark/>
          </w:tcPr>
          <w:p w14:paraId="6150BB39"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712B56C4" w14:textId="77777777" w:rsidR="003F46B9" w:rsidRDefault="0065662E">
            <w:pPr>
              <w:pStyle w:val="P68B1DB1-Normal5"/>
              <w:spacing w:after="0" w:line="240" w:lineRule="auto"/>
              <w:jc w:val="both"/>
              <w:rPr>
                <w:rFonts w:eastAsia="Times New Roman" w:cs="Times New Roman"/>
                <w:noProof/>
              </w:rPr>
            </w:pPr>
            <w:r>
              <w:rPr>
                <w:noProof/>
              </w:rPr>
              <w:t>2 000</w:t>
            </w:r>
          </w:p>
          <w:p w14:paraId="26AC8DF9"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44CF4B2B"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5F8395EC" w14:textId="77777777" w:rsidR="003F46B9" w:rsidRDefault="0065662E">
            <w:pPr>
              <w:pStyle w:val="P68B1DB1-Normal5"/>
              <w:spacing w:after="0" w:line="240" w:lineRule="auto"/>
              <w:jc w:val="both"/>
              <w:rPr>
                <w:rFonts w:eastAsia="Times New Roman" w:cs="Times New Roman"/>
                <w:noProof/>
              </w:rPr>
            </w:pPr>
            <w:r>
              <w:rPr>
                <w:noProof/>
              </w:rPr>
              <w:t>2025</w:t>
            </w:r>
          </w:p>
        </w:tc>
        <w:tc>
          <w:tcPr>
            <w:tcW w:w="3260" w:type="dxa"/>
            <w:tcBorders>
              <w:top w:val="nil"/>
              <w:left w:val="nil"/>
              <w:bottom w:val="single" w:sz="4" w:space="0" w:color="auto"/>
              <w:right w:val="single" w:sz="4" w:space="0" w:color="auto"/>
            </w:tcBorders>
            <w:shd w:val="clear" w:color="auto" w:fill="C6EFCE"/>
            <w:noWrap/>
            <w:hideMark/>
          </w:tcPr>
          <w:p w14:paraId="561B6EC0" w14:textId="77777777" w:rsidR="003F46B9" w:rsidRDefault="0065662E">
            <w:pPr>
              <w:pStyle w:val="P68B1DB1-Normal5"/>
              <w:spacing w:after="0" w:line="240" w:lineRule="auto"/>
              <w:jc w:val="both"/>
              <w:rPr>
                <w:rFonts w:eastAsia="Times New Roman" w:cs="Times New Roman"/>
                <w:noProof/>
              </w:rPr>
            </w:pPr>
            <w:r>
              <w:rPr>
                <w:noProof/>
              </w:rPr>
              <w:t>Broj MSP-ova koji su financirani kako bi svojim zaposlenicima pomogli da sudjeluju u osposobljavanju za digitalne vještine u skladu s kl</w:t>
            </w:r>
            <w:r>
              <w:rPr>
                <w:noProof/>
              </w:rPr>
              <w:t>jučnom etapom 189.</w:t>
            </w:r>
          </w:p>
        </w:tc>
      </w:tr>
    </w:tbl>
    <w:p w14:paraId="17C90EEE" w14:textId="77777777" w:rsidR="003F46B9" w:rsidRDefault="003F46B9">
      <w:pPr>
        <w:spacing w:before="120" w:after="0" w:line="240" w:lineRule="auto"/>
        <w:ind w:left="840"/>
        <w:jc w:val="both"/>
        <w:textAlignment w:val="baseline"/>
        <w:rPr>
          <w:rFonts w:ascii="Times New Roman" w:eastAsia="Times New Roman" w:hAnsi="Times New Roman" w:cs="Times New Roman"/>
          <w:noProof/>
          <w:sz w:val="24"/>
        </w:rPr>
        <w:sectPr w:rsidR="003F46B9">
          <w:headerReference w:type="even" r:id="rId180"/>
          <w:headerReference w:type="default" r:id="rId181"/>
          <w:footerReference w:type="even" r:id="rId182"/>
          <w:footerReference w:type="default" r:id="rId183"/>
          <w:headerReference w:type="first" r:id="rId184"/>
          <w:footerReference w:type="first" r:id="rId185"/>
          <w:pgSz w:w="16839" w:h="11907" w:orient="landscape"/>
          <w:pgMar w:top="1417" w:right="1134" w:bottom="1417" w:left="1134" w:header="709" w:footer="709" w:gutter="0"/>
          <w:cols w:space="720"/>
          <w:docGrid w:linePitch="360"/>
        </w:sectPr>
      </w:pPr>
    </w:p>
    <w:p w14:paraId="4757562E"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8: Reforme poreza i mirovina</w:t>
      </w:r>
    </w:p>
    <w:p w14:paraId="7C91F85A" w14:textId="77777777" w:rsidR="003F46B9" w:rsidRDefault="0065662E">
      <w:pPr>
        <w:pStyle w:val="P68B1DB1-Normal5"/>
        <w:spacing w:before="120" w:after="120" w:line="240" w:lineRule="auto"/>
        <w:jc w:val="both"/>
        <w:rPr>
          <w:rFonts w:cs="Times New Roman"/>
          <w:noProof/>
        </w:rPr>
      </w:pPr>
      <w:r>
        <w:rPr>
          <w:noProof/>
        </w:rPr>
        <w:t xml:space="preserve">Ta komponenta uključuje niz reformi i ulaganja za rješavanje ključnih izazova u području porezne uprave, poreznog sustava, državnog </w:t>
      </w:r>
      <w:r>
        <w:rPr>
          <w:noProof/>
        </w:rPr>
        <w:t>proračunskog okvira, mirovinskog sustava i državne potpore poduzećima:</w:t>
      </w:r>
    </w:p>
    <w:p w14:paraId="06F18624" w14:textId="77777777" w:rsidR="003F46B9" w:rsidRDefault="0065662E">
      <w:pPr>
        <w:pStyle w:val="P68B1DB1-Normal5"/>
        <w:numPr>
          <w:ilvl w:val="0"/>
          <w:numId w:val="61"/>
        </w:numPr>
        <w:spacing w:before="120" w:after="120" w:line="240" w:lineRule="auto"/>
        <w:jc w:val="both"/>
        <w:rPr>
          <w:rFonts w:cs="Times New Roman"/>
          <w:noProof/>
        </w:rPr>
      </w:pPr>
      <w:r>
        <w:rPr>
          <w:noProof/>
        </w:rPr>
        <w:t>Reforma porezne uprave i revizija poreznog okvira radi jačanja poreznog sustava i povećanja prihoda koje prikuplja porezna uprava za najmanje 3 postotna boda BDP-a (2,5 postotnih bodova</w:t>
      </w:r>
      <w:r>
        <w:rPr>
          <w:noProof/>
        </w:rPr>
        <w:t xml:space="preserve"> od reforme porezne uprave i 0,5 postotnih bodova iz revizije poreznog okvira) te smanjenja jaza PDV-a za najmanje 5 postotnih bodova u odnosu na 2019. </w:t>
      </w:r>
    </w:p>
    <w:p w14:paraId="7AB3C6DA" w14:textId="77777777" w:rsidR="003F46B9" w:rsidRDefault="0065662E">
      <w:pPr>
        <w:pStyle w:val="P68B1DB1-Normal5"/>
        <w:numPr>
          <w:ilvl w:val="0"/>
          <w:numId w:val="61"/>
        </w:numPr>
        <w:spacing w:before="120" w:after="120" w:line="240" w:lineRule="auto"/>
        <w:jc w:val="both"/>
        <w:rPr>
          <w:rFonts w:cs="Times New Roman"/>
          <w:noProof/>
        </w:rPr>
      </w:pPr>
      <w:r>
        <w:rPr>
          <w:noProof/>
        </w:rPr>
        <w:t>Reforma javnog mirovinskog sustava s pomoću novog zakonodavnog okvira kako bi se osigurala fiskalna odr</w:t>
      </w:r>
      <w:r>
        <w:rPr>
          <w:noProof/>
        </w:rPr>
        <w:t>živost u okruženju sve starijeg stanovništva, ispravile nejednakosti, osigurala održivost i predvidljivost sustava te poštovalo načelo doprinosa u odnosu na korisnike mirovinskih prava. Cilj mu je i modernizacija mirovinskog sustava s pomoću digitalnih apl</w:t>
      </w:r>
      <w:r>
        <w:rPr>
          <w:noProof/>
        </w:rPr>
        <w:t>ikacija i usluga. Cilj je javne mirovinske reforme uzeti u obzir relevantne preporuke za pojedinu zemlju (preporuke 2.2. i 2.3. iz 2019.), a posebno osigurati fiskalnu održivost, izjednačavanje dobi za umirovljenje i financijsku stabilnost drugog mirovinsk</w:t>
      </w:r>
      <w:r>
        <w:rPr>
          <w:noProof/>
        </w:rPr>
        <w:t>og stupa.</w:t>
      </w:r>
    </w:p>
    <w:p w14:paraId="5DE086BD" w14:textId="77777777" w:rsidR="003F46B9" w:rsidRDefault="0065662E">
      <w:pPr>
        <w:pStyle w:val="P68B1DB1-Normal5"/>
        <w:numPr>
          <w:ilvl w:val="0"/>
          <w:numId w:val="61"/>
        </w:numPr>
        <w:spacing w:before="120" w:after="120" w:line="240" w:lineRule="auto"/>
        <w:jc w:val="both"/>
        <w:rPr>
          <w:rFonts w:cs="Times New Roman"/>
          <w:noProof/>
        </w:rPr>
      </w:pPr>
      <w:r>
        <w:rPr>
          <w:noProof/>
        </w:rPr>
        <w:t>Povećanje učinkovitosti javne potrošnje povećanjem transparentnosti proračunskog postupka, poboljšanjem sustava praćenja i izvješćivanja o proračunskim programima, davanjem prednosti velikim projektima ulaganja, provođenjem revizija potrošnje u s</w:t>
      </w:r>
      <w:r>
        <w:rPr>
          <w:noProof/>
        </w:rPr>
        <w:t>vim javnim sektorima, jačanjem uloge fiskalnog vijeća. Očekuje se da će digitalizacija proračunskih postupaka poduprijeti te ciljeve.</w:t>
      </w:r>
    </w:p>
    <w:p w14:paraId="099DF015" w14:textId="77777777" w:rsidR="003F46B9" w:rsidRDefault="0065662E">
      <w:pPr>
        <w:pStyle w:val="P68B1DB1-Normal5"/>
        <w:numPr>
          <w:ilvl w:val="0"/>
          <w:numId w:val="61"/>
        </w:numPr>
        <w:spacing w:before="120" w:after="120" w:line="240" w:lineRule="auto"/>
        <w:jc w:val="both"/>
        <w:rPr>
          <w:rFonts w:cs="Times New Roman"/>
          <w:noProof/>
        </w:rPr>
      </w:pPr>
      <w:r>
        <w:rPr>
          <w:noProof/>
        </w:rPr>
        <w:t xml:space="preserve">Jačanje institucionalnog kapaciteta za predviđanje rashoda za mirovine upotrebom složenih alata za gospodarsko </w:t>
      </w:r>
      <w:r>
        <w:rPr>
          <w:noProof/>
        </w:rPr>
        <w:t>modeliranje. Glavni je cilj reforme razviti sposobnost procjene učinka strukturnih reformi mirovinskog sustava u srednjoročnom i dugoročnom razdoblju znatnim poboljšanjem točnosti projekcija i time procjenom utjecaja na održivost mirovinskog sustava.</w:t>
      </w:r>
    </w:p>
    <w:p w14:paraId="0B100CEE" w14:textId="77777777" w:rsidR="003F46B9" w:rsidRDefault="0065662E">
      <w:pPr>
        <w:pStyle w:val="P68B1DB1-Normal5"/>
        <w:numPr>
          <w:ilvl w:val="0"/>
          <w:numId w:val="61"/>
        </w:numPr>
        <w:spacing w:before="120" w:after="120" w:line="240" w:lineRule="auto"/>
        <w:jc w:val="both"/>
        <w:rPr>
          <w:rFonts w:cs="Times New Roman"/>
          <w:noProof/>
        </w:rPr>
      </w:pPr>
      <w:r>
        <w:rPr>
          <w:noProof/>
        </w:rPr>
        <w:t>Poveć</w:t>
      </w:r>
      <w:r>
        <w:rPr>
          <w:noProof/>
        </w:rPr>
        <w:t xml:space="preserve">anje konkurentnosti, inovacijskih kapaciteta, produktivnosti i internacionalizacije poduzeća (posebno MSP-ova) osiguravanjem alternativnih izvora financiranja osnivanjem i operacionalizacijom nacionalne razvojne banke. </w:t>
      </w:r>
    </w:p>
    <w:p w14:paraId="01CCBBE4" w14:textId="068FD5F4" w:rsidR="003F46B9" w:rsidRDefault="0065662E">
      <w:pPr>
        <w:pStyle w:val="P68B1DB1-Normal5"/>
        <w:spacing w:before="120" w:after="120" w:line="240" w:lineRule="auto"/>
        <w:jc w:val="both"/>
        <w:rPr>
          <w:rFonts w:cs="Times New Roman"/>
          <w:noProof/>
        </w:rPr>
      </w:pPr>
      <w:r>
        <w:rPr>
          <w:noProof/>
        </w:rPr>
        <w:t>Očekuje se da se nijednom mjerom u o</w:t>
      </w:r>
      <w:r>
        <w:rPr>
          <w:noProof/>
        </w:rPr>
        <w:t xml:space="preserve">voj komponenti ne nanosi znatna šteta okolišnim ciljevima u smislu članka 17. Uredbe (EU) 2020/852, uzimajući u obzir opis mjera i korake ublažavanja utvrđene u planu za oporavak i otpornost u skladu s Tehničkim smjernicama DNSH-a (2021/C58/01). </w:t>
      </w:r>
    </w:p>
    <w:p w14:paraId="2650BA80"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H.1. </w:t>
      </w:r>
      <w:r>
        <w:rPr>
          <w:noProof/>
        </w:rPr>
        <w:tab/>
      </w:r>
      <w:r>
        <w:rPr>
          <w:rFonts w:ascii="Times New Roman" w:hAnsi="Times New Roman"/>
          <w:b/>
          <w:noProof/>
          <w:sz w:val="24"/>
        </w:rPr>
        <w:t>Opi</w:t>
      </w:r>
      <w:r>
        <w:rPr>
          <w:rFonts w:ascii="Times New Roman" w:hAnsi="Times New Roman"/>
          <w:b/>
          <w:noProof/>
          <w:sz w:val="24"/>
        </w:rPr>
        <w:t>s reformi i ulaganja za programe bespovratne financijske potpore</w:t>
      </w:r>
    </w:p>
    <w:p w14:paraId="020F7B7A" w14:textId="77777777" w:rsidR="003F46B9" w:rsidRDefault="0065662E">
      <w:pPr>
        <w:pStyle w:val="P68B1DB1-Standard6"/>
        <w:spacing w:before="240"/>
        <w:jc w:val="both"/>
        <w:rPr>
          <w:rFonts w:ascii="Times New Roman" w:hAnsi="Times New Roman" w:cs="Times New Roman"/>
          <w:noProof/>
        </w:rPr>
      </w:pPr>
      <w:r>
        <w:rPr>
          <w:noProof/>
        </w:rPr>
        <w:t>Reforma 1. Reforma Nacionalne agencije za fiskalnu upravu (ANAF) putem digitalizacije</w:t>
      </w:r>
    </w:p>
    <w:p w14:paraId="27009990" w14:textId="77777777" w:rsidR="003F46B9" w:rsidRDefault="0065662E">
      <w:pPr>
        <w:pStyle w:val="P68B1DB1-Normal5"/>
        <w:spacing w:before="120" w:after="120" w:line="240" w:lineRule="auto"/>
        <w:jc w:val="both"/>
        <w:rPr>
          <w:rFonts w:cs="Times New Roman"/>
          <w:noProof/>
        </w:rPr>
      </w:pPr>
      <w:r>
        <w:rPr>
          <w:noProof/>
        </w:rPr>
        <w:t>Tom se reformom rješava hitna potreba za modernizacijom i digitalizacijom ANAF-a kako bi se povećala učin</w:t>
      </w:r>
      <w:r>
        <w:rPr>
          <w:noProof/>
        </w:rPr>
        <w:t>kovitost naplate poreza s ciljem povećanja udjela prihoda u BDP-u (za 2,5 postotnih bodova do četvrtog tromjesečja 2025. u odnosu na 2019.) i smanjenja jaza PDV-a (za 5 postotnih bodova do drugog tromjesečja 2026. u odnosu na 2019.). Cilj je reforme stvori</w:t>
      </w:r>
      <w:r>
        <w:rPr>
          <w:noProof/>
        </w:rPr>
        <w:t>ti postupovni i potporni okvir za provedbu i primjenu integriranog upravljanja rizicima na razini porezne uprave za sve funkcije uprave kako bi se uspostavio sustav za utvrđivanje, planiranje, procjenu i prilagodbu aktivnosti u postupku porezne uprave u sk</w:t>
      </w:r>
      <w:r>
        <w:rPr>
          <w:noProof/>
        </w:rPr>
        <w:t>ladu s utvrđenim (kontinuiranim) poreznim rizicima.</w:t>
      </w:r>
    </w:p>
    <w:p w14:paraId="5D100387" w14:textId="77777777" w:rsidR="003F46B9" w:rsidRDefault="0065662E">
      <w:pPr>
        <w:pStyle w:val="P68B1DB1-Normal5"/>
        <w:spacing w:before="120" w:after="120" w:line="240" w:lineRule="auto"/>
        <w:jc w:val="both"/>
        <w:rPr>
          <w:rFonts w:cs="Times New Roman"/>
          <w:noProof/>
        </w:rPr>
      </w:pPr>
      <w:r>
        <w:rPr>
          <w:noProof/>
        </w:rPr>
        <w:t xml:space="preserve">Konkretno, reforma obuhvaća sljedeće elemente: </w:t>
      </w:r>
    </w:p>
    <w:p w14:paraId="4A64373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stupanje na snagu pravnog okvira za obvezno upis poreznih obveznika pravne osobe u subjekt posebne namjene (virtualni privatni prostor). Ovim se aktom mijen</w:t>
      </w:r>
      <w:r>
        <w:rPr>
          <w:noProof/>
        </w:rPr>
        <w:t xml:space="preserve">ja Zakon o poreznom postupku i uvodi obveza za pravne osobe da se upišu u subjekt posebne namjene. </w:t>
      </w:r>
    </w:p>
    <w:p w14:paraId="01A65B4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stupanje na snagu pravnog okvira kojim se utvrđuju kriteriji rizika za klasifikaciju poreznih obveznika odlukom predsjednika ANAF-a. To je prvi korak prema potpunoj operacionalizaciji i razvoju integriranog sustava upravljanja poreznim rizikom, među ostali</w:t>
      </w:r>
      <w:r>
        <w:rPr>
          <w:noProof/>
        </w:rPr>
        <w:t>m operacionalizacijom centralizirane analize rizika i centraliziranog elektroničkog registra rizika. Kriteriji rizika definiraju se u skladu s glavnim kategorijama rizika od neispunjavanja poreznih obveza, tj.: rizici povezani s poreznom registracijom, pod</w:t>
      </w:r>
      <w:r>
        <w:rPr>
          <w:noProof/>
        </w:rPr>
        <w:t>nošenjem prijava, razinom prijave i plaćanjem, uzimajući u obzir međunarodne standarde. Novi kriteriji rizika uzimaju se u obzir u sustavu porezne uprave koja se temelji na riziku, u kojem se mjere i kontrole porezne uprave prilagođavaju poreznom riziku sv</w:t>
      </w:r>
      <w:r>
        <w:rPr>
          <w:noProof/>
        </w:rPr>
        <w:t xml:space="preserve">ake kategorije poreznih obveznika. </w:t>
      </w:r>
    </w:p>
    <w:p w14:paraId="660750C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stupanje na snagu izmijenjenog pravnog okvira u području aktivnosti tijela porezne inspekcije, čiji je cilj jačanje kapaciteta i učinkovitosti struktura porezne kontrole radi sprečavanja nacionalnih i prekograničnih pore</w:t>
      </w:r>
      <w:r>
        <w:rPr>
          <w:noProof/>
        </w:rPr>
        <w:t>znih prijevara i utaje poreza ranim i ciljanim utvrđivanjem velikih poreznih rizika. Dio promjena pravnog okvira proveden je 2020. Time se utvrđuju ovlasti poreznih tijela (tijela poreznog nadzora, kontrolnih tijela za borbu protiv prijevara i tijela odgov</w:t>
      </w:r>
      <w:r>
        <w:rPr>
          <w:noProof/>
        </w:rPr>
        <w:t>ornih za provjeru osobnog poreznog stanja) za provođenje provjera dokumentacije. ANAF će provesti analizu institucionalnog i pravnog okvira aktivnosti kontrolnih struktura. Uzimajući u obzir zaključke i rezultate te analize, dovršava se revizija pravnog ok</w:t>
      </w:r>
      <w:r>
        <w:rPr>
          <w:noProof/>
        </w:rPr>
        <w:t>vira tijela za poreznu inspekciju. Tom se reformom jača i suradnja s inspektoratima rada, kao i s drugim institucijama u području socijalne zaštite i zaštite rada, kako bi se spriječila i ograničila pojava utaje poreza na sivog/crnog rada.</w:t>
      </w:r>
    </w:p>
    <w:p w14:paraId="41B3F5A2" w14:textId="77777777" w:rsidR="003F46B9" w:rsidRDefault="0065662E">
      <w:pPr>
        <w:pStyle w:val="P68B1DB1-Normal5"/>
        <w:spacing w:before="120" w:after="120" w:line="240" w:lineRule="auto"/>
        <w:jc w:val="both"/>
        <w:rPr>
          <w:rFonts w:cs="Times New Roman"/>
          <w:noProof/>
        </w:rPr>
      </w:pPr>
      <w:r>
        <w:rPr>
          <w:noProof/>
        </w:rPr>
        <w:t>Ta će reforma do</w:t>
      </w:r>
      <w:r>
        <w:rPr>
          <w:noProof/>
        </w:rPr>
        <w:t>vesti i do povezivanja najmanje 600000 blagajni sa sustavom ANAF, povećanja udjela revizija dokumentacije u usporedbi s onima na licu mjesta te do povećanog broja poreznih nadzora.</w:t>
      </w:r>
    </w:p>
    <w:p w14:paraId="2FE32464"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i temelji se na tri</w:t>
      </w:r>
      <w:r>
        <w:rPr>
          <w:noProof/>
        </w:rPr>
        <w:t>ma ulaganjima.</w:t>
      </w:r>
    </w:p>
    <w:p w14:paraId="37F7D051" w14:textId="77777777" w:rsidR="003F46B9" w:rsidRDefault="0065662E">
      <w:pPr>
        <w:pStyle w:val="P68B1DB1-Standard6"/>
        <w:spacing w:before="240"/>
        <w:jc w:val="both"/>
        <w:rPr>
          <w:rFonts w:ascii="Times New Roman" w:hAnsi="Times New Roman" w:cs="Times New Roman"/>
          <w:noProof/>
        </w:rPr>
      </w:pPr>
      <w:r>
        <w:rPr>
          <w:noProof/>
        </w:rPr>
        <w:t>Reforma 2. Modernizacija carinskog sustava i uvođenje elektroničke carine</w:t>
      </w:r>
    </w:p>
    <w:p w14:paraId="38FF91E9" w14:textId="77777777" w:rsidR="003F46B9" w:rsidRDefault="0065662E">
      <w:pPr>
        <w:pStyle w:val="P68B1DB1-Normal5"/>
        <w:spacing w:before="120" w:after="120" w:line="240" w:lineRule="auto"/>
        <w:jc w:val="both"/>
        <w:rPr>
          <w:rFonts w:cs="Times New Roman"/>
          <w:noProof/>
        </w:rPr>
      </w:pPr>
      <w:r>
        <w:rPr>
          <w:noProof/>
        </w:rPr>
        <w:t>Reformom će se poboljšati funkcioniranje Carinske uprave promicanjem izmjena postojećeg pravnog okvira, promjenom nadležnosti i unutarnjih postupaka te ulaganjem u opr</w:t>
      </w:r>
      <w:r>
        <w:rPr>
          <w:noProof/>
        </w:rPr>
        <w:t xml:space="preserve">emu potrebnu za nadzorne aktivnosti na državnom području i na vanjskoj granici EU-a. </w:t>
      </w:r>
    </w:p>
    <w:p w14:paraId="3F8D735B" w14:textId="77777777" w:rsidR="003F46B9" w:rsidRDefault="0065662E">
      <w:pPr>
        <w:pStyle w:val="P68B1DB1-Normal5"/>
        <w:spacing w:before="120" w:after="120" w:line="240" w:lineRule="auto"/>
        <w:jc w:val="both"/>
        <w:rPr>
          <w:rFonts w:cs="Times New Roman"/>
          <w:noProof/>
        </w:rPr>
      </w:pPr>
      <w:r>
        <w:rPr>
          <w:noProof/>
        </w:rPr>
        <w:t>Cilj je te reforme poboljšati administrativne i operativne kapacitete carinske uprave i usmjeriti aktivnosti carinjenja prema potpuno elektroničkom okruženju. Razmjena in</w:t>
      </w:r>
      <w:r>
        <w:rPr>
          <w:noProof/>
        </w:rPr>
        <w:t xml:space="preserve">formacija između gospodarskih subjekata i carinskih tijela, kao i između carinskih tijela u državama članicama, provodi se isključivo tehnikama elektroničke obrade i širenja podataka. </w:t>
      </w:r>
    </w:p>
    <w:p w14:paraId="308F507D" w14:textId="77777777" w:rsidR="003F46B9" w:rsidRDefault="0065662E">
      <w:pPr>
        <w:pStyle w:val="P68B1DB1-Normal5"/>
        <w:spacing w:before="120" w:after="120" w:line="240" w:lineRule="auto"/>
        <w:jc w:val="both"/>
        <w:rPr>
          <w:rFonts w:cs="Times New Roman"/>
          <w:noProof/>
        </w:rPr>
      </w:pPr>
      <w:r>
        <w:rPr>
          <w:noProof/>
        </w:rPr>
        <w:t xml:space="preserve">Posebno se provode sljedeće mjere: </w:t>
      </w:r>
    </w:p>
    <w:p w14:paraId="050F8A81" w14:textId="0F077885" w:rsidR="003F46B9" w:rsidRDefault="0065662E">
      <w:pPr>
        <w:pStyle w:val="P68B1DB1-Normal12"/>
        <w:numPr>
          <w:ilvl w:val="0"/>
          <w:numId w:val="2"/>
        </w:numPr>
        <w:spacing w:before="120" w:after="120" w:line="240" w:lineRule="auto"/>
        <w:ind w:left="360"/>
        <w:jc w:val="both"/>
        <w:rPr>
          <w:rFonts w:cs="Times New Roman"/>
          <w:noProof/>
        </w:rPr>
      </w:pPr>
      <w:r>
        <w:rPr>
          <w:noProof/>
        </w:rPr>
        <w:t>operacionalizacija carinske uprave,</w:t>
      </w:r>
      <w:r>
        <w:rPr>
          <w:noProof/>
        </w:rPr>
        <w:t xml:space="preserve"> </w:t>
      </w:r>
    </w:p>
    <w:p w14:paraId="40412817"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razvoj carinskih informacijskih sustava u skladu sa zahtjevima Carinskog zakonika Unije; </w:t>
      </w:r>
    </w:p>
    <w:p w14:paraId="1EABE12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usmjeravanje carinjenja na elektroničko okruženje i smanjenje birokratskih prepreka;</w:t>
      </w:r>
    </w:p>
    <w:p w14:paraId="42E99D7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pojednostavnjenje carinskih formalnosti.</w:t>
      </w:r>
    </w:p>
    <w:p w14:paraId="174AA138" w14:textId="77777777" w:rsidR="003F46B9" w:rsidRDefault="0065662E">
      <w:pPr>
        <w:pStyle w:val="P68B1DB1-Normal5"/>
        <w:spacing w:before="120" w:after="120" w:line="240" w:lineRule="auto"/>
        <w:jc w:val="both"/>
        <w:rPr>
          <w:rFonts w:cs="Times New Roman"/>
          <w:noProof/>
        </w:rPr>
      </w:pPr>
      <w:r>
        <w:rPr>
          <w:noProof/>
        </w:rPr>
        <w:t>Provedba reforme mora biti dovršena do</w:t>
      </w:r>
      <w:r>
        <w:rPr>
          <w:noProof/>
        </w:rPr>
        <w:t xml:space="preserve"> 31. prosinca 2025. i temelji se na jednom ulaganju.</w:t>
      </w:r>
    </w:p>
    <w:p w14:paraId="2517A3A8" w14:textId="77777777" w:rsidR="003F46B9" w:rsidRDefault="0065662E">
      <w:pPr>
        <w:pStyle w:val="P68B1DB1-Normal23"/>
        <w:spacing w:before="120" w:after="120" w:line="240" w:lineRule="auto"/>
        <w:jc w:val="both"/>
        <w:rPr>
          <w:rFonts w:eastAsia="NSimSun" w:cs="Arial"/>
          <w:noProof/>
          <w:kern w:val="3"/>
        </w:rPr>
      </w:pPr>
      <w:r>
        <w:rPr>
          <w:noProof/>
        </w:rPr>
        <w:t>Reforma 3. Poboljšanje mehanizma proračunskog programiranja</w:t>
      </w:r>
    </w:p>
    <w:p w14:paraId="16EE345B" w14:textId="77777777" w:rsidR="003F46B9" w:rsidRDefault="0065662E">
      <w:pPr>
        <w:pStyle w:val="P68B1DB1-Normal5"/>
        <w:spacing w:before="120" w:after="120" w:line="240" w:lineRule="auto"/>
        <w:jc w:val="both"/>
        <w:rPr>
          <w:rFonts w:cs="Times New Roman"/>
          <w:noProof/>
        </w:rPr>
      </w:pPr>
      <w:r>
        <w:rPr>
          <w:noProof/>
        </w:rPr>
        <w:t xml:space="preserve">Ta se reforma provodi stupanjem na snagu izmijenjenog regulatornog okvira kojim se: </w:t>
      </w:r>
    </w:p>
    <w:p w14:paraId="4B5B561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osigurati višegodišnje proračunsko planiranje, </w:t>
      </w:r>
    </w:p>
    <w:p w14:paraId="0A033BDA"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povećati u</w:t>
      </w:r>
      <w:r>
        <w:rPr>
          <w:noProof/>
        </w:rPr>
        <w:t>činkovitost određivanja prioriteta javnih ulaganja,</w:t>
      </w:r>
    </w:p>
    <w:p w14:paraId="391BDF3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uvesti sustavne revizije potrošnje usklađene s proračunskim ciklusom i jasnim planom provedbe nalaza u sljedećim proračunima, podložno neovisnim ex post evaluacijama. </w:t>
      </w:r>
    </w:p>
    <w:p w14:paraId="7D4EB2E4" w14:textId="77777777" w:rsidR="003F46B9" w:rsidRDefault="0065662E">
      <w:pPr>
        <w:pStyle w:val="P68B1DB1-Normal5"/>
        <w:spacing w:before="120" w:after="120" w:line="240" w:lineRule="auto"/>
        <w:jc w:val="both"/>
        <w:rPr>
          <w:rFonts w:cs="Times New Roman"/>
          <w:noProof/>
        </w:rPr>
      </w:pPr>
      <w:r>
        <w:rPr>
          <w:noProof/>
        </w:rPr>
        <w:t>Jedan je od ciljeva te reforme pobol</w:t>
      </w:r>
      <w:r>
        <w:rPr>
          <w:noProof/>
        </w:rPr>
        <w:t>jšati mehanizam proračunskog programiranja i modernizirati informatički sustav za razvoj i upravljanje nacionalnim proračunom opsežnom upotrebom podataka i informacija koji najbolje odražavaju proračunske rashode na razini politike i programa (analiza pror</w:t>
      </w:r>
      <w:r>
        <w:rPr>
          <w:noProof/>
        </w:rPr>
        <w:t>ačunskih postupaka, racionalizacija vremena za izradu izvješća i format u kojem se izvješća izrađuju), što utječe na:</w:t>
      </w:r>
    </w:p>
    <w:p w14:paraId="4F31CF5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povećanje transparentnosti u proračunskom postupku objavljivanjem analiza i izvješća kojima se pojednostavnjuje postupak potrošnje za odre</w:t>
      </w:r>
      <w:r>
        <w:rPr>
          <w:noProof/>
        </w:rPr>
        <w:t>đene programe;</w:t>
      </w:r>
    </w:p>
    <w:p w14:paraId="44EBEF7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poboljšanje sustava za praćenje proračunskih programa i izvješćivanje o njima.</w:t>
      </w:r>
    </w:p>
    <w:p w14:paraId="2A4F2856"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2024. i temelji se na jednom ulaganju.</w:t>
      </w:r>
    </w:p>
    <w:p w14:paraId="4545D263" w14:textId="77777777" w:rsidR="003F46B9" w:rsidRDefault="0065662E">
      <w:pPr>
        <w:pStyle w:val="P68B1DB1-Normal23"/>
        <w:spacing w:before="120" w:after="120" w:line="240" w:lineRule="auto"/>
        <w:jc w:val="both"/>
        <w:rPr>
          <w:rFonts w:eastAsia="NSimSun" w:cs="Arial"/>
          <w:noProof/>
          <w:kern w:val="3"/>
        </w:rPr>
      </w:pPr>
      <w:r>
        <w:rPr>
          <w:noProof/>
        </w:rPr>
        <w:t>Reforma 4. Revizija poreznog okvira</w:t>
      </w:r>
    </w:p>
    <w:p w14:paraId="22A507E4" w14:textId="77777777" w:rsidR="003F46B9" w:rsidRDefault="0065662E">
      <w:pPr>
        <w:pStyle w:val="P68B1DB1-Normal5"/>
        <w:spacing w:before="120" w:after="120" w:line="240" w:lineRule="auto"/>
        <w:jc w:val="both"/>
        <w:rPr>
          <w:rFonts w:cs="Times New Roman"/>
          <w:noProof/>
        </w:rPr>
      </w:pPr>
      <w:r>
        <w:rPr>
          <w:noProof/>
        </w:rPr>
        <w:t xml:space="preserve">Preispitivanjem poreznog sustava </w:t>
      </w:r>
      <w:r>
        <w:rPr>
          <w:noProof/>
        </w:rPr>
        <w:t>Rumunjskoj bi se trebalo omogućiti da poboljša konkurentnost, uz istodobno podupiranje fiskalne održivosti i okolišnih ciljeva. Njime bi se također trebao osigurati pravedniji, učinkovitiji, jednostavniji i transparentniji porezni sustav kojim se može bolj</w:t>
      </w:r>
      <w:r>
        <w:rPr>
          <w:noProof/>
        </w:rPr>
        <w:t>e poduprijeti gospodarstvo i olakšati ispunjavanje poreznih obveza poreznih obveznika.</w:t>
      </w:r>
    </w:p>
    <w:p w14:paraId="302C8D32" w14:textId="77777777" w:rsidR="003F46B9" w:rsidRDefault="0065662E">
      <w:pPr>
        <w:pStyle w:val="P68B1DB1-Normal5"/>
        <w:spacing w:before="120" w:after="120" w:line="240" w:lineRule="auto"/>
        <w:jc w:val="both"/>
        <w:rPr>
          <w:rFonts w:cs="Times New Roman"/>
          <w:noProof/>
        </w:rPr>
      </w:pPr>
      <w:r>
        <w:rPr>
          <w:noProof/>
        </w:rPr>
        <w:t>Sveobuhvatnim preispitivanjem poreznog sustava u planu utvrđuju se poremećaji i područja u kojima bi trebalo prilagoditi relevantno porezno zakonodavstvo, posebno za por</w:t>
      </w:r>
      <w:r>
        <w:rPr>
          <w:noProof/>
        </w:rPr>
        <w:t>ez na dobit, porez na dohodak i doprinose za socijalno osiguranje te oporezivanje imovine, kako bi se temeljile odluke o postupnom ukidanju prekomjernih poreznih poticaja. Revizijom poreznog okvira nastoji se proširiti i zeleno oporezivanje, među ostalim k</w:t>
      </w:r>
      <w:r>
        <w:rPr>
          <w:noProof/>
        </w:rPr>
        <w:t>ao popratna mjera za komponente održivog prometa i energije.</w:t>
      </w:r>
    </w:p>
    <w:p w14:paraId="38318910" w14:textId="77777777" w:rsidR="003F46B9" w:rsidRDefault="0065662E">
      <w:pPr>
        <w:pStyle w:val="P68B1DB1-Normal5"/>
        <w:spacing w:before="120" w:after="120" w:line="240" w:lineRule="auto"/>
        <w:jc w:val="both"/>
        <w:rPr>
          <w:rFonts w:cs="Times New Roman"/>
          <w:noProof/>
        </w:rPr>
      </w:pPr>
      <w:r>
        <w:rPr>
          <w:noProof/>
        </w:rPr>
        <w:t xml:space="preserve">Pri provedbi te reforme rumunjsko porezno zakonodavstvo podliježe temeljitoj analizi, uz potporu tehničke pomoći neovisne institucije, posebno u području poreza i socijalnih doprinosa na dohodak </w:t>
      </w:r>
      <w:r>
        <w:rPr>
          <w:noProof/>
        </w:rPr>
        <w:t>koji ostvaruju fizičke osobe, poreza na dobit (uključujući posebne programe na koje se mogu primjenjivati iznimke), poreza na imovinu (koji su lokalni porezi) i zelenih poreza. Nakon te sustavne analize slijedi provedba preporuka koje iz nje proizlaze kako</w:t>
      </w:r>
      <w:r>
        <w:rPr>
          <w:noProof/>
        </w:rPr>
        <w:t xml:space="preserve"> bi se osiguralo da porezni sustav bolje promiče održivi gospodarski rast.</w:t>
      </w:r>
    </w:p>
    <w:p w14:paraId="5F63F2BE" w14:textId="77777777" w:rsidR="003F46B9" w:rsidRDefault="0065662E">
      <w:pPr>
        <w:pStyle w:val="P68B1DB1-Normal5"/>
        <w:spacing w:before="120" w:after="120" w:line="240" w:lineRule="auto"/>
        <w:jc w:val="both"/>
        <w:rPr>
          <w:rFonts w:cs="Times New Roman"/>
          <w:noProof/>
        </w:rPr>
      </w:pPr>
      <w:r>
        <w:rPr>
          <w:noProof/>
        </w:rPr>
        <w:t>Kad je riječ o porezu na imovinu, reformom se rješava potencijalna arbitraža između dvaju poreznih sustava koji se primjenjuju na fizičke i pravne osobe koje ostvaruju dohodak od ne</w:t>
      </w:r>
      <w:r>
        <w:rPr>
          <w:noProof/>
        </w:rPr>
        <w:t>kretnina te se automatski utvrđuje oporeziva vrijednost nekretnina koje podliježu lokalnom porezu, čime se prestaje praksa korištenja porezne osnovice koja nije povezana s tržišnom vrijednošću.</w:t>
      </w:r>
    </w:p>
    <w:p w14:paraId="18644B40" w14:textId="77777777" w:rsidR="003F46B9" w:rsidRDefault="0065662E">
      <w:pPr>
        <w:pStyle w:val="P68B1DB1-Normal5"/>
        <w:spacing w:before="120" w:after="120" w:line="240" w:lineRule="auto"/>
        <w:jc w:val="both"/>
        <w:rPr>
          <w:rFonts w:cs="Times New Roman"/>
          <w:noProof/>
        </w:rPr>
      </w:pPr>
      <w:r>
        <w:rPr>
          <w:noProof/>
        </w:rPr>
        <w:t>Posebni su ciljevi te reforme sljedeći:</w:t>
      </w:r>
    </w:p>
    <w:p w14:paraId="5AA7A32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poboljšati strukturu p</w:t>
      </w:r>
      <w:r>
        <w:rPr>
          <w:noProof/>
        </w:rPr>
        <w:t xml:space="preserve">oreznih prihoda; </w:t>
      </w:r>
    </w:p>
    <w:p w14:paraId="6C29EA6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povećati udio poreznih prihoda u BDP-u za 0,5 postotnih bodova do 2025. u odnosu na 2019.;</w:t>
      </w:r>
    </w:p>
    <w:p w14:paraId="1F123ADA"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ukloniti poremećaje i rupe u poreznom sustavu kojima se poreznim obveznicima omogućuje da smanje poreze (što potkopava pravednost sustava), posebno</w:t>
      </w:r>
      <w:r>
        <w:rPr>
          <w:noProof/>
        </w:rPr>
        <w:t xml:space="preserve"> porez na dohodak i socijalne doprinose;</w:t>
      </w:r>
    </w:p>
    <w:p w14:paraId="196870F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pojednostavnjenje poreznih pravila kako bi se olakšala usklađenost i administracija te ukidanje povlaštenih izuzeća i tretmana;</w:t>
      </w:r>
    </w:p>
    <w:p w14:paraId="56C2C7A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postići učinkovitiji porezni sustav i pravedniju raspodjelu poreznog opterećenja;</w:t>
      </w:r>
    </w:p>
    <w:p w14:paraId="0971A77D"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izmijeniti oporezivanje imovine, među ostalim osobito poticanjem lokalnih vlasti da besplatno nameću emisijske jedinice unutar raspona koji su definirani na središnjoj razini i procjenom porezne osnovice što je moguće bliže tržišnoj vrijednosti nekretnine.</w:t>
      </w:r>
    </w:p>
    <w:p w14:paraId="68330FC5" w14:textId="77777777" w:rsidR="003F46B9" w:rsidRDefault="0065662E">
      <w:pPr>
        <w:pStyle w:val="P68B1DB1-Normal5"/>
        <w:spacing w:before="120" w:after="120" w:line="240" w:lineRule="auto"/>
        <w:jc w:val="both"/>
        <w:rPr>
          <w:rFonts w:cs="Times New Roman"/>
          <w:noProof/>
        </w:rPr>
      </w:pPr>
      <w:r>
        <w:rPr>
          <w:noProof/>
        </w:rPr>
        <w:t>Provedba reforme mora biti dovršena do 31. ožujka 2025. i temelji se na jednom ulaganju.</w:t>
      </w:r>
    </w:p>
    <w:p w14:paraId="09F0DC99" w14:textId="77777777" w:rsidR="003F46B9" w:rsidRDefault="0065662E">
      <w:pPr>
        <w:pStyle w:val="P68B1DB1-Normal23"/>
        <w:spacing w:before="120" w:after="120" w:line="240" w:lineRule="auto"/>
        <w:jc w:val="both"/>
        <w:rPr>
          <w:rFonts w:eastAsia="NSimSun" w:cs="Arial"/>
          <w:noProof/>
          <w:kern w:val="3"/>
        </w:rPr>
      </w:pPr>
      <w:r>
        <w:rPr>
          <w:noProof/>
        </w:rPr>
        <w:t>Reforma 5. Osnivanje i operacionalizacija Nacionalne razvojne banke</w:t>
      </w:r>
    </w:p>
    <w:p w14:paraId="784B9FDD" w14:textId="77777777" w:rsidR="003F46B9" w:rsidRDefault="0065662E">
      <w:pPr>
        <w:pStyle w:val="P68B1DB1-Normal5"/>
        <w:spacing w:before="120" w:after="120" w:line="240" w:lineRule="auto"/>
        <w:jc w:val="both"/>
        <w:rPr>
          <w:rFonts w:cs="Times New Roman"/>
          <w:noProof/>
        </w:rPr>
      </w:pPr>
      <w:r>
        <w:rPr>
          <w:noProof/>
        </w:rPr>
        <w:t>Cilj je reforme operacionalizirati Nacionalnu razvojnu banku (BND) kako bi se izravno riješili ned</w:t>
      </w:r>
      <w:r>
        <w:rPr>
          <w:noProof/>
        </w:rPr>
        <w:t>ostaci na financijskom tržištu osiguravanjem financiranja projekata prihvatljivih korisnika s visokim profilom rizika, ali s velikim potencijalom za stvaranje dodane vrijednosti i radnih mjesta, za koje privatni sektor nije sklon osigurati financiranje. Re</w:t>
      </w:r>
      <w:r>
        <w:rPr>
          <w:noProof/>
        </w:rPr>
        <w:t xml:space="preserve">forma se nastavlja na projekt koji se financira u okviru Programa potpore strukturnim reformama. </w:t>
      </w:r>
    </w:p>
    <w:p w14:paraId="0840C9AA" w14:textId="77777777" w:rsidR="003F46B9" w:rsidRDefault="0065662E">
      <w:pPr>
        <w:pStyle w:val="P68B1DB1-Normal5"/>
        <w:spacing w:before="120" w:after="120" w:line="240" w:lineRule="auto"/>
        <w:jc w:val="both"/>
        <w:rPr>
          <w:rFonts w:cs="Times New Roman"/>
          <w:noProof/>
        </w:rPr>
      </w:pPr>
      <w:r>
        <w:rPr>
          <w:noProof/>
        </w:rPr>
        <w:t>Nacionalna razvojna banka osniva se kao kreditna institucija u stopostotnom državnom vlasništvu koja djeluje pod nadzorom Narodne banke Rumunjske i u skladu s</w:t>
      </w:r>
      <w:r>
        <w:rPr>
          <w:noProof/>
        </w:rPr>
        <w:t xml:space="preserve"> primjenjivim lokalnim zakonodavstvom i zakonodavstvom EU-a. Nacionalna razvojna banka ima temeljni kapital od 3 milijarde RON (približno 600 milijuna EUR).</w:t>
      </w:r>
    </w:p>
    <w:p w14:paraId="38853349" w14:textId="77777777" w:rsidR="003F46B9" w:rsidRDefault="0065662E">
      <w:pPr>
        <w:pStyle w:val="P68B1DB1-Normal5"/>
        <w:spacing w:before="120" w:after="120" w:line="240" w:lineRule="auto"/>
        <w:jc w:val="both"/>
        <w:rPr>
          <w:rFonts w:cs="Times New Roman"/>
          <w:noProof/>
        </w:rPr>
      </w:pPr>
      <w:r>
        <w:rPr>
          <w:noProof/>
        </w:rPr>
        <w:t xml:space="preserve">Operacionalizacija BND-a uključuje i nabavu IT sustava, nabavu softverskih licencija i hardvera te </w:t>
      </w:r>
      <w:r>
        <w:rPr>
          <w:noProof/>
        </w:rPr>
        <w:t>IT usluga.</w:t>
      </w:r>
    </w:p>
    <w:p w14:paraId="690D37A8" w14:textId="77777777" w:rsidR="003F46B9" w:rsidRDefault="0065662E">
      <w:pPr>
        <w:pStyle w:val="P68B1DB1-Normal5"/>
        <w:spacing w:before="120" w:after="120" w:line="240" w:lineRule="auto"/>
        <w:jc w:val="both"/>
        <w:rPr>
          <w:rFonts w:cs="Times New Roman"/>
          <w:noProof/>
        </w:rPr>
      </w:pPr>
      <w:r>
        <w:rPr>
          <w:noProof/>
        </w:rPr>
        <w:t xml:space="preserve">Kako bi se osigurala usklađenost mjere s Tehničkim smjernicama o nenanošenju bitne štete (2021/C58/01), strategijom ulaganja i kreditiranja Nacionalne razvojne banke: </w:t>
      </w:r>
    </w:p>
    <w:p w14:paraId="3B1D147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primjenu tehničkih smjernica Komisije o provjeri održivosti za fo</w:t>
      </w:r>
      <w:r>
        <w:rPr>
          <w:noProof/>
        </w:rPr>
        <w:t>nd InvestEU; and</w:t>
      </w:r>
    </w:p>
    <w:p w14:paraId="65A6799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isključiti sljedeći popis djelatnosti i imovine iz prihvatljivosti putem popisa za isključenje: (i) djelatnosti i imovina povezani s fosilnim gorivima, uključujući uporabu na kraju proizvodnog lanca;</w:t>
      </w:r>
      <w:r>
        <w:rPr>
          <w:noProof/>
        </w:rPr>
        <w:footnoteReference w:id="15"/>
      </w:r>
      <w:r>
        <w:rPr>
          <w:noProof/>
        </w:rPr>
        <w:t xml:space="preserve"> ii. aktivnosti i imovina u okviru sust</w:t>
      </w:r>
      <w:r>
        <w:rPr>
          <w:noProof/>
        </w:rPr>
        <w:t>ava EU-a za trgovanje emisijama (ETS) kojima se postižu predviđene emisije stakleničkih plinova koje nisu niže od relevantnih referentnih vrijednosti;</w:t>
      </w:r>
      <w:r>
        <w:rPr>
          <w:noProof/>
        </w:rPr>
        <w:footnoteReference w:id="16"/>
      </w:r>
      <w:r>
        <w:rPr>
          <w:noProof/>
        </w:rPr>
        <w:t xml:space="preserve"> iii. aktivnosti i sredstva povezana s odlagalištima otpada, spalionicama</w:t>
      </w:r>
      <w:r>
        <w:rPr>
          <w:noProof/>
        </w:rPr>
        <w:footnoteReference w:id="17"/>
      </w:r>
      <w:r>
        <w:rPr>
          <w:noProof/>
        </w:rPr>
        <w:t xml:space="preserve"> i postrojenjima za mehaničko-b</w:t>
      </w:r>
      <w:r>
        <w:rPr>
          <w:noProof/>
        </w:rPr>
        <w:t>iološku obradu</w:t>
      </w:r>
      <w:r>
        <w:rPr>
          <w:noProof/>
        </w:rPr>
        <w:footnoteReference w:id="18"/>
      </w:r>
      <w:r>
        <w:rPr>
          <w:noProof/>
        </w:rPr>
        <w:t>; i iv. djelatnosti i sredstva u kojima dugoročno odlaganje otpada može naštetiti okolišu; and</w:t>
      </w:r>
    </w:p>
    <w:p w14:paraId="3E943CD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da Nacionalna razvojna banka provjeri usklađenost s relevantnim zakonodavstvom EU-a i nacionalnim zakonodavstvom o okolišu za sve tran</w:t>
      </w:r>
      <w:r>
        <w:rPr>
          <w:noProof/>
        </w:rPr>
        <w:t>sakcije, uključujući one izuzete od provjere održivosti; and</w:t>
      </w:r>
    </w:p>
    <w:p w14:paraId="57EF2F3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od korisnika potpore u obliku vlasničkog kapitala i korporativnog financiranja opće namjene koji više od 50 % svojih prihoda tijekom prethodne financijske godine ostvaruju od aktivnos</w:t>
      </w:r>
      <w:r>
        <w:rPr>
          <w:noProof/>
        </w:rPr>
        <w:t>ti i/ili imovine s popisa za isključenje da donesu i objave planove zelene tranzicije.</w:t>
      </w:r>
    </w:p>
    <w:p w14:paraId="0DF43245" w14:textId="77777777" w:rsidR="003F46B9" w:rsidRDefault="0065662E">
      <w:pPr>
        <w:pStyle w:val="P68B1DB1-Normal5"/>
        <w:spacing w:before="120" w:after="120" w:line="240" w:lineRule="auto"/>
        <w:jc w:val="both"/>
        <w:rPr>
          <w:rFonts w:cs="Times New Roman"/>
          <w:noProof/>
        </w:rPr>
      </w:pPr>
      <w:r>
        <w:rPr>
          <w:noProof/>
        </w:rPr>
        <w:t>Ta se reforma temelji na ulaganju, a njezina provedba mora biti dovršena do 30. lipnja 2026.</w:t>
      </w:r>
    </w:p>
    <w:p w14:paraId="6C394540" w14:textId="77777777" w:rsidR="003F46B9" w:rsidRDefault="0065662E">
      <w:pPr>
        <w:pStyle w:val="P68B1DB1-Normal23"/>
        <w:spacing w:before="120" w:after="120" w:line="240" w:lineRule="auto"/>
        <w:jc w:val="both"/>
        <w:rPr>
          <w:rFonts w:eastAsia="NSimSun" w:cs="Arial"/>
          <w:noProof/>
          <w:kern w:val="3"/>
        </w:rPr>
      </w:pPr>
      <w:r>
        <w:rPr>
          <w:noProof/>
        </w:rPr>
        <w:t>Reforma 6. Reforma javnog mirovinskog sustava</w:t>
      </w:r>
    </w:p>
    <w:p w14:paraId="6C228D53" w14:textId="096E2601" w:rsidR="003F46B9" w:rsidRDefault="0065662E">
      <w:pPr>
        <w:pStyle w:val="P68B1DB1-Normal5"/>
        <w:spacing w:before="120" w:after="120" w:line="240" w:lineRule="auto"/>
        <w:jc w:val="both"/>
        <w:rPr>
          <w:rFonts w:cs="Times New Roman"/>
          <w:noProof/>
        </w:rPr>
      </w:pPr>
      <w:r>
        <w:rPr>
          <w:noProof/>
        </w:rPr>
        <w:t>Reforma uključuje donošenje no</w:t>
      </w:r>
      <w:r>
        <w:rPr>
          <w:noProof/>
        </w:rPr>
        <w:t>vog zakona o javnom mirovinskom sustavu, uz doprinos tehničke pomoći, koji će zamijeniti Zakon 127/2019. Novo zakonodavstvo sadržava ukupne javne rashode za mirovine (uključujući sve postojeće javne mirovinske sustave) u srednjoročnom i dugoročnom razdoblj</w:t>
      </w:r>
      <w:r>
        <w:rPr>
          <w:noProof/>
        </w:rPr>
        <w:t>u (2024. – 2070.) na razini kojom se osigurava fiskalna održivost mirovinskog sustava. Zakon sadržava mehanizam automatskog kočenja kako bi se osigurao taj cilj.</w:t>
      </w:r>
    </w:p>
    <w:p w14:paraId="0494AAB5" w14:textId="77777777" w:rsidR="003F46B9" w:rsidRDefault="0065662E">
      <w:pPr>
        <w:pStyle w:val="P68B1DB1-Normal5"/>
        <w:spacing w:before="120" w:after="120" w:line="240" w:lineRule="auto"/>
        <w:jc w:val="both"/>
        <w:rPr>
          <w:rFonts w:cs="Times New Roman"/>
          <w:noProof/>
        </w:rPr>
      </w:pPr>
      <w:r>
        <w:rPr>
          <w:noProof/>
        </w:rPr>
        <w:t>Novo zakonodavstvo:</w:t>
      </w:r>
    </w:p>
    <w:p w14:paraId="5665977A" w14:textId="610A419B" w:rsidR="003F46B9" w:rsidRDefault="0065662E">
      <w:pPr>
        <w:pStyle w:val="P68B1DB1-Normal12"/>
        <w:numPr>
          <w:ilvl w:val="0"/>
          <w:numId w:val="2"/>
        </w:numPr>
        <w:spacing w:before="120" w:after="120" w:line="240" w:lineRule="auto"/>
        <w:ind w:left="360"/>
        <w:jc w:val="both"/>
        <w:rPr>
          <w:rFonts w:cs="Times New Roman"/>
          <w:noProof/>
        </w:rPr>
      </w:pPr>
      <w:r>
        <w:rPr>
          <w:noProof/>
        </w:rPr>
        <w:t>uvesti novu formulu za izračun novih mirovina i mirovina u plaćanju. Parametri formule odabiru se u skladu s ciljem osiguravanja fiskalne održivosti. Osim toga, ne dopuštaju ad hoc povećanja razina mirovina, osim ako su popraćena mjerama kojima se neutrali</w:t>
      </w:r>
      <w:r>
        <w:rPr>
          <w:noProof/>
        </w:rPr>
        <w:t xml:space="preserve">zira fiskalni učinak; </w:t>
      </w:r>
    </w:p>
    <w:p w14:paraId="78BE0523" w14:textId="74FC5EE1" w:rsidR="003F46B9" w:rsidRDefault="0065662E">
      <w:pPr>
        <w:pStyle w:val="P68B1DB1-Normal24"/>
        <w:numPr>
          <w:ilvl w:val="0"/>
          <w:numId w:val="2"/>
        </w:numPr>
        <w:spacing w:before="120" w:after="120" w:line="240" w:lineRule="auto"/>
        <w:ind w:left="360"/>
        <w:jc w:val="both"/>
        <w:rPr>
          <w:noProof/>
        </w:rPr>
      </w:pPr>
      <w:r>
        <w:rPr>
          <w:noProof/>
        </w:rPr>
        <w:t>uvesti novo pravilo indeksacije mirovina i mehanizam protiv ad hoc povećanja mirovina (tj. svako povećanje koje nadilazi zakonska pravila indeksacije);</w:t>
      </w:r>
    </w:p>
    <w:p w14:paraId="1508AFE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znatno smanjiti mogućnosti prijevremenog umirovljenja, uvesti poticaje za produlj</w:t>
      </w:r>
      <w:r>
        <w:rPr>
          <w:noProof/>
        </w:rPr>
        <w:t>enje radnog vijeka i dobrovoljno povećati standardnu dob za umirovljenje na 70 godina u skladu s povećanjem očekivanog životnog vijeka te izjednačiti zakonsku dob za umirovljenje muškaraca i žena na 65 godina do 2035.;</w:t>
      </w:r>
    </w:p>
    <w:p w14:paraId="0951A3D7"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uvesti poticaje za odgodu umirovljenj</w:t>
      </w:r>
      <w:r>
        <w:rPr>
          <w:noProof/>
        </w:rPr>
        <w:t>a;</w:t>
      </w:r>
    </w:p>
    <w:p w14:paraId="1C071DF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revidirati posebne mirovine kako bi ih se uskladilo s načelom uplaćivanja doprinosa;</w:t>
      </w:r>
    </w:p>
    <w:p w14:paraId="581447D1"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ojačati načelo doprinosa sustavu;</w:t>
      </w:r>
    </w:p>
    <w:p w14:paraId="1D140FA5"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povećati primjerenost minimalnih i nižih mirovina, posebno za one ispod praga siromaštva;</w:t>
      </w:r>
    </w:p>
    <w:p w14:paraId="25A8E3F1"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osigurati financijsku održivost drugog stupa</w:t>
      </w:r>
      <w:r>
        <w:rPr>
          <w:noProof/>
        </w:rPr>
        <w:t xml:space="preserve"> mirovinskog sustava povećanjem doprinosa za taj mirovinski stup.</w:t>
      </w:r>
    </w:p>
    <w:p w14:paraId="43B6EB3C" w14:textId="77777777" w:rsidR="003F46B9" w:rsidRDefault="0065662E">
      <w:pPr>
        <w:pStyle w:val="P68B1DB1-Normal5"/>
        <w:spacing w:before="120" w:after="120" w:line="240" w:lineRule="auto"/>
        <w:jc w:val="both"/>
        <w:rPr>
          <w:noProof/>
        </w:rPr>
      </w:pPr>
      <w:r>
        <w:rPr>
          <w:noProof/>
        </w:rPr>
        <w:t>Vlada traži tehničku pomoć za pripremu nacrta zakona, koji također podliježe savjetovanju sa socijalnim partnerima. U okviru pripreme zakona provodi se ex ante procjena učinka novog mirovins</w:t>
      </w:r>
      <w:r>
        <w:rPr>
          <w:noProof/>
        </w:rPr>
        <w:t xml:space="preserve">kog sustava, posebno na fiskalnu održivost, koja će se uzeti u obzir u procesu reforme. </w:t>
      </w:r>
    </w:p>
    <w:p w14:paraId="7B718798" w14:textId="0520EEDE" w:rsidR="003F46B9" w:rsidRDefault="0065662E">
      <w:pPr>
        <w:pStyle w:val="P68B1DB1-Normal5"/>
        <w:spacing w:before="120" w:after="120" w:line="240" w:lineRule="auto"/>
        <w:jc w:val="both"/>
        <w:rPr>
          <w:noProof/>
        </w:rPr>
      </w:pPr>
      <w:r>
        <w:rPr>
          <w:noProof/>
        </w:rPr>
        <w:t>Provodi se i ex post analiza donesenog zakonodavstva od strane pružatelja tehničke pomoći, kojom se, nakon što vlada donese reformu, utvrđuju polazna/referentna predvi</w:t>
      </w:r>
      <w:r>
        <w:rPr>
          <w:noProof/>
        </w:rPr>
        <w:t>đanja ukupnih rashoda za mirovine (kao udio BDP-a) i fiskalna održivost sustava u srednjoročnom i dugoročnom razdoblju (2024. – 2070.). Te se analize i projekcije objavljuju.</w:t>
      </w:r>
    </w:p>
    <w:p w14:paraId="5B3D5477" w14:textId="06CBC28D" w:rsidR="003F46B9" w:rsidRDefault="0065662E">
      <w:pPr>
        <w:pStyle w:val="P68B1DB1-Normal5"/>
        <w:spacing w:before="120" w:after="120" w:line="240" w:lineRule="auto"/>
        <w:jc w:val="both"/>
        <w:rPr>
          <w:rFonts w:cs="Times New Roman"/>
          <w:noProof/>
        </w:rPr>
      </w:pPr>
      <w:r>
        <w:rPr>
          <w:noProof/>
        </w:rPr>
        <w:t>Svaka izmjena zakona,</w:t>
      </w:r>
      <w:r>
        <w:rPr>
          <w:strike/>
          <w:noProof/>
        </w:rPr>
        <w:t>kojom</w:t>
      </w:r>
      <w:r>
        <w:rPr>
          <w:noProof/>
        </w:rPr>
        <w:t xml:space="preserve"> se povećava trošak reforme i dovodi do odstupanja od p</w:t>
      </w:r>
      <w:r>
        <w:rPr>
          <w:noProof/>
        </w:rPr>
        <w:t>rethodno navedenih referentnih predviđanja, popraćena je kompenzacijskim mjerama za održavanje rashoda za mirovine u skladu s referentnim planom utvrđenim nakon što je vlada donijela reformu. Ponovni izračun mirovina mora biti u skladu s novim pravnim okvi</w:t>
      </w:r>
      <w:r>
        <w:rPr>
          <w:noProof/>
        </w:rPr>
        <w:t xml:space="preserve">rom i sadržavati ukupne javne rashode za mirovine na razini kojom se osigurava fiskalna održivost mirovinskog sustava. </w:t>
      </w:r>
    </w:p>
    <w:p w14:paraId="5ADE30BF" w14:textId="77777777" w:rsidR="003F46B9" w:rsidRDefault="0065662E">
      <w:pPr>
        <w:pStyle w:val="P68B1DB1-Normal5"/>
        <w:spacing w:before="120" w:after="120" w:line="240" w:lineRule="auto"/>
        <w:jc w:val="both"/>
        <w:rPr>
          <w:rFonts w:cs="Times New Roman"/>
          <w:noProof/>
        </w:rPr>
      </w:pPr>
      <w:r>
        <w:rPr>
          <w:noProof/>
        </w:rPr>
        <w:t>Analiza posebnih mirovina također se provodi s ciljem utvrđivanja konkretnih rješenja za racionalizaciju posebnih mirovina i ispravljanj</w:t>
      </w:r>
      <w:r>
        <w:rPr>
          <w:noProof/>
        </w:rPr>
        <w:t xml:space="preserve">a nejednakosti između korisnika tih kategorija mirovina i korisnika javnog mirovinskog sustava sa stajališta doprinosnog aspekta, uzimajući u obzir i sudsku praksu Ustavnog suda. </w:t>
      </w:r>
    </w:p>
    <w:p w14:paraId="1900EF39" w14:textId="77777777" w:rsidR="003F46B9" w:rsidRDefault="0065662E">
      <w:pPr>
        <w:pStyle w:val="P68B1DB1-Normal5"/>
        <w:spacing w:before="120" w:after="120" w:line="240" w:lineRule="auto"/>
        <w:jc w:val="both"/>
        <w:rPr>
          <w:rFonts w:cs="Times New Roman"/>
          <w:noProof/>
        </w:rPr>
      </w:pPr>
      <w:r>
        <w:rPr>
          <w:noProof/>
        </w:rPr>
        <w:t>Predviđena je tehnička pomoć (na temelju javnog natječaja) za izradu ex ante</w:t>
      </w:r>
      <w:r>
        <w:rPr>
          <w:noProof/>
        </w:rPr>
        <w:t xml:space="preserve"> analize mirovinske reforme, razradu zakonodavstva reforme te izradu ex post analize i procjene učinka. </w:t>
      </w:r>
    </w:p>
    <w:p w14:paraId="53E61D65" w14:textId="77777777" w:rsidR="003F46B9" w:rsidRDefault="0065662E">
      <w:pPr>
        <w:pStyle w:val="P68B1DB1-Normal5"/>
        <w:spacing w:before="120" w:after="120" w:line="240" w:lineRule="auto"/>
        <w:jc w:val="both"/>
        <w:rPr>
          <w:rFonts w:cs="Times New Roman"/>
          <w:noProof/>
        </w:rPr>
      </w:pPr>
      <w:r>
        <w:rPr>
          <w:noProof/>
        </w:rPr>
        <w:t>Provedba reforme mora biti dovršena do 30. ožujka 2023.</w:t>
      </w:r>
    </w:p>
    <w:p w14:paraId="3E0294AB" w14:textId="77777777" w:rsidR="003F46B9" w:rsidRDefault="0065662E">
      <w:pPr>
        <w:pStyle w:val="P68B1DB1-Normal23"/>
        <w:spacing w:before="120" w:after="120" w:line="240" w:lineRule="auto"/>
        <w:jc w:val="both"/>
        <w:rPr>
          <w:rFonts w:eastAsia="NSimSun" w:cs="Arial"/>
          <w:noProof/>
          <w:kern w:val="3"/>
        </w:rPr>
      </w:pPr>
      <w:r>
        <w:rPr>
          <w:noProof/>
        </w:rPr>
        <w:t>Ulaganje 1. Olakšavanje ispunjavanja obveza poreznih obveznika razvojem digitalnih usluga</w:t>
      </w:r>
    </w:p>
    <w:p w14:paraId="040E29F5" w14:textId="77777777" w:rsidR="003F46B9" w:rsidRDefault="0065662E">
      <w:pPr>
        <w:pStyle w:val="P68B1DB1-Normal5"/>
        <w:spacing w:before="120" w:after="120" w:line="240" w:lineRule="auto"/>
        <w:jc w:val="both"/>
        <w:rPr>
          <w:rFonts w:cs="Times New Roman"/>
          <w:noProof/>
        </w:rPr>
      </w:pPr>
      <w:r>
        <w:rPr>
          <w:noProof/>
        </w:rPr>
        <w:t>Cilje</w:t>
      </w:r>
      <w:r>
        <w:rPr>
          <w:noProof/>
        </w:rPr>
        <w:t>vi su ovog ulaganja sljedeći:</w:t>
      </w:r>
    </w:p>
    <w:p w14:paraId="2E6C5A92" w14:textId="12EFF5EA" w:rsidR="003F46B9" w:rsidRDefault="0065662E">
      <w:pPr>
        <w:pStyle w:val="P68B1DB1-Normal12"/>
        <w:numPr>
          <w:ilvl w:val="0"/>
          <w:numId w:val="2"/>
        </w:numPr>
        <w:spacing w:before="120" w:after="120" w:line="240" w:lineRule="auto"/>
        <w:ind w:left="360"/>
        <w:jc w:val="both"/>
        <w:rPr>
          <w:rFonts w:cs="Times New Roman"/>
          <w:noProof/>
        </w:rPr>
      </w:pPr>
      <w:r>
        <w:rPr>
          <w:noProof/>
        </w:rPr>
        <w:t>smanjenje izravne interakcije s poreznim obveznicima zbog širenja digitalnih usluga i pružanja usluga poreznim obveznicima u prostorijama poreznih jedinica kao prioritet u samoposlužnom sustavu; osiguravanje digitalne uključen</w:t>
      </w:r>
      <w:r>
        <w:rPr>
          <w:noProof/>
        </w:rPr>
        <w:t>osti poreznih obveznika; </w:t>
      </w:r>
    </w:p>
    <w:p w14:paraId="0DDB6038" w14:textId="425C2143" w:rsidR="003F46B9" w:rsidRDefault="0065662E">
      <w:pPr>
        <w:pStyle w:val="P68B1DB1-Normal12"/>
        <w:numPr>
          <w:ilvl w:val="0"/>
          <w:numId w:val="2"/>
        </w:numPr>
        <w:spacing w:before="120" w:after="120" w:line="240" w:lineRule="auto"/>
        <w:ind w:left="360"/>
        <w:jc w:val="both"/>
        <w:rPr>
          <w:rFonts w:cs="Times New Roman"/>
          <w:noProof/>
        </w:rPr>
      </w:pPr>
      <w:r>
        <w:rPr>
          <w:noProof/>
        </w:rPr>
        <w:t>razvoj postojećih daljinskih (elektroničkih ili telefonskih) usluga s pomoću novih funkcija i/ili stvaranje novih usluga; </w:t>
      </w:r>
    </w:p>
    <w:p w14:paraId="3406FB44" w14:textId="67B3EB5C" w:rsidR="003F46B9" w:rsidRDefault="0065662E">
      <w:pPr>
        <w:pStyle w:val="P68B1DB1-Normal12"/>
        <w:numPr>
          <w:ilvl w:val="0"/>
          <w:numId w:val="2"/>
        </w:numPr>
        <w:spacing w:before="120" w:after="120" w:line="240" w:lineRule="auto"/>
        <w:ind w:left="360"/>
        <w:jc w:val="both"/>
        <w:rPr>
          <w:rFonts w:cs="Times New Roman"/>
          <w:noProof/>
        </w:rPr>
      </w:pPr>
      <w:r>
        <w:rPr>
          <w:noProof/>
        </w:rPr>
        <w:t>pojednostavnjenje obrazaca, njihovo elektroničko prenošenje i uvođenje unaprijed ispunjenih obrazaca/ukidan</w:t>
      </w:r>
      <w:r>
        <w:rPr>
          <w:noProof/>
        </w:rPr>
        <w:t>je obveza izvješćivanja, ako je to moguće; </w:t>
      </w:r>
    </w:p>
    <w:p w14:paraId="0AE23F0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poboljšanje komunikacije s poreznim obveznicima i uvođenje savjetodavnog mehanizma o uslugama koje se nude poreznim obveznicima, čime će se omogućiti sudjelovanje određenih kategorija poreznih obveznika od trenut</w:t>
      </w:r>
      <w:r>
        <w:rPr>
          <w:noProof/>
        </w:rPr>
        <w:t>ka stvaranja novih usluga kako bi potrebe, očekivanja, mogućnosti i vještine poreznih obveznika bili poznati iz faze osmišljavanja i osmišljavanja. </w:t>
      </w:r>
    </w:p>
    <w:p w14:paraId="249831BB" w14:textId="77777777" w:rsidR="003F46B9" w:rsidRDefault="0065662E">
      <w:pPr>
        <w:pStyle w:val="P68B1DB1-Normal5"/>
        <w:spacing w:before="120" w:after="120" w:line="240" w:lineRule="auto"/>
        <w:jc w:val="both"/>
        <w:rPr>
          <w:rFonts w:cs="Times New Roman"/>
          <w:noProof/>
        </w:rPr>
      </w:pPr>
      <w:r>
        <w:rPr>
          <w:noProof/>
        </w:rPr>
        <w:t>Ulaganje se sastoji od sljedećih mjera:</w:t>
      </w:r>
    </w:p>
    <w:p w14:paraId="2BE0D21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preoblikovanje i optimizacija informacijskog sustava – VIES_RO </w:t>
      </w:r>
      <w:r>
        <w:rPr>
          <w:noProof/>
        </w:rPr>
        <w:t>(sustav razmjene informacija o porezu na dodanu vrijednost);</w:t>
      </w:r>
    </w:p>
    <w:p w14:paraId="6AE9A03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provedba informacijskog sustava „sve na jednom mjestu” (OSS_RO) u skladu s nacionalnim i posebnim carinskim zahtjevima unutar Zajednice;</w:t>
      </w:r>
    </w:p>
    <w:p w14:paraId="1FB342BB"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razvoj pozivnih centara;</w:t>
      </w:r>
    </w:p>
    <w:p w14:paraId="3B13CBFD"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razvoj postojećih daljinskih (ele</w:t>
      </w:r>
      <w:r>
        <w:rPr>
          <w:noProof/>
        </w:rPr>
        <w:t>ktroničkih ili telefonskih) usluga s pomoću novih funkcija i/ili stvaranje novih usluga;</w:t>
      </w:r>
    </w:p>
    <w:p w14:paraId="01856A67"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uvođenje instrumenata za interakciju s poreznim obveznicima u prostorijama poreznih jedinica;</w:t>
      </w:r>
    </w:p>
    <w:p w14:paraId="764F9B7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provedba niza rješenja za znanje poreznih obveznika/klijenta;</w:t>
      </w:r>
    </w:p>
    <w:p w14:paraId="670B8728"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uspostava </w:t>
      </w:r>
      <w:r>
        <w:rPr>
          <w:noProof/>
        </w:rPr>
        <w:t>internetske dražbovne platforme za vrednovanje nekretnina i mobilne imovine znatne vrijednosti.</w:t>
      </w:r>
    </w:p>
    <w:p w14:paraId="404D02FE" w14:textId="77777777" w:rsidR="003F46B9" w:rsidRDefault="0065662E">
      <w:pPr>
        <w:pStyle w:val="P68B1DB1-Normal5"/>
        <w:pBdr>
          <w:top w:val="nil"/>
          <w:left w:val="nil"/>
          <w:bottom w:val="nil"/>
          <w:right w:val="nil"/>
          <w:between w:val="nil"/>
        </w:pBdr>
        <w:ind w:left="360"/>
        <w:jc w:val="both"/>
        <w:rPr>
          <w:rFonts w:eastAsia="Calibri" w:cs="Times New Roman"/>
          <w:noProof/>
        </w:rPr>
      </w:pPr>
      <w:r>
        <w:rPr>
          <w:noProof/>
        </w:rPr>
        <w:t>Ugovaranje usluga tehničke pomoći predviđeno je za pripremu i dovršetak dokumentacije o nabavi koja se provodi u okviru projekata te za njihovu provedbu.</w:t>
      </w:r>
    </w:p>
    <w:p w14:paraId="65788E9B" w14:textId="77777777" w:rsidR="003F46B9" w:rsidRDefault="0065662E">
      <w:pPr>
        <w:pStyle w:val="P68B1DB1-Normal5"/>
        <w:spacing w:before="120" w:after="120" w:line="240" w:lineRule="auto"/>
        <w:jc w:val="both"/>
        <w:rPr>
          <w:rFonts w:cs="Times New Roman"/>
          <w:noProof/>
        </w:rPr>
      </w:pPr>
      <w:r>
        <w:rPr>
          <w:noProof/>
        </w:rPr>
        <w:t>Proved</w:t>
      </w:r>
      <w:r>
        <w:rPr>
          <w:noProof/>
        </w:rPr>
        <w:t>ba ulaganja mora biti dovršena do 31. prosinca 2024.</w:t>
      </w:r>
    </w:p>
    <w:p w14:paraId="5D03C352" w14:textId="77777777" w:rsidR="003F46B9" w:rsidRDefault="0065662E">
      <w:pPr>
        <w:pStyle w:val="P68B1DB1-Normal23"/>
        <w:spacing w:before="120" w:after="120" w:line="240" w:lineRule="auto"/>
        <w:jc w:val="both"/>
        <w:rPr>
          <w:rFonts w:eastAsia="NSimSun" w:cs="Arial"/>
          <w:noProof/>
          <w:kern w:val="3"/>
        </w:rPr>
      </w:pPr>
      <w:r>
        <w:rPr>
          <w:noProof/>
        </w:rPr>
        <w:t>Ulaganje 2. Poboljšanje postupaka porezne i porezne uprave, među ostalim provedbom integriranog upravljanja rizicima</w:t>
      </w:r>
    </w:p>
    <w:p w14:paraId="74691A05" w14:textId="77777777" w:rsidR="003F46B9" w:rsidRDefault="0065662E">
      <w:pPr>
        <w:pStyle w:val="P68B1DB1-Normal5"/>
        <w:spacing w:before="120" w:after="120" w:line="240" w:lineRule="auto"/>
        <w:jc w:val="both"/>
        <w:rPr>
          <w:rFonts w:cs="Times New Roman"/>
          <w:noProof/>
        </w:rPr>
      </w:pPr>
      <w:r>
        <w:rPr>
          <w:noProof/>
        </w:rPr>
        <w:t>Ciljevi su ovog ulaganja sljedeći:</w:t>
      </w:r>
    </w:p>
    <w:p w14:paraId="7F182DF8"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potpuna operacionalizacija i razvoj integriranog su</w:t>
      </w:r>
      <w:r>
        <w:rPr>
          <w:noProof/>
        </w:rPr>
        <w:t xml:space="preserve">stava upravljanja poreznim rizikom, među ostalim operacionalizacijom centralizirane analize rizika i registra; </w:t>
      </w:r>
    </w:p>
    <w:p w14:paraId="5DA8828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utvrđivanje i smanjenje porezne neusklađenosti i poreznog jaza pametnom upotrebom podataka i informacija za utvrđivanje područja visokog fiskaln</w:t>
      </w:r>
      <w:r>
        <w:rPr>
          <w:noProof/>
        </w:rPr>
        <w:t>og rizika (među ostalim u području neprijavljenog/neprijavljenog rada);</w:t>
      </w:r>
    </w:p>
    <w:p w14:paraId="24A50DA7"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uvođenje dobrovoljnih programa usklađivanja; </w:t>
      </w:r>
    </w:p>
    <w:p w14:paraId="6B097C8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usvajanje pristupa koji se temelji na riziku, uključujući postupanje s mehanizmima porezne optimizacije, u upravljanju velikim poreznim ob</w:t>
      </w:r>
      <w:r>
        <w:rPr>
          <w:noProof/>
        </w:rPr>
        <w:t xml:space="preserve">veznicima; </w:t>
      </w:r>
    </w:p>
    <w:p w14:paraId="65FA73F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jačanje institucijskog kapaciteta struktura porezne kontrole radi sprečavanja nacionalnih i prekograničnih poreznih prijevara i utaje poreza ranim i ciljanim utvrđivanjem velikih poreznih rizika; </w:t>
      </w:r>
    </w:p>
    <w:p w14:paraId="543EFA55"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reorganizacija ljudskih resursa u kontekstu pos</w:t>
      </w:r>
      <w:r>
        <w:rPr>
          <w:noProof/>
        </w:rPr>
        <w:t>tupne digitalizacije poslovnih procesa.</w:t>
      </w:r>
    </w:p>
    <w:p w14:paraId="0F166C8B" w14:textId="77777777" w:rsidR="003F46B9" w:rsidRDefault="0065662E">
      <w:pPr>
        <w:pStyle w:val="P68B1DB1-Normal5"/>
        <w:spacing w:before="120" w:after="120" w:line="240" w:lineRule="auto"/>
        <w:jc w:val="both"/>
        <w:rPr>
          <w:rFonts w:cs="Times New Roman"/>
          <w:noProof/>
        </w:rPr>
      </w:pPr>
      <w:r>
        <w:rPr>
          <w:noProof/>
        </w:rPr>
        <w:t xml:space="preserve">Očekuje se da će ulaganje utjecati na povećanje razine porezne discipline, osiguravanje konkurentnog tržišnog okruženja smanjenjem izbjegavanja plaćanja poreza i utaje poreza te na postizanje planiranih proračunskih </w:t>
      </w:r>
      <w:r>
        <w:rPr>
          <w:noProof/>
        </w:rPr>
        <w:t>prihoda povećanjem učinkovitosti naplate.</w:t>
      </w:r>
    </w:p>
    <w:p w14:paraId="6A4EC5EB" w14:textId="2A62AB2F" w:rsidR="003F46B9" w:rsidRDefault="0065662E">
      <w:pPr>
        <w:pStyle w:val="P68B1DB1-Normal5"/>
        <w:spacing w:before="120" w:after="120" w:line="240" w:lineRule="auto"/>
        <w:jc w:val="both"/>
        <w:rPr>
          <w:rFonts w:cs="Times New Roman"/>
          <w:noProof/>
        </w:rPr>
      </w:pPr>
      <w:r>
        <w:rPr>
          <w:noProof/>
        </w:rPr>
        <w:t>Ulaganje se sastoji od sljedećih mjera:</w:t>
      </w:r>
    </w:p>
    <w:p w14:paraId="6B0BB5C4" w14:textId="264DF2C2" w:rsidR="003F46B9" w:rsidRDefault="0065662E">
      <w:pPr>
        <w:pStyle w:val="P68B1DB1-Normal5"/>
        <w:numPr>
          <w:ilvl w:val="0"/>
          <w:numId w:val="2"/>
        </w:numPr>
        <w:spacing w:before="120" w:after="120" w:line="240" w:lineRule="auto"/>
        <w:ind w:left="360"/>
        <w:jc w:val="both"/>
        <w:rPr>
          <w:rFonts w:cs="Times New Roman"/>
          <w:noProof/>
          <w:bdr w:val="none" w:sz="0" w:space="0" w:color="auto" w:frame="1"/>
        </w:rPr>
      </w:pPr>
      <w:r>
        <w:rPr>
          <w:noProof/>
        </w:rPr>
        <w:t>centralizacija sustava za upravljanje poreznim obveznicima</w:t>
      </w:r>
    </w:p>
    <w:p w14:paraId="3B49018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uvođenje platforme za iskorištavanje podataka i informacija;</w:t>
      </w:r>
    </w:p>
    <w:p w14:paraId="7ACCBCC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uvođenje sustava e-fakturiranja;</w:t>
      </w:r>
    </w:p>
    <w:p w14:paraId="1B743B7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uvođenje </w:t>
      </w:r>
      <w:r>
        <w:rPr>
          <w:noProof/>
        </w:rPr>
        <w:t>elektroničkog sustava fiskalnog označivanja;</w:t>
      </w:r>
    </w:p>
    <w:p w14:paraId="5519742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poboljšanje i širenje platforme koja se upotrebljava za međunarodnu razmjenu informacija;</w:t>
      </w:r>
    </w:p>
    <w:p w14:paraId="4C890F8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centralizacija informacijskog sustava državne riznice (TREZOR).</w:t>
      </w:r>
    </w:p>
    <w:p w14:paraId="412552FC" w14:textId="77777777" w:rsidR="003F46B9" w:rsidRDefault="0065662E">
      <w:pPr>
        <w:pStyle w:val="P68B1DB1-Normal5"/>
        <w:spacing w:before="120" w:after="120" w:line="240" w:lineRule="auto"/>
        <w:jc w:val="both"/>
        <w:rPr>
          <w:rFonts w:cs="Times New Roman"/>
          <w:noProof/>
          <w:u w:val="single"/>
        </w:rPr>
      </w:pPr>
      <w:r>
        <w:rPr>
          <w:noProof/>
        </w:rPr>
        <w:t>Provedba ulaganja mora biti dovršena do 31. prosinca 2025</w:t>
      </w:r>
      <w:r>
        <w:rPr>
          <w:noProof/>
        </w:rPr>
        <w:t>.</w:t>
      </w:r>
    </w:p>
    <w:p w14:paraId="4FED5614" w14:textId="77777777" w:rsidR="003F46B9" w:rsidRDefault="0065662E">
      <w:pPr>
        <w:pStyle w:val="P68B1DB1-Normal23"/>
        <w:spacing w:before="120" w:after="120" w:line="240" w:lineRule="auto"/>
        <w:jc w:val="both"/>
        <w:rPr>
          <w:rFonts w:eastAsia="NSimSun" w:cs="Arial"/>
          <w:noProof/>
          <w:kern w:val="3"/>
        </w:rPr>
      </w:pPr>
      <w:r>
        <w:rPr>
          <w:noProof/>
        </w:rPr>
        <w:t>Ulaganje 3. Osiguravanje kapaciteta za odgovor na trenutačne i buduće izazove informiranja, među ostalim u kontekstu pandemije, putem digitalne transformacije Ministarstva financija/Nacionalne agencije za fiskalnu upravu</w:t>
      </w:r>
    </w:p>
    <w:p w14:paraId="5F0C1082" w14:textId="77777777" w:rsidR="003F46B9" w:rsidRDefault="0065662E">
      <w:pPr>
        <w:pStyle w:val="P68B1DB1-Normal5"/>
        <w:spacing w:before="120" w:after="120" w:line="240" w:lineRule="auto"/>
        <w:jc w:val="both"/>
        <w:rPr>
          <w:rFonts w:cs="Times New Roman"/>
          <w:noProof/>
        </w:rPr>
      </w:pPr>
      <w:r>
        <w:rPr>
          <w:noProof/>
        </w:rPr>
        <w:t>Ciljevi su ovog ulaganja sljedeći</w:t>
      </w:r>
      <w:r>
        <w:rPr>
          <w:noProof/>
        </w:rPr>
        <w:t>:</w:t>
      </w:r>
    </w:p>
    <w:p w14:paraId="6CE243D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uvođenje financijskog centra za prikupljanje, upravljanje i stavljanje na raspolaganje svim dionicima pouzdanih, potvrđenih i aktualnih informacija financijske prirode ili u vezi s javnim novcem; </w:t>
      </w:r>
    </w:p>
    <w:p w14:paraId="3F5239B2"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osiguravanje interoperabilnosti informacijskih sustava na</w:t>
      </w:r>
      <w:r>
        <w:rPr>
          <w:noProof/>
        </w:rPr>
        <w:t xml:space="preserve"> razini Ministarstva financija (MF) i Nacionalne agencije za fiskalnu upravu (ANAF) te s onima drugih institucija;</w:t>
      </w:r>
    </w:p>
    <w:p w14:paraId="507C355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standardizacija zahtjeva i ujednačeno upravljanje podacima;</w:t>
      </w:r>
    </w:p>
    <w:p w14:paraId="4817E02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upravljanje kibersigurnošću i otpornost podataka, uključujući sigurnu razmjenu po</w:t>
      </w:r>
      <w:r>
        <w:rPr>
          <w:noProof/>
        </w:rPr>
        <w:t>dataka u stvarnom vremenu i s točnim/ažuriranim podacima;</w:t>
      </w:r>
    </w:p>
    <w:p w14:paraId="56FE972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modernizacija i prilagodba Nacionalnog centra za financijske informacije (NCFI) novim zahtjevima, unutarnja digitalna transformacija, uključujući dematerijalizaciju internih radnih postupaka na razi</w:t>
      </w:r>
      <w:r>
        <w:rPr>
          <w:noProof/>
        </w:rPr>
        <w:t>ni MF/ANAF-a, osiguravanje fleksibilnosti u satima i radnim mjestima, povećanje razine vještina, uključujući digitalne vještine zaposlenika;</w:t>
      </w:r>
    </w:p>
    <w:p w14:paraId="7FF87C7D"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modernizacija cjelokupnog IT sustava Ministarstva financija/ANAF-a tehnološkom nadogradnjom, koja će se provoditi p</w:t>
      </w:r>
      <w:r>
        <w:rPr>
          <w:noProof/>
        </w:rPr>
        <w:t>reusmjeravanjem hardverske i softverske infrastrukture na nove tehnologije, povećanjem broja informatičke opreme koja se upotrebljava u upravi, povezanom s automatiziranim procesima, te razvojem potrebne popratne infrastrukture za potporu kontinuiranom teh</w:t>
      </w:r>
      <w:r>
        <w:rPr>
          <w:noProof/>
        </w:rPr>
        <w:t>nološkom razvoju na razini podatkovnih centara Ministarstva financija.</w:t>
      </w:r>
    </w:p>
    <w:p w14:paraId="7ACCCDC1" w14:textId="77777777" w:rsidR="003F46B9" w:rsidRDefault="0065662E">
      <w:pPr>
        <w:pStyle w:val="P68B1DB1-Normal5"/>
        <w:spacing w:before="120" w:after="120" w:line="240" w:lineRule="auto"/>
        <w:jc w:val="both"/>
        <w:rPr>
          <w:rFonts w:cs="Times New Roman"/>
          <w:noProof/>
        </w:rPr>
      </w:pPr>
      <w:r>
        <w:rPr>
          <w:noProof/>
        </w:rPr>
        <w:t>Ulaganje se sastoji od sljedećih mjera:</w:t>
      </w:r>
    </w:p>
    <w:p w14:paraId="1DFE592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nadogradnja hardverskog softvera i komunikacijske infrastrukture IT sustava;</w:t>
      </w:r>
    </w:p>
    <w:p w14:paraId="41AFFB2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jačanje kibersigurnosti informatičkog sustava Ministarstva financija</w:t>
      </w:r>
      <w:r>
        <w:rPr>
          <w:noProof/>
        </w:rPr>
        <w:t>;</w:t>
      </w:r>
    </w:p>
    <w:p w14:paraId="1741C40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uvođenje/nadogradnja temeljne fizičke infrastrukture (električna energija, klimatizacija, gašenje uzbunjivanja i požara, fizička sigurnost, administracija i praćenje) u glavnom postojećem podatkovnom centru</w:t>
      </w:r>
    </w:p>
    <w:p w14:paraId="510B273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unutarnja digitalna transformacija, uključujući</w:t>
      </w:r>
      <w:r>
        <w:rPr>
          <w:noProof/>
        </w:rPr>
        <w:t xml:space="preserve"> modernizaciju Nacionalnog centra za financijske informacije (NCFI), među ostalim digitalizacija praćenja projekata javno-privatnog partnerstva/koncesije i upravljanja povezanim poreznim rizicima te državni javni i privatni informacijski sustav za baštinu </w:t>
      </w:r>
      <w:r>
        <w:rPr>
          <w:noProof/>
        </w:rPr>
        <w:t>– Patrim.</w:t>
      </w:r>
    </w:p>
    <w:p w14:paraId="33ECA341"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2023.</w:t>
      </w:r>
    </w:p>
    <w:p w14:paraId="183FBD85" w14:textId="77777777" w:rsidR="003F46B9" w:rsidRDefault="0065662E">
      <w:pPr>
        <w:pStyle w:val="P68B1DB1-Normal16"/>
        <w:spacing w:before="120" w:after="120" w:line="240" w:lineRule="auto"/>
        <w:ind w:left="5760" w:hanging="5760"/>
        <w:jc w:val="both"/>
        <w:rPr>
          <w:rFonts w:cs="Times New Roman"/>
          <w:noProof/>
        </w:rPr>
      </w:pPr>
      <w:r>
        <w:rPr>
          <w:noProof/>
        </w:rPr>
        <w:t xml:space="preserve">Ulaganje 4. Uvođenje elektroničke carine </w:t>
      </w:r>
    </w:p>
    <w:p w14:paraId="6056670A" w14:textId="77777777" w:rsidR="003F46B9" w:rsidRDefault="0065662E">
      <w:pPr>
        <w:pStyle w:val="P68B1DB1-Normal5"/>
        <w:spacing w:before="120" w:after="120" w:line="240" w:lineRule="auto"/>
        <w:jc w:val="both"/>
        <w:rPr>
          <w:rFonts w:cs="Times New Roman"/>
          <w:noProof/>
        </w:rPr>
      </w:pPr>
      <w:r>
        <w:rPr>
          <w:noProof/>
        </w:rPr>
        <w:t>Kako bi modernizirala carinski sustav i uvela elektroničku carinu, vlada ulaže:</w:t>
      </w:r>
    </w:p>
    <w:p w14:paraId="6DBBCEA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 operacionalizaciji carinskog tijela. </w:t>
      </w:r>
    </w:p>
    <w:p w14:paraId="58F4160A"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opremanje graničnih </w:t>
      </w:r>
      <w:r>
        <w:rPr>
          <w:noProof/>
        </w:rPr>
        <w:t>carinskih ureda skenerima.</w:t>
      </w:r>
    </w:p>
    <w:p w14:paraId="26FE662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 softverskoj hardverskoj infrastrukturi za povećanje kapaciteta za obradu i pohranu aplikacija koje je uspostavio GU TAXUD. </w:t>
      </w:r>
    </w:p>
    <w:p w14:paraId="08A1F54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 xml:space="preserve">o nadogradnji i licenciranju virtualizirane infrastrukture i uvođenju platforme za virtualizaciju, uključujući administraciju i automatizaciju. </w:t>
      </w:r>
    </w:p>
    <w:p w14:paraId="484BA27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sigurnosnom rješenju za informatičku infrastrukturu integriranog carinskog informacijskog sustava, uključujuć</w:t>
      </w:r>
      <w:r>
        <w:rPr>
          <w:noProof/>
        </w:rPr>
        <w:t>i usluge podrške, dozvole i pretplate</w:t>
      </w:r>
    </w:p>
    <w:p w14:paraId="18A3E0B5"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dozvolama za baze podataka potrebne za rad sastavnih dijelova integriranog carinskog informacijskog sustava</w:t>
      </w:r>
    </w:p>
    <w:p w14:paraId="61F04BCE"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rješenjima za centralizirano upravljanje korisnicima, radnim stanicama i uslugama ažuriranja operativnih s</w:t>
      </w:r>
      <w:r>
        <w:rPr>
          <w:noProof/>
        </w:rPr>
        <w:t>ustava za integrirani carinski informacijski sustav</w:t>
      </w:r>
    </w:p>
    <w:p w14:paraId="5A9905AF" w14:textId="2912D362" w:rsidR="003F46B9" w:rsidRDefault="0065662E">
      <w:pPr>
        <w:pStyle w:val="P68B1DB1-Normal12"/>
        <w:numPr>
          <w:ilvl w:val="0"/>
          <w:numId w:val="2"/>
        </w:numPr>
        <w:spacing w:before="120" w:after="120" w:line="240" w:lineRule="auto"/>
        <w:ind w:left="360"/>
        <w:jc w:val="both"/>
        <w:rPr>
          <w:rFonts w:cs="Times New Roman"/>
          <w:noProof/>
        </w:rPr>
      </w:pPr>
      <w:r>
        <w:rPr>
          <w:noProof/>
        </w:rPr>
        <w:t>o uvođenju informatičkog sustava za carinsku deklaraciju sa smanjenim skupom podataka za pošiljke male vrijednosti nakon stupanja na snagu 1. srpnja 2021. novih zakonodavnih odredbi kojima se provodi „pak</w:t>
      </w:r>
      <w:r>
        <w:rPr>
          <w:noProof/>
        </w:rPr>
        <w:t xml:space="preserve">et o PDV-u u e-trgovini” u cilju olakšavanja prekogranične trgovine i borbe protiv prijevara u vezi s PDV-om. </w:t>
      </w:r>
    </w:p>
    <w:p w14:paraId="3B7C015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sustavu ICS2 – faze 1., 2. i 3.</w:t>
      </w:r>
    </w:p>
    <w:p w14:paraId="1F4C164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provedbi 5. faze NCTS_RO i AES_RO</w:t>
      </w:r>
    </w:p>
    <w:p w14:paraId="44FECFE5"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usklađivanju sustava EMCS_RO s četvrtom fazom EMCS-a</w:t>
      </w:r>
    </w:p>
    <w:p w14:paraId="7E7A6FE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modernizaciji naci</w:t>
      </w:r>
      <w:r>
        <w:rPr>
          <w:noProof/>
        </w:rPr>
        <w:t>onalnog sustava uvoza u okviru Carinskog zakonika Unije</w:t>
      </w:r>
    </w:p>
    <w:p w14:paraId="3F092519"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jedinstvenom upravljanju korisnicima i digitalnom potpisu UUM &amp; DS</w:t>
      </w:r>
    </w:p>
    <w:p w14:paraId="5CE11216"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sustavu za praćenje carinskog nadzora i kontrole</w:t>
      </w:r>
    </w:p>
    <w:p w14:paraId="417FC64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zahtjevu za odobrenje i upravljanje aktivnostima u slobodnoj zoni</w:t>
      </w:r>
    </w:p>
    <w:p w14:paraId="5DE7A94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o zahtjevu z</w:t>
      </w:r>
      <w:r>
        <w:rPr>
          <w:noProof/>
        </w:rPr>
        <w:t>a upravljanje nacionalnim odlukama (odobrenja)</w:t>
      </w:r>
    </w:p>
    <w:p w14:paraId="1B54F350"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25070F98" w14:textId="77777777" w:rsidR="003F46B9" w:rsidRDefault="0065662E">
      <w:pPr>
        <w:pStyle w:val="P68B1DB1-Normal16"/>
        <w:spacing w:before="120" w:after="120" w:line="240" w:lineRule="auto"/>
        <w:jc w:val="both"/>
        <w:rPr>
          <w:rFonts w:cs="Times New Roman"/>
          <w:noProof/>
        </w:rPr>
      </w:pPr>
      <w:r>
        <w:rPr>
          <w:noProof/>
        </w:rPr>
        <w:t>Ulaganje 5. Poboljšanje mehanizma proračunskog programiranja</w:t>
      </w:r>
    </w:p>
    <w:p w14:paraId="1AEDF14B" w14:textId="77777777" w:rsidR="003F46B9" w:rsidRDefault="0065662E">
      <w:pPr>
        <w:pStyle w:val="P68B1DB1-Normal5"/>
        <w:spacing w:before="120" w:after="120" w:line="240" w:lineRule="auto"/>
        <w:jc w:val="both"/>
        <w:rPr>
          <w:rFonts w:cs="Times New Roman"/>
          <w:noProof/>
        </w:rPr>
      </w:pPr>
      <w:r>
        <w:rPr>
          <w:noProof/>
        </w:rPr>
        <w:t>Cilj je tog ulaganja evaluirati, ažurirati i modernizirati IT sustav (BUGET_NG) za razvoj</w:t>
      </w:r>
      <w:r>
        <w:rPr>
          <w:noProof/>
        </w:rPr>
        <w:t xml:space="preserve"> i upravljanje nacionalnim proračunom opsežnom upotrebom podataka i informacija koji najbolje odražavaju proračunske rashode. Ulaganjem se skraćuje vrijeme potrebno za izradu izvješća i optimizira format u kojem se izvješća izrađuju. Time se također poveća</w:t>
      </w:r>
      <w:r>
        <w:rPr>
          <w:noProof/>
        </w:rPr>
        <w:t>va transparentnost proračunskog postupka objavljivanjem analiza i izvješća kojima se pojednostavnjuje postupak potrošnje za određene programe. Ulaganjem se također poboljšava sustav za praćenje proračunskih programa i izvješćivanje o njima.</w:t>
      </w:r>
    </w:p>
    <w:p w14:paraId="354E9121" w14:textId="77777777" w:rsidR="003F46B9" w:rsidRDefault="0065662E">
      <w:pPr>
        <w:pStyle w:val="P68B1DB1-Normal5"/>
        <w:spacing w:before="120" w:after="120" w:line="240" w:lineRule="auto"/>
        <w:jc w:val="both"/>
        <w:rPr>
          <w:rFonts w:cs="Times New Roman"/>
          <w:noProof/>
          <w:u w:val="single"/>
        </w:rPr>
      </w:pPr>
      <w:r>
        <w:rPr>
          <w:noProof/>
        </w:rPr>
        <w:t>Provedba ulagan</w:t>
      </w:r>
      <w:r>
        <w:rPr>
          <w:noProof/>
        </w:rPr>
        <w:t>ja mora biti dovršena do 31. prosinca 2023.</w:t>
      </w:r>
    </w:p>
    <w:p w14:paraId="22227263" w14:textId="77777777" w:rsidR="003F46B9" w:rsidRDefault="0065662E">
      <w:pPr>
        <w:pStyle w:val="P68B1DB1-Normal16"/>
        <w:spacing w:before="120" w:after="120" w:line="240" w:lineRule="auto"/>
        <w:jc w:val="both"/>
        <w:rPr>
          <w:rFonts w:cs="Times New Roman"/>
          <w:noProof/>
        </w:rPr>
      </w:pPr>
      <w:r>
        <w:rPr>
          <w:noProof/>
        </w:rPr>
        <w:t>Ulaganje 6. Instrument gospodarskog modeliranja (Alat za simulaciju opcija mirovinske reforme) za poboljšanje institucijskog kapaciteta za predviđanje rashoda za mirovine</w:t>
      </w:r>
    </w:p>
    <w:p w14:paraId="1E8AF9D0" w14:textId="77777777" w:rsidR="003F46B9" w:rsidRDefault="0065662E">
      <w:pPr>
        <w:pStyle w:val="P68B1DB1-Normal5"/>
        <w:spacing w:before="120" w:after="120" w:line="240" w:lineRule="auto"/>
        <w:jc w:val="both"/>
        <w:rPr>
          <w:rFonts w:cs="Times New Roman"/>
          <w:noProof/>
        </w:rPr>
      </w:pPr>
      <w:r>
        <w:rPr>
          <w:noProof/>
        </w:rPr>
        <w:t xml:space="preserve">Cilj je tog ulaganja razviti sposobnost </w:t>
      </w:r>
      <w:r>
        <w:rPr>
          <w:noProof/>
        </w:rPr>
        <w:t>procjene učinka strukturnih reformi mirovinskog sustava u srednjoročnom i dugoročnom razdoblju znatnim poboljšanjem projekcija i analizom održivosti mirovinskog sustava. Konkretno, cilj je tog ulaganja optimizirati funkcioniranje modela, razvoj i poboljšan</w:t>
      </w:r>
      <w:r>
        <w:rPr>
          <w:noProof/>
        </w:rPr>
        <w:t>je kapaciteta za njegovu upotrebu te analizirati postignute rezultate i pripremiti informacije koje se dostavljaju Europskoj komisiji. Za provedbu ove mjere Ministarstvo financija mora proširiti svoj tim koristeći se modelom s 1 na 8 stručnjaka (već postoj</w:t>
      </w:r>
      <w:r>
        <w:rPr>
          <w:noProof/>
        </w:rPr>
        <w:t>ećeg osoblja) i tehničkom pomoći za ažuriranje/razvoj modela, osposobljavanje osoblja o upotrebi alata i poboljšanju prijenosa informacija Europskoj komisiji i Eurostatu.</w:t>
      </w:r>
    </w:p>
    <w:p w14:paraId="549E5CBB" w14:textId="77777777" w:rsidR="003F46B9" w:rsidRDefault="0065662E">
      <w:pPr>
        <w:pStyle w:val="P68B1DB1-Normal5"/>
        <w:spacing w:before="120" w:after="120" w:line="240" w:lineRule="auto"/>
        <w:jc w:val="both"/>
        <w:rPr>
          <w:rFonts w:cs="Times New Roman"/>
          <w:noProof/>
        </w:rPr>
      </w:pPr>
      <w:r>
        <w:rPr>
          <w:noProof/>
        </w:rPr>
        <w:t>Ulaganje uključuje tehničku pomoć Svjetske banke za:</w:t>
      </w:r>
    </w:p>
    <w:p w14:paraId="5A58464D"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ažurirati/razviti model skupa al</w:t>
      </w:r>
      <w:r>
        <w:rPr>
          <w:noProof/>
        </w:rPr>
        <w:t>ata za simulaciju opcija mirovinske reforme u skladu sa značajkama rumunjskog mirovinskog sustava.</w:t>
      </w:r>
    </w:p>
    <w:p w14:paraId="078DE60C"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prilagoditi model kako bi se dobili rezultati kompatibilni s izvješćem o starenju emisijskih jedinica i izračunom odgovornosti za obračunsku obvezu (ADL) koj</w:t>
      </w:r>
      <w:r>
        <w:rPr>
          <w:noProof/>
        </w:rPr>
        <w:t>u redovito zahtijeva Europska komisija.</w:t>
      </w:r>
    </w:p>
    <w:p w14:paraId="69BF0750"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Pohađati tečajeve/radionice</w:t>
      </w:r>
    </w:p>
    <w:p w14:paraId="608887AA"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Realizacija/tumačenje ex ante učinka reformi mirovinskog sustava</w:t>
      </w:r>
    </w:p>
    <w:p w14:paraId="70C96B68"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Izrada analitičkih izvješća, uključujući prijedloge za poboljšanje održivosti mirovinskog sustava.</w:t>
      </w:r>
    </w:p>
    <w:p w14:paraId="7A2A6F23" w14:textId="77777777" w:rsidR="003F46B9" w:rsidRDefault="0065662E">
      <w:pPr>
        <w:pStyle w:val="P68B1DB1-Normal5"/>
        <w:spacing w:before="120" w:after="120" w:line="240" w:lineRule="auto"/>
        <w:jc w:val="both"/>
        <w:rPr>
          <w:rFonts w:cs="Times New Roman"/>
          <w:noProof/>
        </w:rPr>
      </w:pPr>
      <w:r>
        <w:rPr>
          <w:noProof/>
        </w:rPr>
        <w:t>Provedba ulaganja mora b</w:t>
      </w:r>
      <w:r>
        <w:rPr>
          <w:noProof/>
        </w:rPr>
        <w:t>iti dovršena do 31. prosinca 2023.</w:t>
      </w:r>
    </w:p>
    <w:p w14:paraId="48F68361" w14:textId="77777777" w:rsidR="003F46B9" w:rsidRDefault="0065662E">
      <w:pPr>
        <w:pStyle w:val="P68B1DB1-Normal16"/>
        <w:spacing w:before="120" w:after="120" w:line="240" w:lineRule="auto"/>
        <w:jc w:val="both"/>
        <w:rPr>
          <w:rFonts w:cs="Times New Roman"/>
          <w:noProof/>
        </w:rPr>
      </w:pPr>
      <w:r>
        <w:rPr>
          <w:noProof/>
        </w:rPr>
        <w:t xml:space="preserve">Ulaganje 7. Tehnička potpora reviziji poreznog okvira </w:t>
      </w:r>
    </w:p>
    <w:p w14:paraId="341B0F35" w14:textId="77777777" w:rsidR="003F46B9" w:rsidRDefault="0065662E">
      <w:pPr>
        <w:pStyle w:val="P68B1DB1-Normal5"/>
        <w:spacing w:before="120" w:after="120" w:line="240" w:lineRule="auto"/>
        <w:jc w:val="both"/>
        <w:rPr>
          <w:rFonts w:cs="Times New Roman"/>
          <w:noProof/>
        </w:rPr>
      </w:pPr>
      <w:r>
        <w:rPr>
          <w:noProof/>
        </w:rPr>
        <w:t>Jedan od ciljeva revizije načela poreza na nekretnine jest automatsko vrednovanje nekretnina koje podliježu lokalnom porezu u porezne svrhe. Ta se mjera provodi uz po</w:t>
      </w:r>
      <w:r>
        <w:rPr>
          <w:noProof/>
        </w:rPr>
        <w:t>tporu konzultantske službe (tehnička pomoć potrebna za razradu opisa poslova konzultanta koji razvija informatički alat) stvaranjem informatičkog sustava za automatizaciju vrednovanja nepokretne imovine u svrhu utvrđivanja porezne osnovice s pomoću informa</w:t>
      </w:r>
      <w:r>
        <w:rPr>
          <w:noProof/>
        </w:rPr>
        <w:t>cija dostupnih u sustavima drugih institucija (npr. Agencija za zemljišne knjige i zemljišne knjige, lokalna tijela) i javnih informacija (npr. obavijesti o nekretninama, katalozi kojima se koriste stručnjaci za procjenu vrijednosti, statistički podaci).</w:t>
      </w:r>
    </w:p>
    <w:p w14:paraId="0D233E79" w14:textId="77777777" w:rsidR="003F46B9" w:rsidRDefault="0065662E">
      <w:pPr>
        <w:pStyle w:val="P68B1DB1-Normal5"/>
        <w:spacing w:before="120" w:after="120" w:line="240" w:lineRule="auto"/>
        <w:jc w:val="both"/>
        <w:rPr>
          <w:rFonts w:cs="Times New Roman"/>
          <w:noProof/>
          <w:u w:val="single"/>
        </w:rPr>
      </w:pPr>
      <w:r>
        <w:rPr>
          <w:noProof/>
        </w:rPr>
        <w:t>P</w:t>
      </w:r>
      <w:r>
        <w:rPr>
          <w:noProof/>
        </w:rPr>
        <w:t>rovedba ulaganja mora biti dovršena do 31. prosinca 2025.</w:t>
      </w:r>
    </w:p>
    <w:p w14:paraId="1C204FBF" w14:textId="77777777" w:rsidR="003F46B9" w:rsidRDefault="0065662E">
      <w:pPr>
        <w:pStyle w:val="P68B1DB1-Normal16"/>
        <w:spacing w:before="120" w:after="120" w:line="240" w:lineRule="auto"/>
        <w:jc w:val="both"/>
        <w:rPr>
          <w:rFonts w:cs="Times New Roman"/>
          <w:noProof/>
        </w:rPr>
      </w:pPr>
      <w:r>
        <w:rPr>
          <w:noProof/>
        </w:rPr>
        <w:t>Ulaganje 8. Operacionalizacija Nacionalne razvojne banke</w:t>
      </w:r>
    </w:p>
    <w:p w14:paraId="1EA0172C" w14:textId="77777777" w:rsidR="003F46B9" w:rsidRDefault="0065662E">
      <w:pPr>
        <w:pStyle w:val="P68B1DB1-Normal5"/>
        <w:spacing w:before="120" w:after="120" w:line="240" w:lineRule="auto"/>
        <w:jc w:val="both"/>
        <w:rPr>
          <w:rFonts w:cs="Times New Roman"/>
          <w:noProof/>
        </w:rPr>
      </w:pPr>
      <w:r>
        <w:rPr>
          <w:noProof/>
        </w:rPr>
        <w:t>Kako bi se ostvarili ciljevi povezane reforme, potrebna su ulaganja u kupnju softvera (dozvola) i hardvera (prijenosna računala), informatičk</w:t>
      </w:r>
      <w:r>
        <w:rPr>
          <w:noProof/>
        </w:rPr>
        <w:t>e usluge za osoblje koje je prvotno procijenjeno na 165 osoba, osposobljavanje osoblja Nacionalne razvojne banke za provedbu operacija i osoblja Ministarstva financija uključenog u procjenu aktivnosti i uspješnosti banke.</w:t>
      </w:r>
    </w:p>
    <w:p w14:paraId="7EA5C314" w14:textId="77777777" w:rsidR="003F46B9" w:rsidRDefault="0065662E">
      <w:pPr>
        <w:pStyle w:val="P68B1DB1-Normal5"/>
        <w:spacing w:before="120" w:after="120" w:line="240" w:lineRule="auto"/>
        <w:jc w:val="both"/>
        <w:rPr>
          <w:rFonts w:cs="Times New Roman"/>
          <w:noProof/>
        </w:rPr>
      </w:pPr>
      <w:r>
        <w:rPr>
          <w:noProof/>
        </w:rPr>
        <w:t>Osposobljavanje osoblja Nacionalne</w:t>
      </w:r>
      <w:r>
        <w:rPr>
          <w:noProof/>
        </w:rPr>
        <w:t xml:space="preserve"> razvojne banke ima za cilj poboljšanje znanja, stručnih vještina i izgradnju tehničkih kompetencija osoblja za provedbu triju novih financijskih proizvoda iz sljedećih kategorija: dug, jamstvo i vlasnički kapital. Konzultant predlaže strukturu/oblikovanje</w:t>
      </w:r>
      <w:r>
        <w:rPr>
          <w:noProof/>
        </w:rPr>
        <w:t xml:space="preserve"> proizvoda, nacrte sporazuma/ugovora s korisnicima, utvrđuje ciljane korisnike, distribucijske kanale, postupak, politike, komunikacijski plan i smjernice za nove proizvode. Osoblje ministarstva mora biti osposobljeno za razvoj potrebnih vještina za analiz</w:t>
      </w:r>
      <w:r>
        <w:rPr>
          <w:noProof/>
        </w:rPr>
        <w:t>u, praćenje i ocjenjivanje uspješnosti razvojne banke.</w:t>
      </w:r>
    </w:p>
    <w:p w14:paraId="3839DD23"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31. prosinca 2024. </w:t>
      </w:r>
    </w:p>
    <w:p w14:paraId="1EE55FC2" w14:textId="77777777" w:rsidR="003F46B9" w:rsidRDefault="0065662E">
      <w:pPr>
        <w:pStyle w:val="P68B1DB1-Normal16"/>
        <w:spacing w:before="120" w:after="120" w:line="240" w:lineRule="auto"/>
        <w:jc w:val="both"/>
        <w:rPr>
          <w:rFonts w:cs="Times New Roman"/>
          <w:noProof/>
        </w:rPr>
      </w:pPr>
      <w:r>
        <w:rPr>
          <w:noProof/>
        </w:rPr>
        <w:t>Ulaganje 9. Potpora postupku procjene mirovinskih dosjea</w:t>
      </w:r>
    </w:p>
    <w:p w14:paraId="6097595C" w14:textId="77777777" w:rsidR="003F46B9" w:rsidRDefault="0065662E">
      <w:pPr>
        <w:pStyle w:val="P68B1DB1-Normal5"/>
        <w:spacing w:before="120" w:after="120" w:line="240" w:lineRule="auto"/>
        <w:jc w:val="both"/>
        <w:rPr>
          <w:rFonts w:cs="Times New Roman"/>
          <w:noProof/>
        </w:rPr>
      </w:pPr>
      <w:r>
        <w:rPr>
          <w:noProof/>
        </w:rPr>
        <w:t>Cilj je tog ulaganja poduprijeti digitalizaciju oko 5 milijuna mirovinskih dosjea ko</w:t>
      </w:r>
      <w:r>
        <w:rPr>
          <w:noProof/>
        </w:rPr>
        <w:t>ji se trenutačno nalaze u različitim arhivima i formatima u jedinstvenoj bazi podataka. Digitalni dosjei upotrebljavaju se za procjenu postojećih mirovinskih dosjea i za razmatranje ponovnog izračuna nekih mirovina na temelju novog zakonodavstva. Nova baza</w:t>
      </w:r>
      <w:r>
        <w:rPr>
          <w:noProof/>
        </w:rPr>
        <w:t xml:space="preserve"> podataka upotrebljava se i za pružanje digitalnih usluga građanima, poduzećima i državnim institucijama te za procjenu relevantnih politika.</w:t>
      </w:r>
    </w:p>
    <w:p w14:paraId="294C0DFE" w14:textId="77777777" w:rsidR="003F46B9" w:rsidRDefault="0065662E">
      <w:pPr>
        <w:pStyle w:val="P68B1DB1-Normal5"/>
        <w:spacing w:before="120" w:after="120" w:line="240" w:lineRule="auto"/>
        <w:jc w:val="both"/>
        <w:rPr>
          <w:rFonts w:cs="Times New Roman"/>
          <w:noProof/>
        </w:rPr>
      </w:pPr>
      <w:r>
        <w:rPr>
          <w:noProof/>
        </w:rPr>
        <w:t>Ulaganje se podupire nabavom informatičke i neIT opreme te zapošljavanjem privremenog osoblja na razdoblje od najv</w:t>
      </w:r>
      <w:r>
        <w:rPr>
          <w:noProof/>
        </w:rPr>
        <w:t>iše 18 mjeseci za rad na prikupljanju i obradi podataka.</w:t>
      </w:r>
    </w:p>
    <w:p w14:paraId="65C18E81" w14:textId="77777777" w:rsidR="003F46B9" w:rsidRDefault="0065662E">
      <w:pPr>
        <w:pStyle w:val="P68B1DB1-Normal5"/>
        <w:spacing w:before="120" w:after="120" w:line="240" w:lineRule="auto"/>
        <w:jc w:val="both"/>
        <w:rPr>
          <w:rFonts w:cs="Times New Roman"/>
          <w:noProof/>
          <w:u w:val="single"/>
        </w:rPr>
      </w:pPr>
      <w:r>
        <w:rPr>
          <w:noProof/>
        </w:rPr>
        <w:t>Provedba ulaganja mora biti dovršena do 31. prosinca 2023.</w:t>
      </w:r>
    </w:p>
    <w:p w14:paraId="4D84E4C5" w14:textId="77777777" w:rsidR="003F46B9" w:rsidRDefault="0065662E">
      <w:pPr>
        <w:pStyle w:val="P68B1DB1-Normal16"/>
        <w:spacing w:before="120" w:after="120" w:line="240" w:lineRule="auto"/>
        <w:jc w:val="both"/>
        <w:rPr>
          <w:rFonts w:cs="Times New Roman"/>
          <w:noProof/>
        </w:rPr>
      </w:pPr>
      <w:r>
        <w:rPr>
          <w:noProof/>
        </w:rPr>
        <w:t>Ulaganje 10. Operativna učinkovitost i napredne e-usluge putem digitalizacije mirovinskog sustava</w:t>
      </w:r>
    </w:p>
    <w:p w14:paraId="7E4947B5" w14:textId="77777777" w:rsidR="003F46B9" w:rsidRDefault="0065662E">
      <w:pPr>
        <w:pStyle w:val="P68B1DB1-Normal5"/>
        <w:spacing w:before="120" w:after="120" w:line="240" w:lineRule="auto"/>
        <w:jc w:val="both"/>
        <w:rPr>
          <w:rFonts w:cs="Times New Roman"/>
          <w:noProof/>
        </w:rPr>
      </w:pPr>
      <w:r>
        <w:rPr>
          <w:noProof/>
        </w:rPr>
        <w:t>Cilj je ulaganja uspostaviti i nadograditi</w:t>
      </w:r>
      <w:r>
        <w:rPr>
          <w:noProof/>
        </w:rPr>
        <w:t xml:space="preserve"> elektroničke sustave i platforme Nacionalne kuće za javne mirovine (CNPP), nacionalne javne agencije za mirovinsko osiguranje. Ti sustavi omogućuju unutarnju digitalizaciju nadležnog tijela i pružanje personaliziranih javnih usluga vanjskim akterima (građ</w:t>
      </w:r>
      <w:r>
        <w:rPr>
          <w:noProof/>
        </w:rPr>
        <w:t>anima, institucijama, vladi) na temelju digitalnog identiteta i pristupa na daljinu. Sustav podupire i donošenje odluka vlade provedbom složenih sustava i rješenja za analizu povijesnih podataka te osigurava interoperabilnost i kibersigurnost. Tim će se ul</w:t>
      </w:r>
      <w:r>
        <w:rPr>
          <w:noProof/>
        </w:rPr>
        <w:t>aganjem omogućiti i unapređenje digitalnih vještina osoblja CNPP-a.</w:t>
      </w:r>
    </w:p>
    <w:p w14:paraId="5C50EB68" w14:textId="77777777" w:rsidR="003F46B9" w:rsidRDefault="0065662E">
      <w:pPr>
        <w:pStyle w:val="P68B1DB1-Normal5"/>
        <w:spacing w:before="120" w:after="120" w:line="240" w:lineRule="auto"/>
        <w:jc w:val="both"/>
        <w:rPr>
          <w:rFonts w:cs="Times New Roman"/>
          <w:noProof/>
        </w:rPr>
      </w:pPr>
      <w:r>
        <w:rPr>
          <w:noProof/>
        </w:rPr>
        <w:t>Ulaganje se provodi provođenjem postupaka javne nabave za ugovaranje usluga ponovnog pisanja i ponovnog licenciranja sustava Obzor, Diafix i Domino kako bi se poduprle zakonodavne reforme,</w:t>
      </w:r>
      <w:r>
        <w:rPr>
          <w:noProof/>
        </w:rPr>
        <w:t xml:space="preserve"> pružanje hardverske infrastrukture klijenata (PC-ovi, multifunkcionalna mreža), komunikacijske i sigurnosne komponente na teritorijalnim mirovinskim fondovima (CTP) i na središnjoj razini, razvoj virtualnih privatnih prostora CNPP-a za svakog građanina.</w:t>
      </w:r>
    </w:p>
    <w:p w14:paraId="2763C9FA" w14:textId="77777777" w:rsidR="003F46B9" w:rsidRDefault="0065662E">
      <w:pPr>
        <w:pStyle w:val="P68B1DB1-Normal5"/>
        <w:spacing w:before="120" w:after="120" w:line="240" w:lineRule="auto"/>
        <w:jc w:val="both"/>
        <w:rPr>
          <w:rFonts w:cs="Times New Roman"/>
          <w:noProof/>
        </w:rPr>
      </w:pPr>
      <w:r>
        <w:rPr>
          <w:noProof/>
        </w:rPr>
        <w:t>K</w:t>
      </w:r>
      <w:r>
        <w:rPr>
          <w:noProof/>
        </w:rPr>
        <w:t>ako bi se osigurala interoperabilnost, ulaganja uključuju razvoj modernih i sigurnih mehanizama za međusobno povezivanje IT sustava s pomoću tehnologija registara, interoperabilnog centra i arhitekture za razmjenu podataka koja se temelji na uslugama.</w:t>
      </w:r>
    </w:p>
    <w:p w14:paraId="3A484374"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2024.</w:t>
      </w:r>
    </w:p>
    <w:p w14:paraId="0150857F"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186"/>
          <w:headerReference w:type="default" r:id="rId187"/>
          <w:footerReference w:type="even" r:id="rId188"/>
          <w:footerReference w:type="default" r:id="rId189"/>
          <w:headerReference w:type="first" r:id="rId190"/>
          <w:footerReference w:type="first" r:id="rId191"/>
          <w:pgSz w:w="11906" w:h="16838"/>
          <w:pgMar w:top="1440" w:right="1440" w:bottom="1440" w:left="1440" w:header="708" w:footer="708" w:gutter="0"/>
          <w:cols w:space="708"/>
          <w:docGrid w:linePitch="360"/>
        </w:sectPr>
      </w:pPr>
    </w:p>
    <w:p w14:paraId="091E1023"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H.2. </w:t>
      </w:r>
      <w:r>
        <w:rPr>
          <w:noProof/>
        </w:rPr>
        <w:tab/>
      </w:r>
      <w:r>
        <w:rPr>
          <w:rFonts w:ascii="Times New Roman" w:hAnsi="Times New Roman"/>
          <w:b/>
          <w:noProof/>
          <w:sz w:val="24"/>
        </w:rPr>
        <w:t>Ključne etape, ciljne vrijednosti i vremenski raspored za praćenje i provedbu programa bespovratne financijske potpore</w:t>
      </w:r>
    </w:p>
    <w:tbl>
      <w:tblPr>
        <w:tblW w:w="15730" w:type="dxa"/>
        <w:jc w:val="center"/>
        <w:tblLayout w:type="fixed"/>
        <w:tblLook w:val="04A0" w:firstRow="1" w:lastRow="0" w:firstColumn="1" w:lastColumn="0" w:noHBand="0" w:noVBand="1"/>
      </w:tblPr>
      <w:tblGrid>
        <w:gridCol w:w="842"/>
        <w:gridCol w:w="1833"/>
        <w:gridCol w:w="1268"/>
        <w:gridCol w:w="1541"/>
        <w:gridCol w:w="11"/>
        <w:gridCol w:w="1635"/>
        <w:gridCol w:w="1127"/>
        <w:gridCol w:w="1129"/>
        <w:gridCol w:w="1269"/>
        <w:gridCol w:w="1128"/>
        <w:gridCol w:w="846"/>
        <w:gridCol w:w="3101"/>
      </w:tblGrid>
      <w:tr w:rsidR="003F46B9" w14:paraId="0882CF0C" w14:textId="77777777">
        <w:trPr>
          <w:trHeight w:val="567"/>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DCEA1"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CCD981"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C1184E"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CE5E80" w14:textId="77777777" w:rsidR="003F46B9" w:rsidRDefault="0065662E">
            <w:pPr>
              <w:pStyle w:val="P68B1DB1-Normal1"/>
              <w:spacing w:after="0" w:line="240" w:lineRule="auto"/>
              <w:jc w:val="center"/>
              <w:rPr>
                <w:rFonts w:eastAsia="Times New Roman" w:cs="Times New Roman"/>
                <w:noProof/>
              </w:rPr>
            </w:pPr>
            <w:r>
              <w:rPr>
                <w:noProof/>
              </w:rPr>
              <w:t>Ime</w:t>
            </w:r>
          </w:p>
        </w:tc>
        <w:tc>
          <w:tcPr>
            <w:tcW w:w="1623" w:type="dxa"/>
            <w:gridSpan w:val="2"/>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0C1923" w14:textId="1874253B"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49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42D15E0" w14:textId="3576437C"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00AD1B21"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dovršetak</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F67212"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75311B0" w14:textId="77777777">
        <w:trPr>
          <w:trHeight w:val="567"/>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1D4DA84F" w14:textId="77777777" w:rsidR="003F46B9" w:rsidRDefault="003F46B9">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hideMark/>
          </w:tcPr>
          <w:p w14:paraId="473EAF96" w14:textId="77777777" w:rsidR="003F46B9" w:rsidRDefault="003F46B9">
            <w:pPr>
              <w:spacing w:after="0" w:line="240" w:lineRule="auto"/>
              <w:jc w:val="both"/>
              <w:rPr>
                <w:rFonts w:ascii="Times New Roman" w:eastAsia="Times New Roman" w:hAnsi="Times New Roman" w:cs="Times New Roman"/>
                <w:b/>
                <w:noProof/>
                <w:sz w:val="24"/>
              </w:rPr>
            </w:pPr>
          </w:p>
        </w:tc>
        <w:tc>
          <w:tcPr>
            <w:tcW w:w="1275" w:type="dxa"/>
            <w:vMerge/>
            <w:tcBorders>
              <w:top w:val="single" w:sz="4" w:space="0" w:color="auto"/>
              <w:left w:val="single" w:sz="4" w:space="0" w:color="auto"/>
              <w:bottom w:val="single" w:sz="4" w:space="0" w:color="auto"/>
              <w:right w:val="single" w:sz="4" w:space="0" w:color="auto"/>
            </w:tcBorders>
            <w:hideMark/>
          </w:tcPr>
          <w:p w14:paraId="4AE2D742" w14:textId="77777777" w:rsidR="003F46B9" w:rsidRDefault="003F46B9">
            <w:pPr>
              <w:spacing w:after="0" w:line="240" w:lineRule="auto"/>
              <w:jc w:val="center"/>
              <w:rPr>
                <w:rFonts w:ascii="Times New Roman" w:eastAsia="Times New Roman" w:hAnsi="Times New Roman" w:cs="Times New Roman"/>
                <w:b/>
                <w:noProof/>
                <w:sz w:val="24"/>
              </w:rPr>
            </w:pPr>
          </w:p>
        </w:tc>
        <w:tc>
          <w:tcPr>
            <w:tcW w:w="1549" w:type="dxa"/>
            <w:vMerge/>
            <w:tcBorders>
              <w:top w:val="single" w:sz="4" w:space="0" w:color="auto"/>
              <w:left w:val="single" w:sz="4" w:space="0" w:color="auto"/>
              <w:bottom w:val="single" w:sz="4" w:space="0" w:color="auto"/>
              <w:right w:val="single" w:sz="4" w:space="0" w:color="auto"/>
            </w:tcBorders>
            <w:hideMark/>
          </w:tcPr>
          <w:p w14:paraId="7B68E553" w14:textId="77777777" w:rsidR="003F46B9" w:rsidRDefault="003F46B9">
            <w:pPr>
              <w:spacing w:after="0" w:line="240" w:lineRule="auto"/>
              <w:jc w:val="both"/>
              <w:rPr>
                <w:rFonts w:ascii="Times New Roman" w:eastAsia="Times New Roman" w:hAnsi="Times New Roman" w:cs="Times New Roman"/>
                <w:b/>
                <w:noProof/>
                <w:sz w:val="24"/>
              </w:rPr>
            </w:pPr>
          </w:p>
        </w:tc>
        <w:tc>
          <w:tcPr>
            <w:tcW w:w="1623" w:type="dxa"/>
            <w:gridSpan w:val="2"/>
            <w:vMerge/>
            <w:tcBorders>
              <w:top w:val="single" w:sz="4" w:space="0" w:color="auto"/>
              <w:left w:val="single" w:sz="4" w:space="0" w:color="auto"/>
              <w:bottom w:val="single" w:sz="4" w:space="0" w:color="auto"/>
              <w:right w:val="single" w:sz="4" w:space="0" w:color="auto"/>
            </w:tcBorders>
            <w:hideMark/>
          </w:tcPr>
          <w:p w14:paraId="0232A601" w14:textId="77777777" w:rsidR="003F46B9" w:rsidRDefault="003F46B9">
            <w:pPr>
              <w:spacing w:after="0" w:line="240" w:lineRule="auto"/>
              <w:jc w:val="both"/>
              <w:rPr>
                <w:rFonts w:ascii="Times New Roman" w:eastAsia="Times New Roman" w:hAnsi="Times New Roman" w:cs="Times New Roman"/>
                <w:b/>
                <w:noProof/>
                <w:sz w:val="24"/>
              </w:rPr>
            </w:pPr>
          </w:p>
        </w:tc>
        <w:tc>
          <w:tcPr>
            <w:tcW w:w="1127" w:type="dxa"/>
            <w:tcBorders>
              <w:top w:val="nil"/>
              <w:left w:val="single" w:sz="4" w:space="0" w:color="auto"/>
              <w:bottom w:val="single" w:sz="4" w:space="0" w:color="auto"/>
              <w:right w:val="single" w:sz="4" w:space="0" w:color="auto"/>
            </w:tcBorders>
            <w:shd w:val="clear" w:color="auto" w:fill="BDD7EE"/>
            <w:vAlign w:val="center"/>
            <w:hideMark/>
          </w:tcPr>
          <w:p w14:paraId="6C1729C9" w14:textId="77777777" w:rsidR="003F46B9" w:rsidRDefault="0065662E">
            <w:pPr>
              <w:pStyle w:val="P68B1DB1-Normal1"/>
              <w:spacing w:after="0" w:line="240" w:lineRule="auto"/>
              <w:jc w:val="center"/>
              <w:rPr>
                <w:rFonts w:eastAsia="Times New Roman" w:cs="Times New Roman"/>
                <w:noProof/>
              </w:rPr>
            </w:pPr>
            <w:r>
              <w:rPr>
                <w:noProof/>
              </w:rPr>
              <w:t xml:space="preserve">Jedinica </w:t>
            </w:r>
            <w:r>
              <w:rPr>
                <w:noProof/>
              </w:rPr>
              <w:t>mjere</w:t>
            </w:r>
          </w:p>
        </w:tc>
        <w:tc>
          <w:tcPr>
            <w:tcW w:w="1089" w:type="dxa"/>
            <w:tcBorders>
              <w:top w:val="nil"/>
              <w:left w:val="nil"/>
              <w:bottom w:val="single" w:sz="4" w:space="0" w:color="auto"/>
              <w:right w:val="single" w:sz="4" w:space="0" w:color="auto"/>
            </w:tcBorders>
            <w:shd w:val="clear" w:color="auto" w:fill="BDD7EE"/>
            <w:vAlign w:val="center"/>
            <w:hideMark/>
          </w:tcPr>
          <w:p w14:paraId="4FAAF16B"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1276" w:type="dxa"/>
            <w:tcBorders>
              <w:top w:val="nil"/>
              <w:left w:val="nil"/>
              <w:bottom w:val="single" w:sz="4" w:space="0" w:color="auto"/>
              <w:right w:val="single" w:sz="4" w:space="0" w:color="auto"/>
            </w:tcBorders>
            <w:shd w:val="clear" w:color="auto" w:fill="BDD7EE"/>
            <w:vAlign w:val="center"/>
            <w:hideMark/>
          </w:tcPr>
          <w:p w14:paraId="6BFC67EA" w14:textId="77777777" w:rsidR="003F46B9" w:rsidRDefault="0065662E">
            <w:pPr>
              <w:pStyle w:val="P68B1DB1-Normal1"/>
              <w:spacing w:after="0" w:line="240" w:lineRule="auto"/>
              <w:jc w:val="center"/>
              <w:rPr>
                <w:rFonts w:eastAsia="Times New Roman" w:cs="Times New Roman"/>
                <w:noProof/>
              </w:rPr>
            </w:pPr>
            <w:r>
              <w:rPr>
                <w:noProof/>
              </w:rPr>
              <w:t>Cilj</w:t>
            </w:r>
          </w:p>
        </w:tc>
        <w:tc>
          <w:tcPr>
            <w:tcW w:w="1134" w:type="dxa"/>
            <w:tcBorders>
              <w:top w:val="nil"/>
              <w:left w:val="nil"/>
              <w:bottom w:val="single" w:sz="4" w:space="0" w:color="auto"/>
              <w:right w:val="single" w:sz="4" w:space="0" w:color="auto"/>
            </w:tcBorders>
            <w:shd w:val="clear" w:color="auto" w:fill="BDD7EE"/>
            <w:vAlign w:val="center"/>
            <w:hideMark/>
          </w:tcPr>
          <w:p w14:paraId="4D2B783D"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BDD7EE"/>
            <w:vAlign w:val="center"/>
            <w:hideMark/>
          </w:tcPr>
          <w:p w14:paraId="17B09C4C"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119" w:type="dxa"/>
            <w:vMerge/>
            <w:tcBorders>
              <w:top w:val="single" w:sz="4" w:space="0" w:color="auto"/>
              <w:bottom w:val="single" w:sz="4" w:space="0" w:color="auto"/>
              <w:right w:val="single" w:sz="4" w:space="0" w:color="auto"/>
            </w:tcBorders>
            <w:hideMark/>
          </w:tcPr>
          <w:p w14:paraId="6D68C4CE"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1C6D1B55" w14:textId="77777777">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tcPr>
          <w:p w14:paraId="78DA7AB4" w14:textId="77777777" w:rsidR="003F46B9" w:rsidRDefault="0065662E">
            <w:pPr>
              <w:pStyle w:val="P68B1DB1-Normal5"/>
              <w:spacing w:after="0" w:line="240" w:lineRule="auto"/>
              <w:jc w:val="center"/>
              <w:rPr>
                <w:rFonts w:eastAsia="Times New Roman" w:cs="Times New Roman"/>
                <w:noProof/>
              </w:rPr>
            </w:pPr>
            <w:r>
              <w:rPr>
                <w:noProof/>
              </w:rPr>
              <w:t>191</w:t>
            </w:r>
          </w:p>
        </w:tc>
        <w:tc>
          <w:tcPr>
            <w:tcW w:w="1843" w:type="dxa"/>
            <w:tcBorders>
              <w:top w:val="single" w:sz="4" w:space="0" w:color="auto"/>
              <w:left w:val="nil"/>
              <w:bottom w:val="single" w:sz="4" w:space="0" w:color="auto"/>
              <w:right w:val="single" w:sz="4" w:space="0" w:color="auto"/>
            </w:tcBorders>
            <w:shd w:val="clear" w:color="auto" w:fill="C6EFCE"/>
            <w:noWrap/>
          </w:tcPr>
          <w:p w14:paraId="70A24F90" w14:textId="77777777" w:rsidR="003F46B9" w:rsidRDefault="0065662E">
            <w:pPr>
              <w:pStyle w:val="P68B1DB1-Normal5"/>
              <w:spacing w:after="0" w:line="240" w:lineRule="auto"/>
              <w:jc w:val="both"/>
              <w:rPr>
                <w:rFonts w:cs="Times New Roman"/>
                <w:noProof/>
              </w:rPr>
            </w:pPr>
            <w:r>
              <w:rPr>
                <w:noProof/>
              </w:rPr>
              <w:t>Reforma 1.</w:t>
            </w:r>
          </w:p>
          <w:p w14:paraId="1DD3310A" w14:textId="77777777" w:rsidR="003F46B9" w:rsidRDefault="0065662E">
            <w:pPr>
              <w:pStyle w:val="P68B1DB1-Normal5"/>
              <w:spacing w:after="0" w:line="240" w:lineRule="auto"/>
              <w:jc w:val="both"/>
              <w:rPr>
                <w:rFonts w:eastAsia="Times New Roman" w:cs="Times New Roman"/>
                <w:noProof/>
              </w:rPr>
            </w:pPr>
            <w:r>
              <w:rPr>
                <w:noProof/>
              </w:rPr>
              <w:t xml:space="preserve">Reforma Nacionalne agencije za fiskalnu upravu (ANAF) putem digitalizacije </w:t>
            </w:r>
          </w:p>
        </w:tc>
        <w:tc>
          <w:tcPr>
            <w:tcW w:w="1275" w:type="dxa"/>
            <w:tcBorders>
              <w:top w:val="single" w:sz="4" w:space="0" w:color="auto"/>
              <w:left w:val="nil"/>
              <w:bottom w:val="single" w:sz="4" w:space="0" w:color="auto"/>
              <w:right w:val="single" w:sz="4" w:space="0" w:color="auto"/>
            </w:tcBorders>
            <w:shd w:val="clear" w:color="auto" w:fill="C6EFCE"/>
            <w:noWrap/>
          </w:tcPr>
          <w:p w14:paraId="4A0D0B7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49" w:type="dxa"/>
            <w:tcBorders>
              <w:top w:val="single" w:sz="4" w:space="0" w:color="auto"/>
              <w:left w:val="nil"/>
              <w:bottom w:val="single" w:sz="4" w:space="0" w:color="auto"/>
              <w:right w:val="single" w:sz="4" w:space="0" w:color="auto"/>
            </w:tcBorders>
            <w:shd w:val="clear" w:color="auto" w:fill="C6EFCE"/>
            <w:noWrap/>
          </w:tcPr>
          <w:p w14:paraId="717EF02F" w14:textId="77777777" w:rsidR="003F46B9" w:rsidRDefault="0065662E">
            <w:pPr>
              <w:pStyle w:val="P68B1DB1-Normal5"/>
              <w:spacing w:after="0" w:line="240" w:lineRule="auto"/>
              <w:jc w:val="both"/>
              <w:rPr>
                <w:rFonts w:eastAsia="Times New Roman" w:cs="Times New Roman"/>
                <w:noProof/>
              </w:rPr>
            </w:pPr>
            <w:r>
              <w:rPr>
                <w:noProof/>
              </w:rPr>
              <w:t xml:space="preserve">Stupanje na snagu pravnog okvira za obvezno upis poreznih obveznika pravne osobe u subjekt posebne </w:t>
            </w:r>
            <w:r>
              <w:rPr>
                <w:noProof/>
              </w:rPr>
              <w:t>namjene (virtualni privatni prostor)</w:t>
            </w:r>
          </w:p>
        </w:tc>
        <w:tc>
          <w:tcPr>
            <w:tcW w:w="1623" w:type="dxa"/>
            <w:gridSpan w:val="2"/>
            <w:tcBorders>
              <w:top w:val="single" w:sz="4" w:space="0" w:color="auto"/>
              <w:left w:val="nil"/>
              <w:bottom w:val="single" w:sz="4" w:space="0" w:color="auto"/>
              <w:right w:val="single" w:sz="4" w:space="0" w:color="auto"/>
            </w:tcBorders>
            <w:shd w:val="clear" w:color="auto" w:fill="C6EFCE"/>
            <w:noWrap/>
          </w:tcPr>
          <w:p w14:paraId="2DD12E3E" w14:textId="77777777" w:rsidR="003F46B9" w:rsidRDefault="0065662E">
            <w:pPr>
              <w:pStyle w:val="P68B1DB1-Normal5"/>
              <w:spacing w:after="0" w:line="240" w:lineRule="auto"/>
              <w:jc w:val="both"/>
              <w:rPr>
                <w:rFonts w:eastAsia="Times New Roman" w:cs="Times New Roman"/>
                <w:noProof/>
              </w:rPr>
            </w:pPr>
            <w:r>
              <w:rPr>
                <w:noProof/>
              </w:rPr>
              <w:t xml:space="preserve">Odredba zakona o stupanju na snagu obveznog upisa poreznih obveznika pravne osobe u subjekt posebne namjene </w:t>
            </w:r>
          </w:p>
        </w:tc>
        <w:tc>
          <w:tcPr>
            <w:tcW w:w="1127" w:type="dxa"/>
            <w:tcBorders>
              <w:top w:val="nil"/>
              <w:left w:val="nil"/>
              <w:bottom w:val="single" w:sz="4" w:space="0" w:color="auto"/>
              <w:right w:val="single" w:sz="4" w:space="0" w:color="auto"/>
            </w:tcBorders>
            <w:shd w:val="clear" w:color="auto" w:fill="C6EFCE"/>
            <w:noWrap/>
          </w:tcPr>
          <w:p w14:paraId="4CE7BB0B" w14:textId="77777777" w:rsidR="003F46B9" w:rsidRDefault="003F46B9">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70FF6983" w14:textId="77777777" w:rsidR="003F46B9" w:rsidRDefault="003F46B9">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17FC299" w14:textId="77777777" w:rsidR="003F46B9" w:rsidRDefault="003F46B9">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D5932BC"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11FC3742" w14:textId="77777777" w:rsidR="003F46B9" w:rsidRDefault="0065662E">
            <w:pPr>
              <w:pStyle w:val="P68B1DB1-Normal5"/>
              <w:spacing w:after="0" w:line="240" w:lineRule="auto"/>
              <w:jc w:val="center"/>
              <w:rPr>
                <w:rFonts w:eastAsia="Times New Roman" w:cs="Times New Roman"/>
                <w:noProof/>
              </w:rPr>
            </w:pPr>
            <w:r>
              <w:rPr>
                <w:noProof/>
              </w:rPr>
              <w:t>2022</w:t>
            </w:r>
          </w:p>
        </w:tc>
        <w:tc>
          <w:tcPr>
            <w:tcW w:w="3119" w:type="dxa"/>
            <w:tcBorders>
              <w:top w:val="single" w:sz="4" w:space="0" w:color="auto"/>
              <w:left w:val="nil"/>
              <w:bottom w:val="single" w:sz="4" w:space="0" w:color="auto"/>
              <w:right w:val="single" w:sz="4" w:space="0" w:color="auto"/>
            </w:tcBorders>
            <w:shd w:val="clear" w:color="auto" w:fill="C6EFCE"/>
            <w:noWrap/>
          </w:tcPr>
          <w:p w14:paraId="13E09441" w14:textId="77777777" w:rsidR="003F46B9" w:rsidRDefault="0065662E">
            <w:pPr>
              <w:pStyle w:val="P68B1DB1-Normal5"/>
              <w:spacing w:after="0" w:line="240" w:lineRule="auto"/>
              <w:jc w:val="both"/>
              <w:rPr>
                <w:rFonts w:cs="Times New Roman"/>
                <w:noProof/>
              </w:rPr>
            </w:pPr>
            <w:r>
              <w:rPr>
                <w:noProof/>
              </w:rPr>
              <w:t>Stupanje na snagu pravnog okvira za obveznu registraciju u virtualnom privatnom prostoru (</w:t>
            </w:r>
            <w:r>
              <w:rPr>
                <w:noProof/>
              </w:rPr>
              <w:t>SPV) za sve pravne osobe koje su porezni obveznici.</w:t>
            </w:r>
          </w:p>
          <w:p w14:paraId="29A43AB6" w14:textId="77777777" w:rsidR="003F46B9" w:rsidRDefault="0065662E">
            <w:pPr>
              <w:pStyle w:val="P68B1DB1-Normal5"/>
              <w:spacing w:after="0"/>
              <w:ind w:left="-18"/>
              <w:contextualSpacing/>
              <w:jc w:val="both"/>
              <w:rPr>
                <w:rFonts w:cs="Times New Roman"/>
                <w:noProof/>
              </w:rPr>
            </w:pPr>
            <w:r>
              <w:rPr>
                <w:noProof/>
              </w:rPr>
              <w:t>Ovim se aktom mijenja Zakon o poreznom postupku i uvodi obveza pravne osobe da se upišu u subjekt posebne namjene.</w:t>
            </w:r>
          </w:p>
        </w:tc>
      </w:tr>
      <w:tr w:rsidR="003F46B9" w14:paraId="237AE635"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BE3CBC" w14:textId="77777777" w:rsidR="003F46B9" w:rsidRDefault="0065662E">
            <w:pPr>
              <w:pStyle w:val="P68B1DB1-Normal5"/>
              <w:spacing w:after="0" w:line="240" w:lineRule="auto"/>
              <w:jc w:val="center"/>
              <w:rPr>
                <w:rFonts w:eastAsia="Times New Roman" w:cs="Times New Roman"/>
                <w:noProof/>
              </w:rPr>
            </w:pPr>
            <w:r>
              <w:rPr>
                <w:noProof/>
              </w:rPr>
              <w:t>192</w:t>
            </w:r>
          </w:p>
        </w:tc>
        <w:tc>
          <w:tcPr>
            <w:tcW w:w="1843" w:type="dxa"/>
            <w:tcBorders>
              <w:top w:val="nil"/>
              <w:left w:val="nil"/>
              <w:bottom w:val="single" w:sz="4" w:space="0" w:color="auto"/>
              <w:right w:val="single" w:sz="4" w:space="0" w:color="auto"/>
            </w:tcBorders>
            <w:shd w:val="clear" w:color="auto" w:fill="C6EFCE"/>
            <w:noWrap/>
          </w:tcPr>
          <w:p w14:paraId="3D2CBC42" w14:textId="77777777" w:rsidR="003F46B9" w:rsidRDefault="0065662E">
            <w:pPr>
              <w:pStyle w:val="P68B1DB1-Normal5"/>
              <w:spacing w:after="0" w:line="240" w:lineRule="auto"/>
              <w:jc w:val="both"/>
              <w:rPr>
                <w:rFonts w:eastAsia="Times New Roman" w:cs="Times New Roman"/>
                <w:noProof/>
              </w:rPr>
            </w:pPr>
            <w:r>
              <w:rPr>
                <w:noProof/>
              </w:rPr>
              <w:t xml:space="preserve">Reforma 1. 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783F0026"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23F59948" w14:textId="77777777" w:rsidR="003F46B9" w:rsidRDefault="0065662E">
            <w:pPr>
              <w:pStyle w:val="P68B1DB1-Normal5"/>
              <w:spacing w:after="0" w:line="240" w:lineRule="auto"/>
              <w:jc w:val="both"/>
              <w:rPr>
                <w:rFonts w:cs="Times New Roman"/>
                <w:noProof/>
              </w:rPr>
            </w:pPr>
            <w:r>
              <w:rPr>
                <w:noProof/>
              </w:rPr>
              <w:t xml:space="preserve">Dodatne pravne osobe koje su porezni obveznici upisali u subjekt posebne namjene </w:t>
            </w:r>
          </w:p>
          <w:p w14:paraId="20063327" w14:textId="77777777" w:rsidR="003F46B9" w:rsidRDefault="003F46B9">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28E52A66" w14:textId="77777777" w:rsidR="003F46B9" w:rsidRDefault="003F46B9">
            <w:pPr>
              <w:spacing w:after="0" w:line="240" w:lineRule="auto"/>
              <w:jc w:val="both"/>
              <w:rPr>
                <w:rFonts w:ascii="Times New Roman" w:eastAsia="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7A984C9D" w14:textId="77777777" w:rsidR="003F46B9" w:rsidRDefault="0065662E">
            <w:pPr>
              <w:pStyle w:val="P68B1DB1-Normal5"/>
              <w:spacing w:after="0" w:line="240" w:lineRule="auto"/>
              <w:rPr>
                <w:rFonts w:eastAsia="Times New Roman" w:cs="Times New Roman"/>
                <w:noProof/>
              </w:rPr>
            </w:pPr>
            <w:r>
              <w:rPr>
                <w:noProof/>
              </w:rPr>
              <w:t>Broj</w:t>
            </w:r>
          </w:p>
        </w:tc>
        <w:tc>
          <w:tcPr>
            <w:tcW w:w="1089" w:type="dxa"/>
            <w:tcBorders>
              <w:top w:val="nil"/>
              <w:left w:val="nil"/>
              <w:bottom w:val="single" w:sz="4" w:space="0" w:color="auto"/>
              <w:right w:val="single" w:sz="4" w:space="0" w:color="auto"/>
            </w:tcBorders>
            <w:shd w:val="clear" w:color="auto" w:fill="C6EFCE"/>
            <w:noWrap/>
          </w:tcPr>
          <w:p w14:paraId="3FC020C4" w14:textId="77777777" w:rsidR="003F46B9" w:rsidRDefault="0065662E">
            <w:pPr>
              <w:pStyle w:val="P68B1DB1-Normal5"/>
              <w:spacing w:after="0" w:line="240" w:lineRule="auto"/>
              <w:rPr>
                <w:rFonts w:eastAsia="Times New Roman" w:cs="Times New Roman"/>
                <w:noProof/>
              </w:rPr>
            </w:pPr>
            <w:r>
              <w:rPr>
                <w:noProof/>
              </w:rPr>
              <w:t>509 679</w:t>
            </w:r>
          </w:p>
        </w:tc>
        <w:tc>
          <w:tcPr>
            <w:tcW w:w="1276" w:type="dxa"/>
            <w:tcBorders>
              <w:top w:val="nil"/>
              <w:left w:val="nil"/>
              <w:bottom w:val="single" w:sz="4" w:space="0" w:color="auto"/>
              <w:right w:val="single" w:sz="4" w:space="0" w:color="auto"/>
            </w:tcBorders>
            <w:shd w:val="clear" w:color="auto" w:fill="C6EFCE"/>
            <w:noWrap/>
          </w:tcPr>
          <w:p w14:paraId="48B5D140" w14:textId="77777777" w:rsidR="003F46B9" w:rsidRDefault="0065662E">
            <w:pPr>
              <w:pStyle w:val="P68B1DB1-Normal5"/>
              <w:spacing w:after="0" w:line="240" w:lineRule="auto"/>
              <w:rPr>
                <w:rFonts w:cs="Times New Roman"/>
                <w:noProof/>
              </w:rPr>
            </w:pPr>
            <w:r>
              <w:rPr>
                <w:noProof/>
              </w:rPr>
              <w:t>1 009 679</w:t>
            </w:r>
          </w:p>
        </w:tc>
        <w:tc>
          <w:tcPr>
            <w:tcW w:w="1134" w:type="dxa"/>
            <w:tcBorders>
              <w:top w:val="nil"/>
              <w:left w:val="nil"/>
              <w:bottom w:val="single" w:sz="4" w:space="0" w:color="auto"/>
              <w:right w:val="single" w:sz="4" w:space="0" w:color="auto"/>
            </w:tcBorders>
            <w:shd w:val="clear" w:color="auto" w:fill="C6EFCE"/>
            <w:noWrap/>
          </w:tcPr>
          <w:p w14:paraId="02295A1F"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077310E3" w14:textId="77777777" w:rsidR="003F46B9" w:rsidRDefault="0065662E">
            <w:pPr>
              <w:pStyle w:val="P68B1DB1-Normal5"/>
              <w:spacing w:after="0" w:line="240" w:lineRule="auto"/>
              <w:jc w:val="center"/>
              <w:rPr>
                <w:rFonts w:eastAsia="Times New Roman"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45B7BBA" w14:textId="77777777" w:rsidR="003F46B9" w:rsidRDefault="0065662E">
            <w:pPr>
              <w:pStyle w:val="P68B1DB1-Normal5"/>
              <w:spacing w:after="0" w:line="240" w:lineRule="auto"/>
              <w:jc w:val="both"/>
              <w:rPr>
                <w:rFonts w:cs="Times New Roman"/>
                <w:noProof/>
              </w:rPr>
            </w:pPr>
            <w:r>
              <w:rPr>
                <w:noProof/>
              </w:rPr>
              <w:t xml:space="preserve">U subjekt posebne namjene dodatno je upisano najmanje 500000 pravnih osoba koje su porezni obveznici u usporedbi s 509679 na početku travnja 2021. S tim dodatnih 500000 poreznih obveznika subjekt posebne namjene pokriva 90 % ukupnog broja velikih poreznih </w:t>
            </w:r>
            <w:r>
              <w:rPr>
                <w:noProof/>
              </w:rPr>
              <w:t>obveznika (u skladu s novom definicijom koja će biti dostupna čim se odobri izmjena odgovarajućeg pravnog okvira), što čini najmanje 90 % velike porezne osnovice poreznih obveznika. U ovoj je fazi od otprilike 1500000 pravnih subjekata oko 400000 u stečajn</w:t>
            </w:r>
            <w:r>
              <w:rPr>
                <w:noProof/>
              </w:rPr>
              <w:t xml:space="preserve">om postupku ili neaktivni. Stoga je cilj mjere gotovo svi registrirani pravni subjekti upotrebljavati subjekt posebne namjene. </w:t>
            </w:r>
          </w:p>
          <w:p w14:paraId="24A6864C" w14:textId="77777777" w:rsidR="003F46B9" w:rsidRDefault="0065662E">
            <w:pPr>
              <w:pStyle w:val="P68B1DB1-Normal5"/>
              <w:spacing w:after="0" w:line="240" w:lineRule="auto"/>
              <w:jc w:val="both"/>
              <w:rPr>
                <w:rFonts w:eastAsia="Times New Roman" w:cs="Times New Roman"/>
                <w:noProof/>
              </w:rPr>
            </w:pPr>
            <w:r>
              <w:rPr>
                <w:noProof/>
              </w:rPr>
              <w:t xml:space="preserve">Praćenje broja novih poreznih obveznika upisanih u subjekt posebne namjene provodi se s pomoću posebnih izvješća koja proizlaze </w:t>
            </w:r>
            <w:r>
              <w:rPr>
                <w:noProof/>
              </w:rPr>
              <w:t>iz pretraživanja baza podataka nacionalnog centra za financijske informacije.</w:t>
            </w:r>
          </w:p>
        </w:tc>
      </w:tr>
      <w:tr w:rsidR="003F46B9" w14:paraId="4042A5E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CDE3581" w14:textId="77777777" w:rsidR="003F46B9" w:rsidRDefault="0065662E">
            <w:pPr>
              <w:pStyle w:val="P68B1DB1-Normal5"/>
              <w:spacing w:after="0" w:line="240" w:lineRule="auto"/>
              <w:jc w:val="center"/>
              <w:rPr>
                <w:rFonts w:cs="Times New Roman"/>
                <w:noProof/>
              </w:rPr>
            </w:pPr>
            <w:r>
              <w:rPr>
                <w:noProof/>
              </w:rPr>
              <w:t>193</w:t>
            </w:r>
          </w:p>
        </w:tc>
        <w:tc>
          <w:tcPr>
            <w:tcW w:w="1843" w:type="dxa"/>
            <w:tcBorders>
              <w:top w:val="nil"/>
              <w:left w:val="nil"/>
              <w:bottom w:val="single" w:sz="4" w:space="0" w:color="auto"/>
              <w:right w:val="single" w:sz="4" w:space="0" w:color="auto"/>
            </w:tcBorders>
            <w:shd w:val="clear" w:color="auto" w:fill="C6EFCE"/>
            <w:noWrap/>
          </w:tcPr>
          <w:p w14:paraId="33B75CD2" w14:textId="77777777" w:rsidR="003F46B9" w:rsidRDefault="0065662E">
            <w:pPr>
              <w:pStyle w:val="P68B1DB1-Normal5"/>
              <w:spacing w:after="0" w:line="240" w:lineRule="auto"/>
              <w:jc w:val="both"/>
              <w:rPr>
                <w:rFonts w:cs="Times New Roman"/>
                <w:noProof/>
              </w:rPr>
            </w:pPr>
            <w:r>
              <w:rPr>
                <w:noProof/>
              </w:rPr>
              <w:t xml:space="preserve">Reforma 1. 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1C70BEA8"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2C4EE8C2" w14:textId="77777777" w:rsidR="003F46B9" w:rsidRDefault="0065662E">
            <w:pPr>
              <w:pStyle w:val="P68B1DB1-Normal5"/>
              <w:spacing w:after="0" w:line="240" w:lineRule="auto"/>
              <w:jc w:val="both"/>
              <w:rPr>
                <w:rFonts w:cs="Times New Roman"/>
                <w:noProof/>
              </w:rPr>
            </w:pPr>
            <w:r>
              <w:rPr>
                <w:noProof/>
              </w:rPr>
              <w:t xml:space="preserve">Stupanje na snagu primjenjivog pravnog okvira kojim se definiraju </w:t>
            </w:r>
            <w:r>
              <w:rPr>
                <w:noProof/>
              </w:rPr>
              <w:t>kriteriji rizika za klasifikaciju poreznih obveznika. Pravni okvir odobrava se rješenjem predsjednika ANAF-a.</w:t>
            </w:r>
          </w:p>
        </w:tc>
        <w:tc>
          <w:tcPr>
            <w:tcW w:w="1623" w:type="dxa"/>
            <w:gridSpan w:val="2"/>
            <w:tcBorders>
              <w:top w:val="nil"/>
              <w:left w:val="nil"/>
              <w:bottom w:val="single" w:sz="4" w:space="0" w:color="auto"/>
              <w:right w:val="single" w:sz="4" w:space="0" w:color="auto"/>
            </w:tcBorders>
            <w:shd w:val="clear" w:color="auto" w:fill="C6EFCE"/>
            <w:noWrap/>
          </w:tcPr>
          <w:p w14:paraId="6A441704" w14:textId="77777777" w:rsidR="003F46B9" w:rsidRDefault="0065662E">
            <w:pPr>
              <w:pStyle w:val="P68B1DB1-Normal5"/>
              <w:spacing w:after="0" w:line="240" w:lineRule="auto"/>
              <w:jc w:val="both"/>
              <w:rPr>
                <w:rFonts w:cs="Times New Roman"/>
                <w:noProof/>
              </w:rPr>
            </w:pPr>
            <w:r>
              <w:rPr>
                <w:noProof/>
              </w:rPr>
              <w:t>Stupanje na snagu odluke predsjednika ANAF-a kojom se utvrđuju kriteriji rizika</w:t>
            </w:r>
          </w:p>
        </w:tc>
        <w:tc>
          <w:tcPr>
            <w:tcW w:w="1127" w:type="dxa"/>
            <w:tcBorders>
              <w:top w:val="nil"/>
              <w:left w:val="nil"/>
              <w:bottom w:val="single" w:sz="4" w:space="0" w:color="auto"/>
              <w:right w:val="single" w:sz="4" w:space="0" w:color="auto"/>
            </w:tcBorders>
            <w:shd w:val="clear" w:color="auto" w:fill="C6EFCE"/>
            <w:noWrap/>
          </w:tcPr>
          <w:p w14:paraId="5133EBAA"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FE4B239"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39609E7"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E06AA8C"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0C9AF93"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46177D7" w14:textId="77777777" w:rsidR="003F46B9" w:rsidRDefault="0065662E">
            <w:pPr>
              <w:pStyle w:val="P68B1DB1-Normal5"/>
              <w:spacing w:after="0" w:line="240" w:lineRule="auto"/>
              <w:jc w:val="both"/>
              <w:rPr>
                <w:rFonts w:cs="Times New Roman"/>
                <w:noProof/>
              </w:rPr>
            </w:pPr>
            <w:r>
              <w:rPr>
                <w:noProof/>
              </w:rPr>
              <w:t>Kriteriji rizika definiraju se u sklad</w:t>
            </w:r>
            <w:r>
              <w:rPr>
                <w:noProof/>
              </w:rPr>
              <w:t xml:space="preserve">u s glavnim kategorijama rizika od neispunjavanja poreznih obveza: rizici povezani s upisom u registar obveznika; podnošenje izjava; razina deklaracije; plaćanje. Te se definicije upotrebljavaju u sustavu upravljanja poreznim rizikom na temelju kategorija </w:t>
            </w:r>
            <w:r>
              <w:rPr>
                <w:noProof/>
              </w:rPr>
              <w:t xml:space="preserve">poreznog rizika, u kojima se mjere i kontrole porezne uprave prilagođavaju poreznom riziku svake kategorije poreznih obveznika. </w:t>
            </w:r>
          </w:p>
          <w:p w14:paraId="1A3F39FE" w14:textId="77777777" w:rsidR="003F46B9" w:rsidRDefault="0065662E">
            <w:pPr>
              <w:pStyle w:val="P68B1DB1-Normal5"/>
              <w:spacing w:after="0" w:line="240" w:lineRule="auto"/>
              <w:jc w:val="both"/>
              <w:rPr>
                <w:rFonts w:cs="Times New Roman"/>
                <w:noProof/>
              </w:rPr>
            </w:pPr>
            <w:r>
              <w:rPr>
                <w:noProof/>
              </w:rPr>
              <w:t>Kriteriji rizika uzimaju u obzir sljedeće međunarodne standarde:</w:t>
            </w:r>
          </w:p>
          <w:p w14:paraId="06A0724F" w14:textId="77777777" w:rsidR="003F46B9" w:rsidRDefault="0065662E">
            <w:pPr>
              <w:pStyle w:val="P68B1DB1-Normal5"/>
              <w:spacing w:after="0" w:line="240" w:lineRule="auto"/>
              <w:jc w:val="both"/>
              <w:rPr>
                <w:rFonts w:cs="Times New Roman"/>
                <w:noProof/>
              </w:rPr>
            </w:pPr>
            <w:r>
              <w:rPr>
                <w:noProof/>
              </w:rPr>
              <w:t>— OECD ISO 31000:2018</w:t>
            </w:r>
          </w:p>
          <w:p w14:paraId="544DFA8B" w14:textId="77777777" w:rsidR="003F46B9" w:rsidRDefault="0065662E">
            <w:pPr>
              <w:pStyle w:val="P68B1DB1-Normal5"/>
              <w:spacing w:after="0" w:line="240" w:lineRule="auto"/>
              <w:jc w:val="both"/>
              <w:rPr>
                <w:rFonts w:cs="Times New Roman"/>
                <w:noProof/>
              </w:rPr>
            </w:pPr>
            <w:r>
              <w:rPr>
                <w:noProof/>
              </w:rPr>
              <w:t>COM – Vodič za upravljanje rizicima u po</w:t>
            </w:r>
            <w:r>
              <w:rPr>
                <w:noProof/>
              </w:rPr>
              <w:t xml:space="preserve">gledu usklađenosti za porezne uprave 2010. </w:t>
            </w:r>
          </w:p>
          <w:p w14:paraId="4E918907" w14:textId="77777777" w:rsidR="003F46B9" w:rsidRDefault="0065662E">
            <w:pPr>
              <w:pStyle w:val="P68B1DB1-Normal5"/>
              <w:spacing w:after="0" w:line="240" w:lineRule="auto"/>
              <w:jc w:val="both"/>
              <w:rPr>
                <w:rFonts w:cs="Times New Roman"/>
                <w:noProof/>
              </w:rPr>
            </w:pPr>
            <w:r>
              <w:rPr>
                <w:noProof/>
              </w:rPr>
              <w:t>Smjernice o sporazumima o slobodnoj trgovini za procjenu učinkovitosti strategija za postupanje s rizicima u pogledu usklađenosti</w:t>
            </w:r>
          </w:p>
        </w:tc>
      </w:tr>
      <w:tr w:rsidR="003F46B9" w14:paraId="0995499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7E3C9B7" w14:textId="77777777" w:rsidR="003F46B9" w:rsidRDefault="0065662E">
            <w:pPr>
              <w:pStyle w:val="P68B1DB1-Normal5"/>
              <w:spacing w:after="0" w:line="240" w:lineRule="auto"/>
              <w:jc w:val="center"/>
              <w:rPr>
                <w:rFonts w:cs="Times New Roman"/>
                <w:noProof/>
              </w:rPr>
            </w:pPr>
            <w:r>
              <w:rPr>
                <w:noProof/>
              </w:rPr>
              <w:t>194</w:t>
            </w:r>
          </w:p>
        </w:tc>
        <w:tc>
          <w:tcPr>
            <w:tcW w:w="1843" w:type="dxa"/>
            <w:tcBorders>
              <w:top w:val="nil"/>
              <w:left w:val="nil"/>
              <w:bottom w:val="single" w:sz="4" w:space="0" w:color="auto"/>
              <w:right w:val="single" w:sz="4" w:space="0" w:color="auto"/>
            </w:tcBorders>
            <w:shd w:val="clear" w:color="auto" w:fill="C6EFCE"/>
            <w:noWrap/>
          </w:tcPr>
          <w:p w14:paraId="58BE44CD" w14:textId="77777777" w:rsidR="003F46B9" w:rsidRDefault="0065662E">
            <w:pPr>
              <w:pStyle w:val="P68B1DB1-Normal5"/>
              <w:spacing w:after="0" w:line="240" w:lineRule="auto"/>
              <w:jc w:val="both"/>
              <w:rPr>
                <w:rFonts w:cs="Times New Roman"/>
                <w:noProof/>
              </w:rPr>
            </w:pPr>
            <w:r>
              <w:rPr>
                <w:noProof/>
              </w:rPr>
              <w:t xml:space="preserve">Reforma 1. 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166245B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3193DC5" w14:textId="77777777" w:rsidR="003F46B9" w:rsidRDefault="0065662E">
            <w:pPr>
              <w:pStyle w:val="P68B1DB1-Normal5"/>
              <w:spacing w:after="0" w:line="240" w:lineRule="auto"/>
              <w:jc w:val="both"/>
              <w:rPr>
                <w:rFonts w:cs="Times New Roman"/>
                <w:noProof/>
              </w:rPr>
            </w:pPr>
            <w:r>
              <w:rPr>
                <w:noProof/>
              </w:rPr>
              <w:t xml:space="preserve">Stupanje na snagu izmijenjenog pravnog okvira u području aktivnosti tijela poreznog nadzora </w:t>
            </w:r>
          </w:p>
        </w:tc>
        <w:tc>
          <w:tcPr>
            <w:tcW w:w="1623" w:type="dxa"/>
            <w:gridSpan w:val="2"/>
            <w:tcBorders>
              <w:top w:val="nil"/>
              <w:left w:val="nil"/>
              <w:bottom w:val="single" w:sz="4" w:space="0" w:color="auto"/>
              <w:right w:val="single" w:sz="4" w:space="0" w:color="auto"/>
            </w:tcBorders>
            <w:shd w:val="clear" w:color="auto" w:fill="C6EFCE"/>
            <w:noWrap/>
          </w:tcPr>
          <w:p w14:paraId="0A638291" w14:textId="77777777" w:rsidR="003F46B9" w:rsidRDefault="0065662E">
            <w:pPr>
              <w:pStyle w:val="P68B1DB1-Normal5"/>
              <w:spacing w:after="0" w:line="240" w:lineRule="auto"/>
              <w:jc w:val="both"/>
              <w:rPr>
                <w:rFonts w:cs="Times New Roman"/>
                <w:noProof/>
              </w:rPr>
            </w:pPr>
            <w:r>
              <w:rPr>
                <w:noProof/>
              </w:rPr>
              <w:t xml:space="preserve">Zakonska odredba o stupanju na snagu pravnog okvira koji utječe </w:t>
            </w:r>
            <w:r>
              <w:rPr>
                <w:noProof/>
              </w:rPr>
              <w:t xml:space="preserve">na opseg djelatnosti tijela poreznog nadzora </w:t>
            </w:r>
          </w:p>
        </w:tc>
        <w:tc>
          <w:tcPr>
            <w:tcW w:w="1127" w:type="dxa"/>
            <w:tcBorders>
              <w:top w:val="nil"/>
              <w:left w:val="nil"/>
              <w:bottom w:val="single" w:sz="4" w:space="0" w:color="auto"/>
              <w:right w:val="single" w:sz="4" w:space="0" w:color="auto"/>
            </w:tcBorders>
            <w:shd w:val="clear" w:color="auto" w:fill="C6EFCE"/>
            <w:noWrap/>
          </w:tcPr>
          <w:p w14:paraId="2694998B"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DD32B0F"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927B5D1"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376E4D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23353A96"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4C154E5B" w14:textId="77777777" w:rsidR="003F46B9" w:rsidRDefault="0065662E">
            <w:pPr>
              <w:pStyle w:val="P68B1DB1-Normal5"/>
              <w:spacing w:after="0" w:line="240" w:lineRule="auto"/>
              <w:jc w:val="both"/>
              <w:rPr>
                <w:rFonts w:cs="Times New Roman"/>
                <w:noProof/>
              </w:rPr>
            </w:pPr>
            <w:r>
              <w:rPr>
                <w:noProof/>
              </w:rPr>
              <w:t>Novim zakonom uspostavljaju se/preispituju ovlasti poreznih tijela za porezni nadzor, kontrolnih tijela za borbu protiv prijevara i tijela odgovornih za provjeru osobnog poreznog sta</w:t>
            </w:r>
            <w:r>
              <w:rPr>
                <w:noProof/>
              </w:rPr>
              <w:t>nja) s ciljem jačanja institucijskog kapaciteta struktura porezne kontrole radi sprečavanja nacionalnih i prekograničnih poreznih prijevara i utaje poreza ranim i ciljanim utvrđivanjem velikih poreznih rizika.</w:t>
            </w:r>
          </w:p>
          <w:p w14:paraId="686BC5EF" w14:textId="77777777" w:rsidR="003F46B9" w:rsidRDefault="0065662E">
            <w:pPr>
              <w:pStyle w:val="P68B1DB1-Normal5"/>
              <w:spacing w:after="0" w:line="240" w:lineRule="auto"/>
              <w:jc w:val="both"/>
              <w:rPr>
                <w:rFonts w:cs="Times New Roman"/>
                <w:noProof/>
              </w:rPr>
            </w:pPr>
            <w:r>
              <w:rPr>
                <w:noProof/>
              </w:rPr>
              <w:t>ANAF preispituje institucionalni i pravni okvi</w:t>
            </w:r>
            <w:r>
              <w:rPr>
                <w:noProof/>
              </w:rPr>
              <w:t>r aktivnosti koje provode kontrolne strukture. Uzimajući u obzir zaključke i rezultate analize, dovršava se revizija pravnog okvira tijela za poreznu inspekciju.</w:t>
            </w:r>
          </w:p>
        </w:tc>
      </w:tr>
      <w:tr w:rsidR="003F46B9" w14:paraId="545A4DF1"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F356260" w14:textId="77777777" w:rsidR="003F46B9" w:rsidRDefault="0065662E">
            <w:pPr>
              <w:pStyle w:val="P68B1DB1-Normal5"/>
              <w:spacing w:after="0" w:line="240" w:lineRule="auto"/>
              <w:jc w:val="center"/>
              <w:rPr>
                <w:rFonts w:cs="Times New Roman"/>
                <w:noProof/>
              </w:rPr>
            </w:pPr>
            <w:r>
              <w:rPr>
                <w:noProof/>
              </w:rPr>
              <w:t>195</w:t>
            </w:r>
          </w:p>
        </w:tc>
        <w:tc>
          <w:tcPr>
            <w:tcW w:w="1843" w:type="dxa"/>
            <w:tcBorders>
              <w:top w:val="nil"/>
              <w:left w:val="nil"/>
              <w:bottom w:val="single" w:sz="4" w:space="0" w:color="auto"/>
              <w:right w:val="single" w:sz="4" w:space="0" w:color="auto"/>
            </w:tcBorders>
            <w:shd w:val="clear" w:color="auto" w:fill="C6EFCE"/>
            <w:noWrap/>
          </w:tcPr>
          <w:p w14:paraId="7E0BD703" w14:textId="77777777" w:rsidR="003F46B9" w:rsidRDefault="0065662E">
            <w:pPr>
              <w:pStyle w:val="P68B1DB1-Normal5"/>
              <w:spacing w:after="0" w:line="240" w:lineRule="auto"/>
              <w:jc w:val="both"/>
              <w:rPr>
                <w:rFonts w:cs="Times New Roman"/>
                <w:noProof/>
              </w:rPr>
            </w:pPr>
            <w:r>
              <w:rPr>
                <w:noProof/>
              </w:rPr>
              <w:t>Reforma 1. Reforma Nacionalne agencije za fiskalnu upravu (ANAF) putem digitalizacije</w:t>
            </w:r>
          </w:p>
        </w:tc>
        <w:tc>
          <w:tcPr>
            <w:tcW w:w="1275" w:type="dxa"/>
            <w:tcBorders>
              <w:top w:val="nil"/>
              <w:left w:val="nil"/>
              <w:bottom w:val="single" w:sz="4" w:space="0" w:color="auto"/>
              <w:right w:val="single" w:sz="4" w:space="0" w:color="auto"/>
            </w:tcBorders>
            <w:shd w:val="clear" w:color="auto" w:fill="C6EFCE"/>
            <w:noWrap/>
          </w:tcPr>
          <w:p w14:paraId="27447BA3"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0947E546" w14:textId="77777777" w:rsidR="003F46B9" w:rsidRDefault="0065662E">
            <w:pPr>
              <w:pStyle w:val="P68B1DB1-Normal5"/>
              <w:spacing w:after="0" w:line="240" w:lineRule="auto"/>
              <w:jc w:val="both"/>
              <w:rPr>
                <w:rFonts w:cs="Times New Roman"/>
                <w:noProof/>
              </w:rPr>
            </w:pPr>
            <w:r>
              <w:rPr>
                <w:noProof/>
              </w:rPr>
              <w:t>Operacionalizacija/odobrenje zajedničkog akcijskog plana Nacionalne agencije za fiskalnu upravu i inspekciju rada kako bi se spriječila i ograničila pojava utaje sivog/crnog rada</w:t>
            </w:r>
          </w:p>
        </w:tc>
        <w:tc>
          <w:tcPr>
            <w:tcW w:w="1623" w:type="dxa"/>
            <w:gridSpan w:val="2"/>
            <w:tcBorders>
              <w:top w:val="nil"/>
              <w:left w:val="nil"/>
              <w:bottom w:val="single" w:sz="4" w:space="0" w:color="auto"/>
              <w:right w:val="single" w:sz="4" w:space="0" w:color="auto"/>
            </w:tcBorders>
            <w:shd w:val="clear" w:color="auto" w:fill="C6EFCE"/>
            <w:noWrap/>
          </w:tcPr>
          <w:p w14:paraId="263365BB" w14:textId="77777777" w:rsidR="003F46B9" w:rsidRDefault="0065662E">
            <w:pPr>
              <w:pStyle w:val="P68B1DB1-Normal5"/>
              <w:spacing w:after="0" w:line="240" w:lineRule="auto"/>
              <w:jc w:val="both"/>
              <w:rPr>
                <w:rFonts w:cs="Times New Roman"/>
                <w:noProof/>
              </w:rPr>
            </w:pPr>
            <w:r>
              <w:rPr>
                <w:noProof/>
              </w:rPr>
              <w:t>Donošenje zajedničkog akcijskog plana Nacionalne agencije za fisk</w:t>
            </w:r>
            <w:r>
              <w:rPr>
                <w:noProof/>
              </w:rPr>
              <w:t>alnu upravu i inspekciju rada o mjerama koje treba poduzeti za sprečavanje i ograničavanje pojave sivog/crnog rada</w:t>
            </w:r>
          </w:p>
        </w:tc>
        <w:tc>
          <w:tcPr>
            <w:tcW w:w="1127" w:type="dxa"/>
            <w:tcBorders>
              <w:top w:val="nil"/>
              <w:left w:val="nil"/>
              <w:bottom w:val="single" w:sz="4" w:space="0" w:color="auto"/>
              <w:right w:val="single" w:sz="4" w:space="0" w:color="auto"/>
            </w:tcBorders>
            <w:shd w:val="clear" w:color="auto" w:fill="C6EFCE"/>
            <w:noWrap/>
          </w:tcPr>
          <w:p w14:paraId="1CD26C5C"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F93CC7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4175F78"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FB67CEC"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56E34D2A"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9141F85" w14:textId="77777777" w:rsidR="003F46B9" w:rsidRDefault="0065662E">
            <w:pPr>
              <w:pStyle w:val="P68B1DB1-Normal5"/>
              <w:spacing w:after="0" w:line="240" w:lineRule="auto"/>
              <w:jc w:val="both"/>
              <w:rPr>
                <w:rFonts w:cs="Times New Roman"/>
                <w:noProof/>
              </w:rPr>
            </w:pPr>
            <w:r>
              <w:rPr>
                <w:noProof/>
              </w:rPr>
              <w:t>Nakon protokola o suradnji s inspekcijom rada sastavlja se zajednički akcijski plan koji uključuje gospodarske subjekte s</w:t>
            </w:r>
            <w:r>
              <w:rPr>
                <w:noProof/>
              </w:rPr>
              <w:t xml:space="preserve"> visokim fiskalnim rizikom i rizikom iz perspektive korištenja u okviru prijavljenog/neprijavljenog rada.</w:t>
            </w:r>
          </w:p>
          <w:p w14:paraId="440A144C" w14:textId="77777777" w:rsidR="003F46B9" w:rsidRDefault="0065662E">
            <w:pPr>
              <w:pStyle w:val="P68B1DB1-Normal5"/>
              <w:spacing w:after="0" w:line="240" w:lineRule="auto"/>
              <w:jc w:val="both"/>
              <w:rPr>
                <w:rFonts w:cs="Times New Roman"/>
                <w:noProof/>
              </w:rPr>
            </w:pPr>
            <w:r>
              <w:rPr>
                <w:noProof/>
              </w:rPr>
              <w:t>Raščlanjuju se prema vrstama sezonskih djelatnosti za koje je poznato da je učestalost navedenih rizika visoka.</w:t>
            </w:r>
          </w:p>
          <w:p w14:paraId="51B97F6D" w14:textId="77777777" w:rsidR="003F46B9" w:rsidRDefault="0065662E">
            <w:pPr>
              <w:pStyle w:val="P68B1DB1-Normal5"/>
              <w:spacing w:after="0" w:line="240" w:lineRule="auto"/>
              <w:jc w:val="both"/>
              <w:rPr>
                <w:rFonts w:cs="Times New Roman"/>
                <w:noProof/>
              </w:rPr>
            </w:pPr>
            <w:r>
              <w:rPr>
                <w:noProof/>
              </w:rPr>
              <w:t xml:space="preserve">Uprava uključenih struktura (Glavna </w:t>
            </w:r>
            <w:r>
              <w:rPr>
                <w:noProof/>
              </w:rPr>
              <w:t>uprava za borbu protiv poreznih prijevara i inspekcija rada) periodično analizira dobivene rezultate te mogućnosti i perspektive za ažuriranje plana, ovisno o pronađenim rezultatima.</w:t>
            </w:r>
          </w:p>
        </w:tc>
      </w:tr>
      <w:tr w:rsidR="003F46B9" w14:paraId="1452CF6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CEC1F" w14:textId="77777777" w:rsidR="003F46B9" w:rsidRDefault="0065662E">
            <w:pPr>
              <w:pStyle w:val="P68B1DB1-Normal5"/>
              <w:spacing w:after="0" w:line="240" w:lineRule="auto"/>
              <w:jc w:val="center"/>
              <w:rPr>
                <w:rFonts w:cs="Times New Roman"/>
                <w:noProof/>
              </w:rPr>
            </w:pPr>
            <w:r>
              <w:rPr>
                <w:noProof/>
              </w:rPr>
              <w:t>196</w:t>
            </w:r>
          </w:p>
        </w:tc>
        <w:tc>
          <w:tcPr>
            <w:tcW w:w="1843" w:type="dxa"/>
            <w:tcBorders>
              <w:top w:val="nil"/>
              <w:left w:val="nil"/>
              <w:bottom w:val="single" w:sz="4" w:space="0" w:color="auto"/>
              <w:right w:val="single" w:sz="4" w:space="0" w:color="auto"/>
            </w:tcBorders>
            <w:shd w:val="clear" w:color="auto" w:fill="C6EFCE"/>
            <w:noWrap/>
          </w:tcPr>
          <w:p w14:paraId="18AB2560" w14:textId="77777777" w:rsidR="003F46B9" w:rsidRDefault="0065662E">
            <w:pPr>
              <w:pStyle w:val="P68B1DB1-Normal5"/>
              <w:spacing w:after="0" w:line="240" w:lineRule="auto"/>
              <w:jc w:val="both"/>
              <w:rPr>
                <w:rFonts w:cs="Times New Roman"/>
                <w:noProof/>
              </w:rPr>
            </w:pPr>
            <w:r>
              <w:rPr>
                <w:noProof/>
              </w:rPr>
              <w:t xml:space="preserve">Reforma 1. Reforma Nacionalne agencije za fiskalnu upravu (ANAF) </w:t>
            </w:r>
            <w:r>
              <w:rPr>
                <w:noProof/>
              </w:rPr>
              <w:t>putem digitalizacije</w:t>
            </w:r>
          </w:p>
        </w:tc>
        <w:tc>
          <w:tcPr>
            <w:tcW w:w="1275" w:type="dxa"/>
            <w:tcBorders>
              <w:top w:val="nil"/>
              <w:left w:val="nil"/>
              <w:bottom w:val="single" w:sz="4" w:space="0" w:color="auto"/>
              <w:right w:val="single" w:sz="4" w:space="0" w:color="auto"/>
            </w:tcBorders>
            <w:shd w:val="clear" w:color="auto" w:fill="C6EFCE"/>
            <w:noWrap/>
          </w:tcPr>
          <w:p w14:paraId="78C58B9E"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4D8A31FF" w14:textId="77777777" w:rsidR="003F46B9" w:rsidRDefault="0065662E">
            <w:pPr>
              <w:pStyle w:val="P68B1DB1-Normal5"/>
              <w:spacing w:after="0" w:line="240" w:lineRule="auto"/>
              <w:jc w:val="both"/>
              <w:rPr>
                <w:rFonts w:cs="Times New Roman"/>
                <w:noProof/>
              </w:rPr>
            </w:pPr>
            <w:r>
              <w:rPr>
                <w:noProof/>
              </w:rPr>
              <w:t xml:space="preserve">Povećati udio prihoda koje prikuplja porezna uprava za najmanje 2,5 postotna boda BDP-a </w:t>
            </w:r>
          </w:p>
        </w:tc>
        <w:tc>
          <w:tcPr>
            <w:tcW w:w="1623" w:type="dxa"/>
            <w:gridSpan w:val="2"/>
            <w:tcBorders>
              <w:top w:val="nil"/>
              <w:left w:val="nil"/>
              <w:bottom w:val="single" w:sz="4" w:space="0" w:color="auto"/>
              <w:right w:val="single" w:sz="4" w:space="0" w:color="auto"/>
            </w:tcBorders>
            <w:shd w:val="clear" w:color="auto" w:fill="C6EFCE"/>
            <w:noWrap/>
          </w:tcPr>
          <w:p w14:paraId="49ACD861"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06F5EBCA" w14:textId="77777777" w:rsidR="003F46B9" w:rsidRDefault="0065662E">
            <w:pPr>
              <w:pStyle w:val="P68B1DB1-Normal5"/>
              <w:spacing w:after="0" w:line="240" w:lineRule="auto"/>
              <w:rPr>
                <w:rFonts w:cs="Times New Roman"/>
                <w:noProof/>
              </w:rPr>
            </w:pPr>
            <w:r>
              <w:rPr>
                <w:noProof/>
              </w:rPr>
              <w:t>Postotni bodovi BDP-a</w:t>
            </w:r>
          </w:p>
        </w:tc>
        <w:tc>
          <w:tcPr>
            <w:tcW w:w="1089" w:type="dxa"/>
            <w:tcBorders>
              <w:top w:val="nil"/>
              <w:left w:val="nil"/>
              <w:bottom w:val="single" w:sz="4" w:space="0" w:color="auto"/>
              <w:right w:val="single" w:sz="4" w:space="0" w:color="auto"/>
            </w:tcBorders>
            <w:shd w:val="clear" w:color="auto" w:fill="C6EFCE"/>
            <w:noWrap/>
          </w:tcPr>
          <w:p w14:paraId="2363631A"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6DD9132" w14:textId="77777777" w:rsidR="003F46B9" w:rsidRDefault="0065662E">
            <w:pPr>
              <w:pStyle w:val="P68B1DB1-Normal5"/>
              <w:spacing w:after="0" w:line="240" w:lineRule="auto"/>
              <w:rPr>
                <w:rFonts w:cs="Times New Roman"/>
                <w:noProof/>
              </w:rPr>
            </w:pPr>
            <w:r>
              <w:rPr>
                <w:noProof/>
              </w:rPr>
              <w:t>2,5</w:t>
            </w:r>
          </w:p>
        </w:tc>
        <w:tc>
          <w:tcPr>
            <w:tcW w:w="1134" w:type="dxa"/>
            <w:tcBorders>
              <w:top w:val="nil"/>
              <w:left w:val="nil"/>
              <w:bottom w:val="single" w:sz="4" w:space="0" w:color="auto"/>
              <w:right w:val="single" w:sz="4" w:space="0" w:color="auto"/>
            </w:tcBorders>
            <w:shd w:val="clear" w:color="auto" w:fill="C6EFCE"/>
            <w:noWrap/>
          </w:tcPr>
          <w:p w14:paraId="6D180035"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4CCCD150"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886BECE" w14:textId="77777777" w:rsidR="003F46B9" w:rsidRDefault="0065662E">
            <w:pPr>
              <w:pStyle w:val="P68B1DB1-Normal5"/>
              <w:spacing w:after="0" w:line="240" w:lineRule="auto"/>
              <w:jc w:val="both"/>
              <w:rPr>
                <w:rFonts w:cs="Times New Roman"/>
                <w:noProof/>
              </w:rPr>
            </w:pPr>
            <w:r>
              <w:rPr>
                <w:noProof/>
              </w:rPr>
              <w:t>Udio poreznih prihoda povećava se za najmanje 2,5 postotna boda BDP-a u usporedbi s ra</w:t>
            </w:r>
            <w:r>
              <w:rPr>
                <w:noProof/>
              </w:rPr>
              <w:t xml:space="preserve">zinom zabilježenom 2019. </w:t>
            </w:r>
          </w:p>
        </w:tc>
      </w:tr>
      <w:tr w:rsidR="003F46B9" w14:paraId="5BC0B99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EAC7AE" w14:textId="77777777" w:rsidR="003F46B9" w:rsidRDefault="0065662E">
            <w:pPr>
              <w:pStyle w:val="P68B1DB1-Normal5"/>
              <w:spacing w:after="0" w:line="240" w:lineRule="auto"/>
              <w:jc w:val="center"/>
              <w:rPr>
                <w:rFonts w:cs="Times New Roman"/>
                <w:noProof/>
              </w:rPr>
            </w:pPr>
            <w:r>
              <w:rPr>
                <w:noProof/>
              </w:rPr>
              <w:t>197</w:t>
            </w:r>
          </w:p>
        </w:tc>
        <w:tc>
          <w:tcPr>
            <w:tcW w:w="1843" w:type="dxa"/>
            <w:tcBorders>
              <w:top w:val="nil"/>
              <w:left w:val="nil"/>
              <w:bottom w:val="single" w:sz="4" w:space="0" w:color="auto"/>
              <w:right w:val="single" w:sz="4" w:space="0" w:color="auto"/>
            </w:tcBorders>
            <w:shd w:val="clear" w:color="auto" w:fill="C6EFCE"/>
            <w:noWrap/>
          </w:tcPr>
          <w:p w14:paraId="14FB3954" w14:textId="77777777" w:rsidR="003F46B9" w:rsidRDefault="0065662E">
            <w:pPr>
              <w:pStyle w:val="P68B1DB1-Normal5"/>
              <w:spacing w:after="0" w:line="240" w:lineRule="auto"/>
              <w:jc w:val="both"/>
              <w:rPr>
                <w:rFonts w:cs="Times New Roman"/>
                <w:noProof/>
              </w:rPr>
            </w:pPr>
            <w:r>
              <w:rPr>
                <w:noProof/>
              </w:rPr>
              <w:t>Reforma 1. Reforma Nacionalne agencije za fiskalnu upravu (ANAF) putem digitalizacije</w:t>
            </w:r>
          </w:p>
        </w:tc>
        <w:tc>
          <w:tcPr>
            <w:tcW w:w="1275" w:type="dxa"/>
            <w:tcBorders>
              <w:top w:val="nil"/>
              <w:left w:val="nil"/>
              <w:bottom w:val="single" w:sz="4" w:space="0" w:color="auto"/>
              <w:right w:val="single" w:sz="4" w:space="0" w:color="auto"/>
            </w:tcBorders>
            <w:shd w:val="clear" w:color="auto" w:fill="C6EFCE"/>
            <w:noWrap/>
          </w:tcPr>
          <w:p w14:paraId="04D2FA33"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2CD53039" w14:textId="77777777" w:rsidR="003F46B9" w:rsidRDefault="0065662E">
            <w:pPr>
              <w:pStyle w:val="P68B1DB1-Normal5"/>
              <w:spacing w:after="0" w:line="240" w:lineRule="auto"/>
              <w:jc w:val="both"/>
              <w:rPr>
                <w:rFonts w:cs="Times New Roman"/>
                <w:noProof/>
              </w:rPr>
            </w:pPr>
            <w:r>
              <w:rPr>
                <w:noProof/>
              </w:rPr>
              <w:t xml:space="preserve">Smanjenje jaza PDV-a za 5 postotnih bodova </w:t>
            </w:r>
          </w:p>
        </w:tc>
        <w:tc>
          <w:tcPr>
            <w:tcW w:w="1623" w:type="dxa"/>
            <w:gridSpan w:val="2"/>
            <w:tcBorders>
              <w:top w:val="nil"/>
              <w:left w:val="nil"/>
              <w:bottom w:val="single" w:sz="4" w:space="0" w:color="auto"/>
              <w:right w:val="single" w:sz="4" w:space="0" w:color="auto"/>
            </w:tcBorders>
            <w:shd w:val="clear" w:color="auto" w:fill="C6EFCE"/>
            <w:noWrap/>
          </w:tcPr>
          <w:p w14:paraId="09A7CF4E"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05C89997" w14:textId="77777777" w:rsidR="003F46B9" w:rsidRDefault="0065662E">
            <w:pPr>
              <w:pStyle w:val="P68B1DB1-Normal5"/>
              <w:spacing w:after="0" w:line="240" w:lineRule="auto"/>
              <w:rPr>
                <w:rFonts w:cs="Times New Roman"/>
                <w:noProof/>
              </w:rPr>
            </w:pPr>
            <w:r>
              <w:rPr>
                <w:noProof/>
              </w:rPr>
              <w:t>Postotni bodovi</w:t>
            </w:r>
          </w:p>
        </w:tc>
        <w:tc>
          <w:tcPr>
            <w:tcW w:w="1089" w:type="dxa"/>
            <w:tcBorders>
              <w:top w:val="nil"/>
              <w:left w:val="nil"/>
              <w:bottom w:val="single" w:sz="4" w:space="0" w:color="auto"/>
              <w:right w:val="single" w:sz="4" w:space="0" w:color="auto"/>
            </w:tcBorders>
            <w:shd w:val="clear" w:color="auto" w:fill="C6EFCE"/>
            <w:noWrap/>
          </w:tcPr>
          <w:p w14:paraId="7BB8D672"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D07D423" w14:textId="77777777" w:rsidR="003F46B9" w:rsidRDefault="0065662E">
            <w:pPr>
              <w:pStyle w:val="P68B1DB1-Normal5"/>
              <w:spacing w:after="0" w:line="240" w:lineRule="auto"/>
              <w:rPr>
                <w:rFonts w:cs="Times New Roman"/>
                <w:noProof/>
              </w:rPr>
            </w:pPr>
            <w:r>
              <w:rPr>
                <w:noProof/>
              </w:rPr>
              <w:t>5</w:t>
            </w:r>
          </w:p>
          <w:p w14:paraId="30624551"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509FEFB"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2B87B2C2" w14:textId="77777777" w:rsidR="003F46B9" w:rsidRDefault="0065662E">
            <w:pPr>
              <w:pStyle w:val="P68B1DB1-Normal5"/>
              <w:spacing w:after="0" w:line="240" w:lineRule="auto"/>
              <w:jc w:val="center"/>
              <w:rPr>
                <w:rFonts w:cs="Times New Roman"/>
                <w:noProof/>
              </w:rPr>
            </w:pPr>
            <w:r>
              <w:rPr>
                <w:noProof/>
              </w:rPr>
              <w:t>2026</w:t>
            </w:r>
          </w:p>
        </w:tc>
        <w:tc>
          <w:tcPr>
            <w:tcW w:w="3119" w:type="dxa"/>
            <w:tcBorders>
              <w:top w:val="nil"/>
              <w:left w:val="nil"/>
              <w:bottom w:val="single" w:sz="4" w:space="0" w:color="auto"/>
              <w:right w:val="single" w:sz="4" w:space="0" w:color="auto"/>
            </w:tcBorders>
            <w:shd w:val="clear" w:color="auto" w:fill="C6EFCE"/>
            <w:noWrap/>
          </w:tcPr>
          <w:p w14:paraId="0FE19293" w14:textId="77777777" w:rsidR="003F46B9" w:rsidRDefault="0065662E">
            <w:pPr>
              <w:pStyle w:val="P68B1DB1-Normal5"/>
              <w:spacing w:after="0" w:line="240" w:lineRule="auto"/>
              <w:jc w:val="both"/>
              <w:rPr>
                <w:rFonts w:cs="Times New Roman"/>
                <w:noProof/>
              </w:rPr>
            </w:pPr>
            <w:r>
              <w:rPr>
                <w:noProof/>
              </w:rPr>
              <w:t xml:space="preserve">Jaz PDV-a smanjen je za 5 postotnih bodova u usporedbi s razinom iz 2019. </w:t>
            </w:r>
          </w:p>
        </w:tc>
      </w:tr>
      <w:tr w:rsidR="003F46B9" w14:paraId="56AFEB8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B9BB0F1" w14:textId="77777777" w:rsidR="003F46B9" w:rsidRDefault="0065662E">
            <w:pPr>
              <w:pStyle w:val="P68B1DB1-Normal5"/>
              <w:spacing w:after="0" w:line="240" w:lineRule="auto"/>
              <w:jc w:val="center"/>
              <w:rPr>
                <w:rFonts w:cs="Times New Roman"/>
                <w:noProof/>
              </w:rPr>
            </w:pPr>
            <w:r>
              <w:rPr>
                <w:noProof/>
              </w:rPr>
              <w:t>198</w:t>
            </w:r>
          </w:p>
        </w:tc>
        <w:tc>
          <w:tcPr>
            <w:tcW w:w="1843" w:type="dxa"/>
            <w:tcBorders>
              <w:top w:val="nil"/>
              <w:left w:val="nil"/>
              <w:bottom w:val="single" w:sz="4" w:space="0" w:color="auto"/>
              <w:right w:val="single" w:sz="4" w:space="0" w:color="auto"/>
            </w:tcBorders>
            <w:shd w:val="clear" w:color="auto" w:fill="C6EFCE"/>
            <w:noWrap/>
          </w:tcPr>
          <w:p w14:paraId="6EDFC90B" w14:textId="77777777" w:rsidR="003F46B9" w:rsidRDefault="0065662E">
            <w:pPr>
              <w:pStyle w:val="P68B1DB1-Normal5"/>
              <w:spacing w:after="0" w:line="240" w:lineRule="auto"/>
              <w:jc w:val="both"/>
              <w:rPr>
                <w:rFonts w:cs="Times New Roman"/>
                <w:noProof/>
              </w:rPr>
            </w:pPr>
            <w:r>
              <w:rPr>
                <w:noProof/>
              </w:rPr>
              <w:t xml:space="preserve">Reforma 2. Modernizacija carinskog sustava i uvođenje elektroničke carine </w:t>
            </w:r>
          </w:p>
        </w:tc>
        <w:tc>
          <w:tcPr>
            <w:tcW w:w="1275" w:type="dxa"/>
            <w:tcBorders>
              <w:top w:val="nil"/>
              <w:left w:val="nil"/>
              <w:bottom w:val="single" w:sz="4" w:space="0" w:color="auto"/>
              <w:right w:val="single" w:sz="4" w:space="0" w:color="auto"/>
            </w:tcBorders>
            <w:shd w:val="clear" w:color="auto" w:fill="C6EFCE"/>
            <w:noWrap/>
          </w:tcPr>
          <w:p w14:paraId="1A308D61"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3AC88BF" w14:textId="77777777" w:rsidR="003F46B9" w:rsidRDefault="0065662E">
            <w:pPr>
              <w:pStyle w:val="P68B1DB1-Normal5"/>
              <w:spacing w:after="0" w:line="240" w:lineRule="auto"/>
              <w:jc w:val="both"/>
              <w:rPr>
                <w:rFonts w:cs="Times New Roman"/>
                <w:noProof/>
              </w:rPr>
            </w:pPr>
            <w:bookmarkStart w:id="9" w:name="_Hlk81579001"/>
            <w:r>
              <w:rPr>
                <w:noProof/>
              </w:rPr>
              <w:t xml:space="preserve">Stupanje na snagu izmjena postojećeg pravnog okvira za poboljšanje funkcioniranja </w:t>
            </w:r>
            <w:r>
              <w:rPr>
                <w:noProof/>
              </w:rPr>
              <w:t>carinske uprave</w:t>
            </w:r>
          </w:p>
          <w:bookmarkEnd w:id="9"/>
          <w:p w14:paraId="1D06DE4E" w14:textId="77777777" w:rsidR="003F46B9" w:rsidRDefault="003F46B9">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2B8B24CA" w14:textId="77777777" w:rsidR="003F46B9" w:rsidRDefault="0065662E">
            <w:pPr>
              <w:pStyle w:val="P68B1DB1-Normal5"/>
              <w:spacing w:after="0" w:line="240" w:lineRule="auto"/>
              <w:jc w:val="both"/>
              <w:rPr>
                <w:rFonts w:cs="Times New Roman"/>
                <w:noProof/>
              </w:rPr>
            </w:pPr>
            <w:r>
              <w:rPr>
                <w:noProof/>
              </w:rPr>
              <w:t>Odredba u zakonu u kojoj se navodi stupanje na snagu izmjena postojećeg pravnog okvira za poboljšanje funkcioniranja carinske uprave</w:t>
            </w:r>
          </w:p>
        </w:tc>
        <w:tc>
          <w:tcPr>
            <w:tcW w:w="1127" w:type="dxa"/>
            <w:tcBorders>
              <w:top w:val="nil"/>
              <w:left w:val="nil"/>
              <w:bottom w:val="single" w:sz="4" w:space="0" w:color="auto"/>
              <w:right w:val="single" w:sz="4" w:space="0" w:color="auto"/>
            </w:tcBorders>
            <w:shd w:val="clear" w:color="auto" w:fill="C6EFCE"/>
            <w:noWrap/>
          </w:tcPr>
          <w:p w14:paraId="140F13A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172B9D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94FB5A9"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1F8DE5A"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1376E0E4"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529E3529" w14:textId="77777777" w:rsidR="003F46B9" w:rsidRDefault="0065662E">
            <w:pPr>
              <w:pStyle w:val="P68B1DB1-Normal5"/>
              <w:spacing w:after="0" w:line="240" w:lineRule="auto"/>
              <w:jc w:val="both"/>
              <w:rPr>
                <w:rFonts w:cs="Times New Roman"/>
                <w:noProof/>
              </w:rPr>
            </w:pPr>
            <w:r>
              <w:rPr>
                <w:noProof/>
              </w:rPr>
              <w:t>Cilj je reforme poboljšati administrativne i operativne kapacitete carinske up</w:t>
            </w:r>
            <w:r>
              <w:rPr>
                <w:noProof/>
              </w:rPr>
              <w:t xml:space="preserve">rave i usmjeriti aktivnosti carinjenja prema potpuno elektroničkom okruženju. Reformom se također operacionalizira elektronički carinski sustav nakon uvođenja relevantnih informatičkih sustava. Posebno se provode sljedeće mjere: </w:t>
            </w:r>
          </w:p>
          <w:p w14:paraId="1A6A57CA"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razvoj carinskih informaci</w:t>
            </w:r>
            <w:r>
              <w:rPr>
                <w:noProof/>
              </w:rPr>
              <w:t xml:space="preserve">jskih sustava u skladu sa zahtjevima Carinskog zakonika Unije; </w:t>
            </w:r>
          </w:p>
          <w:p w14:paraId="7CB69774"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usmjeravanje carinjenja na elektroničko okruženje i smanjenje birokratskih prepreka;</w:t>
            </w:r>
          </w:p>
          <w:p w14:paraId="03DD2A64"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pojednostavnjenje carinskih formalnosti.</w:t>
            </w:r>
          </w:p>
        </w:tc>
      </w:tr>
      <w:tr w:rsidR="003F46B9" w14:paraId="0FB662B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EAC85F" w14:textId="77777777" w:rsidR="003F46B9" w:rsidRDefault="0065662E">
            <w:pPr>
              <w:pStyle w:val="P68B1DB1-Normal5"/>
              <w:spacing w:after="0" w:line="240" w:lineRule="auto"/>
              <w:jc w:val="center"/>
              <w:rPr>
                <w:rFonts w:cs="Times New Roman"/>
                <w:noProof/>
              </w:rPr>
            </w:pPr>
            <w:r>
              <w:rPr>
                <w:noProof/>
              </w:rPr>
              <w:t>199</w:t>
            </w:r>
          </w:p>
        </w:tc>
        <w:tc>
          <w:tcPr>
            <w:tcW w:w="1843" w:type="dxa"/>
            <w:tcBorders>
              <w:top w:val="nil"/>
              <w:left w:val="nil"/>
              <w:bottom w:val="single" w:sz="4" w:space="0" w:color="auto"/>
              <w:right w:val="single" w:sz="4" w:space="0" w:color="auto"/>
            </w:tcBorders>
            <w:shd w:val="clear" w:color="auto" w:fill="C6EFCE"/>
            <w:noWrap/>
          </w:tcPr>
          <w:p w14:paraId="0B15BECE" w14:textId="77777777" w:rsidR="003F46B9" w:rsidRDefault="0065662E">
            <w:pPr>
              <w:pStyle w:val="P68B1DB1-Normal5"/>
              <w:spacing w:after="0" w:line="240" w:lineRule="auto"/>
              <w:jc w:val="both"/>
              <w:rPr>
                <w:rFonts w:cs="Times New Roman"/>
                <w:noProof/>
              </w:rPr>
            </w:pPr>
            <w:r>
              <w:rPr>
                <w:noProof/>
              </w:rPr>
              <w:t xml:space="preserve">Reforma 3. 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5C45939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743BEEE1" w14:textId="77777777" w:rsidR="003F46B9" w:rsidRDefault="0065662E">
            <w:pPr>
              <w:pStyle w:val="P68B1DB1-Normal5"/>
              <w:spacing w:after="0" w:line="240" w:lineRule="auto"/>
              <w:jc w:val="both"/>
              <w:rPr>
                <w:rFonts w:cs="Times New Roman"/>
                <w:noProof/>
              </w:rPr>
            </w:pPr>
            <w:r>
              <w:rPr>
                <w:noProof/>
              </w:rPr>
              <w:t>Stupanje na snagu izmijenjenog regulatornog okvira kako bi se osiguralo višegodišnje proračunsko planiranje za važne projekte javnih ulaganja i provela ex post evaluacija revizija rashoda koje provodi Fiskalno vijeće</w:t>
            </w:r>
          </w:p>
        </w:tc>
        <w:tc>
          <w:tcPr>
            <w:tcW w:w="1623" w:type="dxa"/>
            <w:gridSpan w:val="2"/>
            <w:tcBorders>
              <w:top w:val="nil"/>
              <w:left w:val="nil"/>
              <w:bottom w:val="single" w:sz="4" w:space="0" w:color="auto"/>
              <w:right w:val="single" w:sz="4" w:space="0" w:color="auto"/>
            </w:tcBorders>
            <w:shd w:val="clear" w:color="auto" w:fill="C6EFCE"/>
            <w:noWrap/>
          </w:tcPr>
          <w:p w14:paraId="3A482493" w14:textId="77777777" w:rsidR="003F46B9" w:rsidRDefault="0065662E">
            <w:pPr>
              <w:pStyle w:val="P68B1DB1-Normal5"/>
              <w:spacing w:after="0" w:line="240" w:lineRule="auto"/>
              <w:jc w:val="both"/>
              <w:rPr>
                <w:rFonts w:cs="Times New Roman"/>
                <w:noProof/>
              </w:rPr>
            </w:pPr>
            <w:r>
              <w:rPr>
                <w:noProof/>
              </w:rPr>
              <w:t>Zakonska odredba o stupanju</w:t>
            </w:r>
            <w:r>
              <w:rPr>
                <w:noProof/>
              </w:rPr>
              <w:t xml:space="preserve"> na snagu izmjena kako bi se osiguralo višegodišnje proračunsko planiranje za značajne projekte javnih ulaganja</w:t>
            </w:r>
          </w:p>
        </w:tc>
        <w:tc>
          <w:tcPr>
            <w:tcW w:w="1127" w:type="dxa"/>
            <w:tcBorders>
              <w:top w:val="nil"/>
              <w:left w:val="nil"/>
              <w:bottom w:val="single" w:sz="4" w:space="0" w:color="auto"/>
              <w:right w:val="single" w:sz="4" w:space="0" w:color="auto"/>
            </w:tcBorders>
            <w:shd w:val="clear" w:color="auto" w:fill="C6EFCE"/>
            <w:noWrap/>
          </w:tcPr>
          <w:p w14:paraId="7CAFF889"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5DE9782"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76713E4"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872FE79"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4E995055"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AABA7B1" w14:textId="77777777" w:rsidR="003F46B9" w:rsidRDefault="0065662E">
            <w:pPr>
              <w:pStyle w:val="P68B1DB1-Normal5"/>
              <w:spacing w:after="0" w:line="240" w:lineRule="auto"/>
              <w:jc w:val="both"/>
              <w:rPr>
                <w:rFonts w:cs="Times New Roman"/>
                <w:noProof/>
              </w:rPr>
            </w:pPr>
            <w:r>
              <w:rPr>
                <w:noProof/>
              </w:rPr>
              <w:t>Novim regulatornim okvirom mijenjaju se:</w:t>
            </w:r>
          </w:p>
          <w:p w14:paraId="564D10D5" w14:textId="77777777" w:rsidR="003F46B9" w:rsidRDefault="0065662E">
            <w:pPr>
              <w:pStyle w:val="P68B1DB1-Normal5"/>
              <w:spacing w:after="0" w:line="240" w:lineRule="auto"/>
              <w:jc w:val="both"/>
              <w:rPr>
                <w:rFonts w:cs="Times New Roman"/>
                <w:noProof/>
              </w:rPr>
            </w:pPr>
            <w:r>
              <w:rPr>
                <w:noProof/>
              </w:rPr>
              <w:t>Zakon br. 500/2002 o javnim financijama, kako je izmijenjen, kojim se utvrđ</w:t>
            </w:r>
            <w:r>
              <w:rPr>
                <w:noProof/>
              </w:rPr>
              <w:t>uju kriteriji i uvjeti za proračunsku izgradnju višegodišnjih značajnih projekata javnih ulaganja, osobito izdataka za značajne projekte ulaganja, kako bi se osiguralo financiranje do njihova dovršetka.</w:t>
            </w:r>
          </w:p>
          <w:p w14:paraId="658BABEB" w14:textId="77777777" w:rsidR="003F46B9" w:rsidRDefault="0065662E">
            <w:pPr>
              <w:pStyle w:val="P68B1DB1-Normal5"/>
              <w:spacing w:after="0" w:line="240" w:lineRule="auto"/>
              <w:jc w:val="both"/>
              <w:rPr>
                <w:rFonts w:cs="Times New Roman"/>
                <w:noProof/>
              </w:rPr>
            </w:pPr>
            <w:r>
              <w:rPr>
                <w:noProof/>
              </w:rPr>
              <w:t>—Izvanredna uredba Vlade br. 88/2013 o donošenju određenih fiskalnih i proračunskih mjera za ispunjavanje obveza dogovorenih s međunarodnim tijelima te o izmjeni i dopuni određenih zakonodavnih akata, kako je izmijenjena, kojom se ažuriraju načela na kojim</w:t>
            </w:r>
            <w:r>
              <w:rPr>
                <w:noProof/>
              </w:rPr>
              <w:t xml:space="preserve">a se temelji davanje prednosti važnim, novim i tekućim projektima javnih ulaganja u smislu financijske pristupačnosti i održivosti te ekonomske i socijalne opravdanosti; vremenski okvir postupka određivanja prioriteta za značajna javna ulaganja ažurira se </w:t>
            </w:r>
            <w:r>
              <w:rPr>
                <w:noProof/>
              </w:rPr>
              <w:t>kako bi bio povezan s vremenskim rasporedom pripreme godišnjeg i višegodišnjeg proračuna proračuna; uvode se uvjeti/sankcije za vodeće dužnosnike za ovjeravanje koji ne poštuju rokove i pravila određivanja prioriteta za značajna ulaganja;</w:t>
            </w:r>
          </w:p>
          <w:p w14:paraId="3A4F4FD5" w14:textId="65AFAD9A" w:rsidR="003F46B9" w:rsidRDefault="0065662E">
            <w:pPr>
              <w:pStyle w:val="P68B1DB1-Normal5"/>
              <w:spacing w:after="0" w:line="240" w:lineRule="auto"/>
              <w:jc w:val="both"/>
              <w:rPr>
                <w:rFonts w:cs="Times New Roman"/>
                <w:noProof/>
              </w:rPr>
            </w:pPr>
            <w:r>
              <w:rPr>
                <w:noProof/>
              </w:rPr>
              <w:t>—Odluka Vlade br.</w:t>
            </w:r>
            <w:r>
              <w:rPr>
                <w:noProof/>
              </w:rPr>
              <w:t xml:space="preserve"> 225/2014 o odobravanju metodoloških pravila o određivanju prioriteta projekata javnih ulaganja, kako je izmijenjena, kojom se mijenjaju kriteriji za određivanje prioriteta primjenjivi na značajne nove projekte javnih ulaganja koji su u tijeku i nakon toga</w:t>
            </w:r>
            <w:r>
              <w:rPr>
                <w:noProof/>
              </w:rPr>
              <w:t xml:space="preserve">, kako bi izrada proračuna bila usmjerena na prioritetno dovršenje velikih projekata ulaganja u naprednim fazama provedbe. </w:t>
            </w:r>
          </w:p>
        </w:tc>
      </w:tr>
      <w:tr w:rsidR="003F46B9" w14:paraId="2C9C98C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2F5D321" w14:textId="77777777" w:rsidR="003F46B9" w:rsidRDefault="0065662E">
            <w:pPr>
              <w:pStyle w:val="P68B1DB1-Normal5"/>
              <w:spacing w:after="0" w:line="240" w:lineRule="auto"/>
              <w:jc w:val="center"/>
              <w:rPr>
                <w:rFonts w:cs="Times New Roman"/>
                <w:noProof/>
              </w:rPr>
            </w:pPr>
            <w:r>
              <w:rPr>
                <w:noProof/>
              </w:rPr>
              <w:t>200</w:t>
            </w:r>
          </w:p>
        </w:tc>
        <w:tc>
          <w:tcPr>
            <w:tcW w:w="1843" w:type="dxa"/>
            <w:tcBorders>
              <w:top w:val="nil"/>
              <w:left w:val="nil"/>
              <w:bottom w:val="single" w:sz="4" w:space="0" w:color="auto"/>
              <w:right w:val="single" w:sz="4" w:space="0" w:color="auto"/>
            </w:tcBorders>
            <w:shd w:val="clear" w:color="auto" w:fill="C6EFCE"/>
            <w:noWrap/>
          </w:tcPr>
          <w:p w14:paraId="0BB1923A" w14:textId="6B1EC6E5" w:rsidR="003F46B9" w:rsidRDefault="0065662E">
            <w:pPr>
              <w:pStyle w:val="P68B1DB1-Normal5"/>
              <w:spacing w:after="0" w:line="240" w:lineRule="auto"/>
              <w:jc w:val="both"/>
              <w:rPr>
                <w:rFonts w:cs="Times New Roman"/>
                <w:noProof/>
              </w:rPr>
            </w:pPr>
            <w:r>
              <w:rPr>
                <w:noProof/>
              </w:rPr>
              <w:t xml:space="preserve">Reforma 3. 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36436A8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3598984" w14:textId="77777777" w:rsidR="003F46B9" w:rsidRDefault="0065662E">
            <w:pPr>
              <w:pStyle w:val="P68B1DB1-Normal5"/>
              <w:spacing w:after="0" w:line="240" w:lineRule="auto"/>
              <w:jc w:val="both"/>
              <w:rPr>
                <w:rFonts w:cs="Times New Roman"/>
                <w:noProof/>
              </w:rPr>
            </w:pPr>
            <w:r>
              <w:rPr>
                <w:noProof/>
              </w:rPr>
              <w:t xml:space="preserve">Stupanje na snagu odluke Vlade o odobrenju </w:t>
            </w:r>
            <w:r>
              <w:rPr>
                <w:noProof/>
              </w:rPr>
              <w:t>metodologije izrade, praćenja i izvješćivanja o proračunskim programima</w:t>
            </w:r>
          </w:p>
        </w:tc>
        <w:tc>
          <w:tcPr>
            <w:tcW w:w="1623" w:type="dxa"/>
            <w:gridSpan w:val="2"/>
            <w:tcBorders>
              <w:top w:val="nil"/>
              <w:left w:val="nil"/>
              <w:bottom w:val="single" w:sz="4" w:space="0" w:color="auto"/>
              <w:right w:val="single" w:sz="4" w:space="0" w:color="auto"/>
            </w:tcBorders>
            <w:shd w:val="clear" w:color="auto" w:fill="C6EFCE"/>
            <w:noWrap/>
          </w:tcPr>
          <w:p w14:paraId="2CFD5EB4" w14:textId="77777777" w:rsidR="003F46B9" w:rsidRDefault="0065662E">
            <w:pPr>
              <w:pStyle w:val="P68B1DB1-Normal5"/>
              <w:spacing w:after="0" w:line="240" w:lineRule="auto"/>
              <w:jc w:val="both"/>
              <w:rPr>
                <w:rFonts w:cs="Times New Roman"/>
                <w:noProof/>
              </w:rPr>
            </w:pPr>
            <w:r>
              <w:rPr>
                <w:noProof/>
              </w:rPr>
              <w:t>Odredba vladine odluke o stupanju na snagu zakonodavnog akta za odobrenje metodologije izrade, praćenja i izvješćivanja o proračunskim programima</w:t>
            </w:r>
          </w:p>
        </w:tc>
        <w:tc>
          <w:tcPr>
            <w:tcW w:w="1127" w:type="dxa"/>
            <w:tcBorders>
              <w:top w:val="nil"/>
              <w:left w:val="nil"/>
              <w:bottom w:val="single" w:sz="4" w:space="0" w:color="auto"/>
              <w:right w:val="single" w:sz="4" w:space="0" w:color="auto"/>
            </w:tcBorders>
            <w:shd w:val="clear" w:color="auto" w:fill="C6EFCE"/>
            <w:noWrap/>
          </w:tcPr>
          <w:p w14:paraId="0F26D963"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06E7511"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88DFFAB"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A960B94"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7946F90A"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2CCF164" w14:textId="77777777" w:rsidR="003F46B9" w:rsidRDefault="0065662E">
            <w:pPr>
              <w:pStyle w:val="P68B1DB1-Normal5"/>
              <w:spacing w:after="0" w:line="240" w:lineRule="auto"/>
              <w:jc w:val="both"/>
              <w:rPr>
                <w:rFonts w:cs="Times New Roman"/>
                <w:noProof/>
              </w:rPr>
            </w:pPr>
            <w:r>
              <w:rPr>
                <w:noProof/>
              </w:rPr>
              <w:t>Vladinim aktom o o</w:t>
            </w:r>
            <w:r>
              <w:rPr>
                <w:noProof/>
              </w:rPr>
              <w:t>dluci:</w:t>
            </w:r>
          </w:p>
          <w:p w14:paraId="7B554D6F" w14:textId="77777777" w:rsidR="003F46B9" w:rsidRDefault="0065662E">
            <w:pPr>
              <w:pStyle w:val="P68B1DB1-Normal5"/>
              <w:spacing w:after="0" w:line="240" w:lineRule="auto"/>
              <w:jc w:val="both"/>
              <w:rPr>
                <w:rFonts w:cs="Times New Roman"/>
                <w:noProof/>
              </w:rPr>
            </w:pPr>
            <w:r>
              <w:rPr>
                <w:noProof/>
              </w:rPr>
              <w:t>—osigurati izradu i praćenje proračunskih programa te izvješćivanje o njima</w:t>
            </w:r>
          </w:p>
          <w:p w14:paraId="12889FCD" w14:textId="77777777" w:rsidR="003F46B9" w:rsidRDefault="0065662E">
            <w:pPr>
              <w:pStyle w:val="P68B1DB1-Normal5"/>
              <w:spacing w:after="0" w:line="240" w:lineRule="auto"/>
              <w:jc w:val="both"/>
              <w:rPr>
                <w:rFonts w:eastAsia="Times New Roman" w:cs="Times New Roman"/>
                <w:noProof/>
              </w:rPr>
            </w:pPr>
            <w:r>
              <w:rPr>
                <w:noProof/>
              </w:rPr>
              <w:t>—poboljšati proračunsko planiranje na temelju uspješnosti i povećati usmjerenost na rezultate,</w:t>
            </w:r>
          </w:p>
          <w:p w14:paraId="1E673458" w14:textId="77777777" w:rsidR="003F46B9" w:rsidRDefault="0065662E">
            <w:pPr>
              <w:pStyle w:val="P68B1DB1-Normal5"/>
              <w:spacing w:after="0" w:line="240" w:lineRule="auto"/>
              <w:jc w:val="both"/>
              <w:rPr>
                <w:rFonts w:eastAsia="Times New Roman" w:cs="Times New Roman"/>
                <w:noProof/>
              </w:rPr>
            </w:pPr>
            <w:r>
              <w:rPr>
                <w:noProof/>
              </w:rPr>
              <w:t>—jasno definirati ciljeve, ciljne vrijednosti, rezultate djelovanja, učinak po</w:t>
            </w:r>
            <w:r>
              <w:rPr>
                <w:noProof/>
              </w:rPr>
              <w:t>litika i pokazatelje koji omogućuju financiranje strogih ex ante rasprava o javnim politikama te transparentnu i obrazloženu procjenu načina na koji su proračunski programi postigli ciljeve i ciljne vrijednosti javnih politika.</w:t>
            </w:r>
          </w:p>
          <w:p w14:paraId="784FE8A2" w14:textId="77777777" w:rsidR="003F46B9" w:rsidRDefault="0065662E">
            <w:pPr>
              <w:pStyle w:val="P68B1DB1-Normal5"/>
              <w:spacing w:after="0" w:line="240" w:lineRule="auto"/>
              <w:jc w:val="both"/>
              <w:rPr>
                <w:rFonts w:cs="Times New Roman"/>
                <w:noProof/>
              </w:rPr>
            </w:pPr>
            <w:r>
              <w:rPr>
                <w:noProof/>
              </w:rPr>
              <w:t xml:space="preserve">Ta odluka vlade povezana je </w:t>
            </w:r>
            <w:r>
              <w:rPr>
                <w:noProof/>
              </w:rPr>
              <w:t xml:space="preserve">s revizijom aplikacije Budget_NG. </w:t>
            </w:r>
          </w:p>
        </w:tc>
      </w:tr>
      <w:tr w:rsidR="003F46B9" w14:paraId="6BFF977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9E8D06" w14:textId="77777777" w:rsidR="003F46B9" w:rsidRDefault="0065662E">
            <w:pPr>
              <w:pStyle w:val="P68B1DB1-Normal5"/>
              <w:spacing w:after="0" w:line="240" w:lineRule="auto"/>
              <w:jc w:val="center"/>
              <w:rPr>
                <w:rFonts w:cs="Times New Roman"/>
                <w:noProof/>
              </w:rPr>
            </w:pPr>
            <w:r>
              <w:rPr>
                <w:noProof/>
              </w:rPr>
              <w:t>201</w:t>
            </w:r>
          </w:p>
        </w:tc>
        <w:tc>
          <w:tcPr>
            <w:tcW w:w="1843" w:type="dxa"/>
            <w:tcBorders>
              <w:top w:val="nil"/>
              <w:left w:val="nil"/>
              <w:bottom w:val="single" w:sz="4" w:space="0" w:color="auto"/>
              <w:right w:val="single" w:sz="4" w:space="0" w:color="auto"/>
            </w:tcBorders>
            <w:shd w:val="clear" w:color="auto" w:fill="C6EFCE"/>
            <w:noWrap/>
          </w:tcPr>
          <w:p w14:paraId="7394DA85" w14:textId="0A31CAEA" w:rsidR="003F46B9" w:rsidRDefault="0065662E">
            <w:pPr>
              <w:pStyle w:val="P68B1DB1-Normal5"/>
              <w:spacing w:after="0" w:line="240" w:lineRule="auto"/>
              <w:jc w:val="both"/>
              <w:rPr>
                <w:rFonts w:cs="Times New Roman"/>
                <w:noProof/>
              </w:rPr>
            </w:pPr>
            <w:r>
              <w:rPr>
                <w:noProof/>
              </w:rPr>
              <w:t xml:space="preserve">Reforma 3. </w:t>
            </w:r>
          </w:p>
          <w:p w14:paraId="30901B20" w14:textId="77777777" w:rsidR="003F46B9" w:rsidRDefault="0065662E">
            <w:pPr>
              <w:pStyle w:val="P68B1DB1-Normal5"/>
              <w:spacing w:after="0" w:line="240" w:lineRule="auto"/>
              <w:jc w:val="both"/>
              <w:rPr>
                <w:rFonts w:cs="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236D696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37705E0B" w14:textId="77777777" w:rsidR="003F46B9" w:rsidRDefault="0065662E">
            <w:pPr>
              <w:pStyle w:val="P68B1DB1-Normal5"/>
              <w:spacing w:after="0" w:line="240" w:lineRule="auto"/>
              <w:jc w:val="both"/>
              <w:rPr>
                <w:rFonts w:cs="Times New Roman"/>
                <w:noProof/>
              </w:rPr>
            </w:pPr>
            <w:r>
              <w:rPr>
                <w:noProof/>
              </w:rPr>
              <w:t xml:space="preserve">Završetak revizije potrošnje u sektorima zdravstva i obrazovanja </w:t>
            </w:r>
          </w:p>
        </w:tc>
        <w:tc>
          <w:tcPr>
            <w:tcW w:w="1623" w:type="dxa"/>
            <w:gridSpan w:val="2"/>
            <w:tcBorders>
              <w:top w:val="nil"/>
              <w:left w:val="nil"/>
              <w:bottom w:val="single" w:sz="4" w:space="0" w:color="auto"/>
              <w:right w:val="single" w:sz="4" w:space="0" w:color="auto"/>
            </w:tcBorders>
            <w:shd w:val="clear" w:color="auto" w:fill="C6EFCE"/>
            <w:noWrap/>
          </w:tcPr>
          <w:p w14:paraId="6CD4A17D" w14:textId="77777777" w:rsidR="003F46B9" w:rsidRDefault="0065662E">
            <w:pPr>
              <w:pStyle w:val="P68B1DB1-Normal5"/>
              <w:spacing w:after="0" w:line="240" w:lineRule="auto"/>
              <w:jc w:val="both"/>
              <w:rPr>
                <w:rFonts w:cs="Times New Roman"/>
                <w:noProof/>
              </w:rPr>
            </w:pPr>
            <w:r>
              <w:rPr>
                <w:noProof/>
              </w:rPr>
              <w:t>Objavljivanje analize potrošnje u području obrazovanja i zdravstva</w:t>
            </w:r>
          </w:p>
        </w:tc>
        <w:tc>
          <w:tcPr>
            <w:tcW w:w="1127" w:type="dxa"/>
            <w:tcBorders>
              <w:top w:val="nil"/>
              <w:left w:val="nil"/>
              <w:bottom w:val="single" w:sz="4" w:space="0" w:color="auto"/>
              <w:right w:val="single" w:sz="4" w:space="0" w:color="auto"/>
            </w:tcBorders>
            <w:shd w:val="clear" w:color="auto" w:fill="C6EFCE"/>
            <w:noWrap/>
          </w:tcPr>
          <w:p w14:paraId="34441BEA"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3EFC23D"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FB7D06"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DF80102"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6E4B7B8C"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60CF912F" w14:textId="77777777" w:rsidR="003F46B9" w:rsidRDefault="0065662E">
            <w:pPr>
              <w:pStyle w:val="P68B1DB1-Normal5"/>
              <w:spacing w:after="0" w:line="240" w:lineRule="auto"/>
              <w:jc w:val="both"/>
              <w:rPr>
                <w:rFonts w:cs="Times New Roman"/>
                <w:noProof/>
              </w:rPr>
            </w:pPr>
            <w:r>
              <w:rPr>
                <w:noProof/>
              </w:rPr>
              <w:t>Revizija potrošnje u sektorima zdravstva i obrazovanja provodi se u tri glavna koraka:</w:t>
            </w:r>
          </w:p>
          <w:p w14:paraId="1601A480" w14:textId="77777777" w:rsidR="003F46B9" w:rsidRDefault="0065662E">
            <w:pPr>
              <w:pStyle w:val="P68B1DB1-ListParagraph13"/>
              <w:numPr>
                <w:ilvl w:val="0"/>
                <w:numId w:val="66"/>
              </w:numPr>
              <w:spacing w:after="0" w:line="240" w:lineRule="auto"/>
              <w:jc w:val="both"/>
              <w:rPr>
                <w:rFonts w:cs="Times New Roman"/>
                <w:noProof/>
              </w:rPr>
            </w:pPr>
            <w:r>
              <w:rPr>
                <w:noProof/>
              </w:rPr>
              <w:t xml:space="preserve">Memorandum Vlade u kojem se predstavlja revizija potrošnje u području zdravstva i obrazovanja </w:t>
            </w:r>
          </w:p>
          <w:p w14:paraId="58106F9B" w14:textId="77777777" w:rsidR="003F46B9" w:rsidRDefault="0065662E">
            <w:pPr>
              <w:pStyle w:val="P68B1DB1-ListParagraph13"/>
              <w:numPr>
                <w:ilvl w:val="0"/>
                <w:numId w:val="66"/>
              </w:numPr>
              <w:spacing w:after="0" w:line="240" w:lineRule="auto"/>
              <w:jc w:val="both"/>
              <w:rPr>
                <w:rFonts w:cs="Times New Roman"/>
                <w:noProof/>
              </w:rPr>
            </w:pPr>
            <w:r>
              <w:rPr>
                <w:noProof/>
              </w:rPr>
              <w:t>Osnivanje tematskih radnih skupina s predstavnicima Minis</w:t>
            </w:r>
            <w:r>
              <w:rPr>
                <w:noProof/>
              </w:rPr>
              <w:t xml:space="preserve">tarstva financija, Ministarstva zdravstva, Nacionalnog zavoda za zdravstveno osiguranje/Ministarstva obrazovanja </w:t>
            </w:r>
          </w:p>
          <w:p w14:paraId="0996747D" w14:textId="77777777" w:rsidR="003F46B9" w:rsidRDefault="0065662E">
            <w:pPr>
              <w:pStyle w:val="P68B1DB1-ListParagraph13"/>
              <w:numPr>
                <w:ilvl w:val="0"/>
                <w:numId w:val="66"/>
              </w:numPr>
              <w:spacing w:after="0" w:line="240" w:lineRule="auto"/>
              <w:jc w:val="both"/>
              <w:rPr>
                <w:rFonts w:cs="Times New Roman"/>
                <w:noProof/>
              </w:rPr>
            </w:pPr>
            <w:r>
              <w:rPr>
                <w:noProof/>
              </w:rPr>
              <w:t>Prikupljanje podataka, dovršetak analiza i predstavljanje rezultata.</w:t>
            </w:r>
          </w:p>
        </w:tc>
      </w:tr>
      <w:tr w:rsidR="003F46B9" w14:paraId="3830273D"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762383F" w14:textId="77777777" w:rsidR="003F46B9" w:rsidRDefault="0065662E">
            <w:pPr>
              <w:pStyle w:val="P68B1DB1-Normal5"/>
              <w:spacing w:after="0" w:line="240" w:lineRule="auto"/>
              <w:jc w:val="center"/>
              <w:rPr>
                <w:rFonts w:cs="Times New Roman"/>
                <w:noProof/>
              </w:rPr>
            </w:pPr>
            <w:r>
              <w:rPr>
                <w:noProof/>
              </w:rPr>
              <w:t>202</w:t>
            </w:r>
          </w:p>
        </w:tc>
        <w:tc>
          <w:tcPr>
            <w:tcW w:w="1843" w:type="dxa"/>
            <w:tcBorders>
              <w:top w:val="nil"/>
              <w:left w:val="nil"/>
              <w:bottom w:val="single" w:sz="4" w:space="0" w:color="auto"/>
              <w:right w:val="single" w:sz="4" w:space="0" w:color="auto"/>
            </w:tcBorders>
            <w:shd w:val="clear" w:color="auto" w:fill="C6EFCE"/>
            <w:noWrap/>
          </w:tcPr>
          <w:p w14:paraId="1E14B383" w14:textId="0B5B19C4" w:rsidR="003F46B9" w:rsidRDefault="0065662E">
            <w:pPr>
              <w:pStyle w:val="P68B1DB1-Normal5"/>
              <w:spacing w:after="0" w:line="240" w:lineRule="auto"/>
              <w:jc w:val="both"/>
              <w:rPr>
                <w:rFonts w:cs="Times New Roman"/>
                <w:noProof/>
              </w:rPr>
            </w:pPr>
            <w:r>
              <w:rPr>
                <w:noProof/>
              </w:rPr>
              <w:t xml:space="preserve">Reforma 3. 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1B376E4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388E4A6C" w14:textId="77777777" w:rsidR="003F46B9" w:rsidRDefault="0065662E">
            <w:pPr>
              <w:pStyle w:val="P68B1DB1-Normal5"/>
              <w:spacing w:after="0" w:line="240" w:lineRule="auto"/>
              <w:jc w:val="both"/>
              <w:rPr>
                <w:rFonts w:cs="Times New Roman"/>
                <w:noProof/>
              </w:rPr>
            </w:pPr>
            <w:r>
              <w:rPr>
                <w:noProof/>
              </w:rPr>
              <w:t xml:space="preserve">Donošenje višegodišnje strategije i kalendara za sustavnu reviziju rashoda u svim sektorima </w:t>
            </w:r>
          </w:p>
        </w:tc>
        <w:tc>
          <w:tcPr>
            <w:tcW w:w="1623" w:type="dxa"/>
            <w:gridSpan w:val="2"/>
            <w:tcBorders>
              <w:top w:val="nil"/>
              <w:left w:val="nil"/>
              <w:bottom w:val="single" w:sz="4" w:space="0" w:color="auto"/>
              <w:right w:val="single" w:sz="4" w:space="0" w:color="auto"/>
            </w:tcBorders>
            <w:shd w:val="clear" w:color="auto" w:fill="C6EFCE"/>
            <w:noWrap/>
          </w:tcPr>
          <w:p w14:paraId="45C9E6A7" w14:textId="77777777" w:rsidR="003F46B9" w:rsidRDefault="0065662E">
            <w:pPr>
              <w:pStyle w:val="P68B1DB1-Normal5"/>
              <w:spacing w:after="0" w:line="240" w:lineRule="auto"/>
              <w:jc w:val="both"/>
              <w:rPr>
                <w:rFonts w:cs="Times New Roman"/>
                <w:noProof/>
              </w:rPr>
            </w:pPr>
            <w:r>
              <w:rPr>
                <w:noProof/>
              </w:rPr>
              <w:t xml:space="preserve">Memorandum koji je odobrila vlada i objavila </w:t>
            </w:r>
          </w:p>
        </w:tc>
        <w:tc>
          <w:tcPr>
            <w:tcW w:w="1127" w:type="dxa"/>
            <w:tcBorders>
              <w:top w:val="nil"/>
              <w:left w:val="nil"/>
              <w:bottom w:val="single" w:sz="4" w:space="0" w:color="auto"/>
              <w:right w:val="single" w:sz="4" w:space="0" w:color="auto"/>
            </w:tcBorders>
            <w:shd w:val="clear" w:color="auto" w:fill="C6EFCE"/>
            <w:noWrap/>
          </w:tcPr>
          <w:p w14:paraId="6DA27134"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BDDBE3F"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4D82F28"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495FB2F"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08D1F1E6"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939C464" w14:textId="77777777" w:rsidR="003F46B9" w:rsidRDefault="0065662E">
            <w:pPr>
              <w:pStyle w:val="P68B1DB1-Normal5"/>
              <w:spacing w:after="0" w:line="240" w:lineRule="auto"/>
              <w:jc w:val="both"/>
              <w:rPr>
                <w:rFonts w:cs="Times New Roman"/>
                <w:noProof/>
              </w:rPr>
            </w:pPr>
            <w:r>
              <w:rPr>
                <w:noProof/>
              </w:rPr>
              <w:t>Memorandum na odobrenje Vladi sastavlja Ministarstvo financija u kojem se navode podr</w:t>
            </w:r>
            <w:r>
              <w:rPr>
                <w:noProof/>
              </w:rPr>
              <w:t>učja/programi/aktivnosti koji će biti predmet budućih revizija rashoda, raspored provedbe, nadležne institucije i osnivanje radnih skupina za svako područje koje se razmatra.</w:t>
            </w:r>
          </w:p>
        </w:tc>
      </w:tr>
      <w:tr w:rsidR="003F46B9" w14:paraId="2059D5B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A5E3331" w14:textId="77777777" w:rsidR="003F46B9" w:rsidRDefault="0065662E">
            <w:pPr>
              <w:pStyle w:val="P68B1DB1-Normal5"/>
              <w:spacing w:after="0" w:line="240" w:lineRule="auto"/>
              <w:jc w:val="center"/>
              <w:rPr>
                <w:rFonts w:cs="Times New Roman"/>
                <w:noProof/>
              </w:rPr>
            </w:pPr>
            <w:r>
              <w:rPr>
                <w:noProof/>
              </w:rPr>
              <w:t>203</w:t>
            </w:r>
          </w:p>
        </w:tc>
        <w:tc>
          <w:tcPr>
            <w:tcW w:w="1843" w:type="dxa"/>
            <w:tcBorders>
              <w:top w:val="nil"/>
              <w:left w:val="nil"/>
              <w:bottom w:val="single" w:sz="4" w:space="0" w:color="auto"/>
              <w:right w:val="single" w:sz="4" w:space="0" w:color="auto"/>
            </w:tcBorders>
            <w:shd w:val="clear" w:color="auto" w:fill="C6EFCE"/>
            <w:noWrap/>
          </w:tcPr>
          <w:p w14:paraId="7ADEA515" w14:textId="77777777" w:rsidR="003F46B9" w:rsidRDefault="0065662E">
            <w:pPr>
              <w:pStyle w:val="P68B1DB1-Normal5"/>
              <w:spacing w:after="0" w:line="240" w:lineRule="auto"/>
              <w:jc w:val="both"/>
              <w:rPr>
                <w:rFonts w:cs="Times New Roman"/>
                <w:noProof/>
              </w:rPr>
            </w:pPr>
            <w:r>
              <w:rPr>
                <w:noProof/>
              </w:rPr>
              <w:t xml:space="preserve">Reforma 3. </w:t>
            </w:r>
          </w:p>
          <w:p w14:paraId="4A6FFF01" w14:textId="77777777" w:rsidR="003F46B9" w:rsidRDefault="0065662E">
            <w:pPr>
              <w:pStyle w:val="P68B1DB1-Normal5"/>
              <w:spacing w:after="0" w:line="240" w:lineRule="auto"/>
              <w:jc w:val="both"/>
              <w:rPr>
                <w:rFonts w:cs="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4596A44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3F2811C1" w14:textId="77777777" w:rsidR="003F46B9" w:rsidRDefault="0065662E">
            <w:pPr>
              <w:pStyle w:val="P68B1DB1-Normal5"/>
              <w:spacing w:after="0" w:line="240" w:lineRule="auto"/>
              <w:jc w:val="both"/>
              <w:rPr>
                <w:rFonts w:cs="Times New Roman"/>
                <w:noProof/>
              </w:rPr>
            </w:pPr>
            <w:r>
              <w:rPr>
                <w:noProof/>
              </w:rPr>
              <w:t>Nacrt proračunskog zakona za 2024. uključuje preporuke iz revizija rashoda (zdravstvo i obrazovanje)</w:t>
            </w:r>
          </w:p>
        </w:tc>
        <w:tc>
          <w:tcPr>
            <w:tcW w:w="1623" w:type="dxa"/>
            <w:gridSpan w:val="2"/>
            <w:tcBorders>
              <w:top w:val="nil"/>
              <w:left w:val="nil"/>
              <w:bottom w:val="single" w:sz="4" w:space="0" w:color="auto"/>
              <w:right w:val="single" w:sz="4" w:space="0" w:color="auto"/>
            </w:tcBorders>
            <w:shd w:val="clear" w:color="auto" w:fill="C6EFCE"/>
            <w:noWrap/>
          </w:tcPr>
          <w:p w14:paraId="7F3DDF2B" w14:textId="77777777" w:rsidR="003F46B9" w:rsidRDefault="0065662E">
            <w:pPr>
              <w:pStyle w:val="P68B1DB1-Normal5"/>
              <w:spacing w:after="0" w:line="240" w:lineRule="auto"/>
              <w:jc w:val="both"/>
              <w:rPr>
                <w:rFonts w:cs="Times New Roman"/>
                <w:noProof/>
              </w:rPr>
            </w:pPr>
            <w:r>
              <w:rPr>
                <w:noProof/>
              </w:rPr>
              <w:t>Nacrt proračuna uključuje rezultate analiza potrošnje u području zdravstva i obrazovanja</w:t>
            </w:r>
          </w:p>
        </w:tc>
        <w:tc>
          <w:tcPr>
            <w:tcW w:w="1127" w:type="dxa"/>
            <w:tcBorders>
              <w:top w:val="nil"/>
              <w:left w:val="nil"/>
              <w:bottom w:val="single" w:sz="4" w:space="0" w:color="auto"/>
              <w:right w:val="single" w:sz="4" w:space="0" w:color="auto"/>
            </w:tcBorders>
            <w:shd w:val="clear" w:color="auto" w:fill="C6EFCE"/>
            <w:noWrap/>
          </w:tcPr>
          <w:p w14:paraId="03A76E75"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9453F77"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0A0A495"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DD68E45"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1B1CB201"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36E5938A" w14:textId="77777777" w:rsidR="003F46B9" w:rsidRDefault="0065662E">
            <w:pPr>
              <w:pStyle w:val="P68B1DB1-Normal5"/>
              <w:spacing w:after="0" w:line="240" w:lineRule="auto"/>
              <w:jc w:val="both"/>
              <w:rPr>
                <w:rFonts w:cs="Times New Roman"/>
                <w:noProof/>
              </w:rPr>
            </w:pPr>
            <w:r>
              <w:rPr>
                <w:noProof/>
              </w:rPr>
              <w:t xml:space="preserve">Nacrt proračuna za 2024. odražava mjere i prijedloge koji proizlaze iz revizija potrošnje za zdravstvo i obrazovanje. </w:t>
            </w:r>
          </w:p>
        </w:tc>
      </w:tr>
      <w:tr w:rsidR="003F46B9" w14:paraId="2B07255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16773BD" w14:textId="77777777" w:rsidR="003F46B9" w:rsidRDefault="0065662E">
            <w:pPr>
              <w:pStyle w:val="P68B1DB1-Normal5"/>
              <w:spacing w:after="0" w:line="240" w:lineRule="auto"/>
              <w:jc w:val="center"/>
              <w:rPr>
                <w:rFonts w:cs="Times New Roman"/>
                <w:noProof/>
              </w:rPr>
            </w:pPr>
            <w:r>
              <w:rPr>
                <w:noProof/>
              </w:rPr>
              <w:t>204</w:t>
            </w:r>
          </w:p>
        </w:tc>
        <w:tc>
          <w:tcPr>
            <w:tcW w:w="1843" w:type="dxa"/>
            <w:tcBorders>
              <w:top w:val="nil"/>
              <w:left w:val="nil"/>
              <w:bottom w:val="single" w:sz="4" w:space="0" w:color="auto"/>
              <w:right w:val="single" w:sz="4" w:space="0" w:color="auto"/>
            </w:tcBorders>
            <w:shd w:val="clear" w:color="auto" w:fill="C6EFCE"/>
            <w:noWrap/>
          </w:tcPr>
          <w:p w14:paraId="68CFF957" w14:textId="77777777" w:rsidR="003F46B9" w:rsidRDefault="0065662E">
            <w:pPr>
              <w:pStyle w:val="P68B1DB1-Normal5"/>
              <w:spacing w:after="0" w:line="240" w:lineRule="auto"/>
              <w:jc w:val="both"/>
              <w:rPr>
                <w:rFonts w:cs="Times New Roman"/>
                <w:noProof/>
              </w:rPr>
            </w:pPr>
            <w:r>
              <w:rPr>
                <w:noProof/>
              </w:rPr>
              <w:t xml:space="preserve">Reforma 3. </w:t>
            </w:r>
          </w:p>
          <w:p w14:paraId="0D9D7D16" w14:textId="77777777" w:rsidR="003F46B9" w:rsidRDefault="0065662E">
            <w:pPr>
              <w:pStyle w:val="P68B1DB1-Normal5"/>
              <w:spacing w:after="0" w:line="240" w:lineRule="auto"/>
              <w:jc w:val="both"/>
              <w:rPr>
                <w:rFonts w:cs="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6DD47FD8"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0C396CEB" w14:textId="77777777" w:rsidR="003F46B9" w:rsidRDefault="0065662E">
            <w:pPr>
              <w:pStyle w:val="P68B1DB1-Normal5"/>
              <w:spacing w:after="0" w:line="240" w:lineRule="auto"/>
              <w:jc w:val="both"/>
              <w:rPr>
                <w:rFonts w:cs="Times New Roman"/>
                <w:noProof/>
              </w:rPr>
            </w:pPr>
            <w:r>
              <w:rPr>
                <w:noProof/>
              </w:rPr>
              <w:t xml:space="preserve">Stupanje na snagu zakona kojim se </w:t>
            </w:r>
            <w:r>
              <w:rPr>
                <w:noProof/>
              </w:rPr>
              <w:t xml:space="preserve">Fiskalnom vijeću povjerava redovita procjena učinka revizija rashoda i priprema izvješća o provedbi </w:t>
            </w:r>
          </w:p>
        </w:tc>
        <w:tc>
          <w:tcPr>
            <w:tcW w:w="1623" w:type="dxa"/>
            <w:gridSpan w:val="2"/>
            <w:tcBorders>
              <w:top w:val="nil"/>
              <w:left w:val="nil"/>
              <w:bottom w:val="single" w:sz="4" w:space="0" w:color="auto"/>
              <w:right w:val="single" w:sz="4" w:space="0" w:color="auto"/>
            </w:tcBorders>
            <w:shd w:val="clear" w:color="auto" w:fill="C6EFCE"/>
            <w:noWrap/>
          </w:tcPr>
          <w:p w14:paraId="12143922" w14:textId="77777777" w:rsidR="003F46B9" w:rsidRDefault="003F46B9">
            <w:pPr>
              <w:spacing w:after="0" w:line="240" w:lineRule="auto"/>
              <w:jc w:val="both"/>
              <w:rPr>
                <w:rFonts w:ascii="Times New Roman" w:hAnsi="Times New Roman" w:cs="Times New Roman"/>
                <w:noProof/>
                <w:sz w:val="24"/>
              </w:rPr>
            </w:pPr>
          </w:p>
          <w:p w14:paraId="2CE084F3" w14:textId="77777777" w:rsidR="003F46B9" w:rsidRDefault="0065662E">
            <w:pPr>
              <w:pStyle w:val="P68B1DB1-Normal5"/>
              <w:spacing w:after="0" w:line="240" w:lineRule="auto"/>
              <w:jc w:val="both"/>
              <w:rPr>
                <w:rFonts w:cs="Times New Roman"/>
                <w:noProof/>
              </w:rPr>
            </w:pPr>
            <w:r>
              <w:rPr>
                <w:noProof/>
              </w:rPr>
              <w:t>Zakonska odredba o stupanju na snagu mandata neovisne institucije</w:t>
            </w:r>
          </w:p>
        </w:tc>
        <w:tc>
          <w:tcPr>
            <w:tcW w:w="1127" w:type="dxa"/>
            <w:tcBorders>
              <w:top w:val="nil"/>
              <w:left w:val="nil"/>
              <w:bottom w:val="single" w:sz="4" w:space="0" w:color="auto"/>
              <w:right w:val="single" w:sz="4" w:space="0" w:color="auto"/>
            </w:tcBorders>
            <w:shd w:val="clear" w:color="auto" w:fill="C6EFCE"/>
            <w:noWrap/>
          </w:tcPr>
          <w:p w14:paraId="3C592F93"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482F750"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F569AE4"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8810D12"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39DF4946"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460AE52F" w14:textId="77777777" w:rsidR="003F46B9" w:rsidRDefault="0065662E">
            <w:pPr>
              <w:pStyle w:val="P68B1DB1-Normal5"/>
              <w:spacing w:after="0" w:line="240" w:lineRule="auto"/>
              <w:jc w:val="both"/>
              <w:rPr>
                <w:rFonts w:cs="Times New Roman"/>
                <w:noProof/>
              </w:rPr>
            </w:pPr>
            <w:r>
              <w:rPr>
                <w:noProof/>
              </w:rPr>
              <w:t>Zakonom se Fiskalnom vijeću daje mandat za izdavanje mišljenja o ish</w:t>
            </w:r>
            <w:r>
              <w:rPr>
                <w:noProof/>
              </w:rPr>
              <w:t>odu analize rashoda počevši od proračuna za 2024., nakon čega slijedi godišnje izvješćivanje. To redovito preispitivanje temelji se na mandatu fiskalnog vijeća, koji će se donijeti zajedno s promjenama fiskalnog zakona (ključna etapa 199).</w:t>
            </w:r>
          </w:p>
        </w:tc>
      </w:tr>
      <w:tr w:rsidR="003F46B9" w14:paraId="5607B8AD"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C30A90A" w14:textId="77777777" w:rsidR="003F46B9" w:rsidRDefault="0065662E">
            <w:pPr>
              <w:pStyle w:val="P68B1DB1-Normal5"/>
              <w:spacing w:after="0" w:line="240" w:lineRule="auto"/>
              <w:jc w:val="center"/>
              <w:rPr>
                <w:rFonts w:cs="Times New Roman"/>
                <w:noProof/>
              </w:rPr>
            </w:pPr>
            <w:r>
              <w:rPr>
                <w:noProof/>
              </w:rPr>
              <w:t>205</w:t>
            </w:r>
          </w:p>
        </w:tc>
        <w:tc>
          <w:tcPr>
            <w:tcW w:w="1843" w:type="dxa"/>
            <w:tcBorders>
              <w:top w:val="nil"/>
              <w:left w:val="nil"/>
              <w:bottom w:val="single" w:sz="4" w:space="0" w:color="auto"/>
              <w:right w:val="single" w:sz="4" w:space="0" w:color="auto"/>
            </w:tcBorders>
            <w:shd w:val="clear" w:color="auto" w:fill="C6EFCE"/>
            <w:noWrap/>
          </w:tcPr>
          <w:p w14:paraId="01D1B915" w14:textId="77777777" w:rsidR="003F46B9" w:rsidRDefault="0065662E">
            <w:pPr>
              <w:pStyle w:val="P68B1DB1-Normal5"/>
              <w:spacing w:after="0" w:line="240" w:lineRule="auto"/>
              <w:jc w:val="both"/>
              <w:rPr>
                <w:rFonts w:cs="Times New Roman"/>
                <w:noProof/>
              </w:rPr>
            </w:pPr>
            <w:r>
              <w:rPr>
                <w:noProof/>
              </w:rPr>
              <w:t xml:space="preserve">Reforma 4. Revizija poreznog okvira </w:t>
            </w:r>
          </w:p>
        </w:tc>
        <w:tc>
          <w:tcPr>
            <w:tcW w:w="1275" w:type="dxa"/>
            <w:tcBorders>
              <w:top w:val="nil"/>
              <w:left w:val="nil"/>
              <w:bottom w:val="single" w:sz="4" w:space="0" w:color="auto"/>
              <w:right w:val="single" w:sz="4" w:space="0" w:color="auto"/>
            </w:tcBorders>
            <w:shd w:val="clear" w:color="auto" w:fill="C6EFCE"/>
            <w:noWrap/>
          </w:tcPr>
          <w:p w14:paraId="65B602F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29BA6C1" w14:textId="77777777" w:rsidR="003F46B9" w:rsidRDefault="0065662E">
            <w:pPr>
              <w:pStyle w:val="P68B1DB1-Normal5"/>
              <w:spacing w:after="0" w:line="240" w:lineRule="auto"/>
              <w:jc w:val="both"/>
              <w:rPr>
                <w:rFonts w:cs="Times New Roman"/>
                <w:noProof/>
              </w:rPr>
            </w:pPr>
            <w:r>
              <w:rPr>
                <w:noProof/>
              </w:rPr>
              <w:t>Analiza rumunjskog poreznog sustava s ciljem izrade preporuka kako bi se osiguralo da porezni sustav doprinosi promicanju i očuvanju održivog gospodarskog rasta</w:t>
            </w:r>
          </w:p>
        </w:tc>
        <w:tc>
          <w:tcPr>
            <w:tcW w:w="1623" w:type="dxa"/>
            <w:gridSpan w:val="2"/>
            <w:tcBorders>
              <w:top w:val="nil"/>
              <w:left w:val="nil"/>
              <w:bottom w:val="single" w:sz="4" w:space="0" w:color="auto"/>
              <w:right w:val="single" w:sz="4" w:space="0" w:color="auto"/>
            </w:tcBorders>
            <w:shd w:val="clear" w:color="auto" w:fill="C6EFCE"/>
            <w:noWrap/>
          </w:tcPr>
          <w:p w14:paraId="7859045D" w14:textId="77777777" w:rsidR="003F46B9" w:rsidRDefault="0065662E">
            <w:pPr>
              <w:pStyle w:val="P68B1DB1-Normal5"/>
              <w:spacing w:after="0" w:line="240" w:lineRule="auto"/>
              <w:jc w:val="both"/>
              <w:rPr>
                <w:rFonts w:cs="Times New Roman"/>
                <w:noProof/>
              </w:rPr>
            </w:pPr>
            <w:r>
              <w:rPr>
                <w:noProof/>
              </w:rPr>
              <w:t>Dovršena analiza, objava izvješća s analizom i</w:t>
            </w:r>
            <w:r>
              <w:rPr>
                <w:noProof/>
              </w:rPr>
              <w:t xml:space="preserve"> preporukama koje su odobrile neovisne institucije koje pružaju tehničku pomoć/suautorizirale neovisne institucije koje pružaju tehničku pomoć</w:t>
            </w:r>
          </w:p>
        </w:tc>
        <w:tc>
          <w:tcPr>
            <w:tcW w:w="1127" w:type="dxa"/>
            <w:tcBorders>
              <w:top w:val="nil"/>
              <w:left w:val="nil"/>
              <w:bottom w:val="single" w:sz="4" w:space="0" w:color="auto"/>
              <w:right w:val="single" w:sz="4" w:space="0" w:color="auto"/>
            </w:tcBorders>
            <w:shd w:val="clear" w:color="auto" w:fill="C6EFCE"/>
            <w:noWrap/>
          </w:tcPr>
          <w:p w14:paraId="0A096437" w14:textId="77777777" w:rsidR="003F46B9" w:rsidRDefault="0065662E">
            <w:pPr>
              <w:pStyle w:val="P68B1DB1-Normal5"/>
              <w:spacing w:after="0" w:line="240" w:lineRule="auto"/>
              <w:rPr>
                <w:rFonts w:cs="Times New Roman"/>
                <w:noProof/>
              </w:rPr>
            </w:pPr>
            <w:r>
              <w:rPr>
                <w:noProof/>
              </w:rPr>
              <w:t>NIJE PRIMJENJIVO</w:t>
            </w:r>
          </w:p>
        </w:tc>
        <w:tc>
          <w:tcPr>
            <w:tcW w:w="1089" w:type="dxa"/>
            <w:tcBorders>
              <w:top w:val="nil"/>
              <w:left w:val="nil"/>
              <w:bottom w:val="single" w:sz="4" w:space="0" w:color="auto"/>
              <w:right w:val="single" w:sz="4" w:space="0" w:color="auto"/>
            </w:tcBorders>
            <w:shd w:val="clear" w:color="auto" w:fill="C6EFCE"/>
            <w:noWrap/>
          </w:tcPr>
          <w:p w14:paraId="25565259" w14:textId="77777777" w:rsidR="003F46B9" w:rsidRDefault="0065662E">
            <w:pPr>
              <w:pStyle w:val="P68B1DB1-Normal5"/>
              <w:spacing w:after="0" w:line="240" w:lineRule="auto"/>
              <w:rPr>
                <w:rFonts w:cs="Times New Roman"/>
                <w:noProof/>
              </w:rPr>
            </w:pPr>
            <w:r>
              <w:rPr>
                <w:noProof/>
              </w:rPr>
              <w:t>NIJE PRIMJENJIVO</w:t>
            </w:r>
          </w:p>
        </w:tc>
        <w:tc>
          <w:tcPr>
            <w:tcW w:w="1276" w:type="dxa"/>
            <w:tcBorders>
              <w:top w:val="nil"/>
              <w:left w:val="nil"/>
              <w:bottom w:val="single" w:sz="4" w:space="0" w:color="auto"/>
              <w:right w:val="single" w:sz="4" w:space="0" w:color="auto"/>
            </w:tcBorders>
            <w:shd w:val="clear" w:color="auto" w:fill="C6EFCE"/>
            <w:noWrap/>
          </w:tcPr>
          <w:p w14:paraId="7BA1D4EE"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A729BEF"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9D4E1D5"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26E8A98F" w14:textId="77777777" w:rsidR="003F46B9" w:rsidRDefault="0065662E">
            <w:pPr>
              <w:pStyle w:val="P68B1DB1-Normal5"/>
              <w:spacing w:after="0" w:line="240" w:lineRule="auto"/>
              <w:jc w:val="both"/>
              <w:rPr>
                <w:rFonts w:cs="Times New Roman"/>
                <w:noProof/>
              </w:rPr>
            </w:pPr>
            <w:r>
              <w:rPr>
                <w:noProof/>
              </w:rPr>
              <w:t>Ministarstvo financija, uz potporu tehničke pomoći, s</w:t>
            </w:r>
            <w:r>
              <w:rPr>
                <w:noProof/>
              </w:rPr>
              <w:t xml:space="preserve">avjetodavnih i savjetodavnih usluga, provodi analizu o tome kako poboljšati strukturu rumunjskog poreznog sustava/poreznog zakonodavstva kako bi se osiguralo da porezni sustav doprinosi promicanju i očuvanju održivog gospodarskog rasta. Naglasak je na: </w:t>
            </w:r>
          </w:p>
          <w:p w14:paraId="46BD8C1F" w14:textId="77777777" w:rsidR="003F46B9" w:rsidRDefault="0065662E">
            <w:pPr>
              <w:pStyle w:val="P68B1DB1-Normal5"/>
              <w:spacing w:after="0" w:line="240" w:lineRule="auto"/>
              <w:jc w:val="both"/>
              <w:rPr>
                <w:rFonts w:cs="Times New Roman"/>
                <w:noProof/>
              </w:rPr>
            </w:pPr>
            <w:r>
              <w:rPr>
                <w:noProof/>
              </w:rPr>
              <w:t xml:space="preserve">o </w:t>
            </w:r>
            <w:r>
              <w:rPr>
                <w:noProof/>
              </w:rPr>
              <w:t xml:space="preserve">postupnom ukidanju poreznih poticaja i rupa u zakonu u području poreza na dohodak, poreza na dobit (uključujući posebne programe na koje se mogu primjenjivati iznimke), </w:t>
            </w:r>
          </w:p>
          <w:p w14:paraId="70B54B70" w14:textId="77777777" w:rsidR="003F46B9" w:rsidRDefault="0065662E">
            <w:pPr>
              <w:pStyle w:val="P68B1DB1-Normal5"/>
              <w:spacing w:after="0" w:line="240" w:lineRule="auto"/>
              <w:jc w:val="both"/>
              <w:rPr>
                <w:rFonts w:cs="Times New Roman"/>
                <w:noProof/>
              </w:rPr>
            </w:pPr>
            <w:r>
              <w:rPr>
                <w:noProof/>
              </w:rPr>
              <w:t xml:space="preserve">—o socijalnim doprinosima i porezu na nekretnine (tj. lokalnim porezima) i </w:t>
            </w:r>
          </w:p>
          <w:p w14:paraId="761C0125" w14:textId="77777777" w:rsidR="003F46B9" w:rsidRDefault="0065662E">
            <w:pPr>
              <w:pStyle w:val="P68B1DB1-Normal5"/>
              <w:spacing w:after="0" w:line="240" w:lineRule="auto"/>
              <w:jc w:val="both"/>
              <w:rPr>
                <w:rFonts w:cs="Times New Roman"/>
                <w:noProof/>
              </w:rPr>
            </w:pPr>
            <w:r>
              <w:rPr>
                <w:noProof/>
              </w:rPr>
              <w:t>—o preusmj</w:t>
            </w:r>
            <w:r>
              <w:rPr>
                <w:noProof/>
              </w:rPr>
              <w:t xml:space="preserve">eravanju oporezivanja na zelene poreze, uzimajući u obzir distribucijske učinke. </w:t>
            </w:r>
          </w:p>
          <w:p w14:paraId="2B64D337" w14:textId="77777777" w:rsidR="003F46B9" w:rsidRDefault="0065662E">
            <w:pPr>
              <w:pStyle w:val="P68B1DB1-Normal5"/>
              <w:spacing w:after="0" w:line="240" w:lineRule="auto"/>
              <w:jc w:val="both"/>
              <w:rPr>
                <w:rFonts w:cs="Times New Roman"/>
                <w:noProof/>
              </w:rPr>
            </w:pPr>
            <w:r>
              <w:rPr>
                <w:noProof/>
              </w:rPr>
              <w:t>Analizu i preporuke objavljuje Ministarstvo financija.</w:t>
            </w:r>
          </w:p>
        </w:tc>
      </w:tr>
      <w:tr w:rsidR="003F46B9" w14:paraId="7CD35B4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1449A92" w14:textId="77777777" w:rsidR="003F46B9" w:rsidRDefault="0065662E">
            <w:pPr>
              <w:pStyle w:val="P68B1DB1-Normal5"/>
              <w:spacing w:after="0" w:line="240" w:lineRule="auto"/>
              <w:jc w:val="center"/>
              <w:rPr>
                <w:rFonts w:cs="Times New Roman"/>
                <w:noProof/>
              </w:rPr>
            </w:pPr>
            <w:r>
              <w:rPr>
                <w:noProof/>
              </w:rPr>
              <w:t>206</w:t>
            </w:r>
          </w:p>
        </w:tc>
        <w:tc>
          <w:tcPr>
            <w:tcW w:w="1843" w:type="dxa"/>
            <w:tcBorders>
              <w:top w:val="nil"/>
              <w:left w:val="nil"/>
              <w:bottom w:val="single" w:sz="4" w:space="0" w:color="auto"/>
              <w:right w:val="single" w:sz="4" w:space="0" w:color="auto"/>
            </w:tcBorders>
            <w:shd w:val="clear" w:color="auto" w:fill="C6EFCE"/>
            <w:noWrap/>
          </w:tcPr>
          <w:p w14:paraId="3FEA7EB9" w14:textId="77777777" w:rsidR="003F46B9" w:rsidRDefault="0065662E">
            <w:pPr>
              <w:pStyle w:val="P68B1DB1-Normal5"/>
              <w:spacing w:after="0" w:line="240" w:lineRule="auto"/>
              <w:jc w:val="both"/>
              <w:rPr>
                <w:rFonts w:cs="Times New Roman"/>
                <w:noProof/>
              </w:rPr>
            </w:pPr>
            <w:r>
              <w:rPr>
                <w:noProof/>
              </w:rPr>
              <w:t>Reforma 4. Revizija poreznog okvira</w:t>
            </w:r>
          </w:p>
        </w:tc>
        <w:tc>
          <w:tcPr>
            <w:tcW w:w="1275" w:type="dxa"/>
            <w:tcBorders>
              <w:top w:val="nil"/>
              <w:left w:val="nil"/>
              <w:bottom w:val="single" w:sz="4" w:space="0" w:color="auto"/>
              <w:right w:val="single" w:sz="4" w:space="0" w:color="auto"/>
            </w:tcBorders>
            <w:shd w:val="clear" w:color="auto" w:fill="C6EFCE"/>
            <w:noWrap/>
          </w:tcPr>
          <w:p w14:paraId="220C5514"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4E28A559" w14:textId="77777777" w:rsidR="003F46B9" w:rsidRDefault="0065662E">
            <w:pPr>
              <w:pStyle w:val="P68B1DB1-Normal5"/>
              <w:spacing w:after="0" w:line="240" w:lineRule="auto"/>
              <w:jc w:val="both"/>
              <w:rPr>
                <w:rFonts w:cs="Times New Roman"/>
                <w:noProof/>
              </w:rPr>
            </w:pPr>
            <w:r>
              <w:rPr>
                <w:noProof/>
              </w:rPr>
              <w:t xml:space="preserve">Stupanje na snagu izmjena Poreznog zakonika kojima se postupno smanjuje područje primjene posebnog poreznog režima za mikropoduzeća </w:t>
            </w:r>
          </w:p>
        </w:tc>
        <w:tc>
          <w:tcPr>
            <w:tcW w:w="1623" w:type="dxa"/>
            <w:gridSpan w:val="2"/>
            <w:tcBorders>
              <w:top w:val="nil"/>
              <w:left w:val="nil"/>
              <w:bottom w:val="single" w:sz="4" w:space="0" w:color="auto"/>
              <w:right w:val="single" w:sz="4" w:space="0" w:color="auto"/>
            </w:tcBorders>
            <w:shd w:val="clear" w:color="auto" w:fill="C6EFCE"/>
            <w:noWrap/>
          </w:tcPr>
          <w:p w14:paraId="085C334F" w14:textId="77777777" w:rsidR="003F46B9" w:rsidRDefault="0065662E">
            <w:pPr>
              <w:pStyle w:val="P68B1DB1-Normal5"/>
              <w:spacing w:after="0" w:line="240" w:lineRule="auto"/>
              <w:jc w:val="both"/>
              <w:rPr>
                <w:rFonts w:cs="Times New Roman"/>
                <w:noProof/>
              </w:rPr>
            </w:pPr>
            <w:r>
              <w:rPr>
                <w:noProof/>
              </w:rPr>
              <w:t xml:space="preserve">Zakonska odredba o stupanju na snagu izmjena Poreznog zakonika </w:t>
            </w:r>
          </w:p>
        </w:tc>
        <w:tc>
          <w:tcPr>
            <w:tcW w:w="1127" w:type="dxa"/>
            <w:tcBorders>
              <w:top w:val="nil"/>
              <w:left w:val="nil"/>
              <w:bottom w:val="single" w:sz="4" w:space="0" w:color="auto"/>
              <w:right w:val="single" w:sz="4" w:space="0" w:color="auto"/>
            </w:tcBorders>
            <w:shd w:val="clear" w:color="auto" w:fill="C6EFCE"/>
            <w:noWrap/>
          </w:tcPr>
          <w:p w14:paraId="5429075C"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50C2DF6"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F4C1287"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6FAEEB"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B963A2C"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7D428ACA" w14:textId="77777777" w:rsidR="003F46B9" w:rsidRDefault="0065662E">
            <w:pPr>
              <w:pStyle w:val="P68B1DB1-Normal5"/>
              <w:spacing w:after="0" w:line="240" w:lineRule="auto"/>
              <w:jc w:val="both"/>
              <w:rPr>
                <w:rFonts w:cs="Times New Roman"/>
                <w:noProof/>
              </w:rPr>
            </w:pPr>
            <w:r>
              <w:rPr>
                <w:noProof/>
              </w:rPr>
              <w:t>Novim zakonom mijenja se Porezn</w:t>
            </w:r>
            <w:r>
              <w:rPr>
                <w:noProof/>
              </w:rPr>
              <w:t>i zakonik s ciljem postupnog smanjenja područja primjene posebnog poreznog režima za mikropoduzeća. Smanjenje posebnih odredbi započinje u prvom tromjesečju 2023. i dovršava se do četvrtog tromjesečja 2024.</w:t>
            </w:r>
          </w:p>
        </w:tc>
      </w:tr>
      <w:tr w:rsidR="003F46B9" w14:paraId="2E5D893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3624C73" w14:textId="77777777" w:rsidR="003F46B9" w:rsidRDefault="0065662E">
            <w:pPr>
              <w:pStyle w:val="P68B1DB1-Normal5"/>
              <w:spacing w:after="0" w:line="240" w:lineRule="auto"/>
              <w:jc w:val="center"/>
              <w:rPr>
                <w:rFonts w:cs="Times New Roman"/>
                <w:noProof/>
              </w:rPr>
            </w:pPr>
            <w:r>
              <w:rPr>
                <w:noProof/>
              </w:rPr>
              <w:t>207</w:t>
            </w:r>
          </w:p>
        </w:tc>
        <w:tc>
          <w:tcPr>
            <w:tcW w:w="1843" w:type="dxa"/>
            <w:tcBorders>
              <w:top w:val="nil"/>
              <w:left w:val="nil"/>
              <w:bottom w:val="single" w:sz="4" w:space="0" w:color="auto"/>
              <w:right w:val="single" w:sz="4" w:space="0" w:color="auto"/>
            </w:tcBorders>
            <w:shd w:val="clear" w:color="auto" w:fill="C6EFCE"/>
            <w:noWrap/>
          </w:tcPr>
          <w:p w14:paraId="7D1BA985" w14:textId="77777777" w:rsidR="003F46B9" w:rsidRDefault="0065662E">
            <w:pPr>
              <w:pStyle w:val="P68B1DB1-Normal5"/>
              <w:spacing w:after="0" w:line="240" w:lineRule="auto"/>
              <w:jc w:val="both"/>
              <w:rPr>
                <w:rFonts w:cs="Times New Roman"/>
                <w:noProof/>
              </w:rPr>
            </w:pPr>
            <w:r>
              <w:rPr>
                <w:noProof/>
              </w:rPr>
              <w:t>Reforma 4. Revizija poreznog okvira</w:t>
            </w:r>
          </w:p>
        </w:tc>
        <w:tc>
          <w:tcPr>
            <w:tcW w:w="1275" w:type="dxa"/>
            <w:tcBorders>
              <w:top w:val="nil"/>
              <w:left w:val="nil"/>
              <w:bottom w:val="single" w:sz="4" w:space="0" w:color="auto"/>
              <w:right w:val="single" w:sz="4" w:space="0" w:color="auto"/>
            </w:tcBorders>
            <w:shd w:val="clear" w:color="auto" w:fill="C6EFCE"/>
            <w:noWrap/>
          </w:tcPr>
          <w:p w14:paraId="29435A0A"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7E1FBE4" w14:textId="77777777" w:rsidR="003F46B9" w:rsidRDefault="0065662E">
            <w:pPr>
              <w:pStyle w:val="P68B1DB1-Normal5"/>
              <w:spacing w:after="0" w:line="240" w:lineRule="auto"/>
              <w:jc w:val="both"/>
              <w:rPr>
                <w:rFonts w:cs="Times New Roman"/>
                <w:noProof/>
              </w:rPr>
            </w:pPr>
            <w:r>
              <w:rPr>
                <w:noProof/>
              </w:rPr>
              <w:t>Stupanje na snagu</w:t>
            </w:r>
          </w:p>
          <w:p w14:paraId="53890D87" w14:textId="77777777" w:rsidR="003F46B9" w:rsidRDefault="0065662E">
            <w:pPr>
              <w:pStyle w:val="P68B1DB1-Normal5"/>
              <w:spacing w:before="120" w:after="0" w:line="240" w:lineRule="auto"/>
              <w:jc w:val="both"/>
              <w:rPr>
                <w:rFonts w:cs="Times New Roman"/>
                <w:noProof/>
              </w:rPr>
            </w:pPr>
            <w:r>
              <w:rPr>
                <w:noProof/>
              </w:rPr>
              <w:t>—izmjene Poreznog zakonika (Zakon br.227/2015) radi smanjenja i/ili uklanjanja drugih poreznih poticaja u cilju pojednostavnjenja poreznog sustava, povećanja njegove učinkovitosti, transparentnosti i pravednosti do 2024.</w:t>
            </w:r>
          </w:p>
          <w:p w14:paraId="4BD8DA9F" w14:textId="77777777" w:rsidR="003F46B9" w:rsidRDefault="0065662E">
            <w:pPr>
              <w:pStyle w:val="P68B1DB1-Normal5"/>
              <w:spacing w:before="120" w:after="0" w:line="240" w:lineRule="auto"/>
              <w:jc w:val="both"/>
              <w:rPr>
                <w:rFonts w:cs="Times New Roman"/>
                <w:noProof/>
              </w:rPr>
            </w:pPr>
            <w:r>
              <w:rPr>
                <w:noProof/>
              </w:rPr>
              <w:t>—Zako</w:t>
            </w:r>
            <w:r>
              <w:rPr>
                <w:noProof/>
              </w:rPr>
              <w:t>nodavstvo za proširenje zelenog oporezivanja</w:t>
            </w:r>
          </w:p>
        </w:tc>
        <w:tc>
          <w:tcPr>
            <w:tcW w:w="1623" w:type="dxa"/>
            <w:gridSpan w:val="2"/>
            <w:tcBorders>
              <w:top w:val="nil"/>
              <w:left w:val="nil"/>
              <w:bottom w:val="single" w:sz="4" w:space="0" w:color="auto"/>
              <w:right w:val="single" w:sz="4" w:space="0" w:color="auto"/>
            </w:tcBorders>
            <w:shd w:val="clear" w:color="auto" w:fill="C6EFCE"/>
            <w:noWrap/>
          </w:tcPr>
          <w:p w14:paraId="5947D2C9" w14:textId="77777777" w:rsidR="003F46B9" w:rsidRDefault="0065662E">
            <w:pPr>
              <w:pStyle w:val="P68B1DB1-Normal5"/>
              <w:spacing w:after="0" w:line="240" w:lineRule="auto"/>
              <w:jc w:val="both"/>
              <w:rPr>
                <w:rFonts w:cs="Times New Roman"/>
                <w:noProof/>
              </w:rPr>
            </w:pPr>
            <w:r>
              <w:rPr>
                <w:noProof/>
              </w:rPr>
              <w:t>Zakonska odredba o stupanju na snagu zakonodavnog okvira za smanjenje i/ili ukidanje poreznih poticaja i proširenje zelenog oporezivanja</w:t>
            </w:r>
          </w:p>
        </w:tc>
        <w:tc>
          <w:tcPr>
            <w:tcW w:w="1127" w:type="dxa"/>
            <w:tcBorders>
              <w:top w:val="nil"/>
              <w:left w:val="nil"/>
              <w:bottom w:val="single" w:sz="4" w:space="0" w:color="auto"/>
              <w:right w:val="single" w:sz="4" w:space="0" w:color="auto"/>
            </w:tcBorders>
            <w:shd w:val="clear" w:color="auto" w:fill="C6EFCE"/>
            <w:noWrap/>
          </w:tcPr>
          <w:p w14:paraId="336E5EBC"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C35137C"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B3956F0"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1C8F554"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05785D94"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5AAA3DF" w14:textId="77777777" w:rsidR="003F46B9" w:rsidRDefault="0065662E">
            <w:pPr>
              <w:pStyle w:val="P68B1DB1-Normal5"/>
              <w:spacing w:after="0" w:line="240" w:lineRule="auto"/>
              <w:jc w:val="both"/>
              <w:rPr>
                <w:rFonts w:cs="Times New Roman"/>
                <w:noProof/>
              </w:rPr>
            </w:pPr>
            <w:r>
              <w:rPr>
                <w:noProof/>
              </w:rPr>
              <w:t>Novim zakonom mijenja se Porezni zakonik provedbom preporuka iz preispitivanja poreznog sustava (vidjeti ključnu etapu 205) kako bi se osiguralo da porezni sustav doprinosi promicanju i očuvanju održivog gospodarskog rasta. Te se promjene postupno uvode do</w:t>
            </w:r>
            <w:r>
              <w:rPr>
                <w:noProof/>
              </w:rPr>
              <w:t xml:space="preserve"> siječnja 2024. </w:t>
            </w:r>
          </w:p>
        </w:tc>
      </w:tr>
      <w:tr w:rsidR="003F46B9" w14:paraId="1E84F44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564D4EC" w14:textId="77777777" w:rsidR="003F46B9" w:rsidRDefault="0065662E">
            <w:pPr>
              <w:pStyle w:val="P68B1DB1-Normal5"/>
              <w:spacing w:after="0" w:line="240" w:lineRule="auto"/>
              <w:jc w:val="center"/>
              <w:rPr>
                <w:rFonts w:cs="Times New Roman"/>
                <w:noProof/>
              </w:rPr>
            </w:pPr>
            <w:r>
              <w:rPr>
                <w:noProof/>
              </w:rPr>
              <w:t>208</w:t>
            </w:r>
          </w:p>
        </w:tc>
        <w:tc>
          <w:tcPr>
            <w:tcW w:w="1843" w:type="dxa"/>
            <w:tcBorders>
              <w:top w:val="nil"/>
              <w:left w:val="nil"/>
              <w:bottom w:val="single" w:sz="4" w:space="0" w:color="auto"/>
              <w:right w:val="single" w:sz="4" w:space="0" w:color="auto"/>
            </w:tcBorders>
            <w:shd w:val="clear" w:color="auto" w:fill="C6EFCE"/>
            <w:noWrap/>
          </w:tcPr>
          <w:p w14:paraId="18493D73" w14:textId="77777777" w:rsidR="003F46B9" w:rsidRDefault="0065662E">
            <w:pPr>
              <w:pStyle w:val="P68B1DB1-Normal5"/>
              <w:spacing w:after="0" w:line="240" w:lineRule="auto"/>
              <w:jc w:val="both"/>
              <w:rPr>
                <w:rFonts w:cs="Times New Roman"/>
                <w:noProof/>
              </w:rPr>
            </w:pPr>
            <w:r>
              <w:rPr>
                <w:noProof/>
              </w:rPr>
              <w:t>Reforma 4. Revizija poreznog okvira</w:t>
            </w:r>
          </w:p>
        </w:tc>
        <w:tc>
          <w:tcPr>
            <w:tcW w:w="1275" w:type="dxa"/>
            <w:tcBorders>
              <w:top w:val="nil"/>
              <w:left w:val="nil"/>
              <w:bottom w:val="single" w:sz="4" w:space="0" w:color="auto"/>
              <w:right w:val="single" w:sz="4" w:space="0" w:color="auto"/>
            </w:tcBorders>
            <w:shd w:val="clear" w:color="auto" w:fill="C6EFCE"/>
            <w:noWrap/>
          </w:tcPr>
          <w:p w14:paraId="4CC724D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0EDD3190" w14:textId="77777777" w:rsidR="003F46B9" w:rsidRDefault="0065662E">
            <w:pPr>
              <w:pStyle w:val="P68B1DB1-Normal5"/>
              <w:spacing w:after="0" w:line="240" w:lineRule="auto"/>
              <w:jc w:val="both"/>
              <w:rPr>
                <w:rFonts w:cs="Times New Roman"/>
                <w:noProof/>
              </w:rPr>
            </w:pPr>
            <w:r>
              <w:rPr>
                <w:noProof/>
              </w:rPr>
              <w:t xml:space="preserve">Stupanje na snagu izmjena Poreznog zakonika (Zakon br.227/2015) kojima se postupno smanjuju porezni poticaji za osoblje zaposleno u građevinskom sektoru </w:t>
            </w:r>
          </w:p>
        </w:tc>
        <w:tc>
          <w:tcPr>
            <w:tcW w:w="1623" w:type="dxa"/>
            <w:gridSpan w:val="2"/>
            <w:tcBorders>
              <w:top w:val="nil"/>
              <w:left w:val="nil"/>
              <w:bottom w:val="single" w:sz="4" w:space="0" w:color="auto"/>
              <w:right w:val="single" w:sz="4" w:space="0" w:color="auto"/>
            </w:tcBorders>
            <w:shd w:val="clear" w:color="auto" w:fill="C6EFCE"/>
            <w:noWrap/>
          </w:tcPr>
          <w:p w14:paraId="56C3128A" w14:textId="77777777" w:rsidR="003F46B9" w:rsidRDefault="0065662E">
            <w:pPr>
              <w:pStyle w:val="P68B1DB1-Normal5"/>
              <w:spacing w:after="0" w:line="240" w:lineRule="auto"/>
              <w:jc w:val="both"/>
              <w:rPr>
                <w:rFonts w:cs="Times New Roman"/>
                <w:noProof/>
              </w:rPr>
            </w:pPr>
            <w:r>
              <w:rPr>
                <w:noProof/>
              </w:rPr>
              <w:t xml:space="preserve">Zakonska odredba o stupanju na </w:t>
            </w:r>
            <w:r>
              <w:rPr>
                <w:noProof/>
              </w:rPr>
              <w:t>snagu zakonodavnog okvira kojim se postupno smanjuju porezni poticaji za osoblje zaposleno u građevinskom sektoru</w:t>
            </w:r>
          </w:p>
        </w:tc>
        <w:tc>
          <w:tcPr>
            <w:tcW w:w="1127" w:type="dxa"/>
            <w:tcBorders>
              <w:top w:val="nil"/>
              <w:left w:val="nil"/>
              <w:bottom w:val="single" w:sz="4" w:space="0" w:color="auto"/>
              <w:right w:val="single" w:sz="4" w:space="0" w:color="auto"/>
            </w:tcBorders>
            <w:shd w:val="clear" w:color="auto" w:fill="C6EFCE"/>
            <w:noWrap/>
          </w:tcPr>
          <w:p w14:paraId="14AB1EF0"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3CE98C2"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7C70D77"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A5C508B"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628AB4D1"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7E47AB56" w14:textId="77777777" w:rsidR="003F46B9" w:rsidRDefault="0065662E">
            <w:pPr>
              <w:pStyle w:val="P68B1DB1-Normal5"/>
              <w:spacing w:after="0" w:line="240" w:lineRule="auto"/>
              <w:jc w:val="both"/>
              <w:rPr>
                <w:rFonts w:cs="Times New Roman"/>
                <w:noProof/>
              </w:rPr>
            </w:pPr>
            <w:r>
              <w:rPr>
                <w:noProof/>
              </w:rPr>
              <w:t>Novim zakonom mijenja se Porezni zakonik za postupno smanjenje poreznih poticaja za osoblje zaposleno u građevinskom sekto</w:t>
            </w:r>
            <w:r>
              <w:rPr>
                <w:noProof/>
              </w:rPr>
              <w:t xml:space="preserve">ru. Postupno smanjenje poreznih poticaja za osoblje zaposleno u građevinskom sektoru počinje 2025. i završava do kraja 2028. </w:t>
            </w:r>
          </w:p>
        </w:tc>
      </w:tr>
      <w:tr w:rsidR="003F46B9" w14:paraId="6FB9D25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9C59AD" w14:textId="77777777" w:rsidR="003F46B9" w:rsidRDefault="0065662E">
            <w:pPr>
              <w:pStyle w:val="P68B1DB1-Normal5"/>
              <w:spacing w:after="0" w:line="240" w:lineRule="auto"/>
              <w:jc w:val="center"/>
              <w:rPr>
                <w:rFonts w:cs="Times New Roman"/>
                <w:noProof/>
              </w:rPr>
            </w:pPr>
            <w:r>
              <w:rPr>
                <w:noProof/>
              </w:rPr>
              <w:t>209</w:t>
            </w:r>
          </w:p>
        </w:tc>
        <w:tc>
          <w:tcPr>
            <w:tcW w:w="1843" w:type="dxa"/>
            <w:tcBorders>
              <w:top w:val="nil"/>
              <w:left w:val="nil"/>
              <w:bottom w:val="single" w:sz="4" w:space="0" w:color="auto"/>
              <w:right w:val="single" w:sz="4" w:space="0" w:color="auto"/>
            </w:tcBorders>
            <w:shd w:val="clear" w:color="auto" w:fill="C6EFCE"/>
            <w:noWrap/>
          </w:tcPr>
          <w:p w14:paraId="222934CA" w14:textId="0C1CA41E" w:rsidR="003F46B9" w:rsidRDefault="0065662E">
            <w:pPr>
              <w:pStyle w:val="P68B1DB1-Normal5"/>
              <w:spacing w:after="0" w:line="240" w:lineRule="auto"/>
              <w:jc w:val="both"/>
              <w:rPr>
                <w:rFonts w:cs="Times New Roman"/>
                <w:noProof/>
              </w:rPr>
            </w:pPr>
            <w:r>
              <w:rPr>
                <w:noProof/>
              </w:rPr>
              <w:t xml:space="preserve">Reforma 5. Osnivanje i operacionalizacija Nacionalne razvojne banke </w:t>
            </w:r>
          </w:p>
        </w:tc>
        <w:tc>
          <w:tcPr>
            <w:tcW w:w="1275" w:type="dxa"/>
            <w:tcBorders>
              <w:top w:val="nil"/>
              <w:left w:val="nil"/>
              <w:bottom w:val="single" w:sz="4" w:space="0" w:color="auto"/>
              <w:right w:val="single" w:sz="4" w:space="0" w:color="auto"/>
            </w:tcBorders>
            <w:shd w:val="clear" w:color="auto" w:fill="C6EFCE"/>
            <w:noWrap/>
          </w:tcPr>
          <w:p w14:paraId="21DAF57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68068B2C" w14:textId="77777777" w:rsidR="003F46B9" w:rsidRDefault="0065662E">
            <w:pPr>
              <w:pStyle w:val="P68B1DB1-Normal5"/>
              <w:spacing w:after="0" w:line="240" w:lineRule="auto"/>
              <w:jc w:val="both"/>
              <w:rPr>
                <w:rFonts w:cs="Times New Roman"/>
                <w:noProof/>
              </w:rPr>
            </w:pPr>
            <w:r>
              <w:rPr>
                <w:noProof/>
              </w:rPr>
              <w:t xml:space="preserve">Operacionalizacija Nacionalne razvojne banke </w:t>
            </w:r>
          </w:p>
          <w:p w14:paraId="5E160DBF" w14:textId="77777777" w:rsidR="003F46B9" w:rsidRDefault="003F46B9">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0F1A2E68" w14:textId="3DF7FF3D" w:rsidR="003F46B9" w:rsidRDefault="0065662E">
            <w:pPr>
              <w:pStyle w:val="P68B1DB1-Normal5"/>
              <w:spacing w:after="0" w:line="240" w:lineRule="auto"/>
              <w:jc w:val="both"/>
              <w:rPr>
                <w:rFonts w:cs="Times New Roman"/>
                <w:noProof/>
              </w:rPr>
            </w:pPr>
            <w:r>
              <w:rPr>
                <w:noProof/>
              </w:rPr>
              <w:t xml:space="preserve">Upis Nacionalne razvojne banke u registar trgovačkih društava </w:t>
            </w:r>
          </w:p>
          <w:p w14:paraId="05FB504B"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544091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E1E7C6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29706E2"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6EFDE00"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0B246DEF"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0F9A2BB1" w14:textId="77777777" w:rsidR="003F46B9" w:rsidRDefault="0065662E">
            <w:pPr>
              <w:pStyle w:val="P68B1DB1-Normal5"/>
              <w:spacing w:after="0" w:line="240" w:lineRule="auto"/>
              <w:jc w:val="both"/>
              <w:rPr>
                <w:rFonts w:cs="Times New Roman"/>
                <w:noProof/>
              </w:rPr>
            </w:pPr>
            <w:r>
              <w:rPr>
                <w:noProof/>
              </w:rPr>
              <w:t>Nacionalna razvojna banka upisuje se u registar trgovačkih društava i izuzima od primjene Direktive 2013/36/EU Europs</w:t>
            </w:r>
            <w:r>
              <w:rPr>
                <w:noProof/>
              </w:rPr>
              <w:t>kog parlamenta i Vijeća od 26. lipnja 2013. U potpunosti je operativan, s osposobljenim osobljem (koje obuhvaća ključne funkcije u uredu za kontakt, pozadinskom uredu i potpornim funkcijama) koje može osigurati prve financijske instrumente, u skladu s najb</w:t>
            </w:r>
            <w:r>
              <w:rPr>
                <w:noProof/>
              </w:rPr>
              <w:t xml:space="preserve">oljom praksom u tom području. Novoosnovana banka premošćuje manjak financijskih sredstava, osigurava bolji pristup financiranju za prihvatljive korisnike i pruža stručno znanje za razvoj novih proizvoda. </w:t>
            </w:r>
          </w:p>
          <w:p w14:paraId="288ACBD1" w14:textId="77777777" w:rsidR="003F46B9" w:rsidRDefault="0065662E">
            <w:pPr>
              <w:pStyle w:val="P68B1DB1-Normal5"/>
              <w:spacing w:after="0" w:line="240" w:lineRule="auto"/>
              <w:jc w:val="both"/>
              <w:rPr>
                <w:rFonts w:cs="Times New Roman"/>
                <w:noProof/>
              </w:rPr>
            </w:pPr>
            <w:r>
              <w:rPr>
                <w:noProof/>
              </w:rPr>
              <w:t>Strategijom ulaganja i kreditiranja Nacionalne razv</w:t>
            </w:r>
            <w:r>
              <w:rPr>
                <w:noProof/>
              </w:rPr>
              <w:t>ojne banke osigurava se usklađenost s Tehničkim smjernicama o nenanošenju bitne štete (2021/C58/01) za transakcije koje primaju potporu u okviru ove mjere primjenom provjere održivosti, popisa za isključenje i zahtjeva usklađenosti s relevantnim zakonodavs</w:t>
            </w:r>
            <w:r>
              <w:rPr>
                <w:noProof/>
              </w:rPr>
              <w:t>tvom EU-a i nacionalnim zakonodavstvom o okolišu.</w:t>
            </w:r>
          </w:p>
        </w:tc>
      </w:tr>
      <w:tr w:rsidR="003F46B9" w14:paraId="53B0241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6C71D09" w14:textId="77777777" w:rsidR="003F46B9" w:rsidRDefault="0065662E">
            <w:pPr>
              <w:pStyle w:val="P68B1DB1-Normal5"/>
              <w:spacing w:after="0" w:line="240" w:lineRule="auto"/>
              <w:jc w:val="center"/>
              <w:rPr>
                <w:rFonts w:cs="Times New Roman"/>
                <w:noProof/>
              </w:rPr>
            </w:pPr>
            <w:r>
              <w:rPr>
                <w:noProof/>
              </w:rPr>
              <w:t>210</w:t>
            </w:r>
          </w:p>
        </w:tc>
        <w:tc>
          <w:tcPr>
            <w:tcW w:w="1843" w:type="dxa"/>
            <w:tcBorders>
              <w:top w:val="nil"/>
              <w:left w:val="nil"/>
              <w:bottom w:val="single" w:sz="4" w:space="0" w:color="auto"/>
              <w:right w:val="single" w:sz="4" w:space="0" w:color="auto"/>
            </w:tcBorders>
            <w:shd w:val="clear" w:color="auto" w:fill="C6EFCE"/>
            <w:noWrap/>
          </w:tcPr>
          <w:p w14:paraId="5FB1BC68" w14:textId="77777777" w:rsidR="003F46B9" w:rsidRDefault="0065662E">
            <w:pPr>
              <w:pStyle w:val="P68B1DB1-Normal5"/>
              <w:spacing w:after="0" w:line="240" w:lineRule="auto"/>
              <w:jc w:val="both"/>
              <w:rPr>
                <w:rFonts w:cs="Times New Roman"/>
                <w:noProof/>
              </w:rPr>
            </w:pPr>
            <w:r>
              <w:rPr>
                <w:noProof/>
              </w:rPr>
              <w:t xml:space="preserve">Reforma 5. Osnivanje i operacionalizacija Nacionalne razvojne banke </w:t>
            </w:r>
          </w:p>
        </w:tc>
        <w:tc>
          <w:tcPr>
            <w:tcW w:w="1275" w:type="dxa"/>
            <w:tcBorders>
              <w:top w:val="nil"/>
              <w:left w:val="nil"/>
              <w:bottom w:val="single" w:sz="4" w:space="0" w:color="auto"/>
              <w:right w:val="single" w:sz="4" w:space="0" w:color="auto"/>
            </w:tcBorders>
            <w:shd w:val="clear" w:color="auto" w:fill="C6EFCE"/>
            <w:noWrap/>
          </w:tcPr>
          <w:p w14:paraId="4095CF54"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4E3F926C" w14:textId="77777777" w:rsidR="003F46B9" w:rsidRDefault="0065662E">
            <w:pPr>
              <w:pStyle w:val="P68B1DB1-Normal5"/>
              <w:spacing w:after="0" w:line="240" w:lineRule="auto"/>
              <w:jc w:val="both"/>
              <w:rPr>
                <w:rFonts w:eastAsia="Times New Roman" w:cs="Times New Roman"/>
                <w:noProof/>
              </w:rPr>
            </w:pPr>
            <w:r>
              <w:rPr>
                <w:noProof/>
              </w:rPr>
              <w:t>Završetak procjene na temelju stupova Nacionalne razvojne banke za provedbu fondova EU-a</w:t>
            </w:r>
          </w:p>
          <w:p w14:paraId="77E108F4" w14:textId="77777777" w:rsidR="003F46B9" w:rsidRDefault="003F46B9">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0F218309" w14:textId="77777777" w:rsidR="003F46B9" w:rsidRDefault="0065662E">
            <w:pPr>
              <w:pStyle w:val="P68B1DB1-Normal5"/>
              <w:spacing w:after="0" w:line="240" w:lineRule="auto"/>
              <w:jc w:val="both"/>
              <w:rPr>
                <w:rFonts w:cs="Times New Roman"/>
                <w:noProof/>
              </w:rPr>
            </w:pPr>
            <w:r>
              <w:rPr>
                <w:noProof/>
              </w:rPr>
              <w:t xml:space="preserve">Završetak ocjene na temelju </w:t>
            </w:r>
            <w:r>
              <w:rPr>
                <w:noProof/>
              </w:rPr>
              <w:t>stupova Nacionalne razvojne banke za provedbu sredstava EU-a koja je primila Europska unija</w:t>
            </w:r>
          </w:p>
          <w:p w14:paraId="13ACB6A1" w14:textId="77777777" w:rsidR="003F46B9" w:rsidRDefault="003F46B9">
            <w:pPr>
              <w:spacing w:after="0" w:line="240" w:lineRule="auto"/>
              <w:jc w:val="both"/>
              <w:rPr>
                <w:rFonts w:ascii="Times New Roman" w:hAnsi="Times New Roman" w:cs="Times New Roman"/>
                <w:noProof/>
                <w:sz w:val="24"/>
              </w:rPr>
            </w:pPr>
          </w:p>
          <w:p w14:paraId="63E70777" w14:textId="77777777" w:rsidR="003F46B9" w:rsidRDefault="003F46B9">
            <w:pPr>
              <w:spacing w:after="0" w:line="240" w:lineRule="auto"/>
              <w:jc w:val="both"/>
              <w:rPr>
                <w:rFonts w:ascii="Times New Roman" w:hAnsi="Times New Roman" w:cs="Times New Roman"/>
                <w:noProof/>
                <w:sz w:val="24"/>
              </w:rPr>
            </w:pPr>
          </w:p>
          <w:p w14:paraId="31165D49"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205996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BDBD79E"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BEBAD40"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B625CF8"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17958584" w14:textId="77777777" w:rsidR="003F46B9" w:rsidRDefault="0065662E">
            <w:pPr>
              <w:pStyle w:val="P68B1DB1-Normal5"/>
              <w:spacing w:after="0" w:line="240" w:lineRule="auto"/>
              <w:jc w:val="center"/>
              <w:rPr>
                <w:rFonts w:cs="Times New Roman"/>
                <w:noProof/>
              </w:rPr>
            </w:pPr>
            <w:r>
              <w:rPr>
                <w:noProof/>
              </w:rPr>
              <w:t>2026</w:t>
            </w:r>
          </w:p>
        </w:tc>
        <w:tc>
          <w:tcPr>
            <w:tcW w:w="3119" w:type="dxa"/>
            <w:tcBorders>
              <w:top w:val="nil"/>
              <w:left w:val="nil"/>
              <w:bottom w:val="single" w:sz="4" w:space="0" w:color="auto"/>
              <w:right w:val="single" w:sz="4" w:space="0" w:color="auto"/>
            </w:tcBorders>
            <w:shd w:val="clear" w:color="auto" w:fill="C6EFCE"/>
            <w:noWrap/>
          </w:tcPr>
          <w:p w14:paraId="37625DAA" w14:textId="61B9036B"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Dovršetak ocjene na temelju stupova neovisnom vanjskom revizijom na temelju relevantnog opisa poslova (Odluka Komisije C(2019)2882 od 17. tra</w:t>
            </w:r>
            <w:r>
              <w:rPr>
                <w:rFonts w:ascii="Times New Roman" w:hAnsi="Times New Roman"/>
                <w:noProof/>
                <w:sz w:val="24"/>
              </w:rPr>
              <w:t>vnja 2019.). Takva je procjena korak u procesu koji Nacionalnoj razvojnoj banci omogućuje da postane partner u provedbi fondova Unije</w:t>
            </w:r>
            <w:r>
              <w:rPr>
                <w:noProof/>
              </w:rPr>
              <w:t xml:space="preserve"> </w:t>
            </w:r>
            <w:r>
              <w:rPr>
                <w:rFonts w:ascii="Times New Roman" w:hAnsi="Times New Roman"/>
                <w:noProof/>
                <w:sz w:val="24"/>
              </w:rPr>
              <w:t>na temelju članka 154. Financijske uredbe EU-a.</w:t>
            </w:r>
          </w:p>
        </w:tc>
      </w:tr>
      <w:tr w:rsidR="003F46B9" w14:paraId="455C969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7655E53" w14:textId="77777777" w:rsidR="003F46B9" w:rsidRDefault="0065662E">
            <w:pPr>
              <w:pStyle w:val="P68B1DB1-Normal5"/>
              <w:spacing w:after="0" w:line="240" w:lineRule="auto"/>
              <w:jc w:val="center"/>
              <w:rPr>
                <w:rFonts w:cs="Times New Roman"/>
                <w:noProof/>
              </w:rPr>
            </w:pPr>
            <w:r>
              <w:rPr>
                <w:noProof/>
              </w:rPr>
              <w:t>211</w:t>
            </w:r>
          </w:p>
        </w:tc>
        <w:tc>
          <w:tcPr>
            <w:tcW w:w="1843" w:type="dxa"/>
            <w:tcBorders>
              <w:top w:val="nil"/>
              <w:left w:val="nil"/>
              <w:bottom w:val="single" w:sz="4" w:space="0" w:color="auto"/>
              <w:right w:val="single" w:sz="4" w:space="0" w:color="auto"/>
            </w:tcBorders>
            <w:shd w:val="clear" w:color="auto" w:fill="C6EFCE"/>
            <w:noWrap/>
          </w:tcPr>
          <w:p w14:paraId="76E05311" w14:textId="77777777" w:rsidR="003F46B9" w:rsidRDefault="0065662E">
            <w:pPr>
              <w:pStyle w:val="P68B1DB1-Normal5"/>
              <w:spacing w:after="0" w:line="240" w:lineRule="auto"/>
              <w:jc w:val="both"/>
              <w:rPr>
                <w:rFonts w:cs="Times New Roman"/>
                <w:noProof/>
              </w:rPr>
            </w:pPr>
            <w:r>
              <w:rPr>
                <w:noProof/>
              </w:rPr>
              <w:t>Reforma 6. Reforma javnog mirovinskog sustava</w:t>
            </w:r>
          </w:p>
        </w:tc>
        <w:tc>
          <w:tcPr>
            <w:tcW w:w="1275" w:type="dxa"/>
            <w:tcBorders>
              <w:top w:val="nil"/>
              <w:left w:val="nil"/>
              <w:bottom w:val="single" w:sz="4" w:space="0" w:color="auto"/>
              <w:right w:val="single" w:sz="4" w:space="0" w:color="auto"/>
            </w:tcBorders>
            <w:shd w:val="clear" w:color="auto" w:fill="C6EFCE"/>
            <w:noWrap/>
          </w:tcPr>
          <w:p w14:paraId="16DFA6DE"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D115783" w14:textId="77777777" w:rsidR="003F46B9" w:rsidRDefault="0065662E">
            <w:pPr>
              <w:pStyle w:val="P68B1DB1-Normal5"/>
              <w:spacing w:after="0" w:line="240" w:lineRule="auto"/>
              <w:jc w:val="both"/>
              <w:rPr>
                <w:rFonts w:eastAsia="Times New Roman" w:cs="Times New Roman"/>
                <w:noProof/>
              </w:rPr>
            </w:pPr>
            <w:r>
              <w:rPr>
                <w:noProof/>
              </w:rPr>
              <w:t xml:space="preserve">Ugovorna tehnička pomoć koju pruža subjekt koji se odabire u skladu s nacionalnim zakonodavstvom o javnoj nabavi </w:t>
            </w:r>
          </w:p>
        </w:tc>
        <w:tc>
          <w:tcPr>
            <w:tcW w:w="1623" w:type="dxa"/>
            <w:gridSpan w:val="2"/>
            <w:tcBorders>
              <w:top w:val="nil"/>
              <w:left w:val="nil"/>
              <w:bottom w:val="single" w:sz="4" w:space="0" w:color="auto"/>
              <w:right w:val="single" w:sz="4" w:space="0" w:color="auto"/>
            </w:tcBorders>
            <w:shd w:val="clear" w:color="auto" w:fill="C6EFCE"/>
            <w:noWrap/>
          </w:tcPr>
          <w:p w14:paraId="3D56ED4B" w14:textId="77777777" w:rsidR="003F46B9" w:rsidRDefault="0065662E">
            <w:pPr>
              <w:pStyle w:val="P68B1DB1-Normal5"/>
              <w:spacing w:after="0" w:line="240" w:lineRule="auto"/>
              <w:jc w:val="both"/>
              <w:rPr>
                <w:rFonts w:cs="Times New Roman"/>
                <w:noProof/>
              </w:rPr>
            </w:pPr>
            <w:r>
              <w:rPr>
                <w:noProof/>
              </w:rPr>
              <w:t>Potpisan ugovor</w:t>
            </w:r>
          </w:p>
        </w:tc>
        <w:tc>
          <w:tcPr>
            <w:tcW w:w="1127" w:type="dxa"/>
            <w:tcBorders>
              <w:top w:val="nil"/>
              <w:left w:val="nil"/>
              <w:bottom w:val="single" w:sz="4" w:space="0" w:color="auto"/>
              <w:right w:val="single" w:sz="4" w:space="0" w:color="auto"/>
            </w:tcBorders>
            <w:shd w:val="clear" w:color="auto" w:fill="C6EFCE"/>
            <w:noWrap/>
          </w:tcPr>
          <w:p w14:paraId="4ADA32A2"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FD54945"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4689C6F"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C4602EC"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04EB0535" w14:textId="77777777" w:rsidR="003F46B9" w:rsidRDefault="0065662E">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47338431" w14:textId="77777777" w:rsidR="003F46B9" w:rsidRDefault="0065662E">
            <w:pPr>
              <w:pStyle w:val="P68B1DB1-Normal5"/>
              <w:spacing w:after="0" w:line="240" w:lineRule="auto"/>
              <w:jc w:val="both"/>
              <w:rPr>
                <w:rFonts w:cs="Times New Roman"/>
                <w:noProof/>
              </w:rPr>
            </w:pPr>
            <w:r>
              <w:rPr>
                <w:noProof/>
              </w:rPr>
              <w:t>Potpisivanje ugovora o tehničkoj pomoći s odabranim subjektom radi pripreme analize i prijedloga r</w:t>
            </w:r>
            <w:r>
              <w:rPr>
                <w:noProof/>
              </w:rPr>
              <w:t>eforme mirovinskog sustava – općeg režima i posebnih programa – u skladu s načelima preuzetima u nacionalnom planu za oporavak i otpornost. Novo zakonodavstvo:</w:t>
            </w:r>
          </w:p>
          <w:p w14:paraId="1E631FA6"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 xml:space="preserve">uvesti novu formulu za izračun novih mirovina i mirovina u plaćanju. Parametri formule pažljivo </w:t>
            </w:r>
            <w:r>
              <w:rPr>
                <w:noProof/>
              </w:rPr>
              <w:t>se odabiru u skladu s ciljem za ukupne bruto javne rashode za mirovine kao postotak BDP-a (9,4 % BDP-a u dugoročnom razdoblju, tj. u razdoblju 2022. – 2070.). Osim toga, one ne dopuštaju ad hoc povećanja razina mirovina;</w:t>
            </w:r>
          </w:p>
          <w:p w14:paraId="5BC1E098"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uvesti novo pravilo indeksacije mir</w:t>
            </w:r>
            <w:r>
              <w:rPr>
                <w:noProof/>
              </w:rPr>
              <w:t>ovina u skladu s rashodima za mirovine kao postotak ciljne vrijednosti BDP-a i mehanizmima protiv ad hoc indeksacije;</w:t>
            </w:r>
          </w:p>
          <w:p w14:paraId="37D21763"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 xml:space="preserve">znatno smanjiti mogućnosti prijevremenog umirovljenja, uvesti poticaje za produljenje radnog vijeka i dobrovoljno povećati standardnu dob </w:t>
            </w:r>
            <w:r>
              <w:rPr>
                <w:noProof/>
              </w:rPr>
              <w:t>za umirovljenje na 70 godina u skladu s povećanjem očekivanog životnog vijeka te izjednačiti zakonsku dob za umirovljenje muškaraca i žena na 65 godina do 2035.;</w:t>
            </w:r>
          </w:p>
          <w:p w14:paraId="11D80796"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uvesti poticaje za odgodu umirovljenja;</w:t>
            </w:r>
          </w:p>
          <w:p w14:paraId="27A7B812"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 xml:space="preserve">revidirati posebne mirovine kako bi ih se uskladilo s </w:t>
            </w:r>
            <w:r>
              <w:rPr>
                <w:noProof/>
              </w:rPr>
              <w:t>načelom uplaćivanja doprinosa;</w:t>
            </w:r>
          </w:p>
          <w:p w14:paraId="684D5551"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ojačati načelo doprinosa sustavu;</w:t>
            </w:r>
          </w:p>
          <w:p w14:paraId="79CEE8E7"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povećati primjerenost minimalnih i nižih mirovina, posebno za one ispod praga siromaštva;</w:t>
            </w:r>
          </w:p>
          <w:p w14:paraId="11C9D604" w14:textId="77777777" w:rsidR="003F46B9" w:rsidRDefault="0065662E">
            <w:pPr>
              <w:pStyle w:val="P68B1DB1-Normal5"/>
              <w:numPr>
                <w:ilvl w:val="0"/>
                <w:numId w:val="62"/>
              </w:numPr>
              <w:spacing w:after="0" w:line="240" w:lineRule="auto"/>
              <w:ind w:left="224" w:hanging="218"/>
              <w:jc w:val="both"/>
              <w:rPr>
                <w:rFonts w:cs="Times New Roman"/>
                <w:noProof/>
              </w:rPr>
            </w:pPr>
            <w:r>
              <w:rPr>
                <w:noProof/>
              </w:rPr>
              <w:t>osigurati financijsku održivost drugog stupa mirovinskog sustava povećanjem doprinosa za taj mirovins</w:t>
            </w:r>
            <w:r>
              <w:rPr>
                <w:noProof/>
              </w:rPr>
              <w:t>ki stup.</w:t>
            </w:r>
          </w:p>
          <w:p w14:paraId="072400BE" w14:textId="77777777" w:rsidR="003F46B9" w:rsidRDefault="0065662E">
            <w:pPr>
              <w:pStyle w:val="P68B1DB1-Normal5"/>
              <w:spacing w:after="0" w:line="240" w:lineRule="auto"/>
              <w:jc w:val="both"/>
              <w:rPr>
                <w:rFonts w:cs="Times New Roman"/>
                <w:noProof/>
              </w:rPr>
            </w:pPr>
            <w:r>
              <w:rPr>
                <w:noProof/>
              </w:rPr>
              <w:t>Tehnička pomoć uključuje procjenu učinka različitih predloženih reformskih opcija (dugoročna predviđanja).</w:t>
            </w:r>
          </w:p>
          <w:p w14:paraId="0B3D2FBA" w14:textId="77777777" w:rsidR="003F46B9" w:rsidRDefault="0065662E">
            <w:pPr>
              <w:pStyle w:val="P68B1DB1-Normal5"/>
              <w:spacing w:after="0" w:line="240" w:lineRule="auto"/>
              <w:jc w:val="both"/>
              <w:rPr>
                <w:rFonts w:cs="Times New Roman"/>
                <w:noProof/>
              </w:rPr>
            </w:pPr>
            <w:r>
              <w:rPr>
                <w:noProof/>
              </w:rPr>
              <w:t>Pružatelj tehničke pomoći podupire izradu mirovinske reforme.</w:t>
            </w:r>
          </w:p>
        </w:tc>
      </w:tr>
      <w:tr w:rsidR="003F46B9" w14:paraId="5E5F7E7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C0AC6AD" w14:textId="77777777" w:rsidR="003F46B9" w:rsidRDefault="0065662E">
            <w:pPr>
              <w:pStyle w:val="P68B1DB1-Normal5"/>
              <w:spacing w:after="0" w:line="240" w:lineRule="auto"/>
              <w:jc w:val="center"/>
              <w:rPr>
                <w:rFonts w:cs="Times New Roman"/>
                <w:noProof/>
              </w:rPr>
            </w:pPr>
            <w:r>
              <w:rPr>
                <w:noProof/>
              </w:rPr>
              <w:t>212</w:t>
            </w:r>
          </w:p>
        </w:tc>
        <w:tc>
          <w:tcPr>
            <w:tcW w:w="1843" w:type="dxa"/>
            <w:tcBorders>
              <w:top w:val="nil"/>
              <w:left w:val="nil"/>
              <w:bottom w:val="single" w:sz="4" w:space="0" w:color="auto"/>
              <w:right w:val="single" w:sz="4" w:space="0" w:color="auto"/>
            </w:tcBorders>
            <w:shd w:val="clear" w:color="auto" w:fill="C6EFCE"/>
            <w:noWrap/>
          </w:tcPr>
          <w:p w14:paraId="147492D2" w14:textId="77777777" w:rsidR="003F46B9" w:rsidRDefault="0065662E">
            <w:pPr>
              <w:pStyle w:val="P68B1DB1-Normal5"/>
              <w:spacing w:after="0" w:line="240" w:lineRule="auto"/>
              <w:jc w:val="both"/>
              <w:rPr>
                <w:rFonts w:cs="Times New Roman"/>
                <w:noProof/>
              </w:rPr>
            </w:pPr>
            <w:r>
              <w:rPr>
                <w:noProof/>
              </w:rPr>
              <w:t>Reforma 6. Reforma javnog mirovinskog sustava</w:t>
            </w:r>
          </w:p>
        </w:tc>
        <w:tc>
          <w:tcPr>
            <w:tcW w:w="1275" w:type="dxa"/>
            <w:tcBorders>
              <w:top w:val="nil"/>
              <w:left w:val="nil"/>
              <w:bottom w:val="single" w:sz="4" w:space="0" w:color="auto"/>
              <w:right w:val="single" w:sz="4" w:space="0" w:color="auto"/>
            </w:tcBorders>
            <w:shd w:val="clear" w:color="auto" w:fill="C6EFCE"/>
            <w:noWrap/>
          </w:tcPr>
          <w:p w14:paraId="5731501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9D9647C" w14:textId="77777777" w:rsidR="003F46B9" w:rsidRDefault="0065662E">
            <w:pPr>
              <w:pStyle w:val="P68B1DB1-Normal5"/>
              <w:spacing w:after="0" w:line="240" w:lineRule="auto"/>
              <w:jc w:val="both"/>
              <w:rPr>
                <w:rFonts w:eastAsia="Times New Roman" w:cs="Times New Roman"/>
                <w:noProof/>
              </w:rPr>
            </w:pPr>
            <w:r>
              <w:rPr>
                <w:noProof/>
              </w:rPr>
              <w:t>Stupanje na snagu uredbe ministra o osnivanju nadzornog odbora zaduženog za reviziju mirovinskog sustava i političkih intervencija u mirovinskom sustavu uz potporu pružatelja tehničke pomoći</w:t>
            </w:r>
          </w:p>
        </w:tc>
        <w:tc>
          <w:tcPr>
            <w:tcW w:w="1623" w:type="dxa"/>
            <w:gridSpan w:val="2"/>
            <w:tcBorders>
              <w:top w:val="nil"/>
              <w:left w:val="nil"/>
              <w:bottom w:val="single" w:sz="4" w:space="0" w:color="auto"/>
              <w:right w:val="single" w:sz="4" w:space="0" w:color="auto"/>
            </w:tcBorders>
            <w:shd w:val="clear" w:color="auto" w:fill="C6EFCE"/>
            <w:noWrap/>
          </w:tcPr>
          <w:p w14:paraId="43F0A763" w14:textId="77777777" w:rsidR="003F46B9" w:rsidRDefault="0065662E">
            <w:pPr>
              <w:pStyle w:val="P68B1DB1-Normal5"/>
              <w:spacing w:after="0" w:line="240" w:lineRule="auto"/>
              <w:jc w:val="both"/>
              <w:rPr>
                <w:rFonts w:cs="Times New Roman"/>
                <w:noProof/>
              </w:rPr>
            </w:pPr>
            <w:r>
              <w:rPr>
                <w:noProof/>
              </w:rPr>
              <w:t>Odredba Zajedničke ministarske odluke o stupanju na snagu Zajedni</w:t>
            </w:r>
            <w:r>
              <w:rPr>
                <w:noProof/>
              </w:rPr>
              <w:t>čke ministarske odluke</w:t>
            </w:r>
          </w:p>
        </w:tc>
        <w:tc>
          <w:tcPr>
            <w:tcW w:w="1127" w:type="dxa"/>
            <w:tcBorders>
              <w:top w:val="nil"/>
              <w:left w:val="nil"/>
              <w:bottom w:val="single" w:sz="4" w:space="0" w:color="auto"/>
              <w:right w:val="single" w:sz="4" w:space="0" w:color="auto"/>
            </w:tcBorders>
            <w:shd w:val="clear" w:color="auto" w:fill="C6EFCE"/>
            <w:noWrap/>
          </w:tcPr>
          <w:p w14:paraId="02525F9A"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D2A5A3B"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CD4679F"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B98159B"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481A2CA" w14:textId="77777777" w:rsidR="003F46B9" w:rsidRDefault="0065662E">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5C4F0429" w14:textId="77777777" w:rsidR="003F46B9" w:rsidRDefault="0065662E">
            <w:pPr>
              <w:pStyle w:val="P68B1DB1-Normal5"/>
              <w:spacing w:after="0" w:line="240" w:lineRule="auto"/>
              <w:jc w:val="both"/>
              <w:rPr>
                <w:rFonts w:cs="Times New Roman"/>
                <w:noProof/>
              </w:rPr>
            </w:pPr>
            <w:r>
              <w:rPr>
                <w:noProof/>
              </w:rPr>
              <w:t>Odbor za praćenje osniva se zajedničkom ministarskom odlukom (Ministarstvo financija i Ministarstvo rada i socijalne zaštite), a sastoji se od stručnjaka iz Ministarstva rada i socijalne zaštite, Nacionaln</w:t>
            </w:r>
            <w:r>
              <w:rPr>
                <w:noProof/>
              </w:rPr>
              <w:t>og doma javnih mirovina, Ministarstva financija. Također se pozivaju stručnjaci iz Fiskalnog vijeća da se pridruže. Blisko surađuje s pružateljem tehničke pomoći.</w:t>
            </w:r>
          </w:p>
        </w:tc>
      </w:tr>
      <w:tr w:rsidR="003F46B9" w14:paraId="63ACE45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084B3AB" w14:textId="77777777" w:rsidR="003F46B9" w:rsidRDefault="0065662E">
            <w:pPr>
              <w:pStyle w:val="P68B1DB1-Normal5"/>
              <w:spacing w:after="0" w:line="240" w:lineRule="auto"/>
              <w:jc w:val="center"/>
              <w:rPr>
                <w:rFonts w:cs="Times New Roman"/>
                <w:noProof/>
              </w:rPr>
            </w:pPr>
            <w:r>
              <w:rPr>
                <w:noProof/>
              </w:rPr>
              <w:t>213</w:t>
            </w:r>
          </w:p>
        </w:tc>
        <w:tc>
          <w:tcPr>
            <w:tcW w:w="1843" w:type="dxa"/>
            <w:tcBorders>
              <w:top w:val="nil"/>
              <w:left w:val="nil"/>
              <w:bottom w:val="single" w:sz="4" w:space="0" w:color="auto"/>
              <w:right w:val="single" w:sz="4" w:space="0" w:color="auto"/>
            </w:tcBorders>
            <w:shd w:val="clear" w:color="auto" w:fill="C6EFCE"/>
            <w:noWrap/>
          </w:tcPr>
          <w:p w14:paraId="4DED5F51" w14:textId="77777777" w:rsidR="003F46B9" w:rsidRDefault="0065662E">
            <w:pPr>
              <w:pStyle w:val="P68B1DB1-Normal5"/>
              <w:spacing w:after="0" w:line="240" w:lineRule="auto"/>
              <w:jc w:val="both"/>
              <w:rPr>
                <w:rFonts w:cs="Times New Roman"/>
                <w:noProof/>
              </w:rPr>
            </w:pPr>
            <w:r>
              <w:rPr>
                <w:noProof/>
              </w:rPr>
              <w:t>Reforma 6. Reforma javnog mirovinskog sustava</w:t>
            </w:r>
          </w:p>
        </w:tc>
        <w:tc>
          <w:tcPr>
            <w:tcW w:w="1275" w:type="dxa"/>
            <w:tcBorders>
              <w:top w:val="nil"/>
              <w:left w:val="nil"/>
              <w:bottom w:val="single" w:sz="4" w:space="0" w:color="auto"/>
              <w:right w:val="single" w:sz="4" w:space="0" w:color="auto"/>
            </w:tcBorders>
            <w:shd w:val="clear" w:color="auto" w:fill="C6EFCE"/>
            <w:noWrap/>
          </w:tcPr>
          <w:p w14:paraId="266E891C"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798EB31C" w14:textId="77777777" w:rsidR="003F46B9" w:rsidRDefault="0065662E">
            <w:pPr>
              <w:pStyle w:val="P68B1DB1-Normal5"/>
              <w:spacing w:after="0" w:line="240" w:lineRule="auto"/>
              <w:jc w:val="both"/>
              <w:rPr>
                <w:rFonts w:eastAsia="Times New Roman" w:cs="Times New Roman"/>
                <w:noProof/>
              </w:rPr>
            </w:pPr>
            <w:r>
              <w:rPr>
                <w:noProof/>
              </w:rPr>
              <w:t xml:space="preserve">Stupanje na snagu izmjena </w:t>
            </w:r>
            <w:r>
              <w:rPr>
                <w:noProof/>
              </w:rPr>
              <w:t>regulatornog okvira kako bi se osigurala održivost mirovina iz drugog stupa</w:t>
            </w:r>
          </w:p>
        </w:tc>
        <w:tc>
          <w:tcPr>
            <w:tcW w:w="1623" w:type="dxa"/>
            <w:gridSpan w:val="2"/>
            <w:tcBorders>
              <w:top w:val="nil"/>
              <w:left w:val="nil"/>
              <w:bottom w:val="single" w:sz="4" w:space="0" w:color="auto"/>
              <w:right w:val="single" w:sz="4" w:space="0" w:color="auto"/>
            </w:tcBorders>
            <w:shd w:val="clear" w:color="auto" w:fill="C6EFCE"/>
            <w:noWrap/>
          </w:tcPr>
          <w:p w14:paraId="727A455C" w14:textId="77777777" w:rsidR="003F46B9" w:rsidRDefault="0065662E">
            <w:pPr>
              <w:pStyle w:val="P68B1DB1-Normal5"/>
              <w:spacing w:after="0" w:line="240" w:lineRule="auto"/>
              <w:jc w:val="both"/>
              <w:rPr>
                <w:rFonts w:cs="Times New Roman"/>
                <w:noProof/>
              </w:rPr>
            </w:pPr>
            <w:r>
              <w:rPr>
                <w:noProof/>
              </w:rPr>
              <w:t>Odredba u regulatornom okviru u kojoj se navodi stupanje zakonodavstva na snagu</w:t>
            </w:r>
          </w:p>
        </w:tc>
        <w:tc>
          <w:tcPr>
            <w:tcW w:w="1127" w:type="dxa"/>
            <w:tcBorders>
              <w:top w:val="nil"/>
              <w:left w:val="nil"/>
              <w:bottom w:val="single" w:sz="4" w:space="0" w:color="auto"/>
              <w:right w:val="single" w:sz="4" w:space="0" w:color="auto"/>
            </w:tcBorders>
            <w:shd w:val="clear" w:color="auto" w:fill="C6EFCE"/>
            <w:noWrap/>
          </w:tcPr>
          <w:p w14:paraId="57C3D4E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ECC87B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77EC4AE"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54C1B35"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43BC8B7B"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333FD59C" w14:textId="77777777" w:rsidR="003F46B9" w:rsidRDefault="0065662E">
            <w:pPr>
              <w:pStyle w:val="P68B1DB1-Normal5"/>
              <w:spacing w:after="0" w:line="240" w:lineRule="auto"/>
              <w:jc w:val="both"/>
              <w:rPr>
                <w:rFonts w:cs="Times New Roman"/>
                <w:noProof/>
              </w:rPr>
            </w:pPr>
            <w:r>
              <w:rPr>
                <w:noProof/>
              </w:rPr>
              <w:t>Novi zakonodavni okvir:</w:t>
            </w:r>
          </w:p>
          <w:p w14:paraId="32F2990A" w14:textId="77777777" w:rsidR="003F46B9" w:rsidRDefault="0065662E">
            <w:pPr>
              <w:pStyle w:val="P68B1DB1-Normal5"/>
              <w:spacing w:after="0" w:line="240" w:lineRule="auto"/>
              <w:jc w:val="both"/>
              <w:rPr>
                <w:rFonts w:cs="Times New Roman"/>
                <w:noProof/>
              </w:rPr>
            </w:pPr>
            <w:r>
              <w:rPr>
                <w:noProof/>
              </w:rPr>
              <w:t>—Osigurati fiskalnu održivost drugog stupa povećanjem do</w:t>
            </w:r>
            <w:r>
              <w:rPr>
                <w:noProof/>
              </w:rPr>
              <w:t>prinosa u skladu s odredbama proračunske fiskalne strategije;</w:t>
            </w:r>
          </w:p>
          <w:p w14:paraId="1FE5E688" w14:textId="77777777" w:rsidR="003F46B9" w:rsidRDefault="0065662E">
            <w:pPr>
              <w:pStyle w:val="P68B1DB1-Normal5"/>
              <w:spacing w:after="0" w:line="240" w:lineRule="auto"/>
              <w:jc w:val="both"/>
              <w:rPr>
                <w:rFonts w:cs="Times New Roman"/>
                <w:noProof/>
              </w:rPr>
            </w:pPr>
            <w:r>
              <w:rPr>
                <w:noProof/>
              </w:rPr>
              <w:t xml:space="preserve">—Digitalizirati funkcioniranje privatnog mirovinskog sustava </w:t>
            </w:r>
          </w:p>
          <w:p w14:paraId="51C9B756" w14:textId="77777777" w:rsidR="003F46B9" w:rsidRDefault="0065662E">
            <w:pPr>
              <w:pStyle w:val="P68B1DB1-Normal5"/>
              <w:spacing w:after="0" w:line="240" w:lineRule="auto"/>
              <w:jc w:val="both"/>
              <w:rPr>
                <w:rFonts w:cs="Times New Roman"/>
                <w:noProof/>
              </w:rPr>
            </w:pPr>
            <w:r>
              <w:rPr>
                <w:noProof/>
              </w:rPr>
              <w:t>—Razlikovati ulaganja u mirovine u okviru drugog stupa.</w:t>
            </w:r>
          </w:p>
          <w:p w14:paraId="428B4678" w14:textId="77777777" w:rsidR="003F46B9" w:rsidRDefault="0065662E">
            <w:pPr>
              <w:pStyle w:val="P68B1DB1-Normal5"/>
              <w:spacing w:after="0" w:line="240" w:lineRule="auto"/>
              <w:jc w:val="both"/>
              <w:rPr>
                <w:rFonts w:cs="Times New Roman"/>
                <w:noProof/>
              </w:rPr>
            </w:pPr>
            <w:r>
              <w:rPr>
                <w:noProof/>
              </w:rPr>
              <w:t>Kad je riječ o ulaganjima u mirovine iz drugog stupa, vlada:</w:t>
            </w:r>
          </w:p>
          <w:p w14:paraId="741B3678" w14:textId="77777777" w:rsidR="003F46B9" w:rsidRDefault="0065662E">
            <w:pPr>
              <w:pStyle w:val="P68B1DB1-Normal5"/>
              <w:spacing w:after="0" w:line="240" w:lineRule="auto"/>
              <w:jc w:val="both"/>
              <w:rPr>
                <w:rFonts w:cs="Times New Roman"/>
                <w:noProof/>
              </w:rPr>
            </w:pPr>
            <w:r>
              <w:rPr>
                <w:noProof/>
              </w:rPr>
              <w:t>—istražiti mogu</w:t>
            </w:r>
            <w:r>
              <w:rPr>
                <w:noProof/>
              </w:rPr>
              <w:t>ćnost da regulatorni režim koji se primjenjuje na ulaganja mirovinskih fondova kojima se privatno upravlja učini fleksibilnijim smanjenjem količinskih ograničenja ulaganja i smanjenjem proračunskih ograničenja rizika koja se primjenjuju na privatne mirovin</w:t>
            </w:r>
            <w:r>
              <w:rPr>
                <w:noProof/>
              </w:rPr>
              <w:t>ske fondove;</w:t>
            </w:r>
          </w:p>
          <w:p w14:paraId="5305815E" w14:textId="77777777" w:rsidR="003F46B9" w:rsidRDefault="0065662E">
            <w:pPr>
              <w:pStyle w:val="P68B1DB1-Normal5"/>
              <w:spacing w:after="0" w:line="240" w:lineRule="auto"/>
              <w:jc w:val="both"/>
              <w:rPr>
                <w:rFonts w:cs="Times New Roman"/>
                <w:noProof/>
              </w:rPr>
            </w:pPr>
            <w:r>
              <w:rPr>
                <w:noProof/>
              </w:rPr>
              <w:t>—Očuvati neovisnost upravitelja mirovinskih fondova u određivanju njihove strategije ulaganja</w:t>
            </w:r>
          </w:p>
          <w:p w14:paraId="1540E305" w14:textId="77777777" w:rsidR="003F46B9" w:rsidRDefault="0065662E">
            <w:pPr>
              <w:pStyle w:val="P68B1DB1-Normal5"/>
              <w:spacing w:after="0" w:line="240" w:lineRule="auto"/>
              <w:jc w:val="both"/>
              <w:rPr>
                <w:rFonts w:cs="Times New Roman"/>
                <w:noProof/>
              </w:rPr>
            </w:pPr>
            <w:r>
              <w:rPr>
                <w:noProof/>
              </w:rPr>
              <w:t>—Uređivanje budućih prilagodbi sustava ulaganja privatnih mirovinskih fondova kojima se doprinosi fleksibilnom ustroju kojim se upravitelje mirovinsk</w:t>
            </w:r>
            <w:r>
              <w:rPr>
                <w:noProof/>
              </w:rPr>
              <w:t>ih fondova potiče da na odgovarajući način diversificiraju svoje portfelje kako bi ostvarili pravedan povrat ulaganja prilagođen riziku.</w:t>
            </w:r>
          </w:p>
          <w:p w14:paraId="7551F18F" w14:textId="77777777" w:rsidR="003F46B9" w:rsidRDefault="0065662E">
            <w:pPr>
              <w:pStyle w:val="P68B1DB1-Normal5"/>
              <w:spacing w:after="0" w:line="240" w:lineRule="auto"/>
              <w:jc w:val="both"/>
              <w:rPr>
                <w:rFonts w:cs="Times New Roman"/>
                <w:noProof/>
              </w:rPr>
            </w:pPr>
            <w:r>
              <w:rPr>
                <w:noProof/>
              </w:rPr>
              <w:t>—Povećati pristup poduzeća tržištu kapitala, olakšati uvrštenje novih izdavatelja i bolje iskoristiti privatne izvore f</w:t>
            </w:r>
            <w:r>
              <w:rPr>
                <w:noProof/>
              </w:rPr>
              <w:t>inanciranja, uključujući imovinu mirovinskih fondova. To bi dovelo do boljeg investicijskog ekosustava za upravitelje mirovinskih fondova i većih mogućnosti za odgovarajuću diversifikaciju portfelja mirovinskih fondova.</w:t>
            </w:r>
          </w:p>
        </w:tc>
      </w:tr>
      <w:tr w:rsidR="003F46B9" w14:paraId="3472FB4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AC2003A" w14:textId="77777777" w:rsidR="003F46B9" w:rsidRDefault="0065662E">
            <w:pPr>
              <w:pStyle w:val="P68B1DB1-Normal5"/>
              <w:spacing w:after="0" w:line="240" w:lineRule="auto"/>
              <w:jc w:val="center"/>
              <w:rPr>
                <w:rFonts w:cs="Times New Roman"/>
                <w:noProof/>
              </w:rPr>
            </w:pPr>
            <w:r>
              <w:rPr>
                <w:noProof/>
              </w:rPr>
              <w:t>214</w:t>
            </w:r>
          </w:p>
        </w:tc>
        <w:tc>
          <w:tcPr>
            <w:tcW w:w="1843" w:type="dxa"/>
            <w:tcBorders>
              <w:top w:val="nil"/>
              <w:left w:val="nil"/>
              <w:bottom w:val="single" w:sz="4" w:space="0" w:color="auto"/>
              <w:right w:val="single" w:sz="4" w:space="0" w:color="auto"/>
            </w:tcBorders>
            <w:shd w:val="clear" w:color="auto" w:fill="C6EFCE"/>
            <w:noWrap/>
          </w:tcPr>
          <w:p w14:paraId="7F8FAA9A" w14:textId="77777777" w:rsidR="003F46B9" w:rsidRDefault="0065662E">
            <w:pPr>
              <w:pStyle w:val="P68B1DB1-Normal5"/>
              <w:spacing w:after="0" w:line="240" w:lineRule="auto"/>
              <w:jc w:val="both"/>
              <w:rPr>
                <w:rFonts w:cs="Times New Roman"/>
                <w:noProof/>
              </w:rPr>
            </w:pPr>
            <w:r>
              <w:rPr>
                <w:noProof/>
              </w:rPr>
              <w:t xml:space="preserve">Reforma 6. Reforma javnog </w:t>
            </w:r>
            <w:r>
              <w:rPr>
                <w:noProof/>
              </w:rPr>
              <w:t>mirovinskog sustava</w:t>
            </w:r>
          </w:p>
        </w:tc>
        <w:tc>
          <w:tcPr>
            <w:tcW w:w="1275" w:type="dxa"/>
            <w:tcBorders>
              <w:top w:val="nil"/>
              <w:left w:val="nil"/>
              <w:bottom w:val="single" w:sz="4" w:space="0" w:color="auto"/>
              <w:right w:val="single" w:sz="4" w:space="0" w:color="auto"/>
            </w:tcBorders>
            <w:shd w:val="clear" w:color="auto" w:fill="C6EFCE"/>
            <w:noWrap/>
          </w:tcPr>
          <w:p w14:paraId="4590C7C3"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E4C5A61" w14:textId="77777777" w:rsidR="003F46B9" w:rsidRDefault="0065662E">
            <w:pPr>
              <w:pStyle w:val="P68B1DB1-Normal5"/>
              <w:spacing w:after="0" w:line="240" w:lineRule="auto"/>
              <w:jc w:val="both"/>
              <w:rPr>
                <w:rFonts w:eastAsia="Times New Roman" w:cs="Times New Roman"/>
                <w:noProof/>
              </w:rPr>
            </w:pPr>
            <w:r>
              <w:rPr>
                <w:noProof/>
              </w:rPr>
              <w:t xml:space="preserve">Stupanje na snagu novog zakona o mirovinskom sustavu kojim se zamjenjuju odredbe Zakona br. 127/2019 </w:t>
            </w:r>
          </w:p>
        </w:tc>
        <w:tc>
          <w:tcPr>
            <w:tcW w:w="1623" w:type="dxa"/>
            <w:gridSpan w:val="2"/>
            <w:tcBorders>
              <w:top w:val="nil"/>
              <w:left w:val="nil"/>
              <w:bottom w:val="single" w:sz="4" w:space="0" w:color="auto"/>
              <w:right w:val="single" w:sz="4" w:space="0" w:color="auto"/>
            </w:tcBorders>
            <w:shd w:val="clear" w:color="auto" w:fill="C6EFCE"/>
            <w:noWrap/>
          </w:tcPr>
          <w:p w14:paraId="32343393" w14:textId="77777777" w:rsidR="003F46B9" w:rsidRDefault="0065662E">
            <w:pPr>
              <w:pStyle w:val="P68B1DB1-Normal5"/>
              <w:spacing w:after="0" w:line="240" w:lineRule="auto"/>
              <w:jc w:val="both"/>
              <w:rPr>
                <w:rFonts w:cs="Times New Roman"/>
                <w:noProof/>
              </w:rPr>
            </w:pPr>
            <w:r>
              <w:rPr>
                <w:noProof/>
              </w:rPr>
              <w:t>Odredba zakona o stupanju na snagu zakona o mirovinskom sustavu</w:t>
            </w:r>
          </w:p>
        </w:tc>
        <w:tc>
          <w:tcPr>
            <w:tcW w:w="1127" w:type="dxa"/>
            <w:tcBorders>
              <w:top w:val="nil"/>
              <w:left w:val="nil"/>
              <w:bottom w:val="single" w:sz="4" w:space="0" w:color="auto"/>
              <w:right w:val="single" w:sz="4" w:space="0" w:color="auto"/>
            </w:tcBorders>
            <w:shd w:val="clear" w:color="auto" w:fill="C6EFCE"/>
            <w:noWrap/>
          </w:tcPr>
          <w:p w14:paraId="17AB5D4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427371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78C785"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78AF736"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193A8772"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56AD60F" w14:textId="77777777" w:rsidR="003F46B9" w:rsidRDefault="0065662E">
            <w:pPr>
              <w:pStyle w:val="P68B1DB1-Normal5"/>
              <w:spacing w:after="0" w:line="240" w:lineRule="auto"/>
              <w:jc w:val="both"/>
              <w:rPr>
                <w:rFonts w:cs="Times New Roman"/>
                <w:noProof/>
              </w:rPr>
            </w:pPr>
            <w:r>
              <w:rPr>
                <w:noProof/>
              </w:rPr>
              <w:t>Novim zakonom o mirovinama osigurava s</w:t>
            </w:r>
            <w:r>
              <w:rPr>
                <w:noProof/>
              </w:rPr>
              <w:t>e fiskalna održivost mirovinskog sustava, kao i jednakost, poštovanje načela doprinosa, primjerenost niskih/minimalnih/socijalnih mirovina i zamjena odredbi Zakona br. 127/2019 (uključujući one koje se odnose na fiksno razdoblje uplaćivanja doprinosa od 25</w:t>
            </w:r>
            <w:r>
              <w:rPr>
                <w:noProof/>
              </w:rPr>
              <w:t xml:space="preserve"> godina).</w:t>
            </w:r>
          </w:p>
          <w:p w14:paraId="3EB61F97" w14:textId="15BFC35A" w:rsidR="003F46B9" w:rsidRDefault="0065662E">
            <w:pPr>
              <w:pStyle w:val="P68B1DB1-Normal21"/>
              <w:spacing w:after="0" w:line="240" w:lineRule="auto"/>
              <w:jc w:val="both"/>
              <w:rPr>
                <w:noProof/>
              </w:rPr>
            </w:pPr>
            <w:r>
              <w:rPr>
                <w:noProof/>
              </w:rPr>
              <w:t>Svaka izmjena zakona, koja bi dovela do odstupanja od referentnih predviđanja utvrđenih nakon što je vlada donijela reformu, popraćena je kompenzacijskim mjerama kako bi rashodi za mirovine (kao udio u BDP-u) ostali u skladu s referentnim kretanj</w:t>
            </w:r>
            <w:r>
              <w:rPr>
                <w:noProof/>
              </w:rPr>
              <w:t>em.</w:t>
            </w:r>
          </w:p>
          <w:p w14:paraId="6E3A3DCB" w14:textId="77777777" w:rsidR="003F46B9" w:rsidRDefault="0065662E">
            <w:pPr>
              <w:pStyle w:val="P68B1DB1-Normal5"/>
              <w:spacing w:after="0" w:line="240" w:lineRule="auto"/>
              <w:jc w:val="both"/>
              <w:rPr>
                <w:rFonts w:cs="Times New Roman"/>
                <w:noProof/>
              </w:rPr>
            </w:pPr>
            <w:r>
              <w:rPr>
                <w:noProof/>
              </w:rPr>
              <w:t>Na temelju tehničke pomoći (ključna etapa 211) reforma mora sadržavati barem sljedeće elemente:</w:t>
            </w:r>
          </w:p>
          <w:p w14:paraId="21BC5974" w14:textId="71AACA0F" w:rsidR="003F46B9" w:rsidRDefault="0065662E">
            <w:pPr>
              <w:pStyle w:val="P68B1DB1-ListParagraph13"/>
              <w:numPr>
                <w:ilvl w:val="0"/>
                <w:numId w:val="63"/>
              </w:numPr>
              <w:spacing w:before="120" w:after="0" w:line="240" w:lineRule="auto"/>
              <w:jc w:val="both"/>
              <w:rPr>
                <w:rFonts w:cs="Times New Roman"/>
                <w:noProof/>
              </w:rPr>
            </w:pPr>
            <w:r>
              <w:rPr>
                <w:noProof/>
              </w:rPr>
              <w:t>Uvesti novu formulu za izračun novih mirovina i mirovina u plaćanju. Parametri formule odabiru se kako bi se osigurala fiskalna održivost kretanja rashoda za mirovine i mirovinskog sustava općenito u srednjoročnom i dugoročnom razdoblju (do 2070.). Osim to</w:t>
            </w:r>
            <w:r>
              <w:rPr>
                <w:noProof/>
              </w:rPr>
              <w:t>ga, njima se ne dopušta ad hoc povećanje razina mirovina. Detaljna formula a priori ukida korekcijski indeks, temelji se na broju bodova koje je ostvario svaki korisnik u skladu s načelom uplaćivanja doprinosa i primjenjuje mehanizam indeksacije mirovina k</w:t>
            </w:r>
            <w:r>
              <w:rPr>
                <w:noProof/>
              </w:rPr>
              <w:t xml:space="preserve">oji više ne omogućuje ad hoc povećanja. </w:t>
            </w:r>
          </w:p>
          <w:p w14:paraId="01D31FA6" w14:textId="77777777" w:rsidR="003F46B9" w:rsidRDefault="0065662E">
            <w:pPr>
              <w:pStyle w:val="P68B1DB1-ListParagraph25"/>
              <w:spacing w:before="120" w:after="0" w:line="240" w:lineRule="auto"/>
              <w:ind w:left="360"/>
              <w:jc w:val="both"/>
              <w:rPr>
                <w:noProof/>
              </w:rPr>
            </w:pPr>
            <w:r>
              <w:rPr>
                <w:noProof/>
              </w:rPr>
              <w:t>Detaljna formula za izračun mirovina:</w:t>
            </w:r>
          </w:p>
          <w:p w14:paraId="1B71E1CC" w14:textId="41B36D3E" w:rsidR="003F46B9" w:rsidRDefault="0065662E">
            <w:pPr>
              <w:pStyle w:val="P68B1DB1-ListParagraph25"/>
              <w:numPr>
                <w:ilvl w:val="0"/>
                <w:numId w:val="238"/>
              </w:numPr>
              <w:spacing w:before="120" w:after="0" w:line="240" w:lineRule="auto"/>
              <w:jc w:val="both"/>
              <w:rPr>
                <w:noProof/>
              </w:rPr>
            </w:pPr>
            <w:r>
              <w:rPr>
                <w:noProof/>
              </w:rPr>
              <w:t xml:space="preserve">za postojeće i buduće umirovljenike odrediti broj bodova na temelju doprinosa uplaćenih u sustav tijekom radnog vijeka; </w:t>
            </w:r>
          </w:p>
          <w:p w14:paraId="7AF01551" w14:textId="1B72CD66" w:rsidR="003F46B9" w:rsidRDefault="0065662E">
            <w:pPr>
              <w:pStyle w:val="P68B1DB1-ListParagraph25"/>
              <w:numPr>
                <w:ilvl w:val="0"/>
                <w:numId w:val="238"/>
              </w:numPr>
              <w:spacing w:before="120" w:after="0" w:line="240" w:lineRule="auto"/>
              <w:jc w:val="both"/>
              <w:rPr>
                <w:noProof/>
              </w:rPr>
            </w:pPr>
            <w:r>
              <w:rPr>
                <w:noProof/>
              </w:rPr>
              <w:t xml:space="preserve">Utvrditi zakonsku dob za umirovljenje od 65 godina za muškarce i, od 1. siječnja 2035., za žene; </w:t>
            </w:r>
          </w:p>
          <w:p w14:paraId="676EBCD5" w14:textId="1E3E8EC9" w:rsidR="003F46B9" w:rsidRDefault="0065662E">
            <w:pPr>
              <w:pStyle w:val="P68B1DB1-ListParagraph25"/>
              <w:numPr>
                <w:ilvl w:val="0"/>
                <w:numId w:val="238"/>
              </w:numPr>
              <w:spacing w:before="120" w:after="0" w:line="240" w:lineRule="auto"/>
              <w:jc w:val="both"/>
              <w:rPr>
                <w:noProof/>
              </w:rPr>
            </w:pPr>
            <w:r>
              <w:rPr>
                <w:noProof/>
              </w:rPr>
              <w:t xml:space="preserve">Utvrditi minimalno razdoblje uplaćivanja doprinosa od 15 godina za žene i muškarce; </w:t>
            </w:r>
          </w:p>
          <w:p w14:paraId="1E4F33B0" w14:textId="60F8687E" w:rsidR="003F46B9" w:rsidRDefault="0065662E">
            <w:pPr>
              <w:pStyle w:val="P68B1DB1-ListParagraph25"/>
              <w:numPr>
                <w:ilvl w:val="0"/>
                <w:numId w:val="238"/>
              </w:numPr>
              <w:spacing w:before="120" w:after="0" w:line="240" w:lineRule="auto"/>
              <w:jc w:val="both"/>
              <w:rPr>
                <w:noProof/>
              </w:rPr>
            </w:pPr>
            <w:r>
              <w:rPr>
                <w:noProof/>
              </w:rPr>
              <w:t xml:space="preserve">Utvrditi potpuno razdoblje uplaćivanja doprinosa od 35 godina, i za žene </w:t>
            </w:r>
            <w:r>
              <w:rPr>
                <w:noProof/>
              </w:rPr>
              <w:t xml:space="preserve">i za muškarce do 2030.; </w:t>
            </w:r>
          </w:p>
          <w:p w14:paraId="5F7EA786" w14:textId="34CDA1CF" w:rsidR="003F46B9" w:rsidRDefault="0065662E">
            <w:pPr>
              <w:pStyle w:val="P68B1DB1-ListParagraph25"/>
              <w:numPr>
                <w:ilvl w:val="0"/>
                <w:numId w:val="238"/>
              </w:numPr>
              <w:spacing w:before="120" w:after="0" w:line="240" w:lineRule="auto"/>
              <w:jc w:val="both"/>
              <w:rPr>
                <w:noProof/>
              </w:rPr>
            </w:pPr>
            <w:r>
              <w:rPr>
                <w:noProof/>
              </w:rPr>
              <w:t>Utvrditi da će se minimalno razdoblje uplaćivanja doprinosa, cijelo razdoblje doprinosa i zakonska dob za umirovljenje izmijeniti s obzirom na razvoj očekivanog životnog vijeka u Rumunjskoj;</w:t>
            </w:r>
          </w:p>
          <w:p w14:paraId="2F2F64B4" w14:textId="61577E14" w:rsidR="003F46B9" w:rsidRDefault="0065662E">
            <w:pPr>
              <w:pStyle w:val="P68B1DB1-ListParagraph25"/>
              <w:numPr>
                <w:ilvl w:val="0"/>
                <w:numId w:val="238"/>
              </w:numPr>
              <w:spacing w:before="120" w:after="0" w:line="240" w:lineRule="auto"/>
              <w:jc w:val="both"/>
              <w:rPr>
                <w:noProof/>
              </w:rPr>
            </w:pPr>
            <w:r>
              <w:rPr>
                <w:noProof/>
              </w:rPr>
              <w:t>Početna referentna točka u trenutku stup</w:t>
            </w:r>
            <w:r>
              <w:rPr>
                <w:noProof/>
              </w:rPr>
              <w:t xml:space="preserve">anja na snagu reforme iznosi najviše 81 lei. </w:t>
            </w:r>
          </w:p>
          <w:p w14:paraId="6833FA52" w14:textId="77777777" w:rsidR="003F46B9" w:rsidRDefault="003F46B9">
            <w:pPr>
              <w:pStyle w:val="ListParagraph"/>
              <w:spacing w:before="120" w:after="0" w:line="240" w:lineRule="auto"/>
              <w:jc w:val="both"/>
              <w:rPr>
                <w:rFonts w:ascii="Times New Roman" w:hAnsi="Times New Roman" w:cs="Times New Roman"/>
                <w:noProof/>
                <w:sz w:val="24"/>
              </w:rPr>
            </w:pPr>
          </w:p>
          <w:p w14:paraId="3F01F29E" w14:textId="1AD1E328" w:rsidR="003F46B9" w:rsidRDefault="0065662E">
            <w:pPr>
              <w:pStyle w:val="P68B1DB1-ListParagraph25"/>
              <w:spacing w:before="120" w:after="0" w:line="240" w:lineRule="auto"/>
              <w:jc w:val="both"/>
              <w:rPr>
                <w:noProof/>
              </w:rPr>
            </w:pPr>
            <w:r>
              <w:rPr>
                <w:noProof/>
              </w:rPr>
              <w:t>U prijelaznom razdoblju umirovljenicima za koje bi nova formula dovela do teoretski niže mirovine (u odnosu na vrijeme neposredno prije stupanja na snagu reforme) njihova se mirovinska davanja zamrzavaju (u no</w:t>
            </w:r>
            <w:r>
              <w:rPr>
                <w:noProof/>
              </w:rPr>
              <w:t>minalnom iznosu) dok teoretska mirovina nakon reforme ne dosegne (pravila indeksacije) iznos jednak zamrznutoj nominalnoj mirovini.</w:t>
            </w:r>
          </w:p>
          <w:p w14:paraId="4BCC3631" w14:textId="5563F694" w:rsidR="003F46B9" w:rsidRDefault="0065662E">
            <w:pPr>
              <w:pStyle w:val="P68B1DB1-ListParagraph13"/>
              <w:numPr>
                <w:ilvl w:val="0"/>
                <w:numId w:val="63"/>
              </w:numPr>
              <w:spacing w:before="120" w:after="0" w:line="240" w:lineRule="auto"/>
              <w:jc w:val="both"/>
              <w:rPr>
                <w:rFonts w:cs="Times New Roman"/>
                <w:noProof/>
              </w:rPr>
            </w:pPr>
            <w:r>
              <w:rPr>
                <w:noProof/>
              </w:rPr>
              <w:t xml:space="preserve">Zakonom se revidiraju pravila o indeksaciji mirovina. Posebice za: </w:t>
            </w:r>
          </w:p>
          <w:p w14:paraId="7447CFDD" w14:textId="20B1E5C1" w:rsidR="003F46B9" w:rsidRDefault="0065662E">
            <w:pPr>
              <w:pStyle w:val="P68B1DB1-ListParagraph13"/>
              <w:numPr>
                <w:ilvl w:val="0"/>
                <w:numId w:val="239"/>
              </w:numPr>
              <w:spacing w:before="120" w:after="0" w:line="240" w:lineRule="auto"/>
              <w:jc w:val="both"/>
              <w:rPr>
                <w:noProof/>
              </w:rPr>
            </w:pPr>
            <w:r>
              <w:rPr>
                <w:noProof/>
              </w:rPr>
              <w:t>Zakon uključuje mehanizam indeksacije mirovina koji ne d</w:t>
            </w:r>
            <w:r>
              <w:rPr>
                <w:noProof/>
              </w:rPr>
              <w:t>opušta ad hoc povećanja;</w:t>
            </w:r>
          </w:p>
          <w:p w14:paraId="01FE37DE" w14:textId="0D15B092" w:rsidR="003F46B9" w:rsidRDefault="0065662E">
            <w:pPr>
              <w:pStyle w:val="P68B1DB1-ListParagraph13"/>
              <w:numPr>
                <w:ilvl w:val="0"/>
                <w:numId w:val="239"/>
              </w:numPr>
              <w:spacing w:before="120" w:after="0" w:line="240" w:lineRule="auto"/>
              <w:jc w:val="both"/>
              <w:rPr>
                <w:noProof/>
              </w:rPr>
            </w:pPr>
            <w:r>
              <w:rPr>
                <w:noProof/>
              </w:rPr>
              <w:t>Stopa indeksacije jednaka je inflaciji uvećanoj za 50 % rasta realnih plaća u godini t-1. Podliježe gornjoj granici i podu;</w:t>
            </w:r>
          </w:p>
          <w:p w14:paraId="10B1E664" w14:textId="1423783B" w:rsidR="003F46B9" w:rsidRDefault="0065662E">
            <w:pPr>
              <w:pStyle w:val="P68B1DB1-ListParagraph13"/>
              <w:numPr>
                <w:ilvl w:val="0"/>
                <w:numId w:val="239"/>
              </w:numPr>
              <w:spacing w:before="120" w:after="0" w:line="240" w:lineRule="auto"/>
              <w:jc w:val="both"/>
              <w:rPr>
                <w:noProof/>
              </w:rPr>
            </w:pPr>
            <w:r>
              <w:rPr>
                <w:noProof/>
              </w:rPr>
              <w:t xml:space="preserve">Stopa indeksacije ne smije biti niža od inflacije (donja granica); </w:t>
            </w:r>
          </w:p>
          <w:p w14:paraId="13E03A4A" w14:textId="2FC822D6" w:rsidR="003F46B9" w:rsidRDefault="0065662E">
            <w:pPr>
              <w:pStyle w:val="P68B1DB1-ListParagraph13"/>
              <w:numPr>
                <w:ilvl w:val="0"/>
                <w:numId w:val="239"/>
              </w:numPr>
              <w:spacing w:before="120" w:after="0" w:line="240" w:lineRule="auto"/>
              <w:jc w:val="both"/>
              <w:rPr>
                <w:noProof/>
              </w:rPr>
            </w:pPr>
            <w:r>
              <w:rPr>
                <w:noProof/>
              </w:rPr>
              <w:t>Ako je stopa indeksacije koja proizlazi</w:t>
            </w:r>
            <w:r>
              <w:rPr>
                <w:noProof/>
              </w:rPr>
              <w:t xml:space="preserve"> iz pravila iznad inflacije i stope rasta ukupnih prihoda mirovinskog sustava, stopa indeksacije ograničena je na potonji (gornja granica);</w:t>
            </w:r>
          </w:p>
          <w:p w14:paraId="1C28D697" w14:textId="10CE031E" w:rsidR="003F46B9" w:rsidRDefault="0065662E">
            <w:pPr>
              <w:pStyle w:val="P68B1DB1-ListParagraph13"/>
              <w:numPr>
                <w:ilvl w:val="0"/>
                <w:numId w:val="239"/>
              </w:numPr>
              <w:spacing w:before="120" w:after="0" w:line="240" w:lineRule="auto"/>
              <w:jc w:val="both"/>
              <w:rPr>
                <w:noProof/>
              </w:rPr>
            </w:pPr>
            <w:r>
              <w:rPr>
                <w:noProof/>
              </w:rPr>
              <w:t>Fiskalno vijeće svake godine u lipnju sastavlja izvješće kojim se provjerava jesu li pravila indeksacije u potpunost</w:t>
            </w:r>
            <w:r>
              <w:rPr>
                <w:noProof/>
              </w:rPr>
              <w:t xml:space="preserve">i primijenjena. U slučaju odstupanja od pravila indeksacije, u izvješću se kvantificira fiskalni učinak. To se izvješće objavljuje; </w:t>
            </w:r>
          </w:p>
          <w:p w14:paraId="335B8920" w14:textId="464E90ED" w:rsidR="003F46B9" w:rsidRDefault="0065662E">
            <w:pPr>
              <w:pStyle w:val="P68B1DB1-ListParagraph13"/>
              <w:numPr>
                <w:ilvl w:val="0"/>
                <w:numId w:val="239"/>
              </w:numPr>
              <w:spacing w:before="120" w:after="0" w:line="240" w:lineRule="auto"/>
              <w:jc w:val="both"/>
              <w:rPr>
                <w:noProof/>
              </w:rPr>
            </w:pPr>
            <w:r>
              <w:rPr>
                <w:noProof/>
              </w:rPr>
              <w:t>Ako se u izvješću utvrde odstupanja od zakonskih pravila indeksacije, vlada je zakonski obvezna donijeti kompenzacijske mje</w:t>
            </w:r>
            <w:r>
              <w:rPr>
                <w:noProof/>
              </w:rPr>
              <w:t>re (promjene parametra ili povećanja doprinosa) kako bi neutralizirala fiskalni učinak, u smislu neto sadašnje vrijednosti, svakog ad hoc povećanja mirovina. Socijalni doprinosi automatski će se povećavati kako bi se kompenzirao fiskalni učinak, u smislu n</w:t>
            </w:r>
            <w:r>
              <w:rPr>
                <w:noProof/>
              </w:rPr>
              <w:t>eto sadašnje vrijednosti, svakog ad hoc povećanja mirovina (tj. svakog povećanja koje nadilazi pravila o indeksaciji).</w:t>
            </w:r>
          </w:p>
          <w:p w14:paraId="2382B062" w14:textId="02E335B9" w:rsidR="003F46B9" w:rsidRDefault="0065662E">
            <w:pPr>
              <w:pStyle w:val="P68B1DB1-ListParagraph13"/>
              <w:numPr>
                <w:ilvl w:val="0"/>
                <w:numId w:val="63"/>
              </w:numPr>
              <w:jc w:val="both"/>
              <w:rPr>
                <w:noProof/>
              </w:rPr>
            </w:pPr>
            <w:r>
              <w:rPr>
                <w:noProof/>
              </w:rPr>
              <w:t xml:space="preserve">Zakonom se predviđa postupno usklađivanje zakonske dobi za umirovljenje žena s dobi muškaraca (trenutačno 65 godina). Ta konvergencija počinje 2024., nastavlja se linearno i završava do 2035. </w:t>
            </w:r>
          </w:p>
          <w:p w14:paraId="7EA007BE" w14:textId="77777777" w:rsidR="003F46B9" w:rsidRDefault="0065662E">
            <w:pPr>
              <w:pStyle w:val="P68B1DB1-ListParagraph13"/>
              <w:numPr>
                <w:ilvl w:val="0"/>
                <w:numId w:val="63"/>
              </w:numPr>
              <w:spacing w:after="0"/>
              <w:ind w:left="357" w:hanging="357"/>
              <w:jc w:val="both"/>
              <w:rPr>
                <w:noProof/>
              </w:rPr>
            </w:pPr>
            <w:r>
              <w:rPr>
                <w:noProof/>
              </w:rPr>
              <w:t>Zakon uključuje poticaje za rad dulje do zakonske dobi za umiro</w:t>
            </w:r>
            <w:r>
              <w:rPr>
                <w:noProof/>
              </w:rPr>
              <w:t>vljenje i nakon nje te do 70 godina. Posebice za: dodatni bodovi dodjeljuju se za svaku godinu ako razdoblje doprinosa premašuje 25 godina: 0,50 bodova za svaku godinu tijekom 25 godina; 0,75 bodova za svaku godinu tijekom 30 godina; jedan bod za svaku god</w:t>
            </w:r>
            <w:r>
              <w:rPr>
                <w:noProof/>
              </w:rPr>
              <w:t>inu stariju od 35 godina.</w:t>
            </w:r>
          </w:p>
          <w:p w14:paraId="5C1AB975" w14:textId="5C561190" w:rsidR="003F46B9" w:rsidRDefault="0065662E">
            <w:pPr>
              <w:pStyle w:val="P68B1DB1-Normal21"/>
              <w:numPr>
                <w:ilvl w:val="0"/>
                <w:numId w:val="63"/>
              </w:numPr>
              <w:spacing w:after="0" w:line="240" w:lineRule="auto"/>
              <w:ind w:left="357" w:hanging="357"/>
              <w:contextualSpacing/>
              <w:jc w:val="both"/>
              <w:rPr>
                <w:noProof/>
              </w:rPr>
            </w:pPr>
            <w:r>
              <w:rPr>
                <w:noProof/>
              </w:rPr>
              <w:t>Zakonom se revidiraju uvjeti prijevremenog umirovljenja zbog rada u „posebnim” ili „posebnim” uvjetima:</w:t>
            </w:r>
          </w:p>
          <w:p w14:paraId="7DF252DA" w14:textId="77777777" w:rsidR="003F46B9" w:rsidRDefault="0065662E">
            <w:pPr>
              <w:pStyle w:val="P68B1DB1-ListParagraph25"/>
              <w:numPr>
                <w:ilvl w:val="0"/>
                <w:numId w:val="62"/>
              </w:numPr>
              <w:spacing w:before="120" w:after="0" w:line="240" w:lineRule="auto"/>
              <w:jc w:val="both"/>
              <w:rPr>
                <w:noProof/>
              </w:rPr>
            </w:pPr>
            <w:r>
              <w:rPr>
                <w:noProof/>
              </w:rPr>
              <w:t xml:space="preserve">Maksimalno smanjenje standardne dobi za umirovljenje za djelatnosti koje se obavljaju pod posebnim uvjetima smanjuje se na 10 </w:t>
            </w:r>
            <w:r>
              <w:rPr>
                <w:noProof/>
              </w:rPr>
              <w:t xml:space="preserve">godina, a maksimalno smanjenje standardne dobi za umirovljenje za djelatnosti pod određenim uvjetima smanjuje se na sedam godina. </w:t>
            </w:r>
          </w:p>
          <w:p w14:paraId="0A0A704A" w14:textId="3AB92A91" w:rsidR="003F46B9" w:rsidRDefault="0065662E">
            <w:pPr>
              <w:pStyle w:val="P68B1DB1-ListParagraph25"/>
              <w:numPr>
                <w:ilvl w:val="0"/>
                <w:numId w:val="62"/>
              </w:numPr>
              <w:spacing w:before="120" w:after="0" w:line="240" w:lineRule="auto"/>
              <w:jc w:val="both"/>
              <w:rPr>
                <w:noProof/>
              </w:rPr>
            </w:pPr>
            <w:r>
              <w:rPr>
                <w:noProof/>
              </w:rPr>
              <w:t>Bonusi za davanja koji se dodjeljuju za godine rada u posebnim radnim uvjetima utvrđuju se u fiksnom broju bodova, odnosno 0,</w:t>
            </w:r>
            <w:r>
              <w:rPr>
                <w:noProof/>
              </w:rPr>
              <w:t xml:space="preserve">25 i 0,50 bodova za svaku godinu ostvarenu u posebnim radnim uvjetima. </w:t>
            </w:r>
          </w:p>
          <w:p w14:paraId="68B2D6A7" w14:textId="3D5892F4" w:rsidR="003F46B9" w:rsidRDefault="0065662E">
            <w:pPr>
              <w:pStyle w:val="P68B1DB1-ListParagraph25"/>
              <w:numPr>
                <w:ilvl w:val="0"/>
                <w:numId w:val="62"/>
              </w:numPr>
              <w:spacing w:before="120" w:after="0" w:line="240" w:lineRule="auto"/>
              <w:jc w:val="both"/>
              <w:rPr>
                <w:noProof/>
              </w:rPr>
            </w:pPr>
            <w:r>
              <w:rPr>
                <w:noProof/>
              </w:rPr>
              <w:t>Popis jedinica s djelatnostima koje omogućuju ostvarivanje statusa „posebnih uvjeta” trebalo bi smanjiti za više od polovine.</w:t>
            </w:r>
          </w:p>
          <w:p w14:paraId="6BF05469" w14:textId="77777777" w:rsidR="003F46B9" w:rsidRDefault="0065662E">
            <w:pPr>
              <w:pStyle w:val="P68B1DB1-ListParagraph25"/>
              <w:numPr>
                <w:ilvl w:val="0"/>
                <w:numId w:val="63"/>
              </w:numPr>
              <w:jc w:val="both"/>
              <w:rPr>
                <w:noProof/>
              </w:rPr>
            </w:pPr>
            <w:r>
              <w:rPr>
                <w:noProof/>
              </w:rPr>
              <w:t>Fiskalna održivost sustava podupire se i „kočnim mehanizmo</w:t>
            </w:r>
            <w:r>
              <w:rPr>
                <w:noProof/>
              </w:rPr>
              <w:t xml:space="preserve">m” ugrađenim u zakon. Posebice za: </w:t>
            </w:r>
          </w:p>
          <w:p w14:paraId="7DE34DD3" w14:textId="0D7AC838" w:rsidR="003F46B9" w:rsidRDefault="0065662E">
            <w:pPr>
              <w:pStyle w:val="P68B1DB1-ListParagraph25"/>
              <w:numPr>
                <w:ilvl w:val="0"/>
                <w:numId w:val="62"/>
              </w:numPr>
              <w:spacing w:before="120" w:after="0" w:line="240" w:lineRule="auto"/>
              <w:jc w:val="both"/>
              <w:rPr>
                <w:noProof/>
              </w:rPr>
            </w:pPr>
            <w:r>
              <w:rPr>
                <w:noProof/>
              </w:rPr>
              <w:t>Tim se mehanizmom predviđaju periodična preispitivanja (svake tri godine) rashoda za mirovine te kretanja i projekcija ravnoteže sustava koje provodi Fiskalno vijeće na temelju predviđanja Radne skupine za starenje stano</w:t>
            </w:r>
            <w:r>
              <w:rPr>
                <w:noProof/>
              </w:rPr>
              <w:t xml:space="preserve">vništva. Ministarstvo rada i Ministarstvo financija pravodobno dostavljaju sve potrebne podatke. To se preispitivanje objavljuje. </w:t>
            </w:r>
          </w:p>
          <w:p w14:paraId="057C8914" w14:textId="01D89101" w:rsidR="003F46B9" w:rsidRDefault="0065662E">
            <w:pPr>
              <w:pStyle w:val="P68B1DB1-ListParagraph25"/>
              <w:numPr>
                <w:ilvl w:val="0"/>
                <w:numId w:val="62"/>
              </w:numPr>
              <w:spacing w:before="120" w:after="0" w:line="240" w:lineRule="auto"/>
              <w:jc w:val="both"/>
              <w:rPr>
                <w:noProof/>
              </w:rPr>
            </w:pPr>
            <w:r>
              <w:rPr>
                <w:noProof/>
              </w:rPr>
              <w:t>Ako se preispitivanjem utvrde odstupanja u odnosu na „referentno kretanje” koje je utvrdio pružatelj tehničke pomoći u trenut</w:t>
            </w:r>
            <w:r>
              <w:rPr>
                <w:noProof/>
              </w:rPr>
              <w:t>ku kada vlada donese reformu, vlada je obvezna donijeti mjere (promjene parametra) kojima se rashodi za mirovine (kao udio u BDP-u) vraćaju prema referentnom putu. Socijalni doprinosi automatski će se povećati kako bi se kompenzirao fiskalni učinak, u smis</w:t>
            </w:r>
            <w:r>
              <w:rPr>
                <w:noProof/>
              </w:rPr>
              <w:t>lu neto sadašnje vrijednosti, svakog odstupanja od referentnog kretanja rashoda za mirovine.</w:t>
            </w:r>
          </w:p>
          <w:p w14:paraId="6E16E408" w14:textId="23DD8D25" w:rsidR="003F46B9" w:rsidRDefault="0065662E">
            <w:pPr>
              <w:pStyle w:val="P68B1DB1-ListParagraph25"/>
              <w:numPr>
                <w:ilvl w:val="0"/>
                <w:numId w:val="62"/>
              </w:numPr>
              <w:spacing w:before="120" w:after="0" w:line="240" w:lineRule="auto"/>
              <w:jc w:val="both"/>
              <w:rPr>
                <w:noProof/>
              </w:rPr>
            </w:pPr>
            <w:r>
              <w:rPr>
                <w:noProof/>
              </w:rPr>
              <w:t>Prvo preispitivanje provodi se 2027.</w:t>
            </w:r>
          </w:p>
          <w:p w14:paraId="6285E4A0" w14:textId="77777777" w:rsidR="003F46B9" w:rsidRDefault="0065662E">
            <w:pPr>
              <w:pStyle w:val="P68B1DB1-Normal21"/>
              <w:numPr>
                <w:ilvl w:val="0"/>
                <w:numId w:val="63"/>
              </w:numPr>
              <w:spacing w:after="0" w:line="240" w:lineRule="auto"/>
              <w:ind w:left="357" w:hanging="357"/>
              <w:contextualSpacing/>
              <w:jc w:val="both"/>
              <w:rPr>
                <w:noProof/>
              </w:rPr>
            </w:pPr>
            <w:r>
              <w:rPr>
                <w:noProof/>
              </w:rPr>
              <w:t>Reformom se uvode odredbe kojima se osigurava da se ključni parametri sustava periodično prilagođavaju kako bi odražavali prom</w:t>
            </w:r>
            <w:r>
              <w:rPr>
                <w:noProof/>
              </w:rPr>
              <w:t xml:space="preserve">jene u očekivanom životnom vijeku. Posebice za: </w:t>
            </w:r>
          </w:p>
          <w:p w14:paraId="5FA73F69" w14:textId="77777777" w:rsidR="003F46B9" w:rsidRDefault="0065662E">
            <w:pPr>
              <w:pStyle w:val="P68B1DB1-ListParagraph25"/>
              <w:numPr>
                <w:ilvl w:val="0"/>
                <w:numId w:val="62"/>
              </w:numPr>
              <w:spacing w:after="0" w:line="240" w:lineRule="auto"/>
              <w:ind w:left="714" w:hanging="357"/>
              <w:jc w:val="both"/>
              <w:rPr>
                <w:noProof/>
              </w:rPr>
            </w:pPr>
            <w:r>
              <w:rPr>
                <w:noProof/>
              </w:rPr>
              <w:t>Minimalno razdoblje uplaćivanja doprinosa, razdoblje uplaćivanja doprinosa za punu mirovinu, zakonska dob za umirovljenje i svi ostali parametri koji se odnose na vrijeme mijenjaju se za dio (50 bodova) svake uočene promjene u očekivanom životnom vijeku (u</w:t>
            </w:r>
            <w:r>
              <w:rPr>
                <w:noProof/>
              </w:rPr>
              <w:t xml:space="preserve"> mirovini). </w:t>
            </w:r>
          </w:p>
          <w:p w14:paraId="065F357B" w14:textId="77777777" w:rsidR="003F46B9" w:rsidRDefault="0065662E">
            <w:pPr>
              <w:pStyle w:val="P68B1DB1-ListParagraph25"/>
              <w:numPr>
                <w:ilvl w:val="0"/>
                <w:numId w:val="62"/>
              </w:numPr>
              <w:spacing w:before="120" w:after="0" w:line="240" w:lineRule="auto"/>
              <w:jc w:val="both"/>
              <w:rPr>
                <w:noProof/>
              </w:rPr>
            </w:pPr>
            <w:r>
              <w:rPr>
                <w:noProof/>
              </w:rPr>
              <w:t>Kada postanu dostupne nove projekcije AWG-a, Fiskalno vijeće svake tri godine sastavlja izvješće u kojem se ispituje jesu li parametri mirovinskog sustava prilagođeni u skladu sa zakonom i jesu li promjene u očekivanom životnom vijeku u trenut</w:t>
            </w:r>
            <w:r>
              <w:rPr>
                <w:noProof/>
              </w:rPr>
              <w:t>ku umirovljenja. To izvješće se objavljuje.</w:t>
            </w:r>
          </w:p>
          <w:p w14:paraId="3E4CA71A" w14:textId="77777777" w:rsidR="003F46B9" w:rsidRDefault="0065662E">
            <w:pPr>
              <w:pStyle w:val="P68B1DB1-ListParagraph25"/>
              <w:numPr>
                <w:ilvl w:val="0"/>
                <w:numId w:val="62"/>
              </w:numPr>
              <w:spacing w:before="120" w:after="0" w:line="240" w:lineRule="auto"/>
              <w:jc w:val="both"/>
              <w:rPr>
                <w:noProof/>
              </w:rPr>
            </w:pPr>
            <w:r>
              <w:rPr>
                <w:noProof/>
              </w:rPr>
              <w:t xml:space="preserve">Ako se u izvješću utvrde odstupanja od pravila, vlada je zakonom obvezna prilagoditi parametre sustava. </w:t>
            </w:r>
          </w:p>
          <w:p w14:paraId="7AF29220" w14:textId="4877FDB3" w:rsidR="003F46B9" w:rsidRDefault="0065662E">
            <w:pPr>
              <w:pStyle w:val="P68B1DB1-ListParagraph25"/>
              <w:numPr>
                <w:ilvl w:val="0"/>
                <w:numId w:val="62"/>
              </w:numPr>
              <w:spacing w:before="120" w:after="0" w:line="240" w:lineRule="auto"/>
              <w:ind w:left="714" w:hanging="357"/>
              <w:jc w:val="both"/>
              <w:rPr>
                <w:noProof/>
              </w:rPr>
            </w:pPr>
            <w:r>
              <w:rPr>
                <w:noProof/>
              </w:rPr>
              <w:t>Prvo preispitivanje provodi se 2027.</w:t>
            </w:r>
          </w:p>
          <w:p w14:paraId="2D3E27EF" w14:textId="76BC44C0" w:rsidR="003F46B9" w:rsidRDefault="0065662E">
            <w:pPr>
              <w:pStyle w:val="P68B1DB1-Normal5"/>
              <w:numPr>
                <w:ilvl w:val="0"/>
                <w:numId w:val="63"/>
              </w:numPr>
              <w:spacing w:after="0" w:line="240" w:lineRule="auto"/>
              <w:ind w:left="221" w:hanging="181"/>
              <w:contextualSpacing/>
              <w:jc w:val="both"/>
              <w:rPr>
                <w:noProof/>
              </w:rPr>
            </w:pPr>
            <w:r>
              <w:rPr>
                <w:noProof/>
              </w:rPr>
              <w:t xml:space="preserve">Zakonom se povećava primjerenost minimalnih i nižih mirovina, posebno </w:t>
            </w:r>
            <w:r>
              <w:rPr>
                <w:noProof/>
              </w:rPr>
              <w:t>za one ispod praga siromaštva;</w:t>
            </w:r>
          </w:p>
          <w:p w14:paraId="478D0F10" w14:textId="77777777" w:rsidR="003F46B9" w:rsidRDefault="0065662E">
            <w:pPr>
              <w:pStyle w:val="P68B1DB1-Normal5"/>
              <w:numPr>
                <w:ilvl w:val="0"/>
                <w:numId w:val="63"/>
              </w:numPr>
              <w:spacing w:before="120" w:after="0" w:line="240" w:lineRule="auto"/>
              <w:ind w:left="224" w:hanging="184"/>
              <w:contextualSpacing/>
              <w:jc w:val="both"/>
              <w:rPr>
                <w:rFonts w:cs="Times New Roman"/>
                <w:noProof/>
              </w:rPr>
            </w:pPr>
            <w:r>
              <w:rPr>
                <w:noProof/>
              </w:rPr>
              <w:t>Zakonom se osigurava financijska održivost drugog stupa mirovinskog sustava povećanjem doprinosa za taj mirovinski stup.</w:t>
            </w:r>
          </w:p>
          <w:p w14:paraId="34D041A4" w14:textId="164A9D9B" w:rsidR="003F46B9" w:rsidRDefault="0065662E">
            <w:pPr>
              <w:pStyle w:val="P68B1DB1-Normal5"/>
              <w:numPr>
                <w:ilvl w:val="0"/>
                <w:numId w:val="63"/>
              </w:numPr>
              <w:spacing w:before="120" w:after="0" w:line="240" w:lineRule="auto"/>
              <w:ind w:left="224" w:hanging="184"/>
              <w:contextualSpacing/>
              <w:jc w:val="both"/>
              <w:rPr>
                <w:rFonts w:cs="Times New Roman"/>
                <w:noProof/>
              </w:rPr>
            </w:pPr>
            <w:r>
              <w:rPr>
                <w:noProof/>
              </w:rPr>
              <w:t>Paket može uključivati zasebne zakone koji se odnose na opći sustav i posebne mirovine.</w:t>
            </w:r>
          </w:p>
        </w:tc>
      </w:tr>
      <w:tr w:rsidR="003F46B9" w14:paraId="37BBEDB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A1ED6AB" w14:textId="77777777" w:rsidR="003F46B9" w:rsidRDefault="0065662E">
            <w:pPr>
              <w:pStyle w:val="P68B1DB1-Normal5"/>
              <w:spacing w:after="0" w:line="240" w:lineRule="auto"/>
              <w:jc w:val="center"/>
              <w:rPr>
                <w:rFonts w:cs="Times New Roman"/>
                <w:noProof/>
              </w:rPr>
            </w:pPr>
            <w:r>
              <w:rPr>
                <w:noProof/>
              </w:rPr>
              <w:t>215</w:t>
            </w:r>
          </w:p>
        </w:tc>
        <w:tc>
          <w:tcPr>
            <w:tcW w:w="1843" w:type="dxa"/>
            <w:tcBorders>
              <w:top w:val="nil"/>
              <w:left w:val="nil"/>
              <w:bottom w:val="single" w:sz="4" w:space="0" w:color="auto"/>
              <w:right w:val="single" w:sz="4" w:space="0" w:color="auto"/>
            </w:tcBorders>
            <w:shd w:val="clear" w:color="auto" w:fill="C6EFCE"/>
            <w:noWrap/>
          </w:tcPr>
          <w:p w14:paraId="4C1E2BF9" w14:textId="77777777" w:rsidR="003F46B9" w:rsidRDefault="0065662E">
            <w:pPr>
              <w:pStyle w:val="P68B1DB1-Normal5"/>
              <w:spacing w:after="0" w:line="240" w:lineRule="auto"/>
              <w:jc w:val="both"/>
              <w:rPr>
                <w:rFonts w:cs="Times New Roman"/>
                <w:noProof/>
              </w:rPr>
            </w:pPr>
            <w:r>
              <w:rPr>
                <w:noProof/>
              </w:rPr>
              <w:t xml:space="preserve">Reforma 6. </w:t>
            </w:r>
            <w:r>
              <w:rPr>
                <w:noProof/>
              </w:rPr>
              <w:t>Reforma javnog mirovinskog sustava</w:t>
            </w:r>
          </w:p>
        </w:tc>
        <w:tc>
          <w:tcPr>
            <w:tcW w:w="1275" w:type="dxa"/>
            <w:tcBorders>
              <w:top w:val="nil"/>
              <w:left w:val="nil"/>
              <w:bottom w:val="single" w:sz="4" w:space="0" w:color="auto"/>
              <w:right w:val="single" w:sz="4" w:space="0" w:color="auto"/>
            </w:tcBorders>
            <w:shd w:val="clear" w:color="auto" w:fill="C6EFCE"/>
            <w:noWrap/>
          </w:tcPr>
          <w:p w14:paraId="3C89BEBB"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0B66EC85" w14:textId="77777777" w:rsidR="003F46B9" w:rsidRDefault="0065662E">
            <w:pPr>
              <w:pStyle w:val="P68B1DB1-Normal5"/>
              <w:spacing w:after="0" w:line="240" w:lineRule="auto"/>
              <w:jc w:val="both"/>
              <w:rPr>
                <w:rFonts w:eastAsia="Times New Roman" w:cs="Times New Roman"/>
                <w:noProof/>
              </w:rPr>
            </w:pPr>
            <w:r>
              <w:rPr>
                <w:noProof/>
              </w:rPr>
              <w:t>Stupanje na snagu zakonodavnog okvira za smanjenje rashoda za posebne mirovine</w:t>
            </w:r>
          </w:p>
        </w:tc>
        <w:tc>
          <w:tcPr>
            <w:tcW w:w="1623" w:type="dxa"/>
            <w:gridSpan w:val="2"/>
            <w:tcBorders>
              <w:top w:val="nil"/>
              <w:left w:val="nil"/>
              <w:bottom w:val="single" w:sz="4" w:space="0" w:color="auto"/>
              <w:right w:val="single" w:sz="4" w:space="0" w:color="auto"/>
            </w:tcBorders>
            <w:shd w:val="clear" w:color="auto" w:fill="C6EFCE"/>
            <w:noWrap/>
          </w:tcPr>
          <w:p w14:paraId="068C62F7" w14:textId="77777777" w:rsidR="003F46B9" w:rsidRDefault="0065662E">
            <w:pPr>
              <w:pStyle w:val="P68B1DB1-Normal5"/>
              <w:spacing w:after="0" w:line="240" w:lineRule="auto"/>
              <w:jc w:val="both"/>
              <w:rPr>
                <w:rFonts w:cs="Times New Roman"/>
                <w:noProof/>
              </w:rPr>
            </w:pPr>
            <w:r>
              <w:rPr>
                <w:noProof/>
              </w:rPr>
              <w:t>Zakonska odredba o stupanju na snagu zakonodavnog okvira za smanjenje rashoda za posebne mirovine</w:t>
            </w:r>
          </w:p>
        </w:tc>
        <w:tc>
          <w:tcPr>
            <w:tcW w:w="1127" w:type="dxa"/>
            <w:tcBorders>
              <w:top w:val="nil"/>
              <w:left w:val="nil"/>
              <w:bottom w:val="single" w:sz="4" w:space="0" w:color="auto"/>
              <w:right w:val="single" w:sz="4" w:space="0" w:color="auto"/>
            </w:tcBorders>
            <w:shd w:val="clear" w:color="auto" w:fill="C6EFCE"/>
            <w:noWrap/>
          </w:tcPr>
          <w:p w14:paraId="52BD5D7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5B89AB7"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614468E"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E39AE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50B9E67B"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06CBEBBB" w14:textId="77777777" w:rsidR="003F46B9" w:rsidRDefault="0065662E">
            <w:pPr>
              <w:pStyle w:val="P68B1DB1-Normal5"/>
              <w:spacing w:after="0" w:line="240" w:lineRule="auto"/>
              <w:jc w:val="both"/>
              <w:rPr>
                <w:rFonts w:cs="Times New Roman"/>
                <w:noProof/>
              </w:rPr>
            </w:pPr>
            <w:r>
              <w:rPr>
                <w:noProof/>
              </w:rPr>
              <w:t>Novi</w:t>
            </w:r>
            <w:r>
              <w:rPr>
                <w:noProof/>
              </w:rPr>
              <w:t>m zakonodavnim okvirom preispituju se posebne mirovine i usklađuju s načelom uplaćivanja doprinosa.</w:t>
            </w:r>
          </w:p>
          <w:p w14:paraId="581F1FC0" w14:textId="77777777" w:rsidR="003F46B9" w:rsidRDefault="0065662E">
            <w:pPr>
              <w:pStyle w:val="P68B1DB1-Normal5"/>
              <w:numPr>
                <w:ilvl w:val="0"/>
                <w:numId w:val="241"/>
              </w:numPr>
              <w:spacing w:before="120" w:after="0" w:line="240" w:lineRule="auto"/>
              <w:contextualSpacing/>
              <w:jc w:val="both"/>
              <w:rPr>
                <w:rFonts w:cs="Times New Roman"/>
                <w:noProof/>
              </w:rPr>
            </w:pPr>
            <w:r>
              <w:rPr>
                <w:noProof/>
              </w:rPr>
              <w:t>Ne stvaraju se nove kategorije posebnih mirovina i usklađuju se postojeće kategorije.</w:t>
            </w:r>
          </w:p>
          <w:p w14:paraId="3D11F925" w14:textId="77777777" w:rsidR="003F46B9" w:rsidRDefault="0065662E">
            <w:pPr>
              <w:pStyle w:val="P68B1DB1-ListParagraph13"/>
              <w:numPr>
                <w:ilvl w:val="0"/>
                <w:numId w:val="241"/>
              </w:numPr>
              <w:spacing w:before="120" w:after="0" w:line="240" w:lineRule="auto"/>
              <w:jc w:val="both"/>
              <w:rPr>
                <w:rFonts w:cs="Times New Roman"/>
                <w:noProof/>
              </w:rPr>
            </w:pPr>
            <w:r>
              <w:rPr>
                <w:noProof/>
              </w:rPr>
              <w:t>Postojeće posebne mirovine izračunavaju se na temelju načela doprinosa, radnog staža u profesiji i prilagodbe postotka koji se odnosi na ostvareni dohodak. Minimalno razdoblje uplaćivanja doprinosa slično je onom koje se primjenjuje u javnom mirovinskom fo</w:t>
            </w:r>
            <w:r>
              <w:rPr>
                <w:noProof/>
              </w:rPr>
              <w:t>ndu.</w:t>
            </w:r>
          </w:p>
          <w:p w14:paraId="758FC599" w14:textId="77777777" w:rsidR="003F46B9" w:rsidRDefault="0065662E">
            <w:pPr>
              <w:pStyle w:val="P68B1DB1-Normal5"/>
              <w:numPr>
                <w:ilvl w:val="0"/>
                <w:numId w:val="241"/>
              </w:numPr>
              <w:spacing w:before="120" w:after="0" w:line="240" w:lineRule="auto"/>
              <w:contextualSpacing/>
              <w:jc w:val="both"/>
              <w:rPr>
                <w:rFonts w:cs="Times New Roman"/>
                <w:noProof/>
              </w:rPr>
            </w:pPr>
            <w:r>
              <w:rPr>
                <w:noProof/>
              </w:rPr>
              <w:t xml:space="preserve">Zaštita odluka Ustavnog suda odnosi se samo na mirovine mirovnih sudaca, a ne i na druge kategorije te se odnosi samo na ograničenja koja su izričita u argumentima Suda. </w:t>
            </w:r>
          </w:p>
          <w:p w14:paraId="279C7186" w14:textId="77777777" w:rsidR="003F46B9" w:rsidRDefault="0065662E">
            <w:pPr>
              <w:pStyle w:val="P68B1DB1-Normal5"/>
              <w:spacing w:after="0" w:line="240" w:lineRule="auto"/>
              <w:jc w:val="both"/>
              <w:rPr>
                <w:rFonts w:cs="Times New Roman"/>
                <w:noProof/>
              </w:rPr>
            </w:pPr>
            <w:r>
              <w:rPr>
                <w:noProof/>
              </w:rPr>
              <w:t>Nijedna posebna mirovina ne smije biti veća od dohotka ostvarenog tijekom razdob</w:t>
            </w:r>
            <w:r>
              <w:rPr>
                <w:noProof/>
              </w:rPr>
              <w:t xml:space="preserve">lja uplaćivanja doprinosa. </w:t>
            </w:r>
          </w:p>
        </w:tc>
      </w:tr>
      <w:tr w:rsidR="003F46B9" w14:paraId="47C730F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9C06C9" w14:textId="77777777" w:rsidR="003F46B9" w:rsidRDefault="0065662E">
            <w:pPr>
              <w:pStyle w:val="P68B1DB1-Normal5"/>
              <w:spacing w:after="0" w:line="240" w:lineRule="auto"/>
              <w:jc w:val="center"/>
              <w:rPr>
                <w:rFonts w:eastAsia="Times New Roman" w:cs="Times New Roman"/>
                <w:noProof/>
              </w:rPr>
            </w:pPr>
            <w:r>
              <w:rPr>
                <w:noProof/>
              </w:rPr>
              <w:t>216</w:t>
            </w:r>
          </w:p>
        </w:tc>
        <w:tc>
          <w:tcPr>
            <w:tcW w:w="1843" w:type="dxa"/>
            <w:tcBorders>
              <w:top w:val="nil"/>
              <w:left w:val="nil"/>
              <w:bottom w:val="single" w:sz="4" w:space="0" w:color="auto"/>
              <w:right w:val="single" w:sz="4" w:space="0" w:color="auto"/>
            </w:tcBorders>
            <w:shd w:val="clear" w:color="auto" w:fill="C6EFCE"/>
            <w:noWrap/>
            <w:hideMark/>
          </w:tcPr>
          <w:p w14:paraId="5FBD1D6A" w14:textId="77777777" w:rsidR="003F46B9" w:rsidRDefault="0065662E">
            <w:pPr>
              <w:pStyle w:val="P68B1DB1-Normal5"/>
              <w:spacing w:after="0" w:line="240" w:lineRule="auto"/>
              <w:jc w:val="both"/>
              <w:rPr>
                <w:rFonts w:eastAsia="Times New Roman" w:cs="Times New Roman"/>
                <w:noProof/>
              </w:rPr>
            </w:pPr>
            <w:r>
              <w:rPr>
                <w:noProof/>
              </w:rPr>
              <w:t xml:space="preserve">Ulaganje 1. Olakšavanje ispunjavanja obveza poreznih obveznika razvojem digitalnih usluga </w:t>
            </w:r>
          </w:p>
        </w:tc>
        <w:tc>
          <w:tcPr>
            <w:tcW w:w="1275" w:type="dxa"/>
            <w:tcBorders>
              <w:top w:val="nil"/>
              <w:left w:val="nil"/>
              <w:bottom w:val="single" w:sz="4" w:space="0" w:color="auto"/>
              <w:right w:val="single" w:sz="4" w:space="0" w:color="auto"/>
            </w:tcBorders>
            <w:shd w:val="clear" w:color="auto" w:fill="C6EFCE"/>
            <w:noWrap/>
            <w:hideMark/>
          </w:tcPr>
          <w:p w14:paraId="751E67E3"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hideMark/>
          </w:tcPr>
          <w:p w14:paraId="2A845D63" w14:textId="77777777" w:rsidR="003F46B9" w:rsidRDefault="0065662E">
            <w:pPr>
              <w:pStyle w:val="P68B1DB1-Normal5"/>
              <w:spacing w:after="0" w:line="240" w:lineRule="auto"/>
              <w:jc w:val="both"/>
              <w:rPr>
                <w:rFonts w:cs="Times New Roman"/>
                <w:noProof/>
              </w:rPr>
            </w:pPr>
            <w:r>
              <w:rPr>
                <w:noProof/>
              </w:rPr>
              <w:t xml:space="preserve">Digitalne usluge i ključni elektronički sustavi operativni su </w:t>
            </w:r>
          </w:p>
          <w:p w14:paraId="32FF646D" w14:textId="77777777" w:rsidR="003F46B9" w:rsidRDefault="003F46B9">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hideMark/>
          </w:tcPr>
          <w:p w14:paraId="0ABC6BB0" w14:textId="77777777" w:rsidR="003F46B9" w:rsidRDefault="0065662E">
            <w:pPr>
              <w:pStyle w:val="P68B1DB1-Normal5"/>
              <w:spacing w:after="0" w:line="240" w:lineRule="auto"/>
              <w:jc w:val="both"/>
              <w:rPr>
                <w:rFonts w:eastAsia="Times New Roman" w:cs="Times New Roman"/>
                <w:noProof/>
              </w:rPr>
            </w:pPr>
            <w:r>
              <w:rPr>
                <w:noProof/>
              </w:rPr>
              <w:t xml:space="preserve">Digitalne usluge i elektronički sustavi operativni su </w:t>
            </w:r>
          </w:p>
        </w:tc>
        <w:tc>
          <w:tcPr>
            <w:tcW w:w="1127" w:type="dxa"/>
            <w:tcBorders>
              <w:top w:val="nil"/>
              <w:left w:val="nil"/>
              <w:bottom w:val="single" w:sz="4" w:space="0" w:color="auto"/>
              <w:right w:val="single" w:sz="4" w:space="0" w:color="auto"/>
            </w:tcBorders>
            <w:shd w:val="clear" w:color="auto" w:fill="C6EFCE"/>
            <w:noWrap/>
            <w:hideMark/>
          </w:tcPr>
          <w:p w14:paraId="797BFA5A" w14:textId="77777777" w:rsidR="003F46B9" w:rsidRDefault="003F46B9">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hideMark/>
          </w:tcPr>
          <w:p w14:paraId="24405079" w14:textId="77777777" w:rsidR="003F46B9" w:rsidRDefault="003F46B9">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hideMark/>
          </w:tcPr>
          <w:p w14:paraId="525BFC83" w14:textId="77777777" w:rsidR="003F46B9" w:rsidRDefault="003F46B9">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2DF2FD2A"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5DE70A59" w14:textId="77777777" w:rsidR="003F46B9" w:rsidRDefault="0065662E">
            <w:pPr>
              <w:pStyle w:val="P68B1DB1-Normal5"/>
              <w:spacing w:after="0" w:line="240" w:lineRule="auto"/>
              <w:jc w:val="center"/>
              <w:rPr>
                <w:rFonts w:eastAsia="Times New Roman"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hideMark/>
          </w:tcPr>
          <w:p w14:paraId="0384ED39" w14:textId="77777777" w:rsidR="003F46B9" w:rsidRDefault="0065662E">
            <w:pPr>
              <w:pStyle w:val="P68B1DB1-Normal5"/>
              <w:spacing w:after="0" w:line="240" w:lineRule="auto"/>
              <w:jc w:val="both"/>
              <w:rPr>
                <w:rFonts w:cs="Times New Roman"/>
                <w:noProof/>
              </w:rPr>
            </w:pPr>
            <w:r>
              <w:rPr>
                <w:noProof/>
              </w:rPr>
              <w:t>Uspostavljaju se/proširuju i operacionaliziraju sljedeće digitalne usluge i elektronički sustavi:</w:t>
            </w:r>
          </w:p>
          <w:p w14:paraId="1D8D64F9" w14:textId="77777777" w:rsidR="003F46B9" w:rsidRDefault="0065662E">
            <w:pPr>
              <w:pStyle w:val="P68B1DB1-Normal5"/>
              <w:numPr>
                <w:ilvl w:val="0"/>
                <w:numId w:val="62"/>
              </w:numPr>
              <w:spacing w:before="120" w:after="0"/>
              <w:ind w:left="224" w:hanging="224"/>
              <w:contextualSpacing/>
              <w:jc w:val="both"/>
              <w:rPr>
                <w:rFonts w:cs="Times New Roman"/>
                <w:noProof/>
              </w:rPr>
            </w:pPr>
            <w:r>
              <w:rPr>
                <w:noProof/>
              </w:rPr>
              <w:t>Virtualni privatni prostor (SPV) kojim se poboljšava digitalna interakcija između porezne uprave i poreznih obveznika (stvaranjem m</w:t>
            </w:r>
            <w:r>
              <w:rPr>
                <w:noProof/>
              </w:rPr>
              <w:t>ogućnosti plaćanja putem subjekata posebne namjene/ghiseul.ro, stvaranjem mogućnosti komunikacije s poreznim obveznicima putem subjekta posebne namjene o interakciji videozapisa, razvojem postojećeg obrasca za kontakt u subjektu posebne namjene, proširenje</w:t>
            </w:r>
            <w:r>
              <w:rPr>
                <w:noProof/>
              </w:rPr>
              <w:t>m usluge internetskog programiranja dostupne u subjektu posebne namjene.</w:t>
            </w:r>
          </w:p>
          <w:p w14:paraId="54675FF3" w14:textId="77777777" w:rsidR="003F46B9" w:rsidRDefault="0065662E">
            <w:pPr>
              <w:pStyle w:val="P68B1DB1-Normal5"/>
              <w:numPr>
                <w:ilvl w:val="0"/>
                <w:numId w:val="62"/>
              </w:numPr>
              <w:tabs>
                <w:tab w:val="left" w:pos="201"/>
              </w:tabs>
              <w:spacing w:before="120" w:after="0"/>
              <w:ind w:left="224" w:hanging="224"/>
              <w:contextualSpacing/>
              <w:jc w:val="both"/>
              <w:rPr>
                <w:rFonts w:cs="Times New Roman"/>
                <w:noProof/>
              </w:rPr>
            </w:pPr>
            <w:r>
              <w:rPr>
                <w:noProof/>
              </w:rPr>
              <w:t>Pozivni centar potpuno je operativan za pružanje elektroničkih i telefonskih usluga poreznim obveznicima. Nudi mogućnosti e-pošte, SMS poruka i razgovora putem korisničkog sučelja, ob</w:t>
            </w:r>
            <w:r>
              <w:rPr>
                <w:noProof/>
              </w:rPr>
              <w:t>radu glasovnih poruka u ulazu/odlazu s integriranim telefonskim mogućnostima putem korisničkog sučelja; automatsko usmjeravanje poziva u skladu sa sposobnostima; raditi s redovima u redovima.</w:t>
            </w:r>
          </w:p>
          <w:p w14:paraId="1CD8CFA9" w14:textId="77777777" w:rsidR="003F46B9" w:rsidRDefault="0065662E">
            <w:pPr>
              <w:pStyle w:val="P68B1DB1-Normal5"/>
              <w:numPr>
                <w:ilvl w:val="0"/>
                <w:numId w:val="62"/>
              </w:numPr>
              <w:tabs>
                <w:tab w:val="left" w:pos="201"/>
              </w:tabs>
              <w:spacing w:before="120" w:after="0"/>
              <w:ind w:left="224" w:hanging="224"/>
              <w:contextualSpacing/>
              <w:jc w:val="both"/>
              <w:rPr>
                <w:rFonts w:cs="Times New Roman"/>
                <w:noProof/>
              </w:rPr>
            </w:pPr>
            <w:r>
              <w:rPr>
                <w:noProof/>
              </w:rPr>
              <w:t>Jedinstvena kontaktna točka – jedinstvena kontaktna točka kojom će se poboljšati pružanje usluga i smanjiti transakcijski troškovi za porezne obveznike, smanjiti administrativno opterećenje za poduzeća pojednostavnjenjem postupka prijave poreza na dodanu v</w:t>
            </w:r>
            <w:r>
              <w:rPr>
                <w:noProof/>
              </w:rPr>
              <w:t>rijednost (PDV) i plaćanja od poduzeća do potrošača (B2C), olakšavanjem prekogranične trgovine i borbom protiv prijevara u vezi s PDV-om. Poduzećima olakšava elektroničku prijavu i plaćanje PDV-a u vezi s određenim kategorijama robe i usluga B2C.</w:t>
            </w:r>
          </w:p>
          <w:p w14:paraId="44A34CD4" w14:textId="22DA4195" w:rsidR="003F46B9" w:rsidRDefault="0065662E">
            <w:pPr>
              <w:pStyle w:val="P68B1DB1-Normal5"/>
              <w:numPr>
                <w:ilvl w:val="0"/>
                <w:numId w:val="62"/>
              </w:numPr>
              <w:tabs>
                <w:tab w:val="left" w:pos="201"/>
              </w:tabs>
              <w:spacing w:before="120" w:after="0"/>
              <w:ind w:left="224" w:hanging="224"/>
              <w:contextualSpacing/>
              <w:jc w:val="both"/>
              <w:rPr>
                <w:rFonts w:cs="Times New Roman"/>
                <w:noProof/>
              </w:rPr>
            </w:pPr>
            <w:r>
              <w:rPr>
                <w:noProof/>
              </w:rPr>
              <w:t>Sustav ra</w:t>
            </w:r>
            <w:r>
              <w:rPr>
                <w:noProof/>
              </w:rPr>
              <w:t xml:space="preserve">zmjene informacija o porezu na dodanu vrijednost – prilagođava se najnovijim nacionalnim zakonodavnim promjenama i zakonodavnim promjenama unutar Zajednice kako bi se smanjilo administrativno opterećenje poreznih obveznika. </w:t>
            </w:r>
          </w:p>
        </w:tc>
      </w:tr>
      <w:tr w:rsidR="003F46B9" w14:paraId="612FE35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3FAE464D" w14:textId="77777777" w:rsidR="003F46B9" w:rsidRDefault="0065662E">
            <w:pPr>
              <w:pStyle w:val="P68B1DB1-Normal5"/>
              <w:spacing w:after="0" w:line="240" w:lineRule="auto"/>
              <w:jc w:val="center"/>
              <w:rPr>
                <w:rFonts w:eastAsia="Times New Roman" w:cs="Times New Roman"/>
                <w:noProof/>
              </w:rPr>
            </w:pPr>
            <w:r>
              <w:rPr>
                <w:noProof/>
              </w:rPr>
              <w:t>217</w:t>
            </w:r>
          </w:p>
        </w:tc>
        <w:tc>
          <w:tcPr>
            <w:tcW w:w="1843" w:type="dxa"/>
            <w:tcBorders>
              <w:top w:val="nil"/>
              <w:left w:val="nil"/>
              <w:bottom w:val="single" w:sz="4" w:space="0" w:color="auto"/>
              <w:right w:val="single" w:sz="4" w:space="0" w:color="auto"/>
            </w:tcBorders>
            <w:shd w:val="clear" w:color="auto" w:fill="C6EFCE"/>
            <w:noWrap/>
            <w:hideMark/>
          </w:tcPr>
          <w:p w14:paraId="1BCBD842" w14:textId="77777777" w:rsidR="003F46B9" w:rsidRDefault="0065662E">
            <w:pPr>
              <w:pStyle w:val="P68B1DB1-Normal5"/>
              <w:spacing w:after="0" w:line="240" w:lineRule="auto"/>
              <w:jc w:val="both"/>
              <w:rPr>
                <w:rFonts w:eastAsia="Times New Roman" w:cs="Times New Roman"/>
                <w:noProof/>
              </w:rPr>
            </w:pPr>
            <w:r>
              <w:rPr>
                <w:noProof/>
              </w:rPr>
              <w:t xml:space="preserve">Ulaganje 1. Olakšavanje ispunjavanja obveza poreznih obveznika razvojem digitalnih usluga </w:t>
            </w:r>
          </w:p>
        </w:tc>
        <w:tc>
          <w:tcPr>
            <w:tcW w:w="1275" w:type="dxa"/>
            <w:tcBorders>
              <w:top w:val="nil"/>
              <w:left w:val="nil"/>
              <w:bottom w:val="single" w:sz="4" w:space="0" w:color="auto"/>
              <w:right w:val="single" w:sz="4" w:space="0" w:color="auto"/>
            </w:tcBorders>
            <w:shd w:val="clear" w:color="auto" w:fill="C6EFCE"/>
            <w:noWrap/>
            <w:hideMark/>
          </w:tcPr>
          <w:p w14:paraId="76341F1C"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hideMark/>
          </w:tcPr>
          <w:p w14:paraId="489A6BC8" w14:textId="77777777" w:rsidR="003F46B9" w:rsidRDefault="0065662E">
            <w:pPr>
              <w:pStyle w:val="P68B1DB1-Normal5"/>
              <w:spacing w:after="0" w:line="240" w:lineRule="auto"/>
              <w:jc w:val="both"/>
              <w:rPr>
                <w:rFonts w:cs="Times New Roman"/>
                <w:noProof/>
              </w:rPr>
            </w:pPr>
            <w:r>
              <w:rPr>
                <w:noProof/>
              </w:rPr>
              <w:t>Usluge za obveznike poreza na dobit dostupne su na internetu</w:t>
            </w:r>
          </w:p>
          <w:p w14:paraId="6725C62C" w14:textId="77777777" w:rsidR="003F46B9" w:rsidRDefault="003F46B9">
            <w:pPr>
              <w:spacing w:after="0" w:line="240" w:lineRule="auto"/>
              <w:jc w:val="both"/>
              <w:rPr>
                <w:rFonts w:ascii="Times New Roman" w:eastAsia="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hideMark/>
          </w:tcPr>
          <w:p w14:paraId="2F30831E"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27" w:type="dxa"/>
            <w:tcBorders>
              <w:top w:val="nil"/>
              <w:left w:val="nil"/>
              <w:bottom w:val="single" w:sz="4" w:space="0" w:color="auto"/>
              <w:right w:val="single" w:sz="4" w:space="0" w:color="auto"/>
            </w:tcBorders>
            <w:shd w:val="clear" w:color="auto" w:fill="C6EFCE"/>
            <w:noWrap/>
            <w:hideMark/>
          </w:tcPr>
          <w:p w14:paraId="7322D669" w14:textId="77777777" w:rsidR="003F46B9" w:rsidRDefault="0065662E">
            <w:pPr>
              <w:pStyle w:val="P68B1DB1-Normal5"/>
              <w:spacing w:after="0" w:line="240" w:lineRule="auto"/>
              <w:rPr>
                <w:rFonts w:eastAsia="Times New Roman" w:cs="Times New Roman"/>
                <w:noProof/>
              </w:rPr>
            </w:pPr>
            <w:r>
              <w:rPr>
                <w:noProof/>
              </w:rPr>
              <w:t>Postotak (%)</w:t>
            </w:r>
          </w:p>
          <w:p w14:paraId="1A88630C" w14:textId="77777777" w:rsidR="003F46B9" w:rsidRDefault="003F46B9">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hideMark/>
          </w:tcPr>
          <w:p w14:paraId="7D4C8239" w14:textId="77777777" w:rsidR="003F46B9" w:rsidRDefault="0065662E">
            <w:pPr>
              <w:pStyle w:val="P68B1DB1-Normal5"/>
              <w:spacing w:after="0" w:line="240" w:lineRule="auto"/>
              <w:rPr>
                <w:rFonts w:eastAsia="Times New Roman" w:cs="Times New Roman"/>
                <w:noProof/>
              </w:rPr>
            </w:pPr>
            <w:r>
              <w:rPr>
                <w:noProof/>
              </w:rPr>
              <w:t>45</w:t>
            </w:r>
          </w:p>
        </w:tc>
        <w:tc>
          <w:tcPr>
            <w:tcW w:w="1276" w:type="dxa"/>
            <w:tcBorders>
              <w:top w:val="nil"/>
              <w:left w:val="nil"/>
              <w:bottom w:val="single" w:sz="4" w:space="0" w:color="auto"/>
              <w:right w:val="single" w:sz="4" w:space="0" w:color="auto"/>
            </w:tcBorders>
            <w:shd w:val="clear" w:color="auto" w:fill="C6EFCE"/>
            <w:noWrap/>
            <w:hideMark/>
          </w:tcPr>
          <w:p w14:paraId="7B2CADC1" w14:textId="77777777" w:rsidR="003F46B9" w:rsidRDefault="0065662E">
            <w:pPr>
              <w:pStyle w:val="P68B1DB1-Normal5"/>
              <w:spacing w:after="0" w:line="240" w:lineRule="auto"/>
              <w:rPr>
                <w:rFonts w:eastAsia="Times New Roman" w:cs="Times New Roman"/>
                <w:noProof/>
              </w:rPr>
            </w:pPr>
            <w:r>
              <w:rPr>
                <w:noProof/>
              </w:rPr>
              <w:t>60</w:t>
            </w:r>
          </w:p>
        </w:tc>
        <w:tc>
          <w:tcPr>
            <w:tcW w:w="1134" w:type="dxa"/>
            <w:tcBorders>
              <w:top w:val="nil"/>
              <w:left w:val="nil"/>
              <w:bottom w:val="single" w:sz="4" w:space="0" w:color="auto"/>
              <w:right w:val="single" w:sz="4" w:space="0" w:color="auto"/>
            </w:tcBorders>
            <w:shd w:val="clear" w:color="auto" w:fill="C6EFCE"/>
            <w:noWrap/>
            <w:hideMark/>
          </w:tcPr>
          <w:p w14:paraId="7C12B86D"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753A1C6A" w14:textId="77777777" w:rsidR="003F46B9" w:rsidRDefault="0065662E">
            <w:pPr>
              <w:pStyle w:val="P68B1DB1-Normal5"/>
              <w:spacing w:after="0" w:line="240" w:lineRule="auto"/>
              <w:jc w:val="center"/>
              <w:rPr>
                <w:rFonts w:eastAsia="Times New Roman"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hideMark/>
          </w:tcPr>
          <w:p w14:paraId="51610139" w14:textId="77777777" w:rsidR="003F46B9" w:rsidRDefault="0065662E">
            <w:pPr>
              <w:pStyle w:val="P68B1DB1-Normal5"/>
              <w:spacing w:after="0"/>
              <w:contextualSpacing/>
              <w:jc w:val="both"/>
              <w:rPr>
                <w:rFonts w:cs="Times New Roman"/>
                <w:noProof/>
              </w:rPr>
            </w:pPr>
            <w:r>
              <w:rPr>
                <w:noProof/>
              </w:rPr>
              <w:t>60 % svih usluga za obveznike poreza na dobit dos</w:t>
            </w:r>
            <w:r>
              <w:rPr>
                <w:noProof/>
              </w:rPr>
              <w:t>tupne krajem 2024. mora biti dostupno na internetu na internetskim stranicama Nacionalne agencije za fiskalnu upravu ili preko subjekta posebne namjene. Od 2021. samo je 45 % tih usluga dostupno na internetu.</w:t>
            </w:r>
          </w:p>
          <w:p w14:paraId="1178C525" w14:textId="77777777" w:rsidR="003F46B9" w:rsidRDefault="0065662E">
            <w:pPr>
              <w:pStyle w:val="P68B1DB1-Normal5"/>
              <w:spacing w:after="0"/>
              <w:contextualSpacing/>
              <w:jc w:val="both"/>
              <w:rPr>
                <w:rFonts w:cs="Times New Roman"/>
                <w:noProof/>
              </w:rPr>
            </w:pPr>
            <w:r>
              <w:rPr>
                <w:noProof/>
              </w:rPr>
              <w:t>ANAF poreznim obveznicima nudi 65 usluga u elek</w:t>
            </w:r>
            <w:r>
              <w:rPr>
                <w:noProof/>
              </w:rPr>
              <w:t>troničkom obliku i u uredu poreznih jedinica. Dostupne usluge uključuju opremu za interakciju s poreznim obveznicima u prostorijama poreznih jedinica i niz rješenja za znanje poreznih obveznika/klijenta.</w:t>
            </w:r>
          </w:p>
        </w:tc>
      </w:tr>
      <w:tr w:rsidR="003F46B9" w14:paraId="4E1F93B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30BA8D" w14:textId="77777777" w:rsidR="003F46B9" w:rsidRDefault="0065662E">
            <w:pPr>
              <w:pStyle w:val="P68B1DB1-Normal5"/>
              <w:spacing w:after="0" w:line="240" w:lineRule="auto"/>
              <w:jc w:val="center"/>
              <w:rPr>
                <w:rFonts w:cs="Times New Roman"/>
                <w:noProof/>
              </w:rPr>
            </w:pPr>
            <w:r>
              <w:rPr>
                <w:noProof/>
              </w:rPr>
              <w:t>218</w:t>
            </w:r>
          </w:p>
        </w:tc>
        <w:tc>
          <w:tcPr>
            <w:tcW w:w="1843" w:type="dxa"/>
            <w:tcBorders>
              <w:top w:val="nil"/>
              <w:left w:val="nil"/>
              <w:bottom w:val="single" w:sz="4" w:space="0" w:color="auto"/>
              <w:right w:val="single" w:sz="4" w:space="0" w:color="auto"/>
            </w:tcBorders>
            <w:shd w:val="clear" w:color="auto" w:fill="C6EFCE"/>
            <w:noWrap/>
          </w:tcPr>
          <w:p w14:paraId="39716D11" w14:textId="77777777" w:rsidR="003F46B9" w:rsidRDefault="0065662E">
            <w:pPr>
              <w:pStyle w:val="P68B1DB1-Normal5"/>
              <w:spacing w:after="0" w:line="240" w:lineRule="auto"/>
              <w:jc w:val="both"/>
              <w:rPr>
                <w:rFonts w:cs="Times New Roman"/>
                <w:noProof/>
              </w:rPr>
            </w:pPr>
            <w:r>
              <w:rPr>
                <w:noProof/>
              </w:rPr>
              <w:t xml:space="preserve">Ulaganje 1. Olakšavanje ispunjavanja obveza poreznih obveznika razvojem digitalnih usluga </w:t>
            </w:r>
          </w:p>
        </w:tc>
        <w:tc>
          <w:tcPr>
            <w:tcW w:w="1275" w:type="dxa"/>
            <w:tcBorders>
              <w:top w:val="nil"/>
              <w:left w:val="nil"/>
              <w:bottom w:val="single" w:sz="4" w:space="0" w:color="auto"/>
              <w:right w:val="single" w:sz="4" w:space="0" w:color="auto"/>
            </w:tcBorders>
            <w:shd w:val="clear" w:color="auto" w:fill="C6EFCE"/>
            <w:noWrap/>
          </w:tcPr>
          <w:p w14:paraId="4F7207B5"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649E7F1F" w14:textId="77777777" w:rsidR="003F46B9" w:rsidRDefault="0065662E">
            <w:pPr>
              <w:pStyle w:val="P68B1DB1-Normal5"/>
              <w:spacing w:after="0" w:line="240" w:lineRule="auto"/>
              <w:jc w:val="both"/>
              <w:rPr>
                <w:rFonts w:cs="Times New Roman"/>
                <w:noProof/>
              </w:rPr>
            </w:pPr>
            <w:r>
              <w:rPr>
                <w:noProof/>
              </w:rPr>
              <w:t xml:space="preserve">Internetska platforma za dražbu nekretnina i mobilnih nekretnina znatne vrijednosti (prema vrsti imovine) operacionalizirana </w:t>
            </w:r>
          </w:p>
          <w:p w14:paraId="2F7FB655" w14:textId="77777777" w:rsidR="003F46B9" w:rsidRDefault="003F46B9">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5182AE33" w14:textId="77777777" w:rsidR="003F46B9" w:rsidRDefault="0065662E">
            <w:pPr>
              <w:pStyle w:val="P68B1DB1-Normal5"/>
              <w:spacing w:after="0" w:line="240" w:lineRule="auto"/>
              <w:jc w:val="both"/>
              <w:rPr>
                <w:rFonts w:cs="Times New Roman"/>
                <w:noProof/>
              </w:rPr>
            </w:pPr>
            <w:r>
              <w:rPr>
                <w:noProof/>
              </w:rPr>
              <w:t>Internetska platforma oper</w:t>
            </w:r>
            <w:r>
              <w:rPr>
                <w:noProof/>
              </w:rPr>
              <w:t>acionalizirana</w:t>
            </w:r>
          </w:p>
        </w:tc>
        <w:tc>
          <w:tcPr>
            <w:tcW w:w="1127" w:type="dxa"/>
            <w:tcBorders>
              <w:top w:val="nil"/>
              <w:left w:val="nil"/>
              <w:bottom w:val="single" w:sz="4" w:space="0" w:color="auto"/>
              <w:right w:val="single" w:sz="4" w:space="0" w:color="auto"/>
            </w:tcBorders>
            <w:shd w:val="clear" w:color="auto" w:fill="C6EFCE"/>
            <w:noWrap/>
          </w:tcPr>
          <w:p w14:paraId="1D61B3C5"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83A4CDB"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FA3418D"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3516AFD1"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4263A67D"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03F6E0C8" w14:textId="77777777" w:rsidR="003F46B9" w:rsidRDefault="0065662E">
            <w:pPr>
              <w:pStyle w:val="P68B1DB1-Normal5"/>
              <w:spacing w:after="0" w:line="240" w:lineRule="auto"/>
              <w:jc w:val="both"/>
              <w:rPr>
                <w:rFonts w:cs="Times New Roman"/>
                <w:noProof/>
              </w:rPr>
            </w:pPr>
            <w:r>
              <w:rPr>
                <w:noProof/>
              </w:rPr>
              <w:t>Operacionalizirana je internetska platforma za organiziranje dražbi za prodaju imovine u državnom vlasništvu i imovine zaplijenjene u okviru ovrhe.</w:t>
            </w:r>
          </w:p>
          <w:p w14:paraId="311A0431" w14:textId="77777777" w:rsidR="003F46B9" w:rsidRDefault="0065662E">
            <w:pPr>
              <w:pStyle w:val="P68B1DB1-Normal5"/>
              <w:spacing w:after="0" w:line="240" w:lineRule="auto"/>
              <w:jc w:val="both"/>
              <w:rPr>
                <w:rFonts w:cs="Times New Roman"/>
                <w:noProof/>
              </w:rPr>
            </w:pPr>
            <w:r>
              <w:rPr>
                <w:noProof/>
              </w:rPr>
              <w:t>U slučaju da rumunjska javna tijela odluče prodati nekretnine, mobilnu im</w:t>
            </w:r>
            <w:r>
              <w:rPr>
                <w:noProof/>
              </w:rPr>
              <w:t>ovinu te rijetke i vrijedne predmete kao što su plemeniti metali, umjetnička djela, automobili, zrakoplovi, plovila u njihovu posjedu, imovina se nudi na prodaju na novoj dražbovnoj platformi (na temelju podataka iz baza podataka Nacionalnog centra za fina</w:t>
            </w:r>
            <w:r>
              <w:rPr>
                <w:noProof/>
              </w:rPr>
              <w:t>ncijske informacije (NCFI) i informacija koje je dostavila Nacionalna agencija za fiskalnu upravu).</w:t>
            </w:r>
          </w:p>
        </w:tc>
      </w:tr>
      <w:tr w:rsidR="003F46B9" w14:paraId="7417D24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C735529" w14:textId="77777777" w:rsidR="003F46B9" w:rsidRDefault="0065662E">
            <w:pPr>
              <w:pStyle w:val="P68B1DB1-Normal5"/>
              <w:spacing w:after="0" w:line="240" w:lineRule="auto"/>
              <w:jc w:val="center"/>
              <w:rPr>
                <w:rFonts w:cs="Times New Roman"/>
                <w:noProof/>
              </w:rPr>
            </w:pPr>
            <w:r>
              <w:rPr>
                <w:noProof/>
              </w:rPr>
              <w:t>219</w:t>
            </w:r>
          </w:p>
        </w:tc>
        <w:tc>
          <w:tcPr>
            <w:tcW w:w="1843" w:type="dxa"/>
            <w:tcBorders>
              <w:top w:val="nil"/>
              <w:left w:val="nil"/>
              <w:bottom w:val="single" w:sz="4" w:space="0" w:color="auto"/>
              <w:right w:val="single" w:sz="4" w:space="0" w:color="auto"/>
            </w:tcBorders>
            <w:shd w:val="clear" w:color="auto" w:fill="C6EFCE"/>
            <w:noWrap/>
          </w:tcPr>
          <w:p w14:paraId="5F96D2C5"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3820B758"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5A267466" w14:textId="77777777" w:rsidR="003F46B9" w:rsidRDefault="0065662E">
            <w:pPr>
              <w:pStyle w:val="P68B1DB1-Normal5"/>
              <w:spacing w:after="0" w:line="240" w:lineRule="auto"/>
              <w:jc w:val="both"/>
              <w:rPr>
                <w:rFonts w:cs="Times New Roman"/>
                <w:noProof/>
              </w:rPr>
            </w:pPr>
            <w:r>
              <w:rPr>
                <w:noProof/>
              </w:rPr>
              <w:t xml:space="preserve">Osposobljavanje osoblja o sustavu upravljanja rizicima </w:t>
            </w:r>
          </w:p>
        </w:tc>
        <w:tc>
          <w:tcPr>
            <w:tcW w:w="1623" w:type="dxa"/>
            <w:gridSpan w:val="2"/>
            <w:tcBorders>
              <w:top w:val="nil"/>
              <w:left w:val="nil"/>
              <w:bottom w:val="single" w:sz="4" w:space="0" w:color="auto"/>
              <w:right w:val="single" w:sz="4" w:space="0" w:color="auto"/>
            </w:tcBorders>
            <w:shd w:val="clear" w:color="auto" w:fill="C6EFCE"/>
            <w:noWrap/>
          </w:tcPr>
          <w:p w14:paraId="104C4732"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59541058" w14:textId="77777777" w:rsidR="003F46B9" w:rsidRDefault="0065662E">
            <w:pPr>
              <w:pStyle w:val="P68B1DB1-Normal5"/>
              <w:spacing w:after="0" w:line="240" w:lineRule="auto"/>
              <w:rPr>
                <w:rFonts w:cs="Times New Roman"/>
                <w:noProof/>
              </w:rPr>
            </w:pPr>
            <w:r>
              <w:rPr>
                <w:noProof/>
              </w:rPr>
              <w:t>Broj</w:t>
            </w:r>
          </w:p>
        </w:tc>
        <w:tc>
          <w:tcPr>
            <w:tcW w:w="1089" w:type="dxa"/>
            <w:tcBorders>
              <w:top w:val="nil"/>
              <w:left w:val="nil"/>
              <w:bottom w:val="single" w:sz="4" w:space="0" w:color="auto"/>
              <w:right w:val="single" w:sz="4" w:space="0" w:color="auto"/>
            </w:tcBorders>
            <w:shd w:val="clear" w:color="auto" w:fill="C6EFCE"/>
            <w:noWrap/>
          </w:tcPr>
          <w:p w14:paraId="0903EF3E" w14:textId="77777777" w:rsidR="003F46B9" w:rsidRDefault="0065662E">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76FDC6E1" w14:textId="77777777" w:rsidR="003F46B9" w:rsidRDefault="0065662E">
            <w:pPr>
              <w:pStyle w:val="P68B1DB1-Normal5"/>
              <w:spacing w:after="0" w:line="240" w:lineRule="auto"/>
              <w:rPr>
                <w:rFonts w:cs="Times New Roman"/>
                <w:noProof/>
              </w:rPr>
            </w:pPr>
            <w:r>
              <w:rPr>
                <w:noProof/>
              </w:rPr>
              <w:t>40</w:t>
            </w:r>
          </w:p>
        </w:tc>
        <w:tc>
          <w:tcPr>
            <w:tcW w:w="1134" w:type="dxa"/>
            <w:tcBorders>
              <w:top w:val="nil"/>
              <w:left w:val="nil"/>
              <w:bottom w:val="single" w:sz="4" w:space="0" w:color="auto"/>
              <w:right w:val="single" w:sz="4" w:space="0" w:color="auto"/>
            </w:tcBorders>
            <w:shd w:val="clear" w:color="auto" w:fill="C6EFCE"/>
            <w:noWrap/>
          </w:tcPr>
          <w:p w14:paraId="00C3B023"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6E48CEB5"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A2EE518" w14:textId="77777777" w:rsidR="003F46B9" w:rsidRDefault="0065662E">
            <w:pPr>
              <w:pStyle w:val="P68B1DB1-Normal5"/>
              <w:spacing w:after="0" w:line="240" w:lineRule="auto"/>
              <w:jc w:val="both"/>
              <w:rPr>
                <w:rFonts w:cs="Times New Roman"/>
                <w:noProof/>
              </w:rPr>
            </w:pPr>
            <w:r>
              <w:rPr>
                <w:noProof/>
              </w:rPr>
              <w:t xml:space="preserve">40 zaposlenika koji rade u području upravljanja rizicima Ministarstva financija bit će osposobljeno za sustav upravljanja rizicima. </w:t>
            </w:r>
          </w:p>
        </w:tc>
      </w:tr>
      <w:tr w:rsidR="003F46B9" w14:paraId="58A55CB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0EC25FF" w14:textId="77777777" w:rsidR="003F46B9" w:rsidRDefault="0065662E">
            <w:pPr>
              <w:pStyle w:val="P68B1DB1-Normal5"/>
              <w:spacing w:after="0" w:line="240" w:lineRule="auto"/>
              <w:jc w:val="center"/>
              <w:rPr>
                <w:rFonts w:cs="Times New Roman"/>
                <w:noProof/>
              </w:rPr>
            </w:pPr>
            <w:r>
              <w:rPr>
                <w:noProof/>
              </w:rPr>
              <w:t>220</w:t>
            </w:r>
          </w:p>
        </w:tc>
        <w:tc>
          <w:tcPr>
            <w:tcW w:w="1843" w:type="dxa"/>
            <w:tcBorders>
              <w:top w:val="nil"/>
              <w:left w:val="nil"/>
              <w:bottom w:val="single" w:sz="4" w:space="0" w:color="auto"/>
              <w:right w:val="single" w:sz="4" w:space="0" w:color="auto"/>
            </w:tcBorders>
            <w:shd w:val="clear" w:color="auto" w:fill="C6EFCE"/>
            <w:noWrap/>
          </w:tcPr>
          <w:p w14:paraId="0E7A86E0" w14:textId="77777777" w:rsidR="003F46B9" w:rsidRDefault="0065662E">
            <w:pPr>
              <w:pStyle w:val="P68B1DB1-Normal5"/>
              <w:spacing w:after="0" w:line="240" w:lineRule="auto"/>
              <w:jc w:val="both"/>
              <w:rPr>
                <w:rFonts w:cs="Times New Roman"/>
                <w:noProof/>
              </w:rPr>
            </w:pPr>
            <w:r>
              <w:rPr>
                <w:noProof/>
              </w:rPr>
              <w:t>Ulaganje 2. Poboljšanje postupaka porezne i porezne uprave, među ostalim provedbom integriranog upravljanja rizicima</w:t>
            </w:r>
          </w:p>
        </w:tc>
        <w:tc>
          <w:tcPr>
            <w:tcW w:w="1275" w:type="dxa"/>
            <w:tcBorders>
              <w:top w:val="nil"/>
              <w:left w:val="nil"/>
              <w:bottom w:val="single" w:sz="4" w:space="0" w:color="auto"/>
              <w:right w:val="single" w:sz="4" w:space="0" w:color="auto"/>
            </w:tcBorders>
            <w:shd w:val="clear" w:color="auto" w:fill="C6EFCE"/>
            <w:noWrap/>
          </w:tcPr>
          <w:p w14:paraId="0D94EDAF"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256F0FCB" w14:textId="77777777" w:rsidR="003F46B9" w:rsidRDefault="0065662E">
            <w:pPr>
              <w:pStyle w:val="P68B1DB1-Normal5"/>
              <w:spacing w:after="0" w:line="240" w:lineRule="auto"/>
              <w:jc w:val="both"/>
              <w:rPr>
                <w:rFonts w:cs="Times New Roman"/>
                <w:noProof/>
              </w:rPr>
            </w:pPr>
            <w:r>
              <w:rPr>
                <w:noProof/>
              </w:rPr>
              <w:t xml:space="preserve">Broj blagajni povezanih s informacijskim sustavom Nacionalne agencije za fiskalnu upravu </w:t>
            </w:r>
          </w:p>
        </w:tc>
        <w:tc>
          <w:tcPr>
            <w:tcW w:w="1623" w:type="dxa"/>
            <w:gridSpan w:val="2"/>
            <w:tcBorders>
              <w:top w:val="nil"/>
              <w:left w:val="nil"/>
              <w:bottom w:val="single" w:sz="4" w:space="0" w:color="auto"/>
              <w:right w:val="single" w:sz="4" w:space="0" w:color="auto"/>
            </w:tcBorders>
            <w:shd w:val="clear" w:color="auto" w:fill="C6EFCE"/>
            <w:noWrap/>
          </w:tcPr>
          <w:p w14:paraId="30BDA195"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75ECABDD" w14:textId="77777777" w:rsidR="003F46B9" w:rsidRDefault="0065662E">
            <w:pPr>
              <w:pStyle w:val="P68B1DB1-Normal5"/>
              <w:spacing w:after="0" w:line="240" w:lineRule="auto"/>
              <w:rPr>
                <w:rFonts w:cs="Times New Roman"/>
                <w:noProof/>
              </w:rPr>
            </w:pPr>
            <w:r>
              <w:rPr>
                <w:noProof/>
              </w:rPr>
              <w:t>Broj</w:t>
            </w:r>
          </w:p>
        </w:tc>
        <w:tc>
          <w:tcPr>
            <w:tcW w:w="1089" w:type="dxa"/>
            <w:tcBorders>
              <w:top w:val="nil"/>
              <w:left w:val="nil"/>
              <w:bottom w:val="single" w:sz="4" w:space="0" w:color="auto"/>
              <w:right w:val="single" w:sz="4" w:space="0" w:color="auto"/>
            </w:tcBorders>
            <w:shd w:val="clear" w:color="auto" w:fill="C6EFCE"/>
            <w:noWrap/>
          </w:tcPr>
          <w:p w14:paraId="138A3C37" w14:textId="77777777" w:rsidR="003F46B9" w:rsidRDefault="0065662E">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3934D86E" w14:textId="77777777" w:rsidR="003F46B9" w:rsidRDefault="0065662E">
            <w:pPr>
              <w:pStyle w:val="P68B1DB1-Normal5"/>
              <w:spacing w:after="0" w:line="240" w:lineRule="auto"/>
              <w:rPr>
                <w:rFonts w:cs="Times New Roman"/>
                <w:noProof/>
              </w:rPr>
            </w:pPr>
            <w:r>
              <w:rPr>
                <w:noProof/>
              </w:rPr>
              <w:t>15 0000</w:t>
            </w:r>
          </w:p>
        </w:tc>
        <w:tc>
          <w:tcPr>
            <w:tcW w:w="1134" w:type="dxa"/>
            <w:tcBorders>
              <w:top w:val="nil"/>
              <w:left w:val="nil"/>
              <w:bottom w:val="single" w:sz="4" w:space="0" w:color="auto"/>
              <w:right w:val="single" w:sz="4" w:space="0" w:color="auto"/>
            </w:tcBorders>
            <w:shd w:val="clear" w:color="auto" w:fill="C6EFCE"/>
            <w:noWrap/>
          </w:tcPr>
          <w:p w14:paraId="3B5FD49E"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66C9760" w14:textId="77777777" w:rsidR="003F46B9" w:rsidRDefault="0065662E">
            <w:pPr>
              <w:pStyle w:val="P68B1DB1-Normal5"/>
              <w:spacing w:after="0" w:line="240" w:lineRule="auto"/>
              <w:jc w:val="center"/>
              <w:rPr>
                <w:rFonts w:cs="Times New Roman"/>
                <w:noProof/>
              </w:rPr>
            </w:pPr>
            <w:r>
              <w:rPr>
                <w:noProof/>
              </w:rPr>
              <w:t>2021</w:t>
            </w:r>
          </w:p>
        </w:tc>
        <w:tc>
          <w:tcPr>
            <w:tcW w:w="3119" w:type="dxa"/>
            <w:tcBorders>
              <w:top w:val="nil"/>
              <w:left w:val="nil"/>
              <w:bottom w:val="single" w:sz="4" w:space="0" w:color="auto"/>
              <w:right w:val="single" w:sz="4" w:space="0" w:color="auto"/>
            </w:tcBorders>
            <w:shd w:val="clear" w:color="auto" w:fill="C6EFCE"/>
            <w:noWrap/>
          </w:tcPr>
          <w:p w14:paraId="6EF81FE1" w14:textId="77777777" w:rsidR="003F46B9" w:rsidRDefault="0065662E">
            <w:pPr>
              <w:pStyle w:val="P68B1DB1-Normal5"/>
              <w:spacing w:after="0" w:line="240" w:lineRule="auto"/>
              <w:jc w:val="both"/>
              <w:rPr>
                <w:rFonts w:cs="Times New Roman"/>
                <w:noProof/>
              </w:rPr>
            </w:pPr>
            <w:r>
              <w:rPr>
                <w:noProof/>
              </w:rPr>
              <w:t>N</w:t>
            </w:r>
            <w:r>
              <w:rPr>
                <w:noProof/>
              </w:rPr>
              <w:t>ajmanje 150000 blagajni povezanih s elektroničkim sustavom Nacionalne agencije za fiskalnu upravu.</w:t>
            </w:r>
          </w:p>
          <w:p w14:paraId="3FEBEB0E" w14:textId="77777777" w:rsidR="003F46B9" w:rsidRDefault="0065662E">
            <w:pPr>
              <w:pStyle w:val="P68B1DB1-Normal5"/>
              <w:spacing w:after="0" w:line="240" w:lineRule="auto"/>
              <w:jc w:val="both"/>
              <w:rPr>
                <w:rFonts w:cs="Times New Roman"/>
                <w:noProof/>
              </w:rPr>
            </w:pPr>
            <w:r>
              <w:rPr>
                <w:noProof/>
              </w:rPr>
              <w:t xml:space="preserve">Potpuna povezanost blagajnih registara posebno se odnosi na prijevare u području trgovine. Tim će se ulaganjem pridonijeti smanjenju jaza PDV-a. </w:t>
            </w:r>
          </w:p>
        </w:tc>
      </w:tr>
      <w:tr w:rsidR="003F46B9" w14:paraId="03AD911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AE2B025" w14:textId="77777777" w:rsidR="003F46B9" w:rsidRDefault="0065662E">
            <w:pPr>
              <w:pStyle w:val="P68B1DB1-Normal5"/>
              <w:spacing w:after="0" w:line="240" w:lineRule="auto"/>
              <w:jc w:val="center"/>
              <w:rPr>
                <w:rFonts w:cs="Times New Roman"/>
                <w:noProof/>
              </w:rPr>
            </w:pPr>
            <w:r>
              <w:rPr>
                <w:noProof/>
              </w:rPr>
              <w:t>221</w:t>
            </w:r>
          </w:p>
        </w:tc>
        <w:tc>
          <w:tcPr>
            <w:tcW w:w="1843" w:type="dxa"/>
            <w:tcBorders>
              <w:top w:val="nil"/>
              <w:left w:val="nil"/>
              <w:bottom w:val="single" w:sz="4" w:space="0" w:color="auto"/>
              <w:right w:val="single" w:sz="4" w:space="0" w:color="auto"/>
            </w:tcBorders>
            <w:shd w:val="clear" w:color="auto" w:fill="C6EFCE"/>
            <w:noWrap/>
          </w:tcPr>
          <w:p w14:paraId="458C6936"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36AD1A6E"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29DBB153" w14:textId="77777777" w:rsidR="003F46B9" w:rsidRDefault="0065662E">
            <w:pPr>
              <w:pStyle w:val="P68B1DB1-Normal5"/>
              <w:spacing w:after="0" w:line="240" w:lineRule="auto"/>
              <w:jc w:val="both"/>
              <w:rPr>
                <w:rFonts w:cs="Times New Roman"/>
                <w:noProof/>
              </w:rPr>
            </w:pPr>
            <w:r>
              <w:rPr>
                <w:noProof/>
              </w:rPr>
              <w:t xml:space="preserve">Broj blagajni povezanih s informacijskim sustavom Nacionalne agencije za fiskalnu upravu </w:t>
            </w:r>
          </w:p>
        </w:tc>
        <w:tc>
          <w:tcPr>
            <w:tcW w:w="1623" w:type="dxa"/>
            <w:gridSpan w:val="2"/>
            <w:tcBorders>
              <w:top w:val="nil"/>
              <w:left w:val="nil"/>
              <w:bottom w:val="single" w:sz="4" w:space="0" w:color="auto"/>
              <w:right w:val="single" w:sz="4" w:space="0" w:color="auto"/>
            </w:tcBorders>
            <w:shd w:val="clear" w:color="auto" w:fill="C6EFCE"/>
            <w:noWrap/>
          </w:tcPr>
          <w:p w14:paraId="6C2E7BF1"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E55AEA2" w14:textId="77777777" w:rsidR="003F46B9" w:rsidRDefault="0065662E">
            <w:pPr>
              <w:pStyle w:val="P68B1DB1-Normal5"/>
              <w:spacing w:after="0" w:line="240" w:lineRule="auto"/>
              <w:rPr>
                <w:rFonts w:cs="Times New Roman"/>
                <w:noProof/>
              </w:rPr>
            </w:pPr>
            <w:r>
              <w:rPr>
                <w:noProof/>
              </w:rPr>
              <w:t>Broj</w:t>
            </w:r>
          </w:p>
        </w:tc>
        <w:tc>
          <w:tcPr>
            <w:tcW w:w="1089" w:type="dxa"/>
            <w:tcBorders>
              <w:top w:val="nil"/>
              <w:left w:val="nil"/>
              <w:bottom w:val="single" w:sz="4" w:space="0" w:color="auto"/>
              <w:right w:val="single" w:sz="4" w:space="0" w:color="auto"/>
            </w:tcBorders>
            <w:shd w:val="clear" w:color="auto" w:fill="C6EFCE"/>
            <w:noWrap/>
          </w:tcPr>
          <w:p w14:paraId="48194DD9" w14:textId="77777777" w:rsidR="003F46B9" w:rsidRDefault="0065662E">
            <w:pPr>
              <w:pStyle w:val="P68B1DB1-Normal5"/>
              <w:spacing w:after="0" w:line="240" w:lineRule="auto"/>
              <w:rPr>
                <w:rFonts w:cs="Times New Roman"/>
                <w:noProof/>
              </w:rPr>
            </w:pPr>
            <w:r>
              <w:rPr>
                <w:noProof/>
              </w:rPr>
              <w:t>150 000</w:t>
            </w:r>
          </w:p>
        </w:tc>
        <w:tc>
          <w:tcPr>
            <w:tcW w:w="1276" w:type="dxa"/>
            <w:tcBorders>
              <w:top w:val="nil"/>
              <w:left w:val="nil"/>
              <w:bottom w:val="single" w:sz="4" w:space="0" w:color="auto"/>
              <w:right w:val="single" w:sz="4" w:space="0" w:color="auto"/>
            </w:tcBorders>
            <w:shd w:val="clear" w:color="auto" w:fill="C6EFCE"/>
            <w:noWrap/>
          </w:tcPr>
          <w:p w14:paraId="0DCC653D" w14:textId="77777777" w:rsidR="003F46B9" w:rsidRDefault="0065662E">
            <w:pPr>
              <w:pStyle w:val="P68B1DB1-Normal5"/>
              <w:spacing w:after="0" w:line="240" w:lineRule="auto"/>
              <w:rPr>
                <w:rFonts w:cs="Times New Roman"/>
                <w:noProof/>
              </w:rPr>
            </w:pPr>
            <w:r>
              <w:rPr>
                <w:noProof/>
              </w:rPr>
              <w:t>600 000</w:t>
            </w:r>
          </w:p>
        </w:tc>
        <w:tc>
          <w:tcPr>
            <w:tcW w:w="1134" w:type="dxa"/>
            <w:tcBorders>
              <w:top w:val="nil"/>
              <w:left w:val="nil"/>
              <w:bottom w:val="single" w:sz="4" w:space="0" w:color="auto"/>
              <w:right w:val="single" w:sz="4" w:space="0" w:color="auto"/>
            </w:tcBorders>
            <w:shd w:val="clear" w:color="auto" w:fill="C6EFCE"/>
            <w:noWrap/>
          </w:tcPr>
          <w:p w14:paraId="75547BBF"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451C3D21"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676206CF" w14:textId="77777777" w:rsidR="003F46B9" w:rsidRDefault="0065662E">
            <w:pPr>
              <w:pStyle w:val="P68B1DB1-Normal5"/>
              <w:spacing w:after="0" w:line="240" w:lineRule="auto"/>
              <w:jc w:val="both"/>
              <w:rPr>
                <w:rFonts w:cs="Times New Roman"/>
                <w:noProof/>
              </w:rPr>
            </w:pPr>
            <w:r>
              <w:rPr>
                <w:noProof/>
              </w:rPr>
              <w:t>Najmanje 600000 blagajni mora biti povezano s elektroničkim sustavom Nacionalne agencije za fiskalnu upravu.</w:t>
            </w:r>
          </w:p>
          <w:p w14:paraId="36AC1BA6" w14:textId="77777777" w:rsidR="003F46B9" w:rsidRDefault="0065662E">
            <w:pPr>
              <w:pStyle w:val="P68B1DB1-Normal5"/>
              <w:spacing w:after="0" w:line="240" w:lineRule="auto"/>
              <w:jc w:val="both"/>
              <w:rPr>
                <w:rFonts w:cs="Times New Roman"/>
                <w:noProof/>
              </w:rPr>
            </w:pPr>
            <w:r>
              <w:rPr>
                <w:noProof/>
              </w:rPr>
              <w:t>Potpuna povezanost blagajnih registara posebno se odnosi na prijevare u području trgovine. Tim će se ulaganjem pridonijeti smanjenju jaza PDV</w:t>
            </w:r>
            <w:r>
              <w:rPr>
                <w:noProof/>
              </w:rPr>
              <w:t>-a.</w:t>
            </w:r>
          </w:p>
        </w:tc>
      </w:tr>
      <w:tr w:rsidR="003F46B9" w14:paraId="4A583FB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4A3D468" w14:textId="77777777" w:rsidR="003F46B9" w:rsidRDefault="0065662E">
            <w:pPr>
              <w:pStyle w:val="P68B1DB1-Normal5"/>
              <w:spacing w:after="0" w:line="240" w:lineRule="auto"/>
              <w:jc w:val="center"/>
              <w:rPr>
                <w:rFonts w:cs="Times New Roman"/>
                <w:noProof/>
              </w:rPr>
            </w:pPr>
            <w:r>
              <w:rPr>
                <w:noProof/>
              </w:rPr>
              <w:t>222</w:t>
            </w:r>
          </w:p>
        </w:tc>
        <w:tc>
          <w:tcPr>
            <w:tcW w:w="1843" w:type="dxa"/>
            <w:tcBorders>
              <w:top w:val="nil"/>
              <w:left w:val="nil"/>
              <w:bottom w:val="single" w:sz="4" w:space="0" w:color="auto"/>
              <w:right w:val="single" w:sz="4" w:space="0" w:color="auto"/>
            </w:tcBorders>
            <w:shd w:val="clear" w:color="auto" w:fill="C6EFCE"/>
            <w:noWrap/>
          </w:tcPr>
          <w:p w14:paraId="0C186457"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1ECE06D2"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60E85604" w14:textId="77777777" w:rsidR="003F46B9" w:rsidRDefault="0065662E">
            <w:pPr>
              <w:pStyle w:val="P68B1DB1-Normal5"/>
              <w:spacing w:after="0" w:line="240" w:lineRule="auto"/>
              <w:jc w:val="both"/>
              <w:rPr>
                <w:rFonts w:cs="Times New Roman"/>
                <w:noProof/>
              </w:rPr>
            </w:pPr>
            <w:r>
              <w:rPr>
                <w:noProof/>
              </w:rPr>
              <w:t xml:space="preserve">Udio u broju revizija dokumentacije o ukupnom broju revizija koje je provela porezna uprava – 30 % </w:t>
            </w:r>
          </w:p>
        </w:tc>
        <w:tc>
          <w:tcPr>
            <w:tcW w:w="1623" w:type="dxa"/>
            <w:gridSpan w:val="2"/>
            <w:tcBorders>
              <w:top w:val="nil"/>
              <w:left w:val="nil"/>
              <w:bottom w:val="single" w:sz="4" w:space="0" w:color="auto"/>
              <w:right w:val="single" w:sz="4" w:space="0" w:color="auto"/>
            </w:tcBorders>
            <w:shd w:val="clear" w:color="auto" w:fill="C6EFCE"/>
            <w:noWrap/>
          </w:tcPr>
          <w:p w14:paraId="4C38CC57"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3A040D3B" w14:textId="77777777" w:rsidR="003F46B9" w:rsidRDefault="0065662E">
            <w:pPr>
              <w:pStyle w:val="P68B1DB1-Normal5"/>
              <w:spacing w:after="0" w:line="240" w:lineRule="auto"/>
              <w:rPr>
                <w:rFonts w:eastAsia="Times New Roman" w:cs="Times New Roman"/>
                <w:noProof/>
              </w:rPr>
            </w:pPr>
            <w:r>
              <w:rPr>
                <w:noProof/>
              </w:rPr>
              <w:t>Postotak (%)</w:t>
            </w:r>
          </w:p>
          <w:p w14:paraId="487C724A"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9396343" w14:textId="77777777" w:rsidR="003F46B9" w:rsidRDefault="0065662E">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59A1EE22" w14:textId="77777777" w:rsidR="003F46B9" w:rsidRDefault="0065662E">
            <w:pPr>
              <w:pStyle w:val="P68B1DB1-Normal5"/>
              <w:spacing w:after="0" w:line="240" w:lineRule="auto"/>
              <w:rPr>
                <w:rFonts w:cs="Times New Roman"/>
                <w:noProof/>
              </w:rPr>
            </w:pPr>
            <w:r>
              <w:rPr>
                <w:noProof/>
              </w:rPr>
              <w:t>30</w:t>
            </w:r>
          </w:p>
        </w:tc>
        <w:tc>
          <w:tcPr>
            <w:tcW w:w="1134" w:type="dxa"/>
            <w:tcBorders>
              <w:top w:val="nil"/>
              <w:left w:val="nil"/>
              <w:bottom w:val="single" w:sz="4" w:space="0" w:color="auto"/>
              <w:right w:val="single" w:sz="4" w:space="0" w:color="auto"/>
            </w:tcBorders>
            <w:shd w:val="clear" w:color="auto" w:fill="C6EFCE"/>
            <w:noWrap/>
          </w:tcPr>
          <w:p w14:paraId="343984AA"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1DA34055"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1AE7B6CD" w14:textId="77777777" w:rsidR="003F46B9" w:rsidRDefault="0065662E">
            <w:pPr>
              <w:pStyle w:val="P68B1DB1-Normal5"/>
              <w:spacing w:after="0" w:line="240" w:lineRule="auto"/>
              <w:jc w:val="both"/>
              <w:rPr>
                <w:rFonts w:cs="Times New Roman"/>
                <w:noProof/>
              </w:rPr>
            </w:pPr>
            <w:r>
              <w:rPr>
                <w:noProof/>
              </w:rPr>
              <w:t xml:space="preserve">Udio revizija dokumentacije u ukupnom broju provedenih revizija povećat će se do četvrtog tromjesečja 2022. na 30 % (s današnje nule). Taj je cilj dio reforme kako bi se inspekcijske mjere preusmjerile s fizičkih na digitalne </w:t>
            </w:r>
            <w:r>
              <w:rPr>
                <w:noProof/>
              </w:rPr>
              <w:t>kontrolne strukture.</w:t>
            </w:r>
          </w:p>
          <w:p w14:paraId="465C999C" w14:textId="77777777" w:rsidR="003F46B9" w:rsidRDefault="0065662E">
            <w:pPr>
              <w:pStyle w:val="P68B1DB1-Normal5"/>
              <w:spacing w:after="0" w:line="240" w:lineRule="auto"/>
              <w:jc w:val="both"/>
              <w:rPr>
                <w:rFonts w:eastAsia="Times New Roman" w:cs="Times New Roman"/>
                <w:noProof/>
              </w:rPr>
            </w:pPr>
            <w:r>
              <w:rPr>
                <w:noProof/>
              </w:rPr>
              <w:t>Provode se sljedeće mjere:</w:t>
            </w:r>
          </w:p>
          <w:p w14:paraId="697DC5EB" w14:textId="77777777" w:rsidR="003F46B9" w:rsidRDefault="0065662E">
            <w:pPr>
              <w:pStyle w:val="P68B1DB1-ListParagraph13"/>
              <w:numPr>
                <w:ilvl w:val="0"/>
                <w:numId w:val="68"/>
              </w:numPr>
              <w:spacing w:after="0" w:line="240" w:lineRule="auto"/>
              <w:ind w:left="174" w:hanging="218"/>
              <w:jc w:val="both"/>
              <w:rPr>
                <w:rFonts w:eastAsia="Times New Roman" w:cs="Times New Roman"/>
                <w:noProof/>
              </w:rPr>
            </w:pPr>
            <w:r>
              <w:rPr>
                <w:noProof/>
              </w:rPr>
              <w:t>utvrđivanje ovlasti poreznih tijela da provode provjere dokumentacije koje provode tijela poreznog nadzora, kontrolna tijela za borbu protiv prijevara i tijela zadužena za provjeru osobnih poreznih situacija.</w:t>
            </w:r>
          </w:p>
          <w:p w14:paraId="191EB6D1" w14:textId="77777777" w:rsidR="003F46B9" w:rsidRDefault="0065662E">
            <w:pPr>
              <w:pStyle w:val="P68B1DB1-ListParagraph13"/>
              <w:numPr>
                <w:ilvl w:val="0"/>
                <w:numId w:val="68"/>
              </w:numPr>
              <w:spacing w:after="0" w:line="240" w:lineRule="auto"/>
              <w:ind w:left="174" w:hanging="218"/>
              <w:jc w:val="both"/>
              <w:rPr>
                <w:rFonts w:eastAsia="Times New Roman" w:cs="Times New Roman"/>
                <w:noProof/>
              </w:rPr>
            </w:pPr>
            <w:r>
              <w:rPr>
                <w:noProof/>
              </w:rPr>
              <w:t xml:space="preserve">odobreni su predložak i sadržaj obrazaca i dokumenata upotrijebljenih u aktivnosti revizije dokumentacije. </w:t>
            </w:r>
          </w:p>
        </w:tc>
      </w:tr>
      <w:tr w:rsidR="003F46B9" w14:paraId="05797F6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918735" w14:textId="77777777" w:rsidR="003F46B9" w:rsidRDefault="0065662E">
            <w:pPr>
              <w:pStyle w:val="P68B1DB1-Normal5"/>
              <w:spacing w:after="0" w:line="240" w:lineRule="auto"/>
              <w:jc w:val="center"/>
              <w:rPr>
                <w:rFonts w:cs="Times New Roman"/>
                <w:noProof/>
              </w:rPr>
            </w:pPr>
            <w:r>
              <w:rPr>
                <w:noProof/>
              </w:rPr>
              <w:t>223</w:t>
            </w:r>
          </w:p>
        </w:tc>
        <w:tc>
          <w:tcPr>
            <w:tcW w:w="1843" w:type="dxa"/>
            <w:tcBorders>
              <w:top w:val="nil"/>
              <w:left w:val="nil"/>
              <w:bottom w:val="single" w:sz="4" w:space="0" w:color="auto"/>
              <w:right w:val="single" w:sz="4" w:space="0" w:color="auto"/>
            </w:tcBorders>
            <w:shd w:val="clear" w:color="auto" w:fill="C6EFCE"/>
            <w:noWrap/>
          </w:tcPr>
          <w:p w14:paraId="07FCBE6B" w14:textId="77777777" w:rsidR="003F46B9" w:rsidRDefault="0065662E">
            <w:pPr>
              <w:pStyle w:val="P68B1DB1-Normal5"/>
              <w:spacing w:after="0" w:line="240" w:lineRule="auto"/>
              <w:jc w:val="both"/>
              <w:rPr>
                <w:rFonts w:cs="Times New Roman"/>
                <w:noProof/>
              </w:rPr>
            </w:pPr>
            <w:r>
              <w:rPr>
                <w:noProof/>
              </w:rPr>
              <w:t>Ulaganje 2. Poboljšanje postupaka porezne i porezne uprave, među ostalim provedbom integriranog upravljanja rizicima</w:t>
            </w:r>
          </w:p>
        </w:tc>
        <w:tc>
          <w:tcPr>
            <w:tcW w:w="1275" w:type="dxa"/>
            <w:tcBorders>
              <w:top w:val="nil"/>
              <w:left w:val="nil"/>
              <w:bottom w:val="single" w:sz="4" w:space="0" w:color="auto"/>
              <w:right w:val="single" w:sz="4" w:space="0" w:color="auto"/>
            </w:tcBorders>
            <w:shd w:val="clear" w:color="auto" w:fill="C6EFCE"/>
            <w:noWrap/>
          </w:tcPr>
          <w:p w14:paraId="0621D143"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5A65A844" w14:textId="77777777" w:rsidR="003F46B9" w:rsidRDefault="0065662E">
            <w:pPr>
              <w:pStyle w:val="P68B1DB1-Normal5"/>
              <w:spacing w:after="0" w:line="240" w:lineRule="auto"/>
              <w:jc w:val="both"/>
              <w:rPr>
                <w:rFonts w:cs="Times New Roman"/>
                <w:noProof/>
              </w:rPr>
            </w:pPr>
            <w:r>
              <w:rPr>
                <w:noProof/>
              </w:rPr>
              <w:t xml:space="preserve">Udio u broju revizija dokumentacije o ukupnom broju revizija koje je provela porezna uprava – 60 % </w:t>
            </w:r>
          </w:p>
          <w:p w14:paraId="08F52A00" w14:textId="77777777" w:rsidR="003F46B9" w:rsidRDefault="003F46B9">
            <w:pPr>
              <w:spacing w:after="0" w:line="240" w:lineRule="auto"/>
              <w:jc w:val="both"/>
              <w:rPr>
                <w:rFonts w:ascii="Times New Roman" w:hAnsi="Times New Roman" w:cs="Times New Roman"/>
                <w:noProof/>
                <w:sz w:val="24"/>
              </w:rPr>
            </w:pPr>
          </w:p>
        </w:tc>
        <w:tc>
          <w:tcPr>
            <w:tcW w:w="1623" w:type="dxa"/>
            <w:gridSpan w:val="2"/>
            <w:tcBorders>
              <w:top w:val="nil"/>
              <w:left w:val="nil"/>
              <w:bottom w:val="single" w:sz="4" w:space="0" w:color="auto"/>
              <w:right w:val="single" w:sz="4" w:space="0" w:color="auto"/>
            </w:tcBorders>
            <w:shd w:val="clear" w:color="auto" w:fill="C6EFCE"/>
            <w:noWrap/>
          </w:tcPr>
          <w:p w14:paraId="4058E7B0"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2DBD32CA" w14:textId="77777777" w:rsidR="003F46B9" w:rsidRDefault="0065662E">
            <w:pPr>
              <w:pStyle w:val="P68B1DB1-Normal5"/>
              <w:spacing w:after="0" w:line="240" w:lineRule="auto"/>
              <w:rPr>
                <w:rFonts w:eastAsia="Times New Roman" w:cs="Times New Roman"/>
                <w:noProof/>
              </w:rPr>
            </w:pPr>
            <w:r>
              <w:rPr>
                <w:noProof/>
              </w:rPr>
              <w:t>Postotak (%)</w:t>
            </w:r>
          </w:p>
          <w:p w14:paraId="4E523FC8"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465B1AD" w14:textId="77777777" w:rsidR="003F46B9" w:rsidRDefault="0065662E">
            <w:pPr>
              <w:pStyle w:val="P68B1DB1-Normal5"/>
              <w:spacing w:after="0" w:line="240" w:lineRule="auto"/>
              <w:rPr>
                <w:rFonts w:cs="Times New Roman"/>
                <w:noProof/>
              </w:rPr>
            </w:pPr>
            <w:r>
              <w:rPr>
                <w:noProof/>
              </w:rPr>
              <w:t>30</w:t>
            </w:r>
          </w:p>
        </w:tc>
        <w:tc>
          <w:tcPr>
            <w:tcW w:w="1276" w:type="dxa"/>
            <w:tcBorders>
              <w:top w:val="nil"/>
              <w:left w:val="nil"/>
              <w:bottom w:val="single" w:sz="4" w:space="0" w:color="auto"/>
              <w:right w:val="single" w:sz="4" w:space="0" w:color="auto"/>
            </w:tcBorders>
            <w:shd w:val="clear" w:color="auto" w:fill="C6EFCE"/>
            <w:noWrap/>
          </w:tcPr>
          <w:p w14:paraId="0C5E0168" w14:textId="77777777" w:rsidR="003F46B9" w:rsidRDefault="0065662E">
            <w:pPr>
              <w:pStyle w:val="P68B1DB1-Normal5"/>
              <w:spacing w:after="0" w:line="240" w:lineRule="auto"/>
              <w:rPr>
                <w:rFonts w:cs="Times New Roman"/>
                <w:noProof/>
              </w:rPr>
            </w:pPr>
            <w:r>
              <w:rPr>
                <w:noProof/>
              </w:rPr>
              <w:t>60</w:t>
            </w:r>
          </w:p>
        </w:tc>
        <w:tc>
          <w:tcPr>
            <w:tcW w:w="1134" w:type="dxa"/>
            <w:tcBorders>
              <w:top w:val="nil"/>
              <w:left w:val="nil"/>
              <w:bottom w:val="single" w:sz="4" w:space="0" w:color="auto"/>
              <w:right w:val="single" w:sz="4" w:space="0" w:color="auto"/>
            </w:tcBorders>
            <w:shd w:val="clear" w:color="auto" w:fill="C6EFCE"/>
            <w:noWrap/>
          </w:tcPr>
          <w:p w14:paraId="0D68B82B"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056E04BE"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8B8AC8F" w14:textId="77777777" w:rsidR="003F46B9" w:rsidRDefault="0065662E">
            <w:pPr>
              <w:pStyle w:val="P68B1DB1-Normal5"/>
              <w:spacing w:after="0" w:line="240" w:lineRule="auto"/>
              <w:jc w:val="both"/>
              <w:rPr>
                <w:rFonts w:cs="Times New Roman"/>
                <w:noProof/>
              </w:rPr>
            </w:pPr>
            <w:r>
              <w:rPr>
                <w:noProof/>
              </w:rPr>
              <w:t>Udio revizija dokumentacije u ukupnim provedenim revizijama povećava se na 60 % do četvrtog tromjesečja 2025.</w:t>
            </w:r>
          </w:p>
          <w:p w14:paraId="0FC0EB5B" w14:textId="77777777" w:rsidR="003F46B9" w:rsidRDefault="0065662E">
            <w:pPr>
              <w:pStyle w:val="P68B1DB1-Normal5"/>
              <w:spacing w:after="0" w:line="240" w:lineRule="auto"/>
              <w:jc w:val="both"/>
              <w:rPr>
                <w:rFonts w:cs="Times New Roman"/>
                <w:noProof/>
              </w:rPr>
            </w:pPr>
            <w:r>
              <w:rPr>
                <w:noProof/>
              </w:rPr>
              <w:t>Taj je cilj dio reforme kako bi se inspekcijske mjere preusmjerile s fizičkih na digitalne kontrolne strukture.</w:t>
            </w:r>
          </w:p>
          <w:p w14:paraId="7711A9C4" w14:textId="77777777" w:rsidR="003F46B9" w:rsidRDefault="0065662E">
            <w:pPr>
              <w:pStyle w:val="P68B1DB1-Normal5"/>
              <w:spacing w:after="0" w:line="240" w:lineRule="auto"/>
              <w:jc w:val="both"/>
              <w:rPr>
                <w:rFonts w:cs="Times New Roman"/>
                <w:noProof/>
              </w:rPr>
            </w:pPr>
            <w:r>
              <w:rPr>
                <w:noProof/>
              </w:rPr>
              <w:t>Provode se sljedeće mjere:</w:t>
            </w:r>
          </w:p>
          <w:p w14:paraId="7BAACEBE" w14:textId="77777777" w:rsidR="003F46B9" w:rsidRDefault="0065662E">
            <w:pPr>
              <w:pStyle w:val="P68B1DB1-ListParagraph13"/>
              <w:numPr>
                <w:ilvl w:val="0"/>
                <w:numId w:val="67"/>
              </w:numPr>
              <w:spacing w:after="0" w:line="240" w:lineRule="auto"/>
              <w:ind w:left="174" w:hanging="218"/>
              <w:jc w:val="both"/>
              <w:rPr>
                <w:rFonts w:cs="Times New Roman"/>
                <w:noProof/>
              </w:rPr>
            </w:pPr>
            <w:r>
              <w:rPr>
                <w:noProof/>
              </w:rPr>
              <w:t>utvrđivanje ovlasti poreznih tijela da provode provjere dokumentacije koje provode tijela poreznog nadzora, kontroln</w:t>
            </w:r>
            <w:r>
              <w:rPr>
                <w:noProof/>
              </w:rPr>
              <w:t xml:space="preserve">a tijela za borbu protiv prijevara i tijela zadužena za provjeru osobnih poreznih situacija. </w:t>
            </w:r>
          </w:p>
          <w:p w14:paraId="62CA49AE" w14:textId="77777777" w:rsidR="003F46B9" w:rsidRDefault="0065662E">
            <w:pPr>
              <w:pStyle w:val="P68B1DB1-ListParagraph13"/>
              <w:numPr>
                <w:ilvl w:val="0"/>
                <w:numId w:val="67"/>
              </w:numPr>
              <w:spacing w:after="0" w:line="240" w:lineRule="auto"/>
              <w:ind w:left="174" w:hanging="218"/>
              <w:jc w:val="both"/>
              <w:rPr>
                <w:rFonts w:cs="Times New Roman"/>
                <w:noProof/>
              </w:rPr>
            </w:pPr>
            <w:r>
              <w:rPr>
                <w:noProof/>
              </w:rPr>
              <w:t xml:space="preserve">odobreni su predložak i sadržaj obrazaca i dokumenata upotrijebljenih u aktivnosti revizije dokumentacije. </w:t>
            </w:r>
          </w:p>
        </w:tc>
      </w:tr>
      <w:tr w:rsidR="003F46B9" w14:paraId="5E03CDC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8D760" w14:textId="77777777" w:rsidR="003F46B9" w:rsidRDefault="0065662E">
            <w:pPr>
              <w:pStyle w:val="P68B1DB1-Normal5"/>
              <w:spacing w:after="0" w:line="240" w:lineRule="auto"/>
              <w:jc w:val="center"/>
              <w:rPr>
                <w:rFonts w:cs="Times New Roman"/>
                <w:noProof/>
              </w:rPr>
            </w:pPr>
            <w:r>
              <w:rPr>
                <w:noProof/>
              </w:rPr>
              <w:t>224</w:t>
            </w:r>
          </w:p>
        </w:tc>
        <w:tc>
          <w:tcPr>
            <w:tcW w:w="1843" w:type="dxa"/>
            <w:tcBorders>
              <w:top w:val="nil"/>
              <w:left w:val="nil"/>
              <w:bottom w:val="single" w:sz="4" w:space="0" w:color="auto"/>
              <w:right w:val="single" w:sz="4" w:space="0" w:color="auto"/>
            </w:tcBorders>
            <w:shd w:val="clear" w:color="auto" w:fill="C6EFCE"/>
            <w:noWrap/>
          </w:tcPr>
          <w:p w14:paraId="510B529E"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3A6D61F2"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115365FF" w14:textId="77777777" w:rsidR="003F46B9" w:rsidRDefault="0065662E">
            <w:pPr>
              <w:pStyle w:val="P68B1DB1-Normal5"/>
              <w:spacing w:after="0" w:line="240" w:lineRule="auto"/>
              <w:jc w:val="both"/>
              <w:rPr>
                <w:rFonts w:eastAsia="SimSun" w:cs="Times New Roman"/>
                <w:noProof/>
              </w:rPr>
            </w:pPr>
            <w:r>
              <w:rPr>
                <w:noProof/>
              </w:rPr>
              <w:t xml:space="preserve">Povećati broj revizija za 10 % </w:t>
            </w:r>
          </w:p>
        </w:tc>
        <w:tc>
          <w:tcPr>
            <w:tcW w:w="1623" w:type="dxa"/>
            <w:gridSpan w:val="2"/>
            <w:tcBorders>
              <w:top w:val="nil"/>
              <w:left w:val="nil"/>
              <w:bottom w:val="single" w:sz="4" w:space="0" w:color="auto"/>
              <w:right w:val="single" w:sz="4" w:space="0" w:color="auto"/>
            </w:tcBorders>
            <w:shd w:val="clear" w:color="auto" w:fill="C6EFCE"/>
            <w:noWrap/>
          </w:tcPr>
          <w:p w14:paraId="477C9C63"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2885703" w14:textId="77777777" w:rsidR="003F46B9" w:rsidRDefault="0065662E">
            <w:pPr>
              <w:pStyle w:val="P68B1DB1-Normal5"/>
              <w:spacing w:after="0" w:line="240" w:lineRule="auto"/>
              <w:rPr>
                <w:rFonts w:cs="Times New Roman"/>
                <w:noProof/>
              </w:rPr>
            </w:pPr>
            <w:r>
              <w:rPr>
                <w:noProof/>
              </w:rPr>
              <w:t xml:space="preserve"> Broj</w:t>
            </w:r>
          </w:p>
        </w:tc>
        <w:tc>
          <w:tcPr>
            <w:tcW w:w="1089" w:type="dxa"/>
            <w:tcBorders>
              <w:top w:val="nil"/>
              <w:left w:val="nil"/>
              <w:bottom w:val="single" w:sz="4" w:space="0" w:color="auto"/>
              <w:right w:val="single" w:sz="4" w:space="0" w:color="auto"/>
            </w:tcBorders>
            <w:shd w:val="clear" w:color="auto" w:fill="C6EFCE"/>
            <w:noWrap/>
          </w:tcPr>
          <w:p w14:paraId="137EC7CA" w14:textId="77777777" w:rsidR="003F46B9" w:rsidRDefault="0065662E">
            <w:pPr>
              <w:pStyle w:val="P68B1DB1-Normal5"/>
              <w:spacing w:after="0" w:line="240" w:lineRule="auto"/>
              <w:rPr>
                <w:rFonts w:cs="Times New Roman"/>
                <w:noProof/>
              </w:rPr>
            </w:pPr>
            <w:r>
              <w:rPr>
                <w:noProof/>
              </w:rPr>
              <w:t>25 000</w:t>
            </w:r>
          </w:p>
        </w:tc>
        <w:tc>
          <w:tcPr>
            <w:tcW w:w="1276" w:type="dxa"/>
            <w:tcBorders>
              <w:top w:val="nil"/>
              <w:left w:val="nil"/>
              <w:bottom w:val="single" w:sz="4" w:space="0" w:color="auto"/>
              <w:right w:val="single" w:sz="4" w:space="0" w:color="auto"/>
            </w:tcBorders>
            <w:shd w:val="clear" w:color="auto" w:fill="C6EFCE"/>
            <w:noWrap/>
          </w:tcPr>
          <w:p w14:paraId="01C33E9E" w14:textId="77777777" w:rsidR="003F46B9" w:rsidRDefault="0065662E">
            <w:pPr>
              <w:pStyle w:val="P68B1DB1-Normal5"/>
              <w:spacing w:after="0" w:line="240" w:lineRule="auto"/>
              <w:rPr>
                <w:rFonts w:cs="Times New Roman"/>
                <w:noProof/>
              </w:rPr>
            </w:pPr>
            <w:r>
              <w:rPr>
                <w:noProof/>
              </w:rPr>
              <w:t>27 500</w:t>
            </w:r>
          </w:p>
        </w:tc>
        <w:tc>
          <w:tcPr>
            <w:tcW w:w="1134" w:type="dxa"/>
            <w:tcBorders>
              <w:top w:val="nil"/>
              <w:left w:val="nil"/>
              <w:bottom w:val="single" w:sz="4" w:space="0" w:color="auto"/>
              <w:right w:val="single" w:sz="4" w:space="0" w:color="auto"/>
            </w:tcBorders>
            <w:shd w:val="clear" w:color="auto" w:fill="C6EFCE"/>
            <w:noWrap/>
          </w:tcPr>
          <w:p w14:paraId="3A45E9A6"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27214C44"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437797B5" w14:textId="77777777" w:rsidR="003F46B9" w:rsidRDefault="0065662E">
            <w:pPr>
              <w:pStyle w:val="P68B1DB1-Normal5"/>
              <w:spacing w:after="0" w:line="240" w:lineRule="auto"/>
              <w:jc w:val="both"/>
              <w:rPr>
                <w:rFonts w:cs="Times New Roman"/>
                <w:noProof/>
              </w:rPr>
            </w:pPr>
            <w:r>
              <w:rPr>
                <w:noProof/>
              </w:rPr>
              <w:t>Povećati broj fiskalnih inspekcija za 10 % u odnosu n</w:t>
            </w:r>
            <w:r>
              <w:rPr>
                <w:noProof/>
              </w:rPr>
              <w:t>a stvarni broj inspekcija do četvrtog tromjesečja 2025.</w:t>
            </w:r>
          </w:p>
        </w:tc>
      </w:tr>
      <w:tr w:rsidR="003F46B9" w14:paraId="3F803B2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FA08A9" w14:textId="77777777" w:rsidR="003F46B9" w:rsidRDefault="0065662E">
            <w:pPr>
              <w:pStyle w:val="P68B1DB1-Normal5"/>
              <w:spacing w:after="0" w:line="240" w:lineRule="auto"/>
              <w:jc w:val="center"/>
              <w:rPr>
                <w:rFonts w:cs="Times New Roman"/>
                <w:noProof/>
              </w:rPr>
            </w:pPr>
            <w:r>
              <w:rPr>
                <w:noProof/>
              </w:rPr>
              <w:t>225</w:t>
            </w:r>
          </w:p>
        </w:tc>
        <w:tc>
          <w:tcPr>
            <w:tcW w:w="1843" w:type="dxa"/>
            <w:tcBorders>
              <w:top w:val="nil"/>
              <w:left w:val="nil"/>
              <w:bottom w:val="single" w:sz="4" w:space="0" w:color="auto"/>
              <w:right w:val="single" w:sz="4" w:space="0" w:color="auto"/>
            </w:tcBorders>
            <w:shd w:val="clear" w:color="auto" w:fill="C6EFCE"/>
            <w:noWrap/>
          </w:tcPr>
          <w:p w14:paraId="5D2B0C2A"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577EA01E"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2FD17837" w14:textId="77777777" w:rsidR="003F46B9" w:rsidRDefault="0065662E">
            <w:pPr>
              <w:pStyle w:val="P68B1DB1-Normal5"/>
              <w:spacing w:after="0" w:line="240" w:lineRule="auto"/>
              <w:jc w:val="both"/>
              <w:rPr>
                <w:rFonts w:eastAsia="SimSun" w:cs="Times New Roman"/>
                <w:noProof/>
              </w:rPr>
            </w:pPr>
            <w:r>
              <w:rPr>
                <w:noProof/>
              </w:rPr>
              <w:t>Potpuno operativan elektronički registar rizika</w:t>
            </w:r>
          </w:p>
        </w:tc>
        <w:tc>
          <w:tcPr>
            <w:tcW w:w="1623" w:type="dxa"/>
            <w:gridSpan w:val="2"/>
            <w:tcBorders>
              <w:top w:val="nil"/>
              <w:left w:val="nil"/>
              <w:bottom w:val="single" w:sz="4" w:space="0" w:color="auto"/>
              <w:right w:val="single" w:sz="4" w:space="0" w:color="auto"/>
            </w:tcBorders>
            <w:shd w:val="clear" w:color="auto" w:fill="C6EFCE"/>
            <w:noWrap/>
          </w:tcPr>
          <w:p w14:paraId="11FD9D3E" w14:textId="77777777" w:rsidR="003F46B9" w:rsidRDefault="0065662E">
            <w:pPr>
              <w:pStyle w:val="P68B1DB1-Normal5"/>
              <w:spacing w:after="0" w:line="240" w:lineRule="auto"/>
              <w:jc w:val="both"/>
              <w:rPr>
                <w:rFonts w:cs="Times New Roman"/>
                <w:noProof/>
              </w:rPr>
            </w:pPr>
            <w:r>
              <w:rPr>
                <w:noProof/>
              </w:rPr>
              <w:t>Elektronički registar rizika koji je operativan i sadržava kriterije, pokazatelje i profile rizika; prvo izvješće nakon suhog ciklusa ili nakon početka rada</w:t>
            </w:r>
          </w:p>
        </w:tc>
        <w:tc>
          <w:tcPr>
            <w:tcW w:w="1127" w:type="dxa"/>
            <w:tcBorders>
              <w:top w:val="nil"/>
              <w:left w:val="nil"/>
              <w:bottom w:val="single" w:sz="4" w:space="0" w:color="auto"/>
              <w:right w:val="single" w:sz="4" w:space="0" w:color="auto"/>
            </w:tcBorders>
            <w:shd w:val="clear" w:color="auto" w:fill="C6EFCE"/>
            <w:noWrap/>
          </w:tcPr>
          <w:p w14:paraId="4985FD09"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4490DE0"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1A6086A"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99DB3A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020121B3"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00768D53" w14:textId="77777777" w:rsidR="003F46B9" w:rsidRDefault="0065662E">
            <w:pPr>
              <w:pStyle w:val="P68B1DB1-Normal5"/>
              <w:spacing w:after="0" w:line="240" w:lineRule="auto"/>
              <w:jc w:val="both"/>
              <w:rPr>
                <w:rFonts w:cs="Times New Roman"/>
                <w:noProof/>
              </w:rPr>
            </w:pPr>
            <w:r>
              <w:rPr>
                <w:noProof/>
              </w:rPr>
              <w:t>Operacionalizacija elektroničkog registra rizika:</w:t>
            </w:r>
          </w:p>
          <w:p w14:paraId="5F184C98" w14:textId="77777777" w:rsidR="003F46B9" w:rsidRDefault="0065662E">
            <w:pPr>
              <w:pStyle w:val="P68B1DB1-ListParagraph13"/>
              <w:numPr>
                <w:ilvl w:val="0"/>
                <w:numId w:val="67"/>
              </w:numPr>
              <w:spacing w:after="0" w:line="240" w:lineRule="auto"/>
              <w:ind w:left="174" w:hanging="218"/>
              <w:jc w:val="both"/>
              <w:rPr>
                <w:rFonts w:eastAsia="Times New Roman" w:cs="Times New Roman"/>
                <w:noProof/>
              </w:rPr>
            </w:pPr>
            <w:r>
              <w:rPr>
                <w:noProof/>
              </w:rPr>
              <w:t xml:space="preserve">potpuno operativan i </w:t>
            </w:r>
            <w:r>
              <w:rPr>
                <w:noProof/>
              </w:rPr>
              <w:t xml:space="preserve">razvijen integrirani sustav upravljanja poreznim rizicima koji sadržava centraliziranu analizu rizika; </w:t>
            </w:r>
          </w:p>
          <w:p w14:paraId="423F50D5" w14:textId="77777777" w:rsidR="003F46B9" w:rsidRDefault="0065662E">
            <w:pPr>
              <w:pStyle w:val="P68B1DB1-ListParagraph13"/>
              <w:numPr>
                <w:ilvl w:val="0"/>
                <w:numId w:val="67"/>
              </w:numPr>
              <w:spacing w:after="0" w:line="240" w:lineRule="auto"/>
              <w:ind w:left="174" w:hanging="218"/>
              <w:jc w:val="both"/>
              <w:rPr>
                <w:rFonts w:eastAsia="Times New Roman" w:cs="Times New Roman"/>
                <w:noProof/>
              </w:rPr>
            </w:pPr>
            <w:r>
              <w:rPr>
                <w:noProof/>
              </w:rPr>
              <w:t>utvrđivanje i smanjenje porezne neusklađenosti i poreznog jaza upotrebom podataka i informacija za utvrđivanje područja visokog poreznog rizika (među os</w:t>
            </w:r>
            <w:r>
              <w:rPr>
                <w:noProof/>
              </w:rPr>
              <w:t xml:space="preserve">talim u području neprijavljenog/neprijavljenog rada); </w:t>
            </w:r>
          </w:p>
          <w:p w14:paraId="120CDE83" w14:textId="77777777" w:rsidR="003F46B9" w:rsidRDefault="0065662E">
            <w:pPr>
              <w:pStyle w:val="P68B1DB1-ListParagraph13"/>
              <w:numPr>
                <w:ilvl w:val="0"/>
                <w:numId w:val="67"/>
              </w:numPr>
              <w:spacing w:after="0" w:line="240" w:lineRule="auto"/>
              <w:ind w:left="174" w:hanging="218"/>
              <w:jc w:val="both"/>
              <w:rPr>
                <w:rFonts w:eastAsia="Times New Roman" w:cs="Times New Roman"/>
                <w:noProof/>
              </w:rPr>
            </w:pPr>
            <w:r>
              <w:rPr>
                <w:noProof/>
              </w:rPr>
              <w:t xml:space="preserve">uvođenje programa usklađivanja; </w:t>
            </w:r>
          </w:p>
          <w:p w14:paraId="12C106FB" w14:textId="77777777" w:rsidR="003F46B9" w:rsidRDefault="0065662E">
            <w:pPr>
              <w:pStyle w:val="P68B1DB1-ListParagraph13"/>
              <w:numPr>
                <w:ilvl w:val="0"/>
                <w:numId w:val="67"/>
              </w:numPr>
              <w:spacing w:after="0" w:line="240" w:lineRule="auto"/>
              <w:ind w:left="174" w:hanging="218"/>
              <w:jc w:val="both"/>
              <w:rPr>
                <w:rFonts w:eastAsia="Times New Roman" w:cs="Times New Roman"/>
                <w:noProof/>
              </w:rPr>
            </w:pPr>
            <w:r>
              <w:rPr>
                <w:noProof/>
              </w:rPr>
              <w:t xml:space="preserve">primjena pristupa koji se temelji na riziku, uključujući postupanje s mehanizmima porezne optimizacije, u upravljanju velikim poreznim obveznicima; </w:t>
            </w:r>
          </w:p>
          <w:p w14:paraId="1235984A" w14:textId="77777777" w:rsidR="003F46B9" w:rsidRDefault="0065662E">
            <w:pPr>
              <w:pStyle w:val="P68B1DB1-ListParagraph13"/>
              <w:numPr>
                <w:ilvl w:val="0"/>
                <w:numId w:val="67"/>
              </w:numPr>
              <w:spacing w:after="0" w:line="240" w:lineRule="auto"/>
              <w:ind w:left="174" w:hanging="218"/>
              <w:jc w:val="both"/>
              <w:rPr>
                <w:rFonts w:eastAsia="Times New Roman" w:cs="Times New Roman"/>
                <w:noProof/>
              </w:rPr>
            </w:pPr>
            <w:r>
              <w:rPr>
                <w:noProof/>
              </w:rPr>
              <w:t xml:space="preserve">jačanje institucijskog kapaciteta struktura porezne kontrole radi sprečavanja nacionalnih i prekograničnih poreznih prijevara i utaje poreza ranim i ciljanim utvrđivanjem velikih poreznih rizika; </w:t>
            </w:r>
          </w:p>
          <w:p w14:paraId="2D1FFED7" w14:textId="77777777" w:rsidR="003F46B9" w:rsidRDefault="0065662E">
            <w:pPr>
              <w:pStyle w:val="P68B1DB1-ListParagraph13"/>
              <w:numPr>
                <w:ilvl w:val="0"/>
                <w:numId w:val="67"/>
              </w:numPr>
              <w:spacing w:after="0" w:line="240" w:lineRule="auto"/>
              <w:ind w:left="174" w:hanging="218"/>
              <w:jc w:val="both"/>
              <w:rPr>
                <w:rFonts w:cs="Times New Roman"/>
                <w:noProof/>
              </w:rPr>
            </w:pPr>
            <w:r>
              <w:rPr>
                <w:noProof/>
              </w:rPr>
              <w:t>preraspodjela ljudskih resursa u kontekstu postupne digital</w:t>
            </w:r>
            <w:r>
              <w:rPr>
                <w:noProof/>
              </w:rPr>
              <w:t>izacije poslovnih procesa.</w:t>
            </w:r>
          </w:p>
        </w:tc>
      </w:tr>
      <w:tr w:rsidR="003F46B9" w14:paraId="4149716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56AE23F" w14:textId="77777777" w:rsidR="003F46B9" w:rsidRDefault="0065662E">
            <w:pPr>
              <w:pStyle w:val="P68B1DB1-Normal5"/>
              <w:spacing w:after="0" w:line="240" w:lineRule="auto"/>
              <w:jc w:val="center"/>
              <w:rPr>
                <w:rFonts w:cs="Times New Roman"/>
                <w:noProof/>
              </w:rPr>
            </w:pPr>
            <w:r>
              <w:rPr>
                <w:noProof/>
              </w:rPr>
              <w:t>226</w:t>
            </w:r>
          </w:p>
        </w:tc>
        <w:tc>
          <w:tcPr>
            <w:tcW w:w="1843" w:type="dxa"/>
            <w:tcBorders>
              <w:top w:val="nil"/>
              <w:left w:val="nil"/>
              <w:bottom w:val="single" w:sz="4" w:space="0" w:color="auto"/>
              <w:right w:val="single" w:sz="4" w:space="0" w:color="auto"/>
            </w:tcBorders>
            <w:shd w:val="clear" w:color="auto" w:fill="C6EFCE"/>
            <w:noWrap/>
          </w:tcPr>
          <w:p w14:paraId="60766DDE" w14:textId="77777777" w:rsidR="003F46B9" w:rsidRDefault="0065662E">
            <w:pPr>
              <w:pStyle w:val="P68B1DB1-Normal5"/>
              <w:spacing w:after="0" w:line="240" w:lineRule="auto"/>
              <w:jc w:val="both"/>
              <w:rPr>
                <w:rFonts w:cs="Times New Roman"/>
                <w:noProof/>
              </w:rPr>
            </w:pPr>
            <w:r>
              <w:rPr>
                <w:noProof/>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3A61B57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17B6B93" w14:textId="77777777" w:rsidR="003F46B9" w:rsidRDefault="0065662E">
            <w:pPr>
              <w:pStyle w:val="P68B1DB1-Normal5"/>
              <w:spacing w:after="0" w:line="240" w:lineRule="auto"/>
              <w:jc w:val="both"/>
              <w:rPr>
                <w:rFonts w:cs="Times New Roman"/>
                <w:noProof/>
              </w:rPr>
            </w:pPr>
            <w:r>
              <w:rPr>
                <w:noProof/>
              </w:rPr>
              <w:t xml:space="preserve">Uspostava i operativnost platforme velikih podataka/analitičke platforme </w:t>
            </w:r>
          </w:p>
        </w:tc>
        <w:tc>
          <w:tcPr>
            <w:tcW w:w="1623" w:type="dxa"/>
            <w:gridSpan w:val="2"/>
            <w:tcBorders>
              <w:top w:val="nil"/>
              <w:left w:val="nil"/>
              <w:bottom w:val="single" w:sz="4" w:space="0" w:color="auto"/>
              <w:right w:val="single" w:sz="4" w:space="0" w:color="auto"/>
            </w:tcBorders>
            <w:shd w:val="clear" w:color="auto" w:fill="C6EFCE"/>
            <w:noWrap/>
          </w:tcPr>
          <w:p w14:paraId="06DABBF9" w14:textId="77777777" w:rsidR="003F46B9" w:rsidRDefault="0065662E">
            <w:pPr>
              <w:pStyle w:val="P68B1DB1-Normal5"/>
              <w:spacing w:after="0" w:line="240" w:lineRule="auto"/>
              <w:jc w:val="both"/>
              <w:rPr>
                <w:rFonts w:cs="Times New Roman"/>
                <w:noProof/>
              </w:rPr>
            </w:pPr>
            <w:r>
              <w:rPr>
                <w:noProof/>
              </w:rPr>
              <w:t xml:space="preserve">Operacionalizacija </w:t>
            </w:r>
            <w:r>
              <w:rPr>
                <w:noProof/>
              </w:rPr>
              <w:t>rješenja – platforma velike količine podataka i izdavanje prvog izvješća</w:t>
            </w:r>
          </w:p>
          <w:p w14:paraId="106A0392"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4E17AFC9"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7DBF9140"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9343F48"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6C90E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3FF253C"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1E4467A9" w14:textId="0C307DA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Operacionalizacija platforme velikih podataka kako bi se točno i pravodobno analizirale velike količine podataka radi normizacije, interoperabilnosti, sig</w:t>
            </w:r>
            <w:r>
              <w:rPr>
                <w:rFonts w:ascii="Times New Roman" w:hAnsi="Times New Roman"/>
                <w:noProof/>
                <w:sz w:val="24"/>
              </w:rPr>
              <w:t xml:space="preserve">urnosti, privatnosti te stručnog znanja i financiranja za razvoj infrastrukture i integraciju već dostupnih skupova podataka. Platforma mora biti: </w:t>
            </w:r>
            <w:r>
              <w:rPr>
                <w:noProof/>
              </w:rPr>
              <w:br/>
            </w:r>
            <w:r>
              <w:rPr>
                <w:rFonts w:ascii="Times New Roman" w:hAnsi="Times New Roman"/>
                <w:noProof/>
                <w:sz w:val="24"/>
              </w:rPr>
              <w:t xml:space="preserve">Potpuno – svi relevantni izvori informacija (uključujući unutarnje i vanjske) </w:t>
            </w:r>
            <w:r>
              <w:rPr>
                <w:noProof/>
              </w:rPr>
              <w:br/>
              <w:t xml:space="preserve"> </w:t>
            </w:r>
            <w:r>
              <w:rPr>
                <w:rFonts w:ascii="Times New Roman" w:hAnsi="Times New Roman"/>
                <w:noProof/>
                <w:sz w:val="24"/>
              </w:rPr>
              <w:t>Validirana – cjelovitost pod</w:t>
            </w:r>
            <w:r>
              <w:rPr>
                <w:rFonts w:ascii="Times New Roman" w:hAnsi="Times New Roman"/>
                <w:noProof/>
                <w:sz w:val="24"/>
              </w:rPr>
              <w:t xml:space="preserve">ataka: Podaci su potpuni i dosljedni </w:t>
            </w:r>
            <w:r>
              <w:rPr>
                <w:noProof/>
              </w:rPr>
              <w:br/>
              <w:t xml:space="preserve"> </w:t>
            </w:r>
            <w:r>
              <w:rPr>
                <w:rFonts w:ascii="Times New Roman" w:hAnsi="Times New Roman"/>
                <w:noProof/>
                <w:sz w:val="24"/>
              </w:rPr>
              <w:t>Analizirani – podaci mogu biti „dopušteni” i pružiti informacije (osnovne informacije); Postupci se ponavljaju. Rezultati – povezani podaci za pružanje informacija o uspješnosti.</w:t>
            </w:r>
          </w:p>
        </w:tc>
      </w:tr>
      <w:tr w:rsidR="003F46B9" w14:paraId="6D4DFD3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9910A76" w14:textId="77777777" w:rsidR="003F46B9" w:rsidRDefault="0065662E">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226.a </w:t>
            </w:r>
          </w:p>
        </w:tc>
        <w:tc>
          <w:tcPr>
            <w:tcW w:w="1843" w:type="dxa"/>
            <w:tcBorders>
              <w:top w:val="nil"/>
              <w:left w:val="nil"/>
              <w:bottom w:val="single" w:sz="4" w:space="0" w:color="auto"/>
              <w:right w:val="single" w:sz="4" w:space="0" w:color="auto"/>
            </w:tcBorders>
            <w:shd w:val="clear" w:color="auto" w:fill="C6EFCE"/>
            <w:noWrap/>
          </w:tcPr>
          <w:p w14:paraId="0C4B1CA0" w14:textId="77777777" w:rsidR="003F46B9" w:rsidRDefault="0065662E">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Ulaganje 2. 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3895CBBD" w14:textId="77777777" w:rsidR="003F46B9" w:rsidRDefault="0065662E">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Prekretnica </w:t>
            </w:r>
          </w:p>
        </w:tc>
        <w:tc>
          <w:tcPr>
            <w:tcW w:w="1560" w:type="dxa"/>
            <w:gridSpan w:val="2"/>
            <w:tcBorders>
              <w:top w:val="nil"/>
              <w:left w:val="nil"/>
              <w:bottom w:val="single" w:sz="4" w:space="0" w:color="auto"/>
              <w:right w:val="single" w:sz="4" w:space="0" w:color="auto"/>
            </w:tcBorders>
            <w:shd w:val="clear" w:color="auto" w:fill="C6EFCE"/>
            <w:noWrap/>
          </w:tcPr>
          <w:p w14:paraId="65B5F28A" w14:textId="77777777" w:rsidR="003F46B9" w:rsidRDefault="0065662E">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Operacionalizacija sustava porezne uprave </w:t>
            </w:r>
          </w:p>
        </w:tc>
        <w:tc>
          <w:tcPr>
            <w:tcW w:w="1644" w:type="dxa"/>
            <w:tcBorders>
              <w:top w:val="nil"/>
              <w:left w:val="nil"/>
              <w:bottom w:val="single" w:sz="4" w:space="0" w:color="auto"/>
              <w:right w:val="single" w:sz="4" w:space="0" w:color="auto"/>
            </w:tcBorders>
            <w:shd w:val="clear" w:color="auto" w:fill="C6EFCE"/>
            <w:noWrap/>
          </w:tcPr>
          <w:p w14:paraId="10269305" w14:textId="77777777" w:rsidR="003F46B9" w:rsidRDefault="0065662E">
            <w:pPr>
              <w:spacing w:after="0" w:line="240" w:lineRule="auto"/>
              <w:jc w:val="both"/>
              <w:rPr>
                <w:rFonts w:ascii="Times New Roman" w:hAnsi="Times New Roman" w:cs="Times New Roman"/>
                <w:noProof/>
                <w:sz w:val="24"/>
              </w:rPr>
            </w:pPr>
            <w:r>
              <w:rPr>
                <w:rStyle w:val="normaltextrun"/>
                <w:rFonts w:ascii="Times New Roman" w:hAnsi="Times New Roman"/>
                <w:noProof/>
                <w:sz w:val="24"/>
              </w:rPr>
              <w:t xml:space="preserve">Sustavi porezne uprave operativni su </w:t>
            </w:r>
          </w:p>
        </w:tc>
        <w:tc>
          <w:tcPr>
            <w:tcW w:w="1133" w:type="dxa"/>
            <w:tcBorders>
              <w:top w:val="nil"/>
              <w:left w:val="nil"/>
              <w:bottom w:val="single" w:sz="4" w:space="0" w:color="auto"/>
              <w:right w:val="single" w:sz="4" w:space="0" w:color="auto"/>
            </w:tcBorders>
            <w:shd w:val="clear" w:color="auto" w:fill="C6EFCE"/>
            <w:noWrap/>
          </w:tcPr>
          <w:p w14:paraId="32E2D619" w14:textId="77777777" w:rsidR="003F46B9" w:rsidRDefault="0065662E">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135" w:type="dxa"/>
            <w:tcBorders>
              <w:top w:val="nil"/>
              <w:left w:val="nil"/>
              <w:bottom w:val="single" w:sz="4" w:space="0" w:color="auto"/>
              <w:right w:val="single" w:sz="4" w:space="0" w:color="auto"/>
            </w:tcBorders>
            <w:shd w:val="clear" w:color="auto" w:fill="C6EFCE"/>
            <w:noWrap/>
          </w:tcPr>
          <w:p w14:paraId="433C4829" w14:textId="77777777" w:rsidR="003F46B9" w:rsidRDefault="0065662E">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14:paraId="7AA926E1" w14:textId="77777777" w:rsidR="003F46B9" w:rsidRDefault="0065662E">
            <w:pPr>
              <w:spacing w:after="0" w:line="240" w:lineRule="auto"/>
              <w:rPr>
                <w:rFonts w:ascii="Times New Roman" w:hAnsi="Times New Roman" w:cs="Times New Roman"/>
                <w:noProof/>
                <w:sz w:val="24"/>
              </w:rPr>
            </w:pPr>
            <w:r>
              <w:rPr>
                <w:rStyle w:val="eop"/>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14:paraId="46458BB6" w14:textId="77777777" w:rsidR="003F46B9" w:rsidRDefault="0065662E">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ČETVRTO TROMJESEČJE </w:t>
            </w:r>
          </w:p>
        </w:tc>
        <w:tc>
          <w:tcPr>
            <w:tcW w:w="850" w:type="dxa"/>
            <w:tcBorders>
              <w:top w:val="nil"/>
              <w:left w:val="nil"/>
              <w:bottom w:val="single" w:sz="4" w:space="0" w:color="auto"/>
              <w:right w:val="single" w:sz="4" w:space="0" w:color="auto"/>
            </w:tcBorders>
            <w:shd w:val="clear" w:color="auto" w:fill="C6EFCE"/>
            <w:noWrap/>
          </w:tcPr>
          <w:p w14:paraId="750D9643" w14:textId="77777777" w:rsidR="003F46B9" w:rsidRDefault="0065662E">
            <w:pPr>
              <w:spacing w:after="0" w:line="240" w:lineRule="auto"/>
              <w:jc w:val="center"/>
              <w:rPr>
                <w:rFonts w:ascii="Times New Roman" w:hAnsi="Times New Roman" w:cs="Times New Roman"/>
                <w:noProof/>
                <w:sz w:val="24"/>
              </w:rPr>
            </w:pPr>
            <w:r>
              <w:rPr>
                <w:rStyle w:val="normaltextrun"/>
                <w:rFonts w:ascii="Times New Roman" w:hAnsi="Times New Roman"/>
                <w:noProof/>
                <w:sz w:val="24"/>
              </w:rPr>
              <w:t xml:space="preserve">2025 </w:t>
            </w:r>
          </w:p>
        </w:tc>
        <w:tc>
          <w:tcPr>
            <w:tcW w:w="3119" w:type="dxa"/>
            <w:tcBorders>
              <w:top w:val="nil"/>
              <w:left w:val="nil"/>
              <w:bottom w:val="single" w:sz="4" w:space="0" w:color="auto"/>
              <w:right w:val="single" w:sz="4" w:space="0" w:color="auto"/>
            </w:tcBorders>
            <w:shd w:val="clear" w:color="auto" w:fill="C6EFCE"/>
            <w:noWrap/>
          </w:tcPr>
          <w:p w14:paraId="254A7DAE" w14:textId="77777777" w:rsidR="003F46B9" w:rsidRDefault="0065662E">
            <w:pPr>
              <w:pStyle w:val="paragraph"/>
              <w:spacing w:before="0" w:beforeAutospacing="0" w:after="0" w:afterAutospacing="0"/>
              <w:jc w:val="both"/>
              <w:textAlignment w:val="baseline"/>
              <w:divId w:val="923533831"/>
              <w:rPr>
                <w:noProof/>
              </w:rPr>
            </w:pPr>
            <w:r>
              <w:rPr>
                <w:rStyle w:val="normaltextrun"/>
                <w:noProof/>
              </w:rPr>
              <w:t xml:space="preserve">U funkciji </w:t>
            </w:r>
            <w:r>
              <w:rPr>
                <w:rStyle w:val="normaltextrun"/>
                <w:noProof/>
              </w:rPr>
              <w:t xml:space="preserve">su sljedeći sustavi: </w:t>
            </w:r>
          </w:p>
          <w:p w14:paraId="35C44112" w14:textId="31DDDE34" w:rsidR="003F46B9" w:rsidRDefault="0065662E">
            <w:pPr>
              <w:pStyle w:val="paragraph"/>
              <w:spacing w:before="0" w:beforeAutospacing="0" w:after="0" w:afterAutospacing="0"/>
              <w:jc w:val="both"/>
              <w:textAlignment w:val="baseline"/>
              <w:divId w:val="1027216706"/>
              <w:rPr>
                <w:noProof/>
              </w:rPr>
            </w:pPr>
            <w:r>
              <w:rPr>
                <w:rStyle w:val="normaltextrun"/>
                <w:noProof/>
              </w:rPr>
              <w:t xml:space="preserve">—sustav elektroničkog izdavanja računa; </w:t>
            </w:r>
          </w:p>
          <w:p w14:paraId="4501269B" w14:textId="77777777" w:rsidR="003F46B9" w:rsidRDefault="0065662E">
            <w:pPr>
              <w:pStyle w:val="paragraph"/>
              <w:spacing w:before="0" w:beforeAutospacing="0" w:after="0" w:afterAutospacing="0"/>
              <w:jc w:val="both"/>
              <w:textAlignment w:val="baseline"/>
              <w:divId w:val="172693679"/>
              <w:rPr>
                <w:noProof/>
              </w:rPr>
            </w:pPr>
            <w:r>
              <w:rPr>
                <w:rStyle w:val="normaltextrun"/>
                <w:noProof/>
              </w:rPr>
              <w:t xml:space="preserve">—sustav upravljanja poreznim obveznicima, </w:t>
            </w:r>
          </w:p>
          <w:p w14:paraId="5832E4B2" w14:textId="7E025714" w:rsidR="003F46B9" w:rsidRDefault="0065662E">
            <w:pPr>
              <w:pStyle w:val="paragraph"/>
              <w:spacing w:before="0" w:beforeAutospacing="0" w:after="0" w:afterAutospacing="0"/>
              <w:jc w:val="both"/>
              <w:textAlignment w:val="baseline"/>
              <w:divId w:val="1914386609"/>
              <w:rPr>
                <w:noProof/>
              </w:rPr>
            </w:pPr>
            <w:r>
              <w:rPr>
                <w:rStyle w:val="normaltextrun"/>
                <w:noProof/>
              </w:rPr>
              <w:t xml:space="preserve">—centraliziranog državnog informacijskog sustava državne riznice (TREZOR); and </w:t>
            </w:r>
          </w:p>
          <w:p w14:paraId="337C5915" w14:textId="14766383" w:rsidR="003F46B9" w:rsidRDefault="0065662E">
            <w:pPr>
              <w:pStyle w:val="paragraph"/>
              <w:spacing w:before="0" w:beforeAutospacing="0" w:after="0" w:afterAutospacing="0"/>
              <w:jc w:val="both"/>
              <w:textAlignment w:val="baseline"/>
              <w:divId w:val="2021733648"/>
              <w:rPr>
                <w:noProof/>
              </w:rPr>
            </w:pPr>
            <w:r>
              <w:rPr>
                <w:rStyle w:val="normaltextrun"/>
                <w:noProof/>
              </w:rPr>
              <w:t xml:space="preserve">proširena i poboljšana platforma koja se upotrebljava za međunarodnu razmjenu informacija (AEOI). </w:t>
            </w:r>
          </w:p>
          <w:p w14:paraId="44723AFE" w14:textId="77777777" w:rsidR="003F46B9" w:rsidRDefault="0065662E">
            <w:pPr>
              <w:spacing w:after="0" w:line="240" w:lineRule="auto"/>
              <w:jc w:val="both"/>
              <w:rPr>
                <w:rFonts w:ascii="Times New Roman" w:hAnsi="Times New Roman" w:cs="Times New Roman"/>
                <w:noProof/>
                <w:sz w:val="24"/>
              </w:rPr>
            </w:pPr>
            <w:r>
              <w:rPr>
                <w:rStyle w:val="eop"/>
                <w:rFonts w:ascii="Times New Roman" w:hAnsi="Times New Roman"/>
                <w:noProof/>
                <w:sz w:val="24"/>
              </w:rPr>
              <w:t xml:space="preserve"> </w:t>
            </w:r>
          </w:p>
        </w:tc>
      </w:tr>
      <w:tr w:rsidR="003F46B9" w14:paraId="567965F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F8D444" w14:textId="77777777" w:rsidR="003F46B9" w:rsidRDefault="0065662E">
            <w:pPr>
              <w:pStyle w:val="P68B1DB1-Normal5"/>
              <w:spacing w:after="0" w:line="240" w:lineRule="auto"/>
              <w:jc w:val="center"/>
              <w:rPr>
                <w:rFonts w:cs="Times New Roman"/>
                <w:noProof/>
              </w:rPr>
            </w:pPr>
            <w:r>
              <w:rPr>
                <w:noProof/>
              </w:rPr>
              <w:t>227</w:t>
            </w:r>
          </w:p>
        </w:tc>
        <w:tc>
          <w:tcPr>
            <w:tcW w:w="1843" w:type="dxa"/>
            <w:tcBorders>
              <w:top w:val="nil"/>
              <w:left w:val="nil"/>
              <w:bottom w:val="single" w:sz="4" w:space="0" w:color="auto"/>
              <w:right w:val="single" w:sz="4" w:space="0" w:color="auto"/>
            </w:tcBorders>
            <w:shd w:val="clear" w:color="auto" w:fill="C6EFCE"/>
            <w:noWrap/>
          </w:tcPr>
          <w:p w14:paraId="5BF41D14" w14:textId="77777777" w:rsidR="003F46B9" w:rsidRDefault="0065662E">
            <w:pPr>
              <w:pStyle w:val="P68B1DB1-Normal5"/>
              <w:spacing w:after="0" w:line="240" w:lineRule="auto"/>
              <w:jc w:val="both"/>
              <w:rPr>
                <w:rFonts w:cs="Times New Roman"/>
                <w:noProof/>
              </w:rPr>
            </w:pPr>
            <w:r>
              <w:rPr>
                <w:noProof/>
              </w:rPr>
              <w:t xml:space="preserve">Ulaganje 3. Osiguravanje kapaciteta za odgovor na trenutačne i </w:t>
            </w:r>
            <w:r>
              <w:rPr>
                <w:noProof/>
              </w:rPr>
              <w:t xml:space="preserve">buduće izazove informiranja, među ostalim u kontekstu pandemije, putem digitalne transformacije Ministarstva financija/Nacionalne agencije za fiskalnu upravu </w:t>
            </w:r>
          </w:p>
        </w:tc>
        <w:tc>
          <w:tcPr>
            <w:tcW w:w="1275" w:type="dxa"/>
            <w:tcBorders>
              <w:top w:val="nil"/>
              <w:left w:val="nil"/>
              <w:bottom w:val="single" w:sz="4" w:space="0" w:color="auto"/>
              <w:right w:val="single" w:sz="4" w:space="0" w:color="auto"/>
            </w:tcBorders>
            <w:shd w:val="clear" w:color="auto" w:fill="C6EFCE"/>
            <w:noWrap/>
          </w:tcPr>
          <w:p w14:paraId="3F0C6314"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5941D5CC" w14:textId="77777777" w:rsidR="003F46B9" w:rsidRDefault="0065662E">
            <w:pPr>
              <w:spacing w:after="0" w:line="240" w:lineRule="auto"/>
              <w:jc w:val="both"/>
              <w:rPr>
                <w:rFonts w:ascii="Times New Roman" w:hAnsi="Times New Roman" w:cs="Times New Roman"/>
                <w:i/>
                <w:noProof/>
                <w:sz w:val="24"/>
              </w:rPr>
            </w:pPr>
            <w:r>
              <w:rPr>
                <w:rFonts w:ascii="Times New Roman" w:hAnsi="Times New Roman"/>
                <w:noProof/>
                <w:sz w:val="24"/>
              </w:rPr>
              <w:t>Modernizacija hardverske i softverske infrastrukture i pomoćne infrastrukture za pruž</w:t>
            </w:r>
            <w:r>
              <w:rPr>
                <w:rFonts w:ascii="Times New Roman" w:hAnsi="Times New Roman"/>
                <w:noProof/>
                <w:sz w:val="24"/>
              </w:rPr>
              <w:t>anje elektroničkih usluga</w:t>
            </w:r>
            <w:r>
              <w:rPr>
                <w:noProof/>
              </w:rPr>
              <w:t xml:space="preserve"> </w:t>
            </w:r>
            <w:r>
              <w:rPr>
                <w:noProof/>
              </w:rPr>
              <w:br/>
            </w:r>
            <w:r>
              <w:rPr>
                <w:rFonts w:ascii="Times New Roman" w:hAnsi="Times New Roman"/>
                <w:noProof/>
                <w:sz w:val="24"/>
              </w:rPr>
              <w:t>porezni obveznici</w:t>
            </w:r>
          </w:p>
          <w:p w14:paraId="4DB3E3A7" w14:textId="77777777" w:rsidR="003F46B9" w:rsidRDefault="003F46B9">
            <w:pPr>
              <w:spacing w:line="240" w:lineRule="auto"/>
              <w:jc w:val="both"/>
              <w:rPr>
                <w:rFonts w:ascii="Times New Roman" w:hAnsi="Times New Roman" w:cs="Times New Roman"/>
                <w:noProof/>
                <w:sz w:val="24"/>
              </w:rPr>
            </w:pPr>
          </w:p>
          <w:p w14:paraId="093150C4" w14:textId="77777777" w:rsidR="003F46B9" w:rsidRDefault="003F46B9">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43F4338A" w14:textId="77777777" w:rsidR="003F46B9" w:rsidRDefault="0065662E">
            <w:pPr>
              <w:pStyle w:val="P68B1DB1-Normal5"/>
              <w:spacing w:after="0" w:line="240" w:lineRule="auto"/>
              <w:jc w:val="both"/>
              <w:rPr>
                <w:rFonts w:cs="Times New Roman"/>
                <w:noProof/>
              </w:rPr>
            </w:pPr>
            <w:r>
              <w:rPr>
                <w:noProof/>
              </w:rPr>
              <w:t>Obnovljena hardverska i softverska infrastruktura i modernizirana potporna infrastruktura</w:t>
            </w:r>
          </w:p>
        </w:tc>
        <w:tc>
          <w:tcPr>
            <w:tcW w:w="1127" w:type="dxa"/>
            <w:tcBorders>
              <w:top w:val="nil"/>
              <w:left w:val="nil"/>
              <w:bottom w:val="single" w:sz="4" w:space="0" w:color="auto"/>
              <w:right w:val="single" w:sz="4" w:space="0" w:color="auto"/>
            </w:tcBorders>
            <w:shd w:val="clear" w:color="auto" w:fill="C6EFCE"/>
            <w:noWrap/>
          </w:tcPr>
          <w:p w14:paraId="0A6A01CA"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1FD34EE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88656A0"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4B5EAC7"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71FCA609"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047AADFF" w14:textId="77777777" w:rsidR="003F46B9" w:rsidRDefault="0065662E">
            <w:pPr>
              <w:pStyle w:val="P68B1DB1-Normal5"/>
              <w:spacing w:after="0" w:line="240" w:lineRule="auto"/>
              <w:jc w:val="both"/>
              <w:rPr>
                <w:rFonts w:cs="Times New Roman"/>
                <w:noProof/>
              </w:rPr>
            </w:pPr>
            <w:r>
              <w:rPr>
                <w:noProof/>
              </w:rPr>
              <w:t xml:space="preserve">Modernizacija hardverske i softverske infrastrukture i potporne infrastrukture za pružanje </w:t>
            </w:r>
            <w:r>
              <w:rPr>
                <w:noProof/>
              </w:rPr>
              <w:t>elektroničkih usluga poreznim obveznicima.</w:t>
            </w:r>
          </w:p>
          <w:p w14:paraId="7171B386" w14:textId="77777777" w:rsidR="003F46B9" w:rsidRDefault="0065662E">
            <w:pPr>
              <w:pStyle w:val="P68B1DB1-Normal5"/>
              <w:spacing w:after="0" w:line="240" w:lineRule="auto"/>
              <w:jc w:val="both"/>
              <w:rPr>
                <w:rFonts w:cs="Times New Roman"/>
                <w:noProof/>
              </w:rPr>
            </w:pPr>
            <w:r>
              <w:rPr>
                <w:noProof/>
              </w:rPr>
              <w:t xml:space="preserve">Rješavaju se sljedeća pitanja: </w:t>
            </w:r>
          </w:p>
          <w:p w14:paraId="32011C1C" w14:textId="77777777" w:rsidR="003F46B9" w:rsidRDefault="0065662E">
            <w:pPr>
              <w:pStyle w:val="P68B1DB1-Normal5"/>
              <w:spacing w:after="0" w:line="240" w:lineRule="auto"/>
              <w:jc w:val="both"/>
              <w:rPr>
                <w:rFonts w:cs="Times New Roman"/>
                <w:noProof/>
              </w:rPr>
            </w:pPr>
            <w:r>
              <w:rPr>
                <w:noProof/>
              </w:rPr>
              <w:t>—održavanje funkcioniranja i nadogradnje hardverske softverske infrastrukture informatičkog sustava Ministarstva financija/Nacionalne agencije za fiskalnu upravu i uvođenje novih te</w:t>
            </w:r>
            <w:r>
              <w:rPr>
                <w:noProof/>
              </w:rPr>
              <w:t xml:space="preserve">hnologija; </w:t>
            </w:r>
          </w:p>
          <w:p w14:paraId="6FA01E88" w14:textId="1BB736E5" w:rsidR="003F46B9" w:rsidRDefault="0065662E">
            <w:pPr>
              <w:pStyle w:val="P68B1DB1-Normal5"/>
              <w:spacing w:after="0" w:line="240" w:lineRule="auto"/>
              <w:jc w:val="both"/>
              <w:rPr>
                <w:rFonts w:cs="Times New Roman"/>
                <w:noProof/>
              </w:rPr>
            </w:pPr>
            <w:r>
              <w:rPr>
                <w:noProof/>
              </w:rPr>
              <w:t xml:space="preserve">—održavanje rada i nadogradnje prateće infrastrukture podatkovnih centara (opskrba električnom energijom; klimatizacija; uzbunjivanje i gašenje požara; i. fizičku sigurnost; upravljanje i praćenje); </w:t>
            </w:r>
          </w:p>
          <w:p w14:paraId="6CC048BB" w14:textId="77777777" w:rsidR="003F46B9" w:rsidRDefault="0065662E">
            <w:pPr>
              <w:pStyle w:val="P68B1DB1-Normal5"/>
              <w:spacing w:after="0" w:line="240" w:lineRule="auto"/>
              <w:jc w:val="both"/>
              <w:rPr>
                <w:rFonts w:cs="Times New Roman"/>
                <w:noProof/>
              </w:rPr>
            </w:pPr>
            <w:r>
              <w:rPr>
                <w:noProof/>
              </w:rPr>
              <w:t>—poboljšanje informatičke funkcije Ministars</w:t>
            </w:r>
            <w:r>
              <w:rPr>
                <w:noProof/>
              </w:rPr>
              <w:t xml:space="preserve">tva financija; </w:t>
            </w:r>
          </w:p>
          <w:p w14:paraId="27B31B8E" w14:textId="77777777" w:rsidR="003F46B9" w:rsidRDefault="0065662E">
            <w:pPr>
              <w:pStyle w:val="P68B1DB1-Normal5"/>
              <w:spacing w:after="0" w:line="240" w:lineRule="auto"/>
              <w:jc w:val="both"/>
              <w:rPr>
                <w:rFonts w:cs="Times New Roman"/>
                <w:noProof/>
              </w:rPr>
            </w:pPr>
            <w:r>
              <w:rPr>
                <w:noProof/>
              </w:rPr>
              <w:t>—primanju i pružanju podataka u stvarnom vremenu;</w:t>
            </w:r>
          </w:p>
          <w:p w14:paraId="1D34E689" w14:textId="77777777" w:rsidR="003F46B9" w:rsidRDefault="0065662E">
            <w:pPr>
              <w:pStyle w:val="P68B1DB1-Normal5"/>
              <w:spacing w:after="0" w:line="240" w:lineRule="auto"/>
              <w:jc w:val="both"/>
              <w:rPr>
                <w:rFonts w:cs="Times New Roman"/>
                <w:noProof/>
              </w:rPr>
            </w:pPr>
            <w:r>
              <w:rPr>
                <w:noProof/>
              </w:rPr>
              <w:t xml:space="preserve">—upravljanje podacima i osiguravanje optimalnog protoka, </w:t>
            </w:r>
          </w:p>
          <w:p w14:paraId="117CE858" w14:textId="77777777" w:rsidR="003F46B9" w:rsidRDefault="0065662E">
            <w:pPr>
              <w:pStyle w:val="P68B1DB1-Normal5"/>
              <w:spacing w:after="0" w:line="240" w:lineRule="auto"/>
              <w:jc w:val="both"/>
              <w:rPr>
                <w:rFonts w:cs="Times New Roman"/>
                <w:noProof/>
              </w:rPr>
            </w:pPr>
            <w:r>
              <w:rPr>
                <w:noProof/>
              </w:rPr>
              <w:t xml:space="preserve">—osiguravanjem održivog razvoja baza podataka kako bi se osigurala interoperabilnost IT sustava; </w:t>
            </w:r>
          </w:p>
          <w:p w14:paraId="7FEA31E2" w14:textId="77777777" w:rsidR="003F46B9" w:rsidRDefault="0065662E">
            <w:pPr>
              <w:pStyle w:val="P68B1DB1-Normal5"/>
              <w:spacing w:after="0" w:line="240" w:lineRule="auto"/>
              <w:jc w:val="both"/>
              <w:rPr>
                <w:rFonts w:cs="Times New Roman"/>
                <w:noProof/>
              </w:rPr>
            </w:pPr>
            <w:r>
              <w:rPr>
                <w:noProof/>
              </w:rPr>
              <w:t xml:space="preserve">—upravljanje informatičkim procesima kako bi se osigurala usklađenost s relevantnim međunarodnim standardima (za transparentnost, mjerenje i sljedivost); </w:t>
            </w:r>
          </w:p>
          <w:p w14:paraId="5688BAF6" w14:textId="77777777" w:rsidR="003F46B9" w:rsidRDefault="0065662E">
            <w:pPr>
              <w:pStyle w:val="P68B1DB1-Normal5"/>
              <w:spacing w:after="0" w:line="240" w:lineRule="auto"/>
              <w:jc w:val="both"/>
              <w:rPr>
                <w:rFonts w:cs="Times New Roman"/>
                <w:noProof/>
              </w:rPr>
            </w:pPr>
            <w:r>
              <w:rPr>
                <w:noProof/>
              </w:rPr>
              <w:t xml:space="preserve">—unutarnja digitalna transformacija Ministarstva financija/Nacionalne agencije za fiskalnu upravu. </w:t>
            </w:r>
          </w:p>
        </w:tc>
      </w:tr>
      <w:tr w:rsidR="003F46B9" w14:paraId="731F9BA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A4A1645" w14:textId="77777777" w:rsidR="003F46B9" w:rsidRDefault="0065662E">
            <w:pPr>
              <w:pStyle w:val="P68B1DB1-Normal5"/>
              <w:spacing w:after="0" w:line="240" w:lineRule="auto"/>
              <w:jc w:val="center"/>
              <w:rPr>
                <w:rFonts w:cs="Times New Roman"/>
                <w:noProof/>
              </w:rPr>
            </w:pPr>
            <w:r>
              <w:rPr>
                <w:noProof/>
              </w:rPr>
              <w:t>228</w:t>
            </w:r>
          </w:p>
        </w:tc>
        <w:tc>
          <w:tcPr>
            <w:tcW w:w="1843" w:type="dxa"/>
            <w:tcBorders>
              <w:top w:val="nil"/>
              <w:left w:val="nil"/>
              <w:bottom w:val="single" w:sz="4" w:space="0" w:color="auto"/>
              <w:right w:val="single" w:sz="4" w:space="0" w:color="auto"/>
            </w:tcBorders>
            <w:shd w:val="clear" w:color="auto" w:fill="C6EFCE"/>
            <w:noWrap/>
          </w:tcPr>
          <w:p w14:paraId="5744FE80" w14:textId="77777777" w:rsidR="003F46B9" w:rsidRDefault="0065662E">
            <w:pPr>
              <w:pStyle w:val="P68B1DB1-Normal5"/>
              <w:spacing w:after="0" w:line="240" w:lineRule="auto"/>
              <w:jc w:val="both"/>
              <w:rPr>
                <w:rFonts w:cs="Times New Roman"/>
                <w:noProof/>
              </w:rPr>
            </w:pPr>
            <w:r>
              <w:rPr>
                <w:noProof/>
              </w:rPr>
              <w:t xml:space="preserve">Ulaganje 3. Osiguravanje kapaciteta za odgovor na trenutačne i buduće izazove informiranja, među ostalim u kontekstu pandemije, putem digitalne transformacije Ministarstva financija/Nacionalne agencije za fiskalnu upravu </w:t>
            </w:r>
          </w:p>
        </w:tc>
        <w:tc>
          <w:tcPr>
            <w:tcW w:w="1275" w:type="dxa"/>
            <w:tcBorders>
              <w:top w:val="nil"/>
              <w:left w:val="nil"/>
              <w:bottom w:val="single" w:sz="4" w:space="0" w:color="auto"/>
              <w:right w:val="single" w:sz="4" w:space="0" w:color="auto"/>
            </w:tcBorders>
            <w:shd w:val="clear" w:color="auto" w:fill="C6EFCE"/>
            <w:noWrap/>
          </w:tcPr>
          <w:p w14:paraId="0CE45F80"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303073AA" w14:textId="77777777" w:rsidR="003F46B9" w:rsidRDefault="0065662E">
            <w:pPr>
              <w:pStyle w:val="P68B1DB1-Normal5"/>
              <w:spacing w:after="0" w:line="240" w:lineRule="auto"/>
              <w:jc w:val="both"/>
              <w:rPr>
                <w:rFonts w:cs="Times New Roman"/>
                <w:noProof/>
              </w:rPr>
            </w:pPr>
            <w:r>
              <w:rPr>
                <w:noProof/>
              </w:rPr>
              <w:t>Povećana kibersigu</w:t>
            </w:r>
            <w:r>
              <w:rPr>
                <w:noProof/>
              </w:rPr>
              <w:t>rnost računalnog sustava Ministarstva financija i ANAF-a</w:t>
            </w:r>
          </w:p>
        </w:tc>
        <w:tc>
          <w:tcPr>
            <w:tcW w:w="1644" w:type="dxa"/>
            <w:gridSpan w:val="2"/>
            <w:tcBorders>
              <w:top w:val="nil"/>
              <w:left w:val="nil"/>
              <w:bottom w:val="single" w:sz="4" w:space="0" w:color="auto"/>
              <w:right w:val="single" w:sz="4" w:space="0" w:color="auto"/>
            </w:tcBorders>
            <w:shd w:val="clear" w:color="auto" w:fill="C6EFCE"/>
            <w:noWrap/>
          </w:tcPr>
          <w:p w14:paraId="4DD20325" w14:textId="77777777" w:rsidR="003F46B9" w:rsidRDefault="0065662E">
            <w:pPr>
              <w:pStyle w:val="P68B1DB1-Normal5"/>
              <w:spacing w:after="0" w:line="240" w:lineRule="auto"/>
              <w:jc w:val="both"/>
              <w:rPr>
                <w:rFonts w:cs="Times New Roman"/>
                <w:noProof/>
              </w:rPr>
            </w:pPr>
            <w:r>
              <w:rPr>
                <w:noProof/>
              </w:rPr>
              <w:t>Kibersigurnosni sustav operacionaliziran</w:t>
            </w:r>
          </w:p>
        </w:tc>
        <w:tc>
          <w:tcPr>
            <w:tcW w:w="1127" w:type="dxa"/>
            <w:tcBorders>
              <w:top w:val="nil"/>
              <w:left w:val="nil"/>
              <w:bottom w:val="single" w:sz="4" w:space="0" w:color="auto"/>
              <w:right w:val="single" w:sz="4" w:space="0" w:color="auto"/>
            </w:tcBorders>
            <w:shd w:val="clear" w:color="auto" w:fill="C6EFCE"/>
            <w:noWrap/>
          </w:tcPr>
          <w:p w14:paraId="0CCF79BC"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E7DEC3B"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FDC3920"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E88421E" w14:textId="77777777" w:rsidR="003F46B9" w:rsidRDefault="0065662E">
            <w:pPr>
              <w:pStyle w:val="P68B1DB1-Normal5"/>
              <w:spacing w:after="0" w:line="240" w:lineRule="auto"/>
              <w:jc w:val="center"/>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1C5D22F0"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3C1200D8" w14:textId="77777777" w:rsidR="003F46B9" w:rsidRDefault="0065662E">
            <w:pPr>
              <w:pStyle w:val="P68B1DB1-Normal5"/>
              <w:spacing w:after="0" w:line="240" w:lineRule="auto"/>
              <w:jc w:val="both"/>
              <w:rPr>
                <w:rFonts w:cs="Times New Roman"/>
                <w:noProof/>
              </w:rPr>
            </w:pPr>
            <w:r>
              <w:rPr>
                <w:noProof/>
              </w:rPr>
              <w:t>Jača se sigurnost na razini informacijskog sustava Ministarstva financija/Nacionalne agencije za fiskalnu upravu u odnosu na internetsku m</w:t>
            </w:r>
            <w:r>
              <w:rPr>
                <w:noProof/>
              </w:rPr>
              <w:t xml:space="preserve">režu. U tom se smislu smatra nabava komponenti vatrozida za mrežne aplikacije, kontrolora isporuke aplikacija, centra za sigurnosne operacije, otkrivanja i odziva mreže, opreme vatrozida – OSI LAYER 3 s uključenim uslugama IPS IDS-a, nadogradnja postojeće </w:t>
            </w:r>
            <w:r>
              <w:rPr>
                <w:noProof/>
              </w:rPr>
              <w:t>infrastrukture aktivnog direktorija za centralizirano upravljanje korisnicima, hardver i softver za automatsko ažuriranje sigurnosnih zakrpa korištenih aplikacija.</w:t>
            </w:r>
          </w:p>
          <w:p w14:paraId="19B72607" w14:textId="77777777" w:rsidR="003F46B9" w:rsidRDefault="0065662E">
            <w:pPr>
              <w:pStyle w:val="P68B1DB1-Normal5"/>
              <w:spacing w:after="0" w:line="240" w:lineRule="auto"/>
              <w:jc w:val="both"/>
              <w:rPr>
                <w:rFonts w:cs="Times New Roman"/>
                <w:noProof/>
              </w:rPr>
            </w:pPr>
            <w:r>
              <w:rPr>
                <w:noProof/>
              </w:rPr>
              <w:t>Rješavaju se sljedeća pitanja:</w:t>
            </w:r>
          </w:p>
          <w:p w14:paraId="223A9FEE" w14:textId="77777777" w:rsidR="003F46B9" w:rsidRDefault="0065662E">
            <w:pPr>
              <w:pStyle w:val="P68B1DB1-Normal5"/>
              <w:spacing w:after="0" w:line="240" w:lineRule="auto"/>
              <w:jc w:val="both"/>
              <w:rPr>
                <w:rFonts w:cs="Times New Roman"/>
                <w:noProof/>
              </w:rPr>
            </w:pPr>
            <w:r>
              <w:rPr>
                <w:noProof/>
              </w:rPr>
              <w:t xml:space="preserve">—upravljanje kibersigurnošću i otpornošću IT platformi, </w:t>
            </w:r>
          </w:p>
          <w:p w14:paraId="3E162894" w14:textId="77777777" w:rsidR="003F46B9" w:rsidRDefault="0065662E">
            <w:pPr>
              <w:pStyle w:val="P68B1DB1-Normal5"/>
              <w:spacing w:after="0" w:line="240" w:lineRule="auto"/>
              <w:jc w:val="both"/>
              <w:rPr>
                <w:rFonts w:cs="Times New Roman"/>
                <w:noProof/>
              </w:rPr>
            </w:pPr>
            <w:r>
              <w:rPr>
                <w:noProof/>
              </w:rPr>
              <w:t>—upr</w:t>
            </w:r>
            <w:r>
              <w:rPr>
                <w:noProof/>
              </w:rPr>
              <w:t xml:space="preserve">avljanje privatnošću i sigurnošću podataka i informacija, </w:t>
            </w:r>
          </w:p>
        </w:tc>
      </w:tr>
      <w:tr w:rsidR="003F46B9" w14:paraId="3A58186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EA3CA29" w14:textId="77777777" w:rsidR="003F46B9" w:rsidRDefault="0065662E">
            <w:pPr>
              <w:pStyle w:val="P68B1DB1-Normal5"/>
              <w:spacing w:after="0" w:line="240" w:lineRule="auto"/>
              <w:jc w:val="center"/>
              <w:rPr>
                <w:rFonts w:cs="Times New Roman"/>
                <w:noProof/>
              </w:rPr>
            </w:pPr>
            <w:r>
              <w:rPr>
                <w:noProof/>
              </w:rPr>
              <w:t>229</w:t>
            </w:r>
          </w:p>
        </w:tc>
        <w:tc>
          <w:tcPr>
            <w:tcW w:w="1843" w:type="dxa"/>
            <w:tcBorders>
              <w:top w:val="nil"/>
              <w:left w:val="nil"/>
              <w:bottom w:val="single" w:sz="4" w:space="0" w:color="auto"/>
              <w:right w:val="single" w:sz="4" w:space="0" w:color="auto"/>
            </w:tcBorders>
            <w:shd w:val="clear" w:color="auto" w:fill="C6EFCE"/>
            <w:noWrap/>
          </w:tcPr>
          <w:p w14:paraId="0C8F550C" w14:textId="77777777" w:rsidR="003F46B9" w:rsidRDefault="0065662E">
            <w:pPr>
              <w:pStyle w:val="P68B1DB1-Normal5"/>
              <w:spacing w:after="0" w:line="240" w:lineRule="auto"/>
              <w:jc w:val="both"/>
              <w:rPr>
                <w:rFonts w:cs="Times New Roman"/>
                <w:noProof/>
              </w:rPr>
            </w:pPr>
            <w:r>
              <w:rPr>
                <w:noProof/>
              </w:rPr>
              <w:t xml:space="preserve">Ulaganje 3. Osiguravanje kapaciteta za odgovor na trenutačne i buduće izazove informiranja, </w:t>
            </w:r>
            <w:r>
              <w:rPr>
                <w:noProof/>
              </w:rPr>
              <w:t xml:space="preserve">među ostalim u kontekstu pandemije, putem digitalne transformacije Ministarstva financija/Nacionalne agencije za fiskalnu upravu </w:t>
            </w:r>
          </w:p>
        </w:tc>
        <w:tc>
          <w:tcPr>
            <w:tcW w:w="1275" w:type="dxa"/>
            <w:tcBorders>
              <w:top w:val="nil"/>
              <w:left w:val="nil"/>
              <w:bottom w:val="single" w:sz="4" w:space="0" w:color="auto"/>
              <w:right w:val="single" w:sz="4" w:space="0" w:color="auto"/>
            </w:tcBorders>
            <w:shd w:val="clear" w:color="auto" w:fill="C6EFCE"/>
            <w:noWrap/>
          </w:tcPr>
          <w:p w14:paraId="71BE7224"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322DC58A" w14:textId="77777777" w:rsidR="003F46B9" w:rsidRDefault="0065662E">
            <w:pPr>
              <w:pStyle w:val="P68B1DB1-Normal5"/>
              <w:spacing w:after="0" w:line="240" w:lineRule="auto"/>
              <w:jc w:val="both"/>
              <w:rPr>
                <w:rFonts w:cs="Times New Roman"/>
                <w:noProof/>
              </w:rPr>
            </w:pPr>
            <w:r>
              <w:rPr>
                <w:noProof/>
              </w:rPr>
              <w:t xml:space="preserve">80 % informatičke hardverske i softverske infrastrukture nije starije od četiri godine </w:t>
            </w:r>
          </w:p>
          <w:p w14:paraId="21001FB8" w14:textId="77777777" w:rsidR="003F46B9" w:rsidRDefault="003F46B9">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1CCD8E7E"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4E0378A" w14:textId="77777777" w:rsidR="003F46B9" w:rsidRDefault="0065662E">
            <w:pPr>
              <w:pStyle w:val="P68B1DB1-Normal5"/>
              <w:spacing w:after="0" w:line="240" w:lineRule="auto"/>
              <w:rPr>
                <w:rFonts w:eastAsia="Times New Roman" w:cs="Times New Roman"/>
                <w:noProof/>
              </w:rPr>
            </w:pPr>
            <w:r>
              <w:rPr>
                <w:noProof/>
              </w:rPr>
              <w:t>Postotak (%)</w:t>
            </w:r>
          </w:p>
          <w:p w14:paraId="78BF72B6"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63A09831" w14:textId="77777777" w:rsidR="003F46B9" w:rsidRDefault="0065662E">
            <w:pPr>
              <w:pStyle w:val="P68B1DB1-Normal5"/>
              <w:spacing w:after="0" w:line="240" w:lineRule="auto"/>
              <w:rPr>
                <w:rFonts w:cs="Times New Roman"/>
                <w:noProof/>
              </w:rPr>
            </w:pPr>
            <w:r>
              <w:rPr>
                <w:noProof/>
              </w:rPr>
              <w:t>30,67</w:t>
            </w:r>
          </w:p>
        </w:tc>
        <w:tc>
          <w:tcPr>
            <w:tcW w:w="1276" w:type="dxa"/>
            <w:tcBorders>
              <w:top w:val="nil"/>
              <w:left w:val="nil"/>
              <w:bottom w:val="single" w:sz="4" w:space="0" w:color="auto"/>
              <w:right w:val="single" w:sz="4" w:space="0" w:color="auto"/>
            </w:tcBorders>
            <w:shd w:val="clear" w:color="auto" w:fill="C6EFCE"/>
            <w:noWrap/>
          </w:tcPr>
          <w:p w14:paraId="22FB752E" w14:textId="77777777" w:rsidR="003F46B9" w:rsidRDefault="0065662E">
            <w:pPr>
              <w:pStyle w:val="P68B1DB1-Normal5"/>
              <w:spacing w:after="0" w:line="240" w:lineRule="auto"/>
              <w:rPr>
                <w:rFonts w:cs="Times New Roman"/>
                <w:noProof/>
              </w:rPr>
            </w:pPr>
            <w:r>
              <w:rPr>
                <w:noProof/>
              </w:rPr>
              <w:t>80</w:t>
            </w:r>
          </w:p>
        </w:tc>
        <w:tc>
          <w:tcPr>
            <w:tcW w:w="1134" w:type="dxa"/>
            <w:tcBorders>
              <w:top w:val="nil"/>
              <w:left w:val="nil"/>
              <w:bottom w:val="single" w:sz="4" w:space="0" w:color="auto"/>
              <w:right w:val="single" w:sz="4" w:space="0" w:color="auto"/>
            </w:tcBorders>
            <w:shd w:val="clear" w:color="auto" w:fill="C6EFCE"/>
            <w:noWrap/>
          </w:tcPr>
          <w:p w14:paraId="23CB3656" w14:textId="77777777" w:rsidR="003F46B9" w:rsidRDefault="0065662E">
            <w:pPr>
              <w:pStyle w:val="P68B1DB1-Normal5"/>
              <w:spacing w:after="0" w:line="240" w:lineRule="auto"/>
              <w:jc w:val="center"/>
              <w:rPr>
                <w:rFonts w:eastAsia="Times New Roman" w:cs="Times New Roman"/>
                <w:noProof/>
              </w:rPr>
            </w:pPr>
            <w:r>
              <w:rPr>
                <w:noProof/>
              </w:rPr>
              <w:t>TROMJE</w:t>
            </w:r>
            <w:r>
              <w:rPr>
                <w:noProof/>
              </w:rPr>
              <w:t>SEČJE</w:t>
            </w:r>
          </w:p>
        </w:tc>
        <w:tc>
          <w:tcPr>
            <w:tcW w:w="850" w:type="dxa"/>
            <w:tcBorders>
              <w:top w:val="nil"/>
              <w:left w:val="nil"/>
              <w:bottom w:val="single" w:sz="4" w:space="0" w:color="auto"/>
              <w:right w:val="single" w:sz="4" w:space="0" w:color="auto"/>
            </w:tcBorders>
            <w:shd w:val="clear" w:color="auto" w:fill="C6EFCE"/>
            <w:noWrap/>
          </w:tcPr>
          <w:p w14:paraId="45F045CD" w14:textId="77777777" w:rsidR="003F46B9" w:rsidRDefault="0065662E">
            <w:pPr>
              <w:pStyle w:val="P68B1DB1-Normal5"/>
              <w:spacing w:after="0" w:line="240" w:lineRule="auto"/>
              <w:jc w:val="center"/>
              <w:rPr>
                <w:rFonts w:eastAsia="Times New Roman"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2DB2AB08" w14:textId="77777777" w:rsidR="003F46B9" w:rsidRDefault="0065662E">
            <w:pPr>
              <w:pStyle w:val="P68B1DB1-Normal5"/>
              <w:spacing w:after="0" w:line="240" w:lineRule="auto"/>
              <w:jc w:val="both"/>
              <w:rPr>
                <w:rFonts w:cs="Times New Roman"/>
                <w:noProof/>
              </w:rPr>
            </w:pPr>
            <w:r>
              <w:rPr>
                <w:noProof/>
              </w:rPr>
              <w:t xml:space="preserve">Modernizacija hardverske i softverske infrastrukture i potporne infrastrukture za pružanje elektroničkih usluga poreznim obveznicima. Nadogradnja infrastrukture odražava se u popisu dugotrajne imovine javnog sektora u kojem se softver i hardver </w:t>
            </w:r>
            <w:r>
              <w:rPr>
                <w:noProof/>
              </w:rPr>
              <w:t>registriraju kao dugotrajna imovina u skladu s nacionalnim zakonodavstvom.</w:t>
            </w:r>
          </w:p>
        </w:tc>
      </w:tr>
      <w:tr w:rsidR="003F46B9" w14:paraId="2F5A4C7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0AD716C" w14:textId="77777777" w:rsidR="003F46B9" w:rsidRDefault="0065662E">
            <w:pPr>
              <w:pStyle w:val="P68B1DB1-Normal5"/>
              <w:spacing w:after="0" w:line="240" w:lineRule="auto"/>
              <w:jc w:val="center"/>
              <w:rPr>
                <w:rFonts w:cs="Times New Roman"/>
                <w:noProof/>
              </w:rPr>
            </w:pPr>
            <w:r>
              <w:rPr>
                <w:noProof/>
              </w:rPr>
              <w:t>230</w:t>
            </w:r>
          </w:p>
        </w:tc>
        <w:tc>
          <w:tcPr>
            <w:tcW w:w="1843" w:type="dxa"/>
            <w:tcBorders>
              <w:top w:val="nil"/>
              <w:left w:val="nil"/>
              <w:bottom w:val="single" w:sz="4" w:space="0" w:color="auto"/>
              <w:right w:val="single" w:sz="4" w:space="0" w:color="auto"/>
            </w:tcBorders>
            <w:shd w:val="clear" w:color="auto" w:fill="C6EFCE"/>
            <w:noWrap/>
          </w:tcPr>
          <w:p w14:paraId="78E5310B" w14:textId="77777777" w:rsidR="003F46B9" w:rsidRDefault="0065662E">
            <w:pPr>
              <w:pStyle w:val="P68B1DB1-Normal5"/>
              <w:spacing w:after="0" w:line="240" w:lineRule="auto"/>
              <w:jc w:val="both"/>
              <w:rPr>
                <w:rFonts w:cs="Times New Roman"/>
                <w:noProof/>
              </w:rPr>
            </w:pPr>
            <w:r>
              <w:rPr>
                <w:noProof/>
              </w:rPr>
              <w:t xml:space="preserve">Ulaganje 4. Uvođenje elektroničke carine </w:t>
            </w:r>
          </w:p>
        </w:tc>
        <w:tc>
          <w:tcPr>
            <w:tcW w:w="1275" w:type="dxa"/>
            <w:tcBorders>
              <w:top w:val="nil"/>
              <w:left w:val="nil"/>
              <w:bottom w:val="single" w:sz="4" w:space="0" w:color="auto"/>
              <w:right w:val="single" w:sz="4" w:space="0" w:color="auto"/>
            </w:tcBorders>
            <w:shd w:val="clear" w:color="auto" w:fill="C6EFCE"/>
            <w:noWrap/>
          </w:tcPr>
          <w:p w14:paraId="0B977A05"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4D30D194" w14:textId="77777777" w:rsidR="003F46B9" w:rsidRDefault="0065662E">
            <w:pPr>
              <w:pStyle w:val="P68B1DB1-Normal5"/>
              <w:spacing w:after="0" w:line="240" w:lineRule="auto"/>
              <w:jc w:val="both"/>
              <w:rPr>
                <w:rFonts w:cs="Times New Roman"/>
                <w:noProof/>
              </w:rPr>
            </w:pPr>
            <w:r>
              <w:rPr>
                <w:noProof/>
              </w:rPr>
              <w:t>Nadograđena hardverska i softverska infrastruktura</w:t>
            </w:r>
          </w:p>
          <w:p w14:paraId="64E50AB5" w14:textId="77777777" w:rsidR="003F46B9" w:rsidRDefault="003F46B9">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41D8A9D4"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2FF80F52" w14:textId="77777777" w:rsidR="003F46B9" w:rsidRDefault="0065662E">
            <w:pPr>
              <w:pStyle w:val="P68B1DB1-Normal5"/>
              <w:spacing w:after="0" w:line="240" w:lineRule="auto"/>
              <w:rPr>
                <w:rFonts w:eastAsia="Times New Roman" w:cs="Times New Roman"/>
                <w:noProof/>
              </w:rPr>
            </w:pPr>
            <w:r>
              <w:rPr>
                <w:noProof/>
              </w:rPr>
              <w:t>Postotak (%)</w:t>
            </w:r>
          </w:p>
          <w:p w14:paraId="5A708671"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9E28C19" w14:textId="77777777" w:rsidR="003F46B9" w:rsidRDefault="0065662E">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732555E6" w14:textId="77777777" w:rsidR="003F46B9" w:rsidRDefault="0065662E">
            <w:pPr>
              <w:pStyle w:val="P68B1DB1-Normal5"/>
              <w:spacing w:after="0" w:line="240" w:lineRule="auto"/>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7A5D48F2"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67C4576F" w14:textId="77777777" w:rsidR="003F46B9" w:rsidRDefault="0065662E">
            <w:pPr>
              <w:pStyle w:val="P68B1DB1-Normal5"/>
              <w:spacing w:after="0" w:line="240" w:lineRule="auto"/>
              <w:jc w:val="center"/>
              <w:rPr>
                <w:rFonts w:cs="Times New Roman"/>
                <w:noProof/>
              </w:rPr>
            </w:pPr>
            <w:r>
              <w:rPr>
                <w:noProof/>
              </w:rPr>
              <w:t>2022</w:t>
            </w:r>
          </w:p>
        </w:tc>
        <w:tc>
          <w:tcPr>
            <w:tcW w:w="3119" w:type="dxa"/>
            <w:tcBorders>
              <w:top w:val="nil"/>
              <w:left w:val="nil"/>
              <w:bottom w:val="single" w:sz="4" w:space="0" w:color="auto"/>
              <w:right w:val="single" w:sz="4" w:space="0" w:color="auto"/>
            </w:tcBorders>
            <w:shd w:val="clear" w:color="auto" w:fill="C6EFCE"/>
            <w:noWrap/>
          </w:tcPr>
          <w:p w14:paraId="725B3056" w14:textId="77777777" w:rsidR="003F46B9" w:rsidRDefault="0065662E">
            <w:pPr>
              <w:pStyle w:val="P68B1DB1-Normal5"/>
              <w:spacing w:after="0" w:line="240" w:lineRule="auto"/>
              <w:jc w:val="both"/>
              <w:rPr>
                <w:rFonts w:cs="Times New Roman"/>
                <w:noProof/>
              </w:rPr>
            </w:pPr>
            <w:r>
              <w:rPr>
                <w:noProof/>
              </w:rPr>
              <w:t>Nadograđena hardverska softverska infrastruktura. Ti se projekti odnose na informatičku infrastrukturu putem ulaganja u hardverski softver, kojima se pruža potrebna potpora za cjelokupno funkcioniranje carinskog IT sustava. Stoga se taj cilj upotrebljava z</w:t>
            </w:r>
            <w:r>
              <w:rPr>
                <w:noProof/>
              </w:rPr>
              <w:t xml:space="preserve">a utvrđivanje stupnja nadogradnje infrastrukture (meke i tvrde) i uključuje ulaganja u: mrežno rješenje koje se može programirati, nadogradnje i licencije softvera VMware, uključujući podršku/pretplatu, rješenja za sigurnost infrastrukture, IT integrirani </w:t>
            </w:r>
            <w:r>
              <w:rPr>
                <w:noProof/>
              </w:rPr>
              <w:t>informacijski sustav, uključujući usluge podrške, licencije i pretplate, dozvole za izdavanje poduzeća u bazi podataka Oracle za baze podataka koje su potrebne za rad komponenata carinskog integriranog informacijskog sustava, rješenje za centralizirano upr</w:t>
            </w:r>
            <w:r>
              <w:rPr>
                <w:noProof/>
              </w:rPr>
              <w:t>avljanje korisnicima, radne stanice i usluge ažuriranja za operativne sustave sustava za integrirani carinski informacijski sustav.</w:t>
            </w:r>
          </w:p>
        </w:tc>
      </w:tr>
      <w:tr w:rsidR="003F46B9" w14:paraId="32F4031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634BA44" w14:textId="77777777" w:rsidR="003F46B9" w:rsidRDefault="0065662E">
            <w:pPr>
              <w:pStyle w:val="P68B1DB1-Normal5"/>
              <w:spacing w:after="0" w:line="240" w:lineRule="auto"/>
              <w:jc w:val="center"/>
              <w:rPr>
                <w:rFonts w:cs="Times New Roman"/>
                <w:noProof/>
              </w:rPr>
            </w:pPr>
            <w:r>
              <w:rPr>
                <w:noProof/>
              </w:rPr>
              <w:t>231</w:t>
            </w:r>
          </w:p>
        </w:tc>
        <w:tc>
          <w:tcPr>
            <w:tcW w:w="1843" w:type="dxa"/>
            <w:tcBorders>
              <w:top w:val="nil"/>
              <w:left w:val="nil"/>
              <w:bottom w:val="single" w:sz="4" w:space="0" w:color="auto"/>
              <w:right w:val="single" w:sz="4" w:space="0" w:color="auto"/>
            </w:tcBorders>
            <w:shd w:val="clear" w:color="auto" w:fill="C6EFCE"/>
            <w:noWrap/>
          </w:tcPr>
          <w:p w14:paraId="1FDA834B" w14:textId="77777777" w:rsidR="003F46B9" w:rsidRDefault="0065662E">
            <w:pPr>
              <w:pStyle w:val="P68B1DB1-Normal5"/>
              <w:spacing w:after="0" w:line="240" w:lineRule="auto"/>
              <w:jc w:val="both"/>
              <w:rPr>
                <w:rFonts w:cs="Times New Roman"/>
                <w:noProof/>
              </w:rPr>
            </w:pPr>
            <w:r>
              <w:rPr>
                <w:noProof/>
              </w:rPr>
              <w:t xml:space="preserve">Ulaganje 4. Uvođenje elektroničke carine </w:t>
            </w:r>
          </w:p>
        </w:tc>
        <w:tc>
          <w:tcPr>
            <w:tcW w:w="1275" w:type="dxa"/>
            <w:tcBorders>
              <w:top w:val="nil"/>
              <w:left w:val="nil"/>
              <w:bottom w:val="single" w:sz="4" w:space="0" w:color="auto"/>
              <w:right w:val="single" w:sz="4" w:space="0" w:color="auto"/>
            </w:tcBorders>
            <w:shd w:val="clear" w:color="auto" w:fill="C6EFCE"/>
            <w:noWrap/>
          </w:tcPr>
          <w:p w14:paraId="1CEB9DC1"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60FAFDC" w14:textId="77777777" w:rsidR="003F46B9" w:rsidRDefault="0065662E">
            <w:pPr>
              <w:pStyle w:val="P68B1DB1-Normal5"/>
              <w:spacing w:after="0" w:line="240" w:lineRule="auto"/>
              <w:jc w:val="both"/>
              <w:rPr>
                <w:rFonts w:cs="Times New Roman"/>
                <w:noProof/>
              </w:rPr>
            </w:pPr>
            <w:r>
              <w:rPr>
                <w:noProof/>
              </w:rPr>
              <w:t xml:space="preserve">Dodjela ugovora za nove informacijske sustave za carinu </w:t>
            </w:r>
          </w:p>
        </w:tc>
        <w:tc>
          <w:tcPr>
            <w:tcW w:w="1644" w:type="dxa"/>
            <w:gridSpan w:val="2"/>
            <w:tcBorders>
              <w:top w:val="nil"/>
              <w:left w:val="nil"/>
              <w:bottom w:val="single" w:sz="4" w:space="0" w:color="auto"/>
              <w:right w:val="single" w:sz="4" w:space="0" w:color="auto"/>
            </w:tcBorders>
            <w:shd w:val="clear" w:color="auto" w:fill="C6EFCE"/>
            <w:noWrap/>
          </w:tcPr>
          <w:p w14:paraId="72DA4DFB" w14:textId="77777777" w:rsidR="003F46B9" w:rsidRDefault="0065662E">
            <w:pPr>
              <w:pStyle w:val="P68B1DB1-Normal5"/>
              <w:spacing w:after="0" w:line="240" w:lineRule="auto"/>
              <w:jc w:val="both"/>
              <w:rPr>
                <w:rFonts w:cs="Times New Roman"/>
                <w:noProof/>
              </w:rPr>
            </w:pPr>
            <w:r>
              <w:rPr>
                <w:noProof/>
              </w:rPr>
              <w:t>Potpisan</w:t>
            </w:r>
            <w:r>
              <w:rPr>
                <w:noProof/>
              </w:rPr>
              <w:t xml:space="preserve"> ugovor</w:t>
            </w:r>
          </w:p>
        </w:tc>
        <w:tc>
          <w:tcPr>
            <w:tcW w:w="1127" w:type="dxa"/>
            <w:tcBorders>
              <w:top w:val="nil"/>
              <w:left w:val="nil"/>
              <w:bottom w:val="single" w:sz="4" w:space="0" w:color="auto"/>
              <w:right w:val="single" w:sz="4" w:space="0" w:color="auto"/>
            </w:tcBorders>
            <w:shd w:val="clear" w:color="auto" w:fill="C6EFCE"/>
            <w:noWrap/>
          </w:tcPr>
          <w:p w14:paraId="3BEE85D4"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4890E25E"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79490D82"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2981A82"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203D9E75"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6F4AEF1" w14:textId="77777777" w:rsidR="003F46B9" w:rsidRDefault="0065662E">
            <w:pPr>
              <w:pStyle w:val="P68B1DB1-Normal5"/>
              <w:spacing w:after="0" w:line="240" w:lineRule="auto"/>
              <w:jc w:val="both"/>
              <w:rPr>
                <w:rFonts w:cs="Times New Roman"/>
                <w:noProof/>
              </w:rPr>
            </w:pPr>
            <w:r>
              <w:rPr>
                <w:noProof/>
              </w:rPr>
              <w:t xml:space="preserve">Ugovaranje usluga za razvoj novih informacijskih sustava za carinu: </w:t>
            </w:r>
          </w:p>
          <w:p w14:paraId="23E84C7D" w14:textId="77777777" w:rsidR="003F46B9" w:rsidRDefault="0065662E">
            <w:pPr>
              <w:pStyle w:val="P68B1DB1-Normal5"/>
              <w:numPr>
                <w:ilvl w:val="0"/>
                <w:numId w:val="64"/>
              </w:numPr>
              <w:spacing w:before="120" w:after="0"/>
              <w:ind w:left="224" w:hanging="218"/>
              <w:contextualSpacing/>
              <w:jc w:val="both"/>
              <w:rPr>
                <w:rFonts w:cs="Times New Roman"/>
                <w:noProof/>
              </w:rPr>
            </w:pPr>
            <w:r>
              <w:rPr>
                <w:noProof/>
              </w:rPr>
              <w:t>Uvođenje informatičkog sustava za carinsku deklaraciju sa smanjenim skupom podataka za pošiljke male vrijednosti</w:t>
            </w:r>
          </w:p>
          <w:p w14:paraId="21CB117B" w14:textId="77777777" w:rsidR="003F46B9" w:rsidRDefault="0065662E">
            <w:pPr>
              <w:pStyle w:val="P68B1DB1-Normal5"/>
              <w:numPr>
                <w:ilvl w:val="0"/>
                <w:numId w:val="64"/>
              </w:numPr>
              <w:spacing w:before="120" w:after="0"/>
              <w:ind w:left="224" w:hanging="218"/>
              <w:contextualSpacing/>
              <w:jc w:val="both"/>
              <w:rPr>
                <w:rFonts w:cs="Times New Roman"/>
                <w:noProof/>
              </w:rPr>
            </w:pPr>
            <w:r>
              <w:rPr>
                <w:noProof/>
              </w:rPr>
              <w:t xml:space="preserve">Usklađivanje sa sustavom ICS2 (sustav </w:t>
            </w:r>
            <w:r>
              <w:rPr>
                <w:noProof/>
              </w:rPr>
              <w:t>kontrole uvoza) – 1. faza, povezivanje nacionalnog sustava analize rizika RMF (okvir za upravljanje rizicima) s transeuropskim sustavom ICS2 kako bi se provela potpuna analiza rizika za sigurnost i zaštitu za robu koju poštanski operateri i prijevoznici pr</w:t>
            </w:r>
            <w:r>
              <w:rPr>
                <w:noProof/>
              </w:rPr>
              <w:t>evoze zračnim putem.</w:t>
            </w:r>
          </w:p>
          <w:p w14:paraId="066A6CC3"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Usklađivanje sustava EMCS_RO (sustav kontrole kretanja trošarinskih proizvoda) s četvrtom fazom EMCS-a, odnosno usklađivanje s trenutačnim verzijama sustava EMCS (sustav kontrole kretanja trošarinskih proizvoda)</w:t>
            </w:r>
          </w:p>
          <w:p w14:paraId="3BDB167C"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Provedba 5. faze NCTS_R</w:t>
            </w:r>
            <w:r>
              <w:rPr>
                <w:noProof/>
              </w:rPr>
              <w:t>O (nacionalni zajednički provozni sustav) i AES_RO</w:t>
            </w:r>
          </w:p>
          <w:p w14:paraId="5EFA5BE0"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Modernizacija nacionalnog sustava uvoza u okviru Carinskog zakonika Unije, odnosno modernizacija nacionalnog sustava uvoza i implicitno ažuriranje povezanih aplikacija.</w:t>
            </w:r>
          </w:p>
          <w:p w14:paraId="45A38F7E"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 xml:space="preserve"> Ulaganja u Jedinstveno upravljanje korisnicima i digitalni potpis UUM &amp; DS, odnosno razvoj i provedbu sustava za jedinstveno upravljanje korisnicima i digitalni potpis (UUM &amp; DS)</w:t>
            </w:r>
          </w:p>
          <w:p w14:paraId="4C909601" w14:textId="5B860636" w:rsidR="003F46B9" w:rsidRDefault="0065662E">
            <w:pPr>
              <w:pStyle w:val="P68B1DB1-Normal5"/>
              <w:numPr>
                <w:ilvl w:val="0"/>
                <w:numId w:val="64"/>
              </w:numPr>
              <w:spacing w:before="120" w:after="0" w:line="240" w:lineRule="auto"/>
              <w:ind w:left="224" w:hanging="218"/>
              <w:jc w:val="both"/>
              <w:rPr>
                <w:rFonts w:cs="Times New Roman"/>
                <w:noProof/>
              </w:rPr>
            </w:pPr>
            <w:r>
              <w:rPr>
                <w:noProof/>
              </w:rPr>
              <w:t>Usklađivanje sa sustavom ICS2 – faza 2. i usklađivanje sa sustavom ICS2 – 3.</w:t>
            </w:r>
            <w:r>
              <w:rPr>
                <w:noProof/>
              </w:rPr>
              <w:t xml:space="preserve"> faza</w:t>
            </w:r>
          </w:p>
          <w:p w14:paraId="61D79042"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Sustav praćenja aktivnosti carinskog nadzora i kontrole</w:t>
            </w:r>
          </w:p>
          <w:p w14:paraId="25C62366" w14:textId="77777777" w:rsidR="003F46B9" w:rsidRDefault="0065662E">
            <w:pPr>
              <w:pStyle w:val="P68B1DB1-Normal5"/>
              <w:numPr>
                <w:ilvl w:val="0"/>
                <w:numId w:val="64"/>
              </w:numPr>
              <w:spacing w:before="120" w:after="0" w:line="240" w:lineRule="auto"/>
              <w:ind w:left="224" w:hanging="218"/>
              <w:jc w:val="both"/>
              <w:rPr>
                <w:rFonts w:cs="Times New Roman"/>
                <w:noProof/>
              </w:rPr>
            </w:pPr>
            <w:r>
              <w:rPr>
                <w:noProof/>
              </w:rPr>
              <w:t>Zahtjev za odobrenje i upravljanje aktivnostima u slobodnoj zoni</w:t>
            </w:r>
          </w:p>
          <w:p w14:paraId="3D48B75A" w14:textId="3FA91AE3" w:rsidR="003F46B9" w:rsidRDefault="0065662E">
            <w:pPr>
              <w:pStyle w:val="P68B1DB1-Normal5"/>
              <w:numPr>
                <w:ilvl w:val="0"/>
                <w:numId w:val="64"/>
              </w:numPr>
              <w:spacing w:before="120" w:after="0" w:line="240" w:lineRule="auto"/>
              <w:ind w:left="224" w:hanging="218"/>
              <w:jc w:val="both"/>
              <w:rPr>
                <w:rFonts w:cs="Times New Roman"/>
                <w:noProof/>
              </w:rPr>
            </w:pPr>
            <w:r>
              <w:rPr>
                <w:noProof/>
              </w:rPr>
              <w:t>Zahtjev za upravljanje nacionalnim odlukama (odobrenja).</w:t>
            </w:r>
          </w:p>
          <w:p w14:paraId="29AED37C" w14:textId="285B6569" w:rsidR="003F46B9" w:rsidRDefault="003F46B9">
            <w:pPr>
              <w:spacing w:before="120" w:after="0" w:line="240" w:lineRule="auto"/>
              <w:ind w:left="224"/>
              <w:jc w:val="both"/>
              <w:rPr>
                <w:rFonts w:ascii="Times New Roman" w:hAnsi="Times New Roman" w:cs="Times New Roman"/>
                <w:noProof/>
                <w:sz w:val="24"/>
              </w:rPr>
            </w:pPr>
          </w:p>
        </w:tc>
      </w:tr>
      <w:tr w:rsidR="003F46B9" w14:paraId="42BDB03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26F799" w14:textId="77777777" w:rsidR="003F46B9" w:rsidRDefault="0065662E">
            <w:pPr>
              <w:pStyle w:val="P68B1DB1-Normal5"/>
              <w:spacing w:after="0" w:line="240" w:lineRule="auto"/>
              <w:jc w:val="center"/>
              <w:rPr>
                <w:rFonts w:cs="Times New Roman"/>
                <w:noProof/>
              </w:rPr>
            </w:pPr>
            <w:r>
              <w:rPr>
                <w:noProof/>
              </w:rPr>
              <w:t>232</w:t>
            </w:r>
          </w:p>
        </w:tc>
        <w:tc>
          <w:tcPr>
            <w:tcW w:w="1843" w:type="dxa"/>
            <w:tcBorders>
              <w:top w:val="nil"/>
              <w:left w:val="nil"/>
              <w:bottom w:val="single" w:sz="4" w:space="0" w:color="auto"/>
              <w:right w:val="single" w:sz="4" w:space="0" w:color="auto"/>
            </w:tcBorders>
            <w:shd w:val="clear" w:color="auto" w:fill="C6EFCE"/>
            <w:noWrap/>
          </w:tcPr>
          <w:p w14:paraId="2FF5808D" w14:textId="77777777" w:rsidR="003F46B9" w:rsidRDefault="0065662E">
            <w:pPr>
              <w:pStyle w:val="P68B1DB1-Normal5"/>
              <w:spacing w:after="0" w:line="240" w:lineRule="auto"/>
              <w:jc w:val="both"/>
              <w:rPr>
                <w:rFonts w:cs="Times New Roman"/>
                <w:noProof/>
              </w:rPr>
            </w:pPr>
            <w:r>
              <w:rPr>
                <w:noProof/>
              </w:rPr>
              <w:t xml:space="preserve">Ulaganje 4. Uvođenje elektroničke carine </w:t>
            </w:r>
          </w:p>
        </w:tc>
        <w:tc>
          <w:tcPr>
            <w:tcW w:w="1275" w:type="dxa"/>
            <w:tcBorders>
              <w:top w:val="nil"/>
              <w:left w:val="nil"/>
              <w:bottom w:val="single" w:sz="4" w:space="0" w:color="auto"/>
              <w:right w:val="single" w:sz="4" w:space="0" w:color="auto"/>
            </w:tcBorders>
            <w:shd w:val="clear" w:color="auto" w:fill="C6EFCE"/>
            <w:noWrap/>
          </w:tcPr>
          <w:p w14:paraId="78515E23"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64955867" w14:textId="77777777" w:rsidR="003F46B9" w:rsidRDefault="0065662E">
            <w:pPr>
              <w:pStyle w:val="P68B1DB1-Normal5"/>
              <w:spacing w:after="0" w:line="240" w:lineRule="auto"/>
              <w:jc w:val="both"/>
              <w:rPr>
                <w:rFonts w:cs="Times New Roman"/>
                <w:noProof/>
              </w:rPr>
            </w:pPr>
            <w:r>
              <w:rPr>
                <w:noProof/>
              </w:rPr>
              <w:t xml:space="preserve">Informacijski </w:t>
            </w:r>
            <w:r>
              <w:rPr>
                <w:noProof/>
              </w:rPr>
              <w:t>sustavi za carinu operacionalizirani</w:t>
            </w:r>
          </w:p>
          <w:p w14:paraId="506D52A4" w14:textId="77777777" w:rsidR="003F46B9" w:rsidRDefault="003F46B9">
            <w:pPr>
              <w:spacing w:after="0" w:line="240" w:lineRule="auto"/>
              <w:jc w:val="both"/>
              <w:rPr>
                <w:rFonts w:ascii="Times New Roman" w:hAnsi="Times New Roman" w:cs="Times New Roman"/>
                <w:noProof/>
                <w:sz w:val="24"/>
              </w:rPr>
            </w:pPr>
          </w:p>
        </w:tc>
        <w:tc>
          <w:tcPr>
            <w:tcW w:w="1644" w:type="dxa"/>
            <w:gridSpan w:val="2"/>
            <w:tcBorders>
              <w:top w:val="nil"/>
              <w:left w:val="nil"/>
              <w:bottom w:val="single" w:sz="4" w:space="0" w:color="auto"/>
              <w:right w:val="single" w:sz="4" w:space="0" w:color="auto"/>
            </w:tcBorders>
            <w:shd w:val="clear" w:color="auto" w:fill="C6EFCE"/>
            <w:noWrap/>
          </w:tcPr>
          <w:p w14:paraId="0D0834A6" w14:textId="77777777" w:rsidR="003F46B9" w:rsidRDefault="0065662E">
            <w:pPr>
              <w:pStyle w:val="P68B1DB1-Normal5"/>
              <w:spacing w:after="0" w:line="240" w:lineRule="auto"/>
              <w:jc w:val="both"/>
              <w:rPr>
                <w:rFonts w:cs="Times New Roman"/>
                <w:noProof/>
              </w:rPr>
            </w:pPr>
            <w:r>
              <w:rPr>
                <w:noProof/>
              </w:rPr>
              <w:t xml:space="preserve"> </w:t>
            </w:r>
          </w:p>
        </w:tc>
        <w:tc>
          <w:tcPr>
            <w:tcW w:w="1127" w:type="dxa"/>
            <w:tcBorders>
              <w:top w:val="nil"/>
              <w:left w:val="nil"/>
              <w:bottom w:val="single" w:sz="4" w:space="0" w:color="auto"/>
              <w:right w:val="single" w:sz="4" w:space="0" w:color="auto"/>
            </w:tcBorders>
            <w:shd w:val="clear" w:color="auto" w:fill="C6EFCE"/>
            <w:noWrap/>
          </w:tcPr>
          <w:p w14:paraId="0ED87A55" w14:textId="77777777" w:rsidR="003F46B9" w:rsidRDefault="0065662E">
            <w:pPr>
              <w:pStyle w:val="P68B1DB1-Normal5"/>
              <w:spacing w:after="0" w:line="240" w:lineRule="auto"/>
              <w:rPr>
                <w:rFonts w:cs="Times New Roman"/>
                <w:noProof/>
              </w:rPr>
            </w:pPr>
            <w:r>
              <w:rPr>
                <w:noProof/>
              </w:rPr>
              <w:t>Broj</w:t>
            </w:r>
          </w:p>
        </w:tc>
        <w:tc>
          <w:tcPr>
            <w:tcW w:w="1089" w:type="dxa"/>
            <w:tcBorders>
              <w:top w:val="nil"/>
              <w:left w:val="nil"/>
              <w:bottom w:val="single" w:sz="4" w:space="0" w:color="auto"/>
              <w:right w:val="single" w:sz="4" w:space="0" w:color="auto"/>
            </w:tcBorders>
            <w:shd w:val="clear" w:color="auto" w:fill="C6EFCE"/>
            <w:noWrap/>
          </w:tcPr>
          <w:p w14:paraId="21D9C0EF" w14:textId="77777777" w:rsidR="003F46B9" w:rsidRDefault="0065662E">
            <w:pPr>
              <w:pStyle w:val="P68B1DB1-Normal5"/>
              <w:spacing w:after="0" w:line="240" w:lineRule="auto"/>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39CB5130" w14:textId="554E2484" w:rsidR="003F46B9" w:rsidRDefault="0065662E">
            <w:pPr>
              <w:pStyle w:val="P68B1DB1-Normal5"/>
              <w:spacing w:after="0" w:line="240" w:lineRule="auto"/>
              <w:rPr>
                <w:rFonts w:cs="Times New Roman"/>
                <w:noProof/>
              </w:rPr>
            </w:pPr>
            <w:r>
              <w:rPr>
                <w:noProof/>
              </w:rPr>
              <w:t>9</w:t>
            </w:r>
          </w:p>
        </w:tc>
        <w:tc>
          <w:tcPr>
            <w:tcW w:w="1134" w:type="dxa"/>
            <w:tcBorders>
              <w:top w:val="nil"/>
              <w:left w:val="nil"/>
              <w:bottom w:val="single" w:sz="4" w:space="0" w:color="auto"/>
              <w:right w:val="single" w:sz="4" w:space="0" w:color="auto"/>
            </w:tcBorders>
            <w:shd w:val="clear" w:color="auto" w:fill="C6EFCE"/>
            <w:noWrap/>
          </w:tcPr>
          <w:p w14:paraId="47F67966"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559C2B86"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633E9BFA" w14:textId="31DBBEB6" w:rsidR="003F46B9" w:rsidRDefault="0065662E">
            <w:pPr>
              <w:pStyle w:val="P68B1DB1-Normal5"/>
              <w:spacing w:after="0" w:line="240" w:lineRule="auto"/>
              <w:jc w:val="both"/>
              <w:rPr>
                <w:rFonts w:cs="Times New Roman"/>
                <w:noProof/>
              </w:rPr>
            </w:pPr>
            <w:r>
              <w:rPr>
                <w:noProof/>
              </w:rPr>
              <w:t>Devet kupljenih IT sustava operativno je i funkcionalno.</w:t>
            </w:r>
          </w:p>
          <w:p w14:paraId="73F2C007" w14:textId="77777777" w:rsidR="003F46B9" w:rsidRDefault="003F46B9">
            <w:pPr>
              <w:spacing w:after="0" w:line="240" w:lineRule="auto"/>
              <w:jc w:val="both"/>
              <w:rPr>
                <w:rFonts w:ascii="Times New Roman" w:hAnsi="Times New Roman" w:cs="Times New Roman"/>
                <w:noProof/>
                <w:sz w:val="24"/>
              </w:rPr>
            </w:pPr>
          </w:p>
        </w:tc>
      </w:tr>
      <w:tr w:rsidR="003F46B9" w14:paraId="4AC95AB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21D5E7C" w14:textId="77777777" w:rsidR="003F46B9" w:rsidRDefault="0065662E">
            <w:pPr>
              <w:pStyle w:val="P68B1DB1-Normal5"/>
              <w:spacing w:after="0" w:line="240" w:lineRule="auto"/>
              <w:jc w:val="center"/>
              <w:rPr>
                <w:rFonts w:cs="Times New Roman"/>
                <w:noProof/>
              </w:rPr>
            </w:pPr>
            <w:r>
              <w:rPr>
                <w:noProof/>
              </w:rPr>
              <w:t>233</w:t>
            </w:r>
          </w:p>
        </w:tc>
        <w:tc>
          <w:tcPr>
            <w:tcW w:w="1843" w:type="dxa"/>
            <w:tcBorders>
              <w:top w:val="nil"/>
              <w:left w:val="nil"/>
              <w:bottom w:val="single" w:sz="4" w:space="0" w:color="auto"/>
              <w:right w:val="single" w:sz="4" w:space="0" w:color="auto"/>
            </w:tcBorders>
            <w:shd w:val="clear" w:color="auto" w:fill="C6EFCE"/>
            <w:noWrap/>
          </w:tcPr>
          <w:p w14:paraId="3BBE793D" w14:textId="77777777" w:rsidR="003F46B9" w:rsidRDefault="0065662E">
            <w:pPr>
              <w:pStyle w:val="P68B1DB1-Normal5"/>
              <w:spacing w:after="0" w:line="240" w:lineRule="auto"/>
              <w:jc w:val="both"/>
              <w:rPr>
                <w:rFonts w:cs="Times New Roman"/>
                <w:noProof/>
              </w:rPr>
            </w:pPr>
            <w:r>
              <w:rPr>
                <w:noProof/>
              </w:rPr>
              <w:t xml:space="preserve">Ulaganje 4. Uvođenje elektroničke carine </w:t>
            </w:r>
          </w:p>
        </w:tc>
        <w:tc>
          <w:tcPr>
            <w:tcW w:w="1275" w:type="dxa"/>
            <w:tcBorders>
              <w:top w:val="nil"/>
              <w:left w:val="nil"/>
              <w:bottom w:val="single" w:sz="4" w:space="0" w:color="auto"/>
              <w:right w:val="single" w:sz="4" w:space="0" w:color="auto"/>
            </w:tcBorders>
            <w:shd w:val="clear" w:color="auto" w:fill="C6EFCE"/>
            <w:noWrap/>
          </w:tcPr>
          <w:p w14:paraId="153DE9DD"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03417F75" w14:textId="77777777" w:rsidR="003F46B9" w:rsidRDefault="0065662E">
            <w:pPr>
              <w:pStyle w:val="P68B1DB1-Normal5"/>
              <w:spacing w:after="0" w:line="240" w:lineRule="auto"/>
              <w:jc w:val="both"/>
              <w:rPr>
                <w:rFonts w:cs="Times New Roman"/>
                <w:noProof/>
              </w:rPr>
            </w:pPr>
            <w:r>
              <w:rPr>
                <w:noProof/>
              </w:rPr>
              <w:t>Postotak aktivnosti carinjenja, razmjena informacija između gospodarskih subjekata i carinskih tijela, razmjena informacija među carinskim tijelima u državama članicama koja se obavlja elektroničkim putem</w:t>
            </w:r>
          </w:p>
        </w:tc>
        <w:tc>
          <w:tcPr>
            <w:tcW w:w="1644" w:type="dxa"/>
            <w:gridSpan w:val="2"/>
            <w:tcBorders>
              <w:top w:val="nil"/>
              <w:left w:val="nil"/>
              <w:bottom w:val="single" w:sz="4" w:space="0" w:color="auto"/>
              <w:right w:val="single" w:sz="4" w:space="0" w:color="auto"/>
            </w:tcBorders>
            <w:shd w:val="clear" w:color="auto" w:fill="C6EFCE"/>
            <w:noWrap/>
          </w:tcPr>
          <w:p w14:paraId="02C35984" w14:textId="77777777" w:rsidR="003F46B9" w:rsidRDefault="003F46B9">
            <w:pPr>
              <w:spacing w:after="0" w:line="240" w:lineRule="auto"/>
              <w:jc w:val="both"/>
              <w:rPr>
                <w:rFonts w:ascii="Times New Roman" w:hAnsi="Times New Roman" w:cs="Times New Roman"/>
                <w:noProof/>
                <w:sz w:val="24"/>
              </w:rPr>
            </w:pPr>
          </w:p>
        </w:tc>
        <w:tc>
          <w:tcPr>
            <w:tcW w:w="1127" w:type="dxa"/>
            <w:tcBorders>
              <w:top w:val="nil"/>
              <w:left w:val="nil"/>
              <w:bottom w:val="single" w:sz="4" w:space="0" w:color="auto"/>
              <w:right w:val="single" w:sz="4" w:space="0" w:color="auto"/>
            </w:tcBorders>
            <w:shd w:val="clear" w:color="auto" w:fill="C6EFCE"/>
            <w:noWrap/>
          </w:tcPr>
          <w:p w14:paraId="1B4DBE4D" w14:textId="77777777" w:rsidR="003F46B9" w:rsidRDefault="0065662E">
            <w:pPr>
              <w:pStyle w:val="P68B1DB1-Normal5"/>
              <w:spacing w:after="0" w:line="240" w:lineRule="auto"/>
              <w:rPr>
                <w:rFonts w:eastAsia="Times New Roman" w:cs="Times New Roman"/>
                <w:noProof/>
              </w:rPr>
            </w:pPr>
            <w:r>
              <w:rPr>
                <w:noProof/>
              </w:rPr>
              <w:t>Postotak (%)</w:t>
            </w:r>
          </w:p>
          <w:p w14:paraId="108A53E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5C299FE" w14:textId="77777777" w:rsidR="003F46B9" w:rsidRDefault="0065662E">
            <w:pPr>
              <w:pStyle w:val="P68B1DB1-Normal5"/>
              <w:spacing w:after="0" w:line="240" w:lineRule="auto"/>
              <w:rPr>
                <w:rFonts w:cs="Times New Roman"/>
                <w:noProof/>
              </w:rPr>
            </w:pPr>
            <w:r>
              <w:rPr>
                <w:noProof/>
              </w:rPr>
              <w:t>80</w:t>
            </w:r>
          </w:p>
        </w:tc>
        <w:tc>
          <w:tcPr>
            <w:tcW w:w="1276" w:type="dxa"/>
            <w:tcBorders>
              <w:top w:val="nil"/>
              <w:left w:val="nil"/>
              <w:bottom w:val="single" w:sz="4" w:space="0" w:color="auto"/>
              <w:right w:val="single" w:sz="4" w:space="0" w:color="auto"/>
            </w:tcBorders>
            <w:shd w:val="clear" w:color="auto" w:fill="C6EFCE"/>
            <w:noWrap/>
          </w:tcPr>
          <w:p w14:paraId="359A7885" w14:textId="77777777" w:rsidR="003F46B9" w:rsidRDefault="0065662E">
            <w:pPr>
              <w:pStyle w:val="P68B1DB1-Normal5"/>
              <w:spacing w:after="0" w:line="240" w:lineRule="auto"/>
              <w:rPr>
                <w:rFonts w:cs="Times New Roman"/>
                <w:noProof/>
              </w:rPr>
            </w:pPr>
            <w:r>
              <w:rPr>
                <w:noProof/>
              </w:rPr>
              <w:t>100</w:t>
            </w:r>
          </w:p>
        </w:tc>
        <w:tc>
          <w:tcPr>
            <w:tcW w:w="1134" w:type="dxa"/>
            <w:tcBorders>
              <w:top w:val="nil"/>
              <w:left w:val="nil"/>
              <w:bottom w:val="single" w:sz="4" w:space="0" w:color="auto"/>
              <w:right w:val="single" w:sz="4" w:space="0" w:color="auto"/>
            </w:tcBorders>
            <w:shd w:val="clear" w:color="auto" w:fill="C6EFCE"/>
            <w:noWrap/>
          </w:tcPr>
          <w:p w14:paraId="020E5897"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B695D43"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142BCD54" w14:textId="77777777" w:rsidR="003F46B9" w:rsidRDefault="0065662E">
            <w:pPr>
              <w:pStyle w:val="P68B1DB1-Normal5"/>
              <w:spacing w:after="0" w:line="240" w:lineRule="auto"/>
              <w:jc w:val="both"/>
              <w:rPr>
                <w:rFonts w:cs="Times New Roman"/>
                <w:noProof/>
              </w:rPr>
            </w:pPr>
            <w:r>
              <w:rPr>
                <w:noProof/>
              </w:rPr>
              <w:t>Trenutačna aktivnost carinjenja, razmjena informacija između gospodarskih subjekata i carinskih tijela te razmjene među carinskim tijelima u državama članicama koje se obavljaju elektroničkim putem iznosi 80 %.</w:t>
            </w:r>
          </w:p>
          <w:p w14:paraId="6F70CEFA" w14:textId="77777777" w:rsidR="003F46B9" w:rsidRDefault="0065662E">
            <w:pPr>
              <w:pStyle w:val="P68B1DB1-Normal5"/>
              <w:spacing w:after="0" w:line="240" w:lineRule="auto"/>
              <w:jc w:val="both"/>
              <w:rPr>
                <w:rFonts w:cs="Times New Roman"/>
                <w:noProof/>
              </w:rPr>
            </w:pPr>
            <w:r>
              <w:rPr>
                <w:noProof/>
              </w:rPr>
              <w:t>Tim se ulaganjem postotak povećava na 100 %.</w:t>
            </w:r>
          </w:p>
          <w:p w14:paraId="55C14741" w14:textId="77777777" w:rsidR="003F46B9" w:rsidRDefault="0065662E">
            <w:pPr>
              <w:pStyle w:val="P68B1DB1-Normal5"/>
              <w:spacing w:after="0" w:line="240" w:lineRule="auto"/>
              <w:jc w:val="both"/>
              <w:rPr>
                <w:rFonts w:cs="Times New Roman"/>
                <w:noProof/>
              </w:rPr>
            </w:pPr>
            <w:r>
              <w:rPr>
                <w:noProof/>
              </w:rPr>
              <w:t>Operacionalizaciju carinskog tijela i provedbu jedinstvenog organizacijskog i funkcionalnog okvira carinske uprave kako bi se osigurala integrirana koordinacija svih njezinih struktura radi povećanja učinkovitosti i operativnog kapaciteta u borbi protiv ca</w:t>
            </w:r>
            <w:r>
              <w:rPr>
                <w:noProof/>
              </w:rPr>
              <w:t xml:space="preserve">rinskih i poreznih prijevara; </w:t>
            </w:r>
          </w:p>
          <w:p w14:paraId="72D75AF5" w14:textId="77777777" w:rsidR="003F46B9" w:rsidRDefault="0065662E">
            <w:pPr>
              <w:pStyle w:val="P68B1DB1-Normal5"/>
              <w:spacing w:after="0" w:line="240" w:lineRule="auto"/>
              <w:jc w:val="both"/>
              <w:rPr>
                <w:rFonts w:cs="Times New Roman"/>
                <w:noProof/>
              </w:rPr>
            </w:pPr>
            <w:r>
              <w:rPr>
                <w:noProof/>
              </w:rPr>
              <w:t>Modernizacija informatičkog sustava Ministarstva financija-Nacionalne agencije za fiskalnu upravu u području carine, rješavanje pitanja informatičke infrastrukture, kao i onih koja ih nadopunjuju, koja je potrebna za pravilno</w:t>
            </w:r>
            <w:r>
              <w:rPr>
                <w:noProof/>
              </w:rPr>
              <w:t xml:space="preserve"> funkcioniranje sustava, popraćena pojednostavnjenim carinskim postupcima.</w:t>
            </w:r>
          </w:p>
        </w:tc>
      </w:tr>
      <w:tr w:rsidR="003F46B9" w14:paraId="3560F11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9AB210A" w14:textId="77777777" w:rsidR="003F46B9" w:rsidRDefault="0065662E">
            <w:pPr>
              <w:pStyle w:val="P68B1DB1-Normal5"/>
              <w:spacing w:after="0" w:line="240" w:lineRule="auto"/>
              <w:jc w:val="center"/>
              <w:rPr>
                <w:rFonts w:cs="Times New Roman"/>
                <w:noProof/>
              </w:rPr>
            </w:pPr>
            <w:r>
              <w:rPr>
                <w:noProof/>
              </w:rPr>
              <w:t>234</w:t>
            </w:r>
          </w:p>
        </w:tc>
        <w:tc>
          <w:tcPr>
            <w:tcW w:w="1843" w:type="dxa"/>
            <w:tcBorders>
              <w:top w:val="nil"/>
              <w:left w:val="nil"/>
              <w:bottom w:val="single" w:sz="4" w:space="0" w:color="auto"/>
              <w:right w:val="single" w:sz="4" w:space="0" w:color="auto"/>
            </w:tcBorders>
            <w:shd w:val="clear" w:color="auto" w:fill="C6EFCE"/>
            <w:noWrap/>
          </w:tcPr>
          <w:p w14:paraId="251F3355" w14:textId="77777777" w:rsidR="003F46B9" w:rsidRDefault="0065662E">
            <w:pPr>
              <w:pStyle w:val="P68B1DB1-Normal5"/>
              <w:spacing w:after="0" w:line="240" w:lineRule="auto"/>
              <w:jc w:val="both"/>
              <w:rPr>
                <w:rFonts w:cs="Times New Roman"/>
                <w:noProof/>
              </w:rPr>
            </w:pPr>
            <w:r>
              <w:rPr>
                <w:noProof/>
              </w:rPr>
              <w:t xml:space="preserve">Ulaganje 5. 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39010E49"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788DC827" w14:textId="77777777" w:rsidR="003F46B9" w:rsidRDefault="0065662E">
            <w:pPr>
              <w:pStyle w:val="P68B1DB1-Normal5"/>
              <w:spacing w:after="0" w:line="240" w:lineRule="auto"/>
              <w:jc w:val="both"/>
              <w:rPr>
                <w:rFonts w:cs="Times New Roman"/>
                <w:noProof/>
              </w:rPr>
            </w:pPr>
            <w:r>
              <w:rPr>
                <w:noProof/>
              </w:rPr>
              <w:t>Ažuriranje IT aplikacije BUGET_NG</w:t>
            </w:r>
          </w:p>
        </w:tc>
        <w:tc>
          <w:tcPr>
            <w:tcW w:w="1644" w:type="dxa"/>
            <w:gridSpan w:val="2"/>
            <w:tcBorders>
              <w:top w:val="nil"/>
              <w:left w:val="nil"/>
              <w:bottom w:val="single" w:sz="4" w:space="0" w:color="auto"/>
              <w:right w:val="single" w:sz="4" w:space="0" w:color="auto"/>
            </w:tcBorders>
            <w:shd w:val="clear" w:color="auto" w:fill="C6EFCE"/>
            <w:noWrap/>
          </w:tcPr>
          <w:p w14:paraId="724484DD" w14:textId="77777777" w:rsidR="003F46B9" w:rsidRDefault="0065662E">
            <w:pPr>
              <w:pStyle w:val="P68B1DB1-Normal5"/>
              <w:spacing w:after="0" w:line="240" w:lineRule="auto"/>
              <w:jc w:val="both"/>
              <w:rPr>
                <w:rFonts w:cs="Times New Roman"/>
                <w:noProof/>
              </w:rPr>
            </w:pPr>
            <w:r>
              <w:rPr>
                <w:noProof/>
              </w:rPr>
              <w:t>Ažurirana aplikacija Budget_NG</w:t>
            </w:r>
          </w:p>
        </w:tc>
        <w:tc>
          <w:tcPr>
            <w:tcW w:w="1127" w:type="dxa"/>
            <w:tcBorders>
              <w:top w:val="nil"/>
              <w:left w:val="nil"/>
              <w:bottom w:val="single" w:sz="4" w:space="0" w:color="auto"/>
              <w:right w:val="single" w:sz="4" w:space="0" w:color="auto"/>
            </w:tcBorders>
            <w:shd w:val="clear" w:color="auto" w:fill="C6EFCE"/>
            <w:noWrap/>
          </w:tcPr>
          <w:p w14:paraId="49AA0680"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1AC82BDA"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C470B63"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C8C897E"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568366E9"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0A0FE512" w14:textId="77777777" w:rsidR="003F46B9" w:rsidRDefault="0065662E">
            <w:pPr>
              <w:pStyle w:val="P68B1DB1-Normal5"/>
              <w:spacing w:after="0" w:line="240" w:lineRule="auto"/>
              <w:jc w:val="both"/>
              <w:rPr>
                <w:rFonts w:cs="Times New Roman"/>
                <w:noProof/>
              </w:rPr>
            </w:pPr>
            <w:r>
              <w:rPr>
                <w:noProof/>
              </w:rPr>
              <w:t>Ažuriranje i modernizacija informatičkog sustava za razvoj i upravljanje nacionalnim proračunom u sljedeće svrhe:</w:t>
            </w:r>
          </w:p>
          <w:p w14:paraId="1ED390A6" w14:textId="1646478F"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—upravljati podacima i informacijama koji najbolje odražavaju proračunske rashode, na razini politike i programa (analiza proračunskih postupa</w:t>
            </w:r>
            <w:r>
              <w:rPr>
                <w:rFonts w:ascii="Times New Roman" w:hAnsi="Times New Roman"/>
                <w:noProof/>
                <w:sz w:val="24"/>
              </w:rPr>
              <w:t>ka, pojednostavnjenje vremena za izradu izvješća i format u kojem se izvješća izrađuju),</w:t>
            </w:r>
            <w:r>
              <w:rPr>
                <w:noProof/>
              </w:rPr>
              <w:br/>
            </w:r>
            <w:r>
              <w:rPr>
                <w:rFonts w:ascii="Times New Roman" w:hAnsi="Times New Roman"/>
                <w:noProof/>
                <w:sz w:val="24"/>
              </w:rPr>
              <w:t>—Povećati transparentnost proračunskog postupka objavljivanjem analiza i izvješća kako bi se pojednostavnio postupak potrošnje za određene programe.</w:t>
            </w:r>
            <w:r>
              <w:rPr>
                <w:noProof/>
              </w:rPr>
              <w:t xml:space="preserve"> </w:t>
            </w:r>
            <w:r>
              <w:rPr>
                <w:noProof/>
              </w:rPr>
              <w:br/>
            </w:r>
            <w:r>
              <w:rPr>
                <w:rFonts w:ascii="Times New Roman" w:hAnsi="Times New Roman"/>
                <w:noProof/>
                <w:sz w:val="24"/>
              </w:rPr>
              <w:t>—poboljšanje sust</w:t>
            </w:r>
            <w:r>
              <w:rPr>
                <w:rFonts w:ascii="Times New Roman" w:hAnsi="Times New Roman"/>
                <w:noProof/>
                <w:sz w:val="24"/>
              </w:rPr>
              <w:t xml:space="preserve">ava za praćenje proračunskih programa i izvješćivanje o njima. </w:t>
            </w:r>
          </w:p>
        </w:tc>
      </w:tr>
      <w:tr w:rsidR="003F46B9" w14:paraId="1B406B7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30EEA4E" w14:textId="77777777" w:rsidR="003F46B9" w:rsidRDefault="0065662E">
            <w:pPr>
              <w:pStyle w:val="P68B1DB1-Normal5"/>
              <w:spacing w:after="0" w:line="240" w:lineRule="auto"/>
              <w:jc w:val="center"/>
              <w:rPr>
                <w:rFonts w:cs="Times New Roman"/>
                <w:noProof/>
              </w:rPr>
            </w:pPr>
            <w:r>
              <w:rPr>
                <w:noProof/>
              </w:rPr>
              <w:t>235</w:t>
            </w:r>
          </w:p>
        </w:tc>
        <w:tc>
          <w:tcPr>
            <w:tcW w:w="1843" w:type="dxa"/>
            <w:tcBorders>
              <w:top w:val="nil"/>
              <w:left w:val="nil"/>
              <w:bottom w:val="single" w:sz="4" w:space="0" w:color="auto"/>
              <w:right w:val="single" w:sz="4" w:space="0" w:color="auto"/>
            </w:tcBorders>
            <w:shd w:val="clear" w:color="auto" w:fill="C6EFCE"/>
            <w:noWrap/>
          </w:tcPr>
          <w:p w14:paraId="4E3FAD71" w14:textId="77777777" w:rsidR="003F46B9" w:rsidRDefault="0065662E">
            <w:pPr>
              <w:pStyle w:val="P68B1DB1-Normal5"/>
              <w:spacing w:after="0" w:line="240" w:lineRule="auto"/>
              <w:jc w:val="both"/>
              <w:rPr>
                <w:rFonts w:cs="Times New Roman"/>
                <w:noProof/>
              </w:rPr>
            </w:pPr>
            <w:r>
              <w:rPr>
                <w:noProof/>
              </w:rPr>
              <w:t>Ulaganje 6. Instrument gospodarskog modeliranja (Alat za simulaciju opcija mirovinske reforme) za poboljšanje institucijskog kapaciteta za predviđanje rashoda za mirovine</w:t>
            </w:r>
          </w:p>
        </w:tc>
        <w:tc>
          <w:tcPr>
            <w:tcW w:w="1275" w:type="dxa"/>
            <w:tcBorders>
              <w:top w:val="nil"/>
              <w:left w:val="nil"/>
              <w:bottom w:val="single" w:sz="4" w:space="0" w:color="auto"/>
              <w:right w:val="single" w:sz="4" w:space="0" w:color="auto"/>
            </w:tcBorders>
            <w:shd w:val="clear" w:color="auto" w:fill="C6EFCE"/>
            <w:noWrap/>
          </w:tcPr>
          <w:p w14:paraId="7BEDB298"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68E97CA8" w14:textId="77777777" w:rsidR="003F46B9" w:rsidRDefault="0065662E">
            <w:pPr>
              <w:pStyle w:val="P68B1DB1-Normal5"/>
              <w:spacing w:after="0" w:line="240" w:lineRule="auto"/>
              <w:jc w:val="both"/>
              <w:rPr>
                <w:rFonts w:cs="Times New Roman"/>
                <w:noProof/>
              </w:rPr>
            </w:pPr>
            <w:r>
              <w:rPr>
                <w:noProof/>
              </w:rPr>
              <w:t xml:space="preserve">Instrument za gospodarsko modeliranje (model skupa alata za simulaciju opcija mirovinske reforme) </w:t>
            </w:r>
          </w:p>
        </w:tc>
        <w:tc>
          <w:tcPr>
            <w:tcW w:w="1644" w:type="dxa"/>
            <w:gridSpan w:val="2"/>
            <w:tcBorders>
              <w:top w:val="nil"/>
              <w:left w:val="nil"/>
              <w:bottom w:val="single" w:sz="4" w:space="0" w:color="auto"/>
              <w:right w:val="single" w:sz="4" w:space="0" w:color="auto"/>
            </w:tcBorders>
            <w:shd w:val="clear" w:color="auto" w:fill="C6EFCE"/>
            <w:noWrap/>
          </w:tcPr>
          <w:p w14:paraId="60603A95" w14:textId="77777777" w:rsidR="003F46B9" w:rsidRDefault="0065662E">
            <w:pPr>
              <w:pStyle w:val="P68B1DB1-Normal5"/>
              <w:spacing w:after="0" w:line="240" w:lineRule="auto"/>
              <w:jc w:val="both"/>
              <w:rPr>
                <w:rFonts w:cs="Times New Roman"/>
                <w:noProof/>
              </w:rPr>
            </w:pPr>
            <w:r>
              <w:rPr>
                <w:noProof/>
              </w:rPr>
              <w:t>Instrument za gospodarsko modeliranje (model skupa alata za simulaciju opcija mirovinske reforme)</w:t>
            </w:r>
          </w:p>
        </w:tc>
        <w:tc>
          <w:tcPr>
            <w:tcW w:w="1127" w:type="dxa"/>
            <w:tcBorders>
              <w:top w:val="nil"/>
              <w:left w:val="nil"/>
              <w:bottom w:val="single" w:sz="4" w:space="0" w:color="auto"/>
              <w:right w:val="single" w:sz="4" w:space="0" w:color="auto"/>
            </w:tcBorders>
            <w:shd w:val="clear" w:color="auto" w:fill="C6EFCE"/>
            <w:noWrap/>
          </w:tcPr>
          <w:p w14:paraId="66B44224"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2C5A3B0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C96DD6D"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B9515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A71B5DD"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775AE1E2" w14:textId="77777777" w:rsidR="003F46B9" w:rsidRDefault="0065662E">
            <w:pPr>
              <w:pStyle w:val="P68B1DB1-Normal5"/>
              <w:spacing w:after="0" w:line="240" w:lineRule="auto"/>
              <w:jc w:val="both"/>
              <w:rPr>
                <w:rFonts w:cs="Times New Roman"/>
                <w:noProof/>
              </w:rPr>
            </w:pPr>
            <w:r>
              <w:rPr>
                <w:noProof/>
              </w:rPr>
              <w:t>Instrument za gospodarsko model</w:t>
            </w:r>
            <w:r>
              <w:rPr>
                <w:noProof/>
              </w:rPr>
              <w:t>iranje (model skupa alata za simulaciju opcija mirovinske reforme) operativan je kako bi se povećao kapacitet za procjenu (ex ante) učinka strukturnih mirovinskih reformi u srednjoročnom i dugoročnom razdoblju znatnim poboljšanjem izrađenih predviđanja i a</w:t>
            </w:r>
            <w:r>
              <w:rPr>
                <w:noProof/>
              </w:rPr>
              <w:t>nalizom održivosti mirovinskog sustava.</w:t>
            </w:r>
          </w:p>
          <w:p w14:paraId="74988C04" w14:textId="77777777" w:rsidR="003F46B9" w:rsidRDefault="0065662E">
            <w:pPr>
              <w:pStyle w:val="P68B1DB1-Normal5"/>
              <w:spacing w:after="0" w:line="240" w:lineRule="auto"/>
              <w:jc w:val="both"/>
              <w:rPr>
                <w:rFonts w:cs="Times New Roman"/>
                <w:noProof/>
              </w:rPr>
            </w:pPr>
            <w:r>
              <w:rPr>
                <w:noProof/>
              </w:rPr>
              <w:t>Dobivanje tehničke pomoći za razvoj modela alata za simulaciju mogućnosti mirovinske reforme i jačanje njegove upotrebljivosti (uključujući proširenje tima) znatno pridonosi poboljšanju predviđanja mirovina i analiza</w:t>
            </w:r>
            <w:r>
              <w:rPr>
                <w:noProof/>
              </w:rPr>
              <w:t xml:space="preserve"> održivosti. </w:t>
            </w:r>
          </w:p>
        </w:tc>
      </w:tr>
      <w:tr w:rsidR="003F46B9" w14:paraId="24B5A2E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167915F" w14:textId="77777777" w:rsidR="003F46B9" w:rsidRDefault="0065662E">
            <w:pPr>
              <w:pStyle w:val="P68B1DB1-Normal5"/>
              <w:spacing w:after="0" w:line="240" w:lineRule="auto"/>
              <w:jc w:val="center"/>
              <w:rPr>
                <w:rFonts w:cs="Times New Roman"/>
                <w:noProof/>
              </w:rPr>
            </w:pPr>
            <w:r>
              <w:rPr>
                <w:noProof/>
              </w:rPr>
              <w:t>236</w:t>
            </w:r>
          </w:p>
        </w:tc>
        <w:tc>
          <w:tcPr>
            <w:tcW w:w="1843" w:type="dxa"/>
            <w:tcBorders>
              <w:top w:val="nil"/>
              <w:left w:val="nil"/>
              <w:bottom w:val="single" w:sz="4" w:space="0" w:color="auto"/>
              <w:right w:val="single" w:sz="4" w:space="0" w:color="auto"/>
            </w:tcBorders>
            <w:shd w:val="clear" w:color="auto" w:fill="C6EFCE"/>
            <w:noWrap/>
          </w:tcPr>
          <w:p w14:paraId="4D409485" w14:textId="77777777" w:rsidR="003F46B9" w:rsidRDefault="0065662E">
            <w:pPr>
              <w:pStyle w:val="P68B1DB1-Normal5"/>
              <w:spacing w:after="0" w:line="240" w:lineRule="auto"/>
              <w:jc w:val="both"/>
              <w:rPr>
                <w:rFonts w:cs="Times New Roman"/>
                <w:noProof/>
              </w:rPr>
            </w:pPr>
            <w:r>
              <w:rPr>
                <w:noProof/>
              </w:rPr>
              <w:t>Ulaganje 6. Instrument gospodarskog modeliranja (Alat za simulaciju opcija mirovinske reforme) za poboljšanje institucijskog kapaciteta za predviđanje rashoda za mirovine</w:t>
            </w:r>
          </w:p>
        </w:tc>
        <w:tc>
          <w:tcPr>
            <w:tcW w:w="1275" w:type="dxa"/>
            <w:tcBorders>
              <w:top w:val="nil"/>
              <w:left w:val="nil"/>
              <w:bottom w:val="single" w:sz="4" w:space="0" w:color="auto"/>
              <w:right w:val="single" w:sz="4" w:space="0" w:color="auto"/>
            </w:tcBorders>
            <w:shd w:val="clear" w:color="auto" w:fill="C6EFCE"/>
            <w:noWrap/>
          </w:tcPr>
          <w:p w14:paraId="418E9632" w14:textId="77777777" w:rsidR="003F46B9" w:rsidRDefault="0065662E">
            <w:pPr>
              <w:pStyle w:val="P68B1DB1-Normal5"/>
              <w:spacing w:after="0" w:line="240" w:lineRule="auto"/>
              <w:jc w:val="center"/>
              <w:rPr>
                <w:rFonts w:cs="Times New Roman"/>
                <w:noProof/>
              </w:rPr>
            </w:pPr>
            <w:r>
              <w:rPr>
                <w:noProof/>
              </w:rPr>
              <w:t>Ciljna</w:t>
            </w:r>
          </w:p>
        </w:tc>
        <w:tc>
          <w:tcPr>
            <w:tcW w:w="1549" w:type="dxa"/>
            <w:tcBorders>
              <w:top w:val="nil"/>
              <w:left w:val="nil"/>
              <w:bottom w:val="single" w:sz="4" w:space="0" w:color="auto"/>
              <w:right w:val="single" w:sz="4" w:space="0" w:color="auto"/>
            </w:tcBorders>
            <w:shd w:val="clear" w:color="auto" w:fill="C6EFCE"/>
            <w:noWrap/>
          </w:tcPr>
          <w:p w14:paraId="1624DAE0" w14:textId="77777777" w:rsidR="003F46B9" w:rsidRDefault="0065662E">
            <w:pPr>
              <w:pStyle w:val="P68B1DB1-Normal5"/>
              <w:spacing w:after="0" w:line="240" w:lineRule="auto"/>
              <w:jc w:val="both"/>
              <w:rPr>
                <w:rFonts w:cs="Times New Roman"/>
                <w:noProof/>
              </w:rPr>
            </w:pPr>
            <w:r>
              <w:rPr>
                <w:noProof/>
              </w:rPr>
              <w:t xml:space="preserve">Proširenje tima s jednog na osam stručnjaka i poboljšanje </w:t>
            </w:r>
            <w:r>
              <w:rPr>
                <w:noProof/>
              </w:rPr>
              <w:t>kapaciteta srednjoročne i dugoročne strukturne mirovinske reforme tako što će se 8 osoba osposobljavati za upotrebu modela alata za simulacije opcija mirovinske reforme</w:t>
            </w:r>
          </w:p>
        </w:tc>
        <w:tc>
          <w:tcPr>
            <w:tcW w:w="1644" w:type="dxa"/>
            <w:gridSpan w:val="2"/>
            <w:tcBorders>
              <w:top w:val="nil"/>
              <w:left w:val="nil"/>
              <w:bottom w:val="single" w:sz="4" w:space="0" w:color="auto"/>
              <w:right w:val="single" w:sz="4" w:space="0" w:color="auto"/>
            </w:tcBorders>
            <w:shd w:val="clear" w:color="auto" w:fill="C6EFCE"/>
            <w:noWrap/>
          </w:tcPr>
          <w:p w14:paraId="1EED8DA2" w14:textId="77777777" w:rsidR="003F46B9" w:rsidRDefault="0065662E">
            <w:pPr>
              <w:pStyle w:val="P68B1DB1-Normal5"/>
              <w:spacing w:after="0" w:line="240" w:lineRule="auto"/>
              <w:jc w:val="both"/>
              <w:rPr>
                <w:rFonts w:cs="Times New Roman"/>
                <w:noProof/>
              </w:rPr>
            </w:pPr>
            <w:r>
              <w:rPr>
                <w:noProof/>
              </w:rPr>
              <w:t>Osposobljeno osoblje</w:t>
            </w:r>
          </w:p>
        </w:tc>
        <w:tc>
          <w:tcPr>
            <w:tcW w:w="1127" w:type="dxa"/>
            <w:tcBorders>
              <w:top w:val="nil"/>
              <w:left w:val="nil"/>
              <w:bottom w:val="single" w:sz="4" w:space="0" w:color="auto"/>
              <w:right w:val="single" w:sz="4" w:space="0" w:color="auto"/>
            </w:tcBorders>
            <w:shd w:val="clear" w:color="auto" w:fill="C6EFCE"/>
            <w:noWrap/>
          </w:tcPr>
          <w:p w14:paraId="1A5F338E"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51498ECC" w14:textId="77777777" w:rsidR="003F46B9" w:rsidRDefault="0065662E">
            <w:pPr>
              <w:pStyle w:val="P68B1DB1-Normal5"/>
              <w:spacing w:after="0" w:line="240" w:lineRule="auto"/>
              <w:rPr>
                <w:rFonts w:cs="Times New Roman"/>
                <w:noProof/>
              </w:rPr>
            </w:pPr>
            <w:r>
              <w:rPr>
                <w:noProof/>
              </w:rPr>
              <w:t>1</w:t>
            </w:r>
          </w:p>
        </w:tc>
        <w:tc>
          <w:tcPr>
            <w:tcW w:w="1276" w:type="dxa"/>
            <w:tcBorders>
              <w:top w:val="nil"/>
              <w:left w:val="nil"/>
              <w:bottom w:val="single" w:sz="4" w:space="0" w:color="auto"/>
              <w:right w:val="single" w:sz="4" w:space="0" w:color="auto"/>
            </w:tcBorders>
            <w:shd w:val="clear" w:color="auto" w:fill="C6EFCE"/>
            <w:noWrap/>
          </w:tcPr>
          <w:p w14:paraId="0DF81B81" w14:textId="77777777" w:rsidR="003F46B9" w:rsidRDefault="0065662E">
            <w:pPr>
              <w:pStyle w:val="P68B1DB1-Normal5"/>
              <w:spacing w:after="0" w:line="240" w:lineRule="auto"/>
              <w:rPr>
                <w:rFonts w:cs="Times New Roman"/>
                <w:noProof/>
              </w:rPr>
            </w:pPr>
            <w:r>
              <w:rPr>
                <w:noProof/>
              </w:rPr>
              <w:t>8</w:t>
            </w:r>
          </w:p>
        </w:tc>
        <w:tc>
          <w:tcPr>
            <w:tcW w:w="1134" w:type="dxa"/>
            <w:tcBorders>
              <w:top w:val="nil"/>
              <w:left w:val="nil"/>
              <w:bottom w:val="single" w:sz="4" w:space="0" w:color="auto"/>
              <w:right w:val="single" w:sz="4" w:space="0" w:color="auto"/>
            </w:tcBorders>
            <w:shd w:val="clear" w:color="auto" w:fill="C6EFCE"/>
            <w:noWrap/>
          </w:tcPr>
          <w:p w14:paraId="0243CCDA"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E168861"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417AF27E" w14:textId="77777777" w:rsidR="003F46B9" w:rsidRDefault="0065662E">
            <w:pPr>
              <w:pStyle w:val="P68B1DB1-Normal5"/>
              <w:spacing w:after="0" w:line="240" w:lineRule="auto"/>
              <w:jc w:val="both"/>
              <w:rPr>
                <w:rFonts w:cs="Times New Roman"/>
                <w:noProof/>
              </w:rPr>
            </w:pPr>
            <w:r>
              <w:rPr>
                <w:noProof/>
              </w:rPr>
              <w:t>Povećati relevantno stručno znanje o</w:t>
            </w:r>
            <w:r>
              <w:rPr>
                <w:noProof/>
              </w:rPr>
              <w:t xml:space="preserve"> mirovinskoj reformi u Ministarstvu financija osposobljavanjem odgovornog osoblja za upotrebu novog skupa alata. Cilj je da se u nacionalni plan za oporavak i otpornost uključi osam stručnjaka (već postojeće osoblje, bez potrebe za zapošljavanjem novih str</w:t>
            </w:r>
            <w:r>
              <w:rPr>
                <w:noProof/>
              </w:rPr>
              <w:t>učnjaka) koji će se baviti mirovinskim reformama. Trenutačno je trenutačni kapacitet Ministarstva financija za modeliranje vrlo ograničen jer samo jedan posebni stručnjak surađuje s modelom alata za simulaciju mogućnosti mirovinske reforme (delegat AWG), k</w:t>
            </w:r>
            <w:r>
              <w:rPr>
                <w:noProof/>
              </w:rPr>
              <w:t xml:space="preserve">oji nije pohađao nikakvo stručno osposobljavanje o toj temi. Nakon osposobljavanja stručnjaci Ministarstva financija bit će u potpunosti zaduženi za ovaj alat kako bi mogli brzo procijeniti posljedice reformi. </w:t>
            </w:r>
          </w:p>
        </w:tc>
      </w:tr>
      <w:tr w:rsidR="003F46B9" w14:paraId="3735AC4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737CE5C" w14:textId="77777777" w:rsidR="003F46B9" w:rsidRDefault="0065662E">
            <w:pPr>
              <w:pStyle w:val="P68B1DB1-Normal5"/>
              <w:spacing w:after="0" w:line="240" w:lineRule="auto"/>
              <w:jc w:val="center"/>
              <w:rPr>
                <w:rFonts w:cs="Times New Roman"/>
                <w:noProof/>
              </w:rPr>
            </w:pPr>
            <w:r>
              <w:rPr>
                <w:noProof/>
              </w:rPr>
              <w:t>237</w:t>
            </w:r>
          </w:p>
        </w:tc>
        <w:tc>
          <w:tcPr>
            <w:tcW w:w="1843" w:type="dxa"/>
            <w:tcBorders>
              <w:top w:val="nil"/>
              <w:left w:val="nil"/>
              <w:bottom w:val="single" w:sz="4" w:space="0" w:color="auto"/>
              <w:right w:val="single" w:sz="4" w:space="0" w:color="auto"/>
            </w:tcBorders>
            <w:shd w:val="clear" w:color="auto" w:fill="C6EFCE"/>
            <w:noWrap/>
          </w:tcPr>
          <w:p w14:paraId="62F49A14" w14:textId="77777777" w:rsidR="003F46B9" w:rsidRDefault="0065662E">
            <w:pPr>
              <w:pStyle w:val="P68B1DB1-Normal5"/>
              <w:spacing w:after="0" w:line="240" w:lineRule="auto"/>
              <w:jc w:val="both"/>
              <w:rPr>
                <w:rFonts w:cs="Times New Roman"/>
                <w:noProof/>
              </w:rPr>
            </w:pPr>
            <w:r>
              <w:rPr>
                <w:noProof/>
              </w:rPr>
              <w:t xml:space="preserve">Ulaganje 7. Tehnička potpora reviziji poreznog okvira </w:t>
            </w:r>
          </w:p>
        </w:tc>
        <w:tc>
          <w:tcPr>
            <w:tcW w:w="1275" w:type="dxa"/>
            <w:tcBorders>
              <w:top w:val="nil"/>
              <w:left w:val="nil"/>
              <w:bottom w:val="single" w:sz="4" w:space="0" w:color="auto"/>
              <w:right w:val="single" w:sz="4" w:space="0" w:color="auto"/>
            </w:tcBorders>
            <w:shd w:val="clear" w:color="auto" w:fill="C6EFCE"/>
            <w:noWrap/>
          </w:tcPr>
          <w:p w14:paraId="5CC7D85E"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79C46596" w14:textId="77777777" w:rsidR="003F46B9" w:rsidRDefault="0065662E">
            <w:pPr>
              <w:pStyle w:val="P68B1DB1-Normal5"/>
              <w:spacing w:after="0" w:line="240" w:lineRule="auto"/>
              <w:jc w:val="both"/>
              <w:rPr>
                <w:rFonts w:cs="Times New Roman"/>
                <w:noProof/>
              </w:rPr>
            </w:pPr>
            <w:r>
              <w:rPr>
                <w:noProof/>
              </w:rPr>
              <w:t>IT sustav koji omogućuje provedbu modela automatske procjene vrijednosti nekretnine koji je operativan</w:t>
            </w:r>
          </w:p>
        </w:tc>
        <w:tc>
          <w:tcPr>
            <w:tcW w:w="1644" w:type="dxa"/>
            <w:gridSpan w:val="2"/>
            <w:tcBorders>
              <w:top w:val="nil"/>
              <w:left w:val="nil"/>
              <w:bottom w:val="single" w:sz="4" w:space="0" w:color="auto"/>
              <w:right w:val="single" w:sz="4" w:space="0" w:color="auto"/>
            </w:tcBorders>
            <w:shd w:val="clear" w:color="auto" w:fill="C6EFCE"/>
            <w:noWrap/>
          </w:tcPr>
          <w:p w14:paraId="7E7A2AB8" w14:textId="77777777" w:rsidR="003F46B9" w:rsidRDefault="0065662E">
            <w:pPr>
              <w:pStyle w:val="P68B1DB1-Normal5"/>
              <w:spacing w:after="0" w:line="240" w:lineRule="auto"/>
              <w:jc w:val="both"/>
              <w:rPr>
                <w:rFonts w:cs="Times New Roman"/>
                <w:noProof/>
              </w:rPr>
            </w:pPr>
            <w:r>
              <w:rPr>
                <w:noProof/>
              </w:rPr>
              <w:t>IT sustav je operativan</w:t>
            </w:r>
          </w:p>
        </w:tc>
        <w:tc>
          <w:tcPr>
            <w:tcW w:w="1127" w:type="dxa"/>
            <w:tcBorders>
              <w:top w:val="nil"/>
              <w:left w:val="nil"/>
              <w:bottom w:val="single" w:sz="4" w:space="0" w:color="auto"/>
              <w:right w:val="single" w:sz="4" w:space="0" w:color="auto"/>
            </w:tcBorders>
            <w:shd w:val="clear" w:color="auto" w:fill="C6EFCE"/>
            <w:noWrap/>
          </w:tcPr>
          <w:p w14:paraId="2FC5BF2B"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5043A4DE"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E18C718"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279AB385"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4E5B9F3" w14:textId="77777777" w:rsidR="003F46B9" w:rsidRDefault="0065662E">
            <w:pPr>
              <w:pStyle w:val="P68B1DB1-Normal5"/>
              <w:spacing w:after="0" w:line="240" w:lineRule="auto"/>
              <w:jc w:val="center"/>
              <w:rPr>
                <w:rFonts w:cs="Times New Roman"/>
                <w:noProof/>
              </w:rPr>
            </w:pPr>
            <w:r>
              <w:rPr>
                <w:noProof/>
              </w:rPr>
              <w:t>2025</w:t>
            </w:r>
          </w:p>
        </w:tc>
        <w:tc>
          <w:tcPr>
            <w:tcW w:w="3119" w:type="dxa"/>
            <w:tcBorders>
              <w:top w:val="nil"/>
              <w:left w:val="nil"/>
              <w:bottom w:val="single" w:sz="4" w:space="0" w:color="auto"/>
              <w:right w:val="single" w:sz="4" w:space="0" w:color="auto"/>
            </w:tcBorders>
            <w:shd w:val="clear" w:color="auto" w:fill="C6EFCE"/>
            <w:noWrap/>
          </w:tcPr>
          <w:p w14:paraId="2C1B87CE" w14:textId="77777777" w:rsidR="003F46B9" w:rsidRDefault="0065662E">
            <w:pPr>
              <w:pStyle w:val="P68B1DB1-Normal5"/>
              <w:spacing w:after="0" w:line="240" w:lineRule="auto"/>
              <w:jc w:val="both"/>
              <w:rPr>
                <w:rFonts w:cs="Times New Roman"/>
                <w:noProof/>
              </w:rPr>
            </w:pPr>
            <w:r>
              <w:rPr>
                <w:noProof/>
              </w:rPr>
              <w:t>IT sustav razvijen je i operativan za procjenu nekretnina koje podliježu porezu na nekretnine. Te se vrijednosti upotrebljavaju za utvrđivanje porezne osnovice za oporezivanje nekretnina ako je taj pristup dostupan (kao što je dovoljno transakcija dostupni</w:t>
            </w:r>
            <w:r>
              <w:rPr>
                <w:noProof/>
              </w:rPr>
              <w:t xml:space="preserve">h za automatizirani model vrednovanja). </w:t>
            </w:r>
          </w:p>
        </w:tc>
      </w:tr>
      <w:tr w:rsidR="003F46B9" w14:paraId="57FD819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11FBDDF" w14:textId="77777777" w:rsidR="003F46B9" w:rsidRDefault="0065662E">
            <w:pPr>
              <w:pStyle w:val="P68B1DB1-Normal5"/>
              <w:spacing w:after="0" w:line="240" w:lineRule="auto"/>
              <w:jc w:val="center"/>
              <w:rPr>
                <w:rFonts w:cs="Times New Roman"/>
                <w:noProof/>
              </w:rPr>
            </w:pPr>
            <w:r>
              <w:rPr>
                <w:noProof/>
              </w:rPr>
              <w:t>238</w:t>
            </w:r>
          </w:p>
        </w:tc>
        <w:tc>
          <w:tcPr>
            <w:tcW w:w="1843" w:type="dxa"/>
            <w:tcBorders>
              <w:top w:val="nil"/>
              <w:left w:val="nil"/>
              <w:bottom w:val="single" w:sz="4" w:space="0" w:color="auto"/>
              <w:right w:val="single" w:sz="4" w:space="0" w:color="auto"/>
            </w:tcBorders>
            <w:shd w:val="clear" w:color="auto" w:fill="C6EFCE"/>
            <w:noWrap/>
          </w:tcPr>
          <w:p w14:paraId="59C3DAD1" w14:textId="77777777" w:rsidR="003F46B9" w:rsidRDefault="0065662E">
            <w:pPr>
              <w:pStyle w:val="P68B1DB1-Normal5"/>
              <w:spacing w:after="0" w:line="240" w:lineRule="auto"/>
              <w:jc w:val="both"/>
              <w:rPr>
                <w:rFonts w:cs="Times New Roman"/>
                <w:noProof/>
              </w:rPr>
            </w:pPr>
            <w:r>
              <w:rPr>
                <w:noProof/>
              </w:rPr>
              <w:t>Ulaganje 8. Operacionalizacija Nacionalne razvojne banke</w:t>
            </w:r>
          </w:p>
        </w:tc>
        <w:tc>
          <w:tcPr>
            <w:tcW w:w="1275" w:type="dxa"/>
            <w:tcBorders>
              <w:top w:val="nil"/>
              <w:left w:val="nil"/>
              <w:bottom w:val="single" w:sz="4" w:space="0" w:color="auto"/>
              <w:right w:val="single" w:sz="4" w:space="0" w:color="auto"/>
            </w:tcBorders>
            <w:shd w:val="clear" w:color="auto" w:fill="C6EFCE"/>
            <w:noWrap/>
          </w:tcPr>
          <w:p w14:paraId="49AE76B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450D2ECF" w14:textId="77777777" w:rsidR="003F46B9" w:rsidRDefault="0065662E">
            <w:pPr>
              <w:pStyle w:val="P68B1DB1-Normal5"/>
              <w:spacing w:after="0" w:line="240" w:lineRule="auto"/>
              <w:jc w:val="both"/>
              <w:rPr>
                <w:rFonts w:cs="Times New Roman"/>
                <w:noProof/>
              </w:rPr>
            </w:pPr>
            <w:r>
              <w:rPr>
                <w:noProof/>
              </w:rPr>
              <w:t>Kupnja softvera (dozvola) i hardvera (prijenosna računala), informatičke usluge za osoblje, osposobljavanje osoblja Nacionalne razvojne banke</w:t>
            </w:r>
            <w:r>
              <w:rPr>
                <w:noProof/>
              </w:rPr>
              <w:t xml:space="preserve"> i osoblja Ministarstva financija</w:t>
            </w:r>
          </w:p>
        </w:tc>
        <w:tc>
          <w:tcPr>
            <w:tcW w:w="1644" w:type="dxa"/>
            <w:gridSpan w:val="2"/>
            <w:tcBorders>
              <w:top w:val="nil"/>
              <w:left w:val="nil"/>
              <w:bottom w:val="single" w:sz="4" w:space="0" w:color="auto"/>
              <w:right w:val="single" w:sz="4" w:space="0" w:color="auto"/>
            </w:tcBorders>
            <w:shd w:val="clear" w:color="auto" w:fill="C6EFCE"/>
            <w:noWrap/>
          </w:tcPr>
          <w:p w14:paraId="25C99D5B" w14:textId="77777777" w:rsidR="003F46B9" w:rsidRDefault="0065662E">
            <w:pPr>
              <w:pStyle w:val="P68B1DB1-Normal5"/>
              <w:spacing w:after="0" w:line="240" w:lineRule="auto"/>
              <w:jc w:val="both"/>
              <w:rPr>
                <w:rFonts w:cs="Times New Roman"/>
                <w:noProof/>
              </w:rPr>
            </w:pPr>
            <w:r>
              <w:rPr>
                <w:noProof/>
              </w:rPr>
              <w:t>Potpisani ugovori o kupnji</w:t>
            </w:r>
          </w:p>
        </w:tc>
        <w:tc>
          <w:tcPr>
            <w:tcW w:w="1127" w:type="dxa"/>
            <w:tcBorders>
              <w:top w:val="nil"/>
              <w:left w:val="nil"/>
              <w:bottom w:val="single" w:sz="4" w:space="0" w:color="auto"/>
              <w:right w:val="single" w:sz="4" w:space="0" w:color="auto"/>
            </w:tcBorders>
            <w:shd w:val="clear" w:color="auto" w:fill="C6EFCE"/>
            <w:noWrap/>
          </w:tcPr>
          <w:p w14:paraId="42A683F3" w14:textId="77777777" w:rsidR="003F46B9" w:rsidRDefault="003F46B9">
            <w:pPr>
              <w:spacing w:after="0" w:line="240" w:lineRule="auto"/>
              <w:rPr>
                <w:rFonts w:ascii="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0920DD98"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4CE1BB4D"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0ADB63D3"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1D9149E1"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69CC075D" w14:textId="77777777" w:rsidR="003F46B9" w:rsidRDefault="0065662E">
            <w:pPr>
              <w:pStyle w:val="P68B1DB1-Normal5"/>
              <w:spacing w:after="0" w:line="240" w:lineRule="auto"/>
              <w:jc w:val="both"/>
              <w:rPr>
                <w:rFonts w:cs="Times New Roman"/>
                <w:noProof/>
              </w:rPr>
            </w:pPr>
            <w:r>
              <w:rPr>
                <w:noProof/>
              </w:rPr>
              <w:t xml:space="preserve">Ugovaranje kupnje: </w:t>
            </w:r>
          </w:p>
          <w:p w14:paraId="534377B1" w14:textId="77777777" w:rsidR="003F46B9" w:rsidRDefault="0065662E">
            <w:pPr>
              <w:pStyle w:val="P68B1DB1-Normal5"/>
              <w:numPr>
                <w:ilvl w:val="0"/>
                <w:numId w:val="62"/>
              </w:numPr>
              <w:spacing w:before="120" w:after="0"/>
              <w:ind w:left="224" w:hanging="218"/>
              <w:contextualSpacing/>
              <w:jc w:val="both"/>
              <w:rPr>
                <w:rFonts w:cs="Times New Roman"/>
                <w:noProof/>
              </w:rPr>
            </w:pPr>
            <w:r>
              <w:rPr>
                <w:noProof/>
              </w:rPr>
              <w:t xml:space="preserve">softver (licencija) i hardver (prijenosna računala), </w:t>
            </w:r>
          </w:p>
          <w:p w14:paraId="5E539345" w14:textId="77777777" w:rsidR="003F46B9" w:rsidRDefault="0065662E">
            <w:pPr>
              <w:pStyle w:val="P68B1DB1-Normal5"/>
              <w:numPr>
                <w:ilvl w:val="0"/>
                <w:numId w:val="62"/>
              </w:numPr>
              <w:spacing w:before="120" w:after="0"/>
              <w:ind w:left="224" w:hanging="218"/>
              <w:contextualSpacing/>
              <w:jc w:val="both"/>
              <w:rPr>
                <w:rFonts w:cs="Times New Roman"/>
                <w:noProof/>
              </w:rPr>
            </w:pPr>
            <w:r>
              <w:rPr>
                <w:noProof/>
              </w:rPr>
              <w:t>Usluge informacijske tehnologije za osoblje prvotno se procjenjuju na 165 osoba,</w:t>
            </w:r>
          </w:p>
          <w:p w14:paraId="4745B354" w14:textId="77777777" w:rsidR="003F46B9" w:rsidRDefault="0065662E">
            <w:pPr>
              <w:pStyle w:val="P68B1DB1-Normal5"/>
              <w:numPr>
                <w:ilvl w:val="0"/>
                <w:numId w:val="62"/>
              </w:numPr>
              <w:spacing w:before="120" w:after="0"/>
              <w:ind w:left="224" w:hanging="218"/>
              <w:contextualSpacing/>
              <w:jc w:val="both"/>
              <w:rPr>
                <w:rFonts w:cs="Times New Roman"/>
                <w:noProof/>
              </w:rPr>
            </w:pPr>
            <w:r>
              <w:rPr>
                <w:noProof/>
              </w:rPr>
              <w:t>služba za os</w:t>
            </w:r>
            <w:r>
              <w:rPr>
                <w:noProof/>
              </w:rPr>
              <w:t>posobljavanje osoblja Nacionalne razvojne banke za provođenje operacija i za osoblje Ministarstva financija uključeno u procjenu uspješnosti banke.</w:t>
            </w:r>
          </w:p>
        </w:tc>
      </w:tr>
      <w:tr w:rsidR="003F46B9" w14:paraId="0F2373DF"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33627E04" w14:textId="77777777" w:rsidR="003F46B9" w:rsidRDefault="0065662E">
            <w:pPr>
              <w:pStyle w:val="P68B1DB1-Normal5"/>
              <w:spacing w:after="0" w:line="240" w:lineRule="auto"/>
              <w:jc w:val="center"/>
              <w:rPr>
                <w:rFonts w:cs="Times New Roman"/>
                <w:noProof/>
              </w:rPr>
            </w:pPr>
            <w:r>
              <w:rPr>
                <w:noProof/>
              </w:rPr>
              <w:t>239</w:t>
            </w:r>
          </w:p>
        </w:tc>
        <w:tc>
          <w:tcPr>
            <w:tcW w:w="1843" w:type="dxa"/>
            <w:tcBorders>
              <w:top w:val="nil"/>
              <w:left w:val="nil"/>
              <w:bottom w:val="single" w:sz="4" w:space="0" w:color="auto"/>
              <w:right w:val="single" w:sz="4" w:space="0" w:color="auto"/>
            </w:tcBorders>
            <w:shd w:val="clear" w:color="auto" w:fill="C6EFCE"/>
            <w:noWrap/>
          </w:tcPr>
          <w:p w14:paraId="64891D58" w14:textId="77777777" w:rsidR="003F46B9" w:rsidRDefault="0065662E">
            <w:pPr>
              <w:pStyle w:val="P68B1DB1-Normal5"/>
              <w:spacing w:after="0" w:line="240" w:lineRule="auto"/>
              <w:jc w:val="both"/>
              <w:rPr>
                <w:rFonts w:cs="Times New Roman"/>
                <w:noProof/>
              </w:rPr>
            </w:pPr>
            <w:r>
              <w:rPr>
                <w:noProof/>
              </w:rPr>
              <w:t xml:space="preserve">Ulaganje 9. Potpora postupku procjene mirovinskih dosjea </w:t>
            </w:r>
          </w:p>
        </w:tc>
        <w:tc>
          <w:tcPr>
            <w:tcW w:w="1275" w:type="dxa"/>
            <w:tcBorders>
              <w:top w:val="nil"/>
              <w:left w:val="nil"/>
              <w:bottom w:val="single" w:sz="4" w:space="0" w:color="auto"/>
              <w:right w:val="single" w:sz="4" w:space="0" w:color="auto"/>
            </w:tcBorders>
            <w:shd w:val="clear" w:color="auto" w:fill="C6EFCE"/>
            <w:noWrap/>
          </w:tcPr>
          <w:p w14:paraId="7B379427"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1E3B9E8C" w14:textId="77777777" w:rsidR="003F46B9" w:rsidRDefault="0065662E">
            <w:pPr>
              <w:pStyle w:val="P68B1DB1-Normal5"/>
              <w:spacing w:after="0" w:line="240" w:lineRule="auto"/>
              <w:jc w:val="both"/>
              <w:rPr>
                <w:rFonts w:eastAsia="Times New Roman" w:cs="Times New Roman"/>
                <w:noProof/>
              </w:rPr>
            </w:pPr>
            <w:r>
              <w:rPr>
                <w:noProof/>
              </w:rPr>
              <w:t xml:space="preserve">Svi dokumenti o mirovini ponovno </w:t>
            </w:r>
            <w:r>
              <w:rPr>
                <w:noProof/>
              </w:rPr>
              <w:t>izračunani</w:t>
            </w:r>
          </w:p>
        </w:tc>
        <w:tc>
          <w:tcPr>
            <w:tcW w:w="1644" w:type="dxa"/>
            <w:gridSpan w:val="2"/>
            <w:tcBorders>
              <w:top w:val="nil"/>
              <w:left w:val="nil"/>
              <w:bottom w:val="single" w:sz="4" w:space="0" w:color="auto"/>
              <w:right w:val="single" w:sz="4" w:space="0" w:color="auto"/>
            </w:tcBorders>
            <w:shd w:val="clear" w:color="auto" w:fill="C6EFCE"/>
            <w:noWrap/>
          </w:tcPr>
          <w:p w14:paraId="703E166E" w14:textId="77777777" w:rsidR="003F46B9" w:rsidRDefault="0065662E">
            <w:pPr>
              <w:pStyle w:val="P68B1DB1-Normal5"/>
              <w:spacing w:after="0" w:line="240" w:lineRule="auto"/>
              <w:jc w:val="both"/>
              <w:rPr>
                <w:rFonts w:cs="Times New Roman"/>
                <w:noProof/>
              </w:rPr>
            </w:pPr>
            <w:r>
              <w:rPr>
                <w:noProof/>
              </w:rPr>
              <w:t>Svi dokumenti o mirovini ponovno izračunani</w:t>
            </w:r>
          </w:p>
        </w:tc>
        <w:tc>
          <w:tcPr>
            <w:tcW w:w="1127" w:type="dxa"/>
            <w:tcBorders>
              <w:top w:val="nil"/>
              <w:left w:val="nil"/>
              <w:bottom w:val="single" w:sz="4" w:space="0" w:color="auto"/>
              <w:right w:val="single" w:sz="4" w:space="0" w:color="auto"/>
            </w:tcBorders>
            <w:shd w:val="clear" w:color="auto" w:fill="C6EFCE"/>
            <w:noWrap/>
          </w:tcPr>
          <w:p w14:paraId="18EF754C" w14:textId="77777777" w:rsidR="003F46B9" w:rsidRDefault="003F46B9">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573977D" w14:textId="77777777" w:rsidR="003F46B9" w:rsidRDefault="003F46B9">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2E8756B3" w14:textId="77777777" w:rsidR="003F46B9" w:rsidRDefault="003F46B9">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915E506"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77FFE268" w14:textId="77777777" w:rsidR="003F46B9" w:rsidRDefault="0065662E">
            <w:pPr>
              <w:pStyle w:val="P68B1DB1-Normal5"/>
              <w:spacing w:after="0" w:line="240" w:lineRule="auto"/>
              <w:jc w:val="center"/>
              <w:rPr>
                <w:rFonts w:cs="Times New Roman"/>
                <w:noProof/>
              </w:rPr>
            </w:pPr>
            <w:r>
              <w:rPr>
                <w:noProof/>
              </w:rPr>
              <w:t>2023</w:t>
            </w:r>
          </w:p>
        </w:tc>
        <w:tc>
          <w:tcPr>
            <w:tcW w:w="3119" w:type="dxa"/>
            <w:tcBorders>
              <w:top w:val="nil"/>
              <w:left w:val="nil"/>
              <w:bottom w:val="single" w:sz="4" w:space="0" w:color="auto"/>
              <w:right w:val="single" w:sz="4" w:space="0" w:color="auto"/>
            </w:tcBorders>
            <w:shd w:val="clear" w:color="auto" w:fill="C6EFCE"/>
            <w:noWrap/>
          </w:tcPr>
          <w:p w14:paraId="2E9D97B5" w14:textId="77777777" w:rsidR="003F46B9" w:rsidRDefault="0065662E">
            <w:pPr>
              <w:pStyle w:val="P68B1DB1-Normal5"/>
              <w:spacing w:after="0" w:line="240" w:lineRule="auto"/>
              <w:jc w:val="both"/>
              <w:rPr>
                <w:rFonts w:cs="Times New Roman"/>
                <w:noProof/>
              </w:rPr>
            </w:pPr>
            <w:r>
              <w:rPr>
                <w:noProof/>
              </w:rPr>
              <w:t>Svi dokumenti o mirovinama ponovno izračunani na temelju novog zakona o mirovinama koji su stupili na snagu 1. travnja 2023. (Ključna etapa 214.)</w:t>
            </w:r>
          </w:p>
          <w:p w14:paraId="6ED1D231" w14:textId="77777777" w:rsidR="003F46B9" w:rsidRDefault="0065662E">
            <w:pPr>
              <w:pStyle w:val="P68B1DB1-Normal5"/>
              <w:spacing w:after="0" w:line="240" w:lineRule="auto"/>
              <w:jc w:val="both"/>
              <w:rPr>
                <w:rFonts w:cs="Times New Roman"/>
                <w:noProof/>
              </w:rPr>
            </w:pPr>
            <w:r>
              <w:rPr>
                <w:noProof/>
              </w:rPr>
              <w:t>Vlada svim građanima poštom</w:t>
            </w:r>
            <w:r>
              <w:rPr>
                <w:noProof/>
              </w:rPr>
              <w:t xml:space="preserve"> šalje odluku o rezultatu ponovnog izračuna do datuma ispunjenja cilja.</w:t>
            </w:r>
          </w:p>
          <w:p w14:paraId="0279A108" w14:textId="77777777" w:rsidR="003F46B9" w:rsidRDefault="0065662E">
            <w:pPr>
              <w:pStyle w:val="P68B1DB1-Normal5"/>
              <w:spacing w:after="0" w:line="240" w:lineRule="auto"/>
              <w:jc w:val="both"/>
              <w:rPr>
                <w:rFonts w:cs="Times New Roman"/>
                <w:noProof/>
              </w:rPr>
            </w:pPr>
            <w:r>
              <w:rPr>
                <w:noProof/>
              </w:rPr>
              <w:t>Privremeno osoblje zapošljava se na razdoblje od 18 mjeseci kako bi se poduprla provedba ove reforme. Osoblje koje sudjeluje u ponovnom izračunu/procjeni mirovina prima naknadu u sklad</w:t>
            </w:r>
            <w:r>
              <w:rPr>
                <w:noProof/>
              </w:rPr>
              <w:t>u s odredbama Zakona br. 195/2017 o primicima od rada osoblja koje se isplaćuje iz javnih sredstava, kako je izmijenjen – Prilog VIII. – Plaće za osoblje u teritorijalnim jedinicama.</w:t>
            </w:r>
          </w:p>
        </w:tc>
      </w:tr>
      <w:tr w:rsidR="003F46B9" w14:paraId="43BFD8A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E20DBD3" w14:textId="77777777" w:rsidR="003F46B9" w:rsidRDefault="0065662E">
            <w:pPr>
              <w:pStyle w:val="P68B1DB1-Normal5"/>
              <w:spacing w:after="0" w:line="240" w:lineRule="auto"/>
              <w:jc w:val="center"/>
              <w:rPr>
                <w:rFonts w:cs="Times New Roman"/>
                <w:noProof/>
              </w:rPr>
            </w:pPr>
            <w:r>
              <w:rPr>
                <w:noProof/>
              </w:rPr>
              <w:t>240</w:t>
            </w:r>
          </w:p>
        </w:tc>
        <w:tc>
          <w:tcPr>
            <w:tcW w:w="1843" w:type="dxa"/>
            <w:tcBorders>
              <w:top w:val="nil"/>
              <w:left w:val="nil"/>
              <w:bottom w:val="single" w:sz="4" w:space="0" w:color="auto"/>
              <w:right w:val="single" w:sz="4" w:space="0" w:color="auto"/>
            </w:tcBorders>
            <w:shd w:val="clear" w:color="auto" w:fill="C6EFCE"/>
            <w:noWrap/>
          </w:tcPr>
          <w:p w14:paraId="2D9E05C5" w14:textId="77777777" w:rsidR="003F46B9" w:rsidRDefault="0065662E">
            <w:pPr>
              <w:pStyle w:val="P68B1DB1-Normal5"/>
              <w:spacing w:after="0" w:line="240" w:lineRule="auto"/>
              <w:jc w:val="both"/>
              <w:rPr>
                <w:rFonts w:cs="Times New Roman"/>
                <w:noProof/>
              </w:rPr>
            </w:pPr>
            <w:r>
              <w:rPr>
                <w:noProof/>
              </w:rPr>
              <w:t xml:space="preserve">Ulaganje 10. Operativna učinkovitost i napredne e-usluge putem </w:t>
            </w:r>
            <w:r>
              <w:rPr>
                <w:noProof/>
              </w:rPr>
              <w:t>digitalizacije mirovinskog sustava</w:t>
            </w:r>
          </w:p>
        </w:tc>
        <w:tc>
          <w:tcPr>
            <w:tcW w:w="1275" w:type="dxa"/>
            <w:tcBorders>
              <w:top w:val="nil"/>
              <w:left w:val="nil"/>
              <w:bottom w:val="single" w:sz="4" w:space="0" w:color="auto"/>
              <w:right w:val="single" w:sz="4" w:space="0" w:color="auto"/>
            </w:tcBorders>
            <w:shd w:val="clear" w:color="auto" w:fill="C6EFCE"/>
            <w:noWrap/>
          </w:tcPr>
          <w:p w14:paraId="2250216C" w14:textId="77777777" w:rsidR="003F46B9" w:rsidRDefault="0065662E">
            <w:pPr>
              <w:pStyle w:val="P68B1DB1-Normal5"/>
              <w:spacing w:after="0" w:line="240" w:lineRule="auto"/>
              <w:jc w:val="center"/>
              <w:rPr>
                <w:rFonts w:cs="Times New Roman"/>
                <w:noProof/>
              </w:rPr>
            </w:pPr>
            <w:r>
              <w:rPr>
                <w:noProof/>
              </w:rPr>
              <w:t>Prekretnica</w:t>
            </w:r>
          </w:p>
        </w:tc>
        <w:tc>
          <w:tcPr>
            <w:tcW w:w="1549" w:type="dxa"/>
            <w:tcBorders>
              <w:top w:val="nil"/>
              <w:left w:val="nil"/>
              <w:bottom w:val="single" w:sz="4" w:space="0" w:color="auto"/>
              <w:right w:val="single" w:sz="4" w:space="0" w:color="auto"/>
            </w:tcBorders>
            <w:shd w:val="clear" w:color="auto" w:fill="C6EFCE"/>
            <w:noWrap/>
          </w:tcPr>
          <w:p w14:paraId="771EF151" w14:textId="77777777" w:rsidR="003F46B9" w:rsidRDefault="0065662E">
            <w:pPr>
              <w:pStyle w:val="P68B1DB1-Normal5"/>
              <w:spacing w:after="0" w:line="240" w:lineRule="auto"/>
              <w:jc w:val="both"/>
              <w:rPr>
                <w:rFonts w:eastAsia="Times New Roman" w:cs="Times New Roman"/>
                <w:noProof/>
              </w:rPr>
            </w:pPr>
            <w:r>
              <w:rPr>
                <w:noProof/>
              </w:rPr>
              <w:t xml:space="preserve">Informacijski sustav u Nacionalnoj javnoj agenciji za mirovinsko osiguranje koja djeluje </w:t>
            </w:r>
          </w:p>
        </w:tc>
        <w:tc>
          <w:tcPr>
            <w:tcW w:w="1644" w:type="dxa"/>
            <w:gridSpan w:val="2"/>
            <w:tcBorders>
              <w:top w:val="nil"/>
              <w:left w:val="nil"/>
              <w:bottom w:val="single" w:sz="4" w:space="0" w:color="auto"/>
              <w:right w:val="single" w:sz="4" w:space="0" w:color="auto"/>
            </w:tcBorders>
            <w:shd w:val="clear" w:color="auto" w:fill="C6EFCE"/>
            <w:noWrap/>
          </w:tcPr>
          <w:p w14:paraId="791C9C65" w14:textId="77777777" w:rsidR="003F46B9" w:rsidRDefault="0065662E">
            <w:pPr>
              <w:pStyle w:val="P68B1DB1-Normal5"/>
              <w:spacing w:after="0" w:line="240" w:lineRule="auto"/>
              <w:jc w:val="both"/>
              <w:rPr>
                <w:rFonts w:cs="Times New Roman"/>
                <w:noProof/>
              </w:rPr>
            </w:pPr>
            <w:r>
              <w:rPr>
                <w:noProof/>
              </w:rPr>
              <w:t>Operativni IT sustav</w:t>
            </w:r>
          </w:p>
        </w:tc>
        <w:tc>
          <w:tcPr>
            <w:tcW w:w="1127" w:type="dxa"/>
            <w:tcBorders>
              <w:top w:val="nil"/>
              <w:left w:val="nil"/>
              <w:bottom w:val="single" w:sz="4" w:space="0" w:color="auto"/>
              <w:right w:val="single" w:sz="4" w:space="0" w:color="auto"/>
            </w:tcBorders>
            <w:shd w:val="clear" w:color="auto" w:fill="C6EFCE"/>
            <w:noWrap/>
          </w:tcPr>
          <w:p w14:paraId="59A8C527" w14:textId="77777777" w:rsidR="003F46B9" w:rsidRDefault="003F46B9">
            <w:pPr>
              <w:spacing w:after="0" w:line="240" w:lineRule="auto"/>
              <w:rPr>
                <w:rFonts w:ascii="Times New Roman" w:eastAsia="Times New Roman" w:hAnsi="Times New Roman" w:cs="Times New Roman"/>
                <w:noProof/>
                <w:sz w:val="24"/>
              </w:rPr>
            </w:pPr>
          </w:p>
        </w:tc>
        <w:tc>
          <w:tcPr>
            <w:tcW w:w="1089" w:type="dxa"/>
            <w:tcBorders>
              <w:top w:val="nil"/>
              <w:left w:val="nil"/>
              <w:bottom w:val="single" w:sz="4" w:space="0" w:color="auto"/>
              <w:right w:val="single" w:sz="4" w:space="0" w:color="auto"/>
            </w:tcBorders>
            <w:shd w:val="clear" w:color="auto" w:fill="C6EFCE"/>
            <w:noWrap/>
          </w:tcPr>
          <w:p w14:paraId="3AA049C0" w14:textId="77777777" w:rsidR="003F46B9" w:rsidRDefault="003F46B9">
            <w:pPr>
              <w:spacing w:after="0" w:line="240" w:lineRule="auto"/>
              <w:rPr>
                <w:rFonts w:ascii="Times New Roman" w:eastAsia="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23A29C3" w14:textId="77777777" w:rsidR="003F46B9" w:rsidRDefault="003F46B9">
            <w:pPr>
              <w:spacing w:after="0" w:line="240" w:lineRule="auto"/>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C60DD9A" w14:textId="77777777" w:rsidR="003F46B9" w:rsidRDefault="0065662E">
            <w:pPr>
              <w:pStyle w:val="P68B1DB1-Normal5"/>
              <w:spacing w:after="0" w:line="240" w:lineRule="auto"/>
              <w:jc w:val="center"/>
              <w:rPr>
                <w:rFonts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tcPr>
          <w:p w14:paraId="2B224CE4" w14:textId="77777777" w:rsidR="003F46B9" w:rsidRDefault="0065662E">
            <w:pPr>
              <w:pStyle w:val="P68B1DB1-Normal5"/>
              <w:spacing w:after="0" w:line="240" w:lineRule="auto"/>
              <w:jc w:val="center"/>
              <w:rPr>
                <w:rFonts w:cs="Times New Roman"/>
                <w:noProof/>
              </w:rPr>
            </w:pPr>
            <w:r>
              <w:rPr>
                <w:noProof/>
              </w:rPr>
              <w:t>2024</w:t>
            </w:r>
          </w:p>
        </w:tc>
        <w:tc>
          <w:tcPr>
            <w:tcW w:w="3119" w:type="dxa"/>
            <w:tcBorders>
              <w:top w:val="nil"/>
              <w:left w:val="nil"/>
              <w:bottom w:val="single" w:sz="4" w:space="0" w:color="auto"/>
              <w:right w:val="single" w:sz="4" w:space="0" w:color="auto"/>
            </w:tcBorders>
            <w:shd w:val="clear" w:color="auto" w:fill="C6EFCE"/>
            <w:noWrap/>
          </w:tcPr>
          <w:p w14:paraId="5DEC88B0" w14:textId="77777777" w:rsidR="003F46B9" w:rsidRDefault="0065662E">
            <w:pPr>
              <w:pStyle w:val="P68B1DB1-Normal5"/>
              <w:spacing w:after="0" w:line="240" w:lineRule="auto"/>
              <w:jc w:val="both"/>
              <w:rPr>
                <w:rFonts w:cs="Times New Roman"/>
                <w:noProof/>
              </w:rPr>
            </w:pPr>
            <w:r>
              <w:rPr>
                <w:noProof/>
              </w:rPr>
              <w:t>Uvođenje IT sustava u Nacionalnoj javnoj agenciji za mirovine (CNPP)</w:t>
            </w:r>
          </w:p>
          <w:p w14:paraId="5644BB2D" w14:textId="77777777" w:rsidR="003F46B9" w:rsidRDefault="0065662E">
            <w:pPr>
              <w:pStyle w:val="P68B1DB1-Normal5"/>
              <w:spacing w:after="0" w:line="240" w:lineRule="auto"/>
              <w:jc w:val="both"/>
              <w:rPr>
                <w:rFonts w:cs="Times New Roman"/>
                <w:noProof/>
              </w:rPr>
            </w:pPr>
            <w:r>
              <w:rPr>
                <w:noProof/>
              </w:rPr>
              <w:t>N</w:t>
            </w:r>
            <w:r>
              <w:rPr>
                <w:noProof/>
              </w:rPr>
              <w:t>ovi informatički sustav sastoji se od niza komponenata koje rade na integriran i centraliziran način, kako slijedi:</w:t>
            </w:r>
          </w:p>
          <w:p w14:paraId="25CD9520"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Portal – Komunikacijska komponenta s javnim osobama koja pruža trenutačni skup elektroničkih usluga, kao i novi skup funkcija:</w:t>
            </w:r>
          </w:p>
          <w:p w14:paraId="5ADEB60E"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 xml:space="preserve">Elektroničke </w:t>
            </w:r>
            <w:r>
              <w:rPr>
                <w:noProof/>
              </w:rPr>
              <w:t>usluge u području mirovina i drugih prava socijalnog osiguranja;</w:t>
            </w:r>
          </w:p>
          <w:p w14:paraId="2CFB113A"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Elektronička usluga za ispunjavanje zahtjeva za izdavanje karata za liječenje i elektroničke usluge na području za bilježenje poreznih obveznika</w:t>
            </w:r>
          </w:p>
          <w:p w14:paraId="36D0A541"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Elektroničke usluge u području nesreća na radu</w:t>
            </w:r>
            <w:r>
              <w:rPr>
                <w:noProof/>
              </w:rPr>
              <w:t xml:space="preserve"> i profesionalnih bolesti</w:t>
            </w:r>
          </w:p>
          <w:p w14:paraId="7D607784"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aplikacija „e-Talon”</w:t>
            </w:r>
          </w:p>
          <w:p w14:paraId="78D5F909" w14:textId="77777777" w:rsidR="003F46B9" w:rsidRDefault="0065662E">
            <w:pPr>
              <w:pStyle w:val="P68B1DB1-Normal5"/>
              <w:numPr>
                <w:ilvl w:val="0"/>
                <w:numId w:val="65"/>
              </w:numPr>
              <w:spacing w:before="120" w:after="0"/>
              <w:ind w:left="224" w:hanging="218"/>
              <w:contextualSpacing/>
              <w:jc w:val="both"/>
              <w:rPr>
                <w:rFonts w:cs="Times New Roman"/>
                <w:noProof/>
              </w:rPr>
            </w:pPr>
            <w:r>
              <w:rPr>
                <w:noProof/>
              </w:rPr>
              <w:t>koji automatski generira mjesečni kupon za mirovinu u elektroničkom i tiskanom formatu za sve aktivne umirovljenike</w:t>
            </w:r>
          </w:p>
        </w:tc>
      </w:tr>
    </w:tbl>
    <w:p w14:paraId="31E7B81E" w14:textId="77777777" w:rsidR="003F46B9" w:rsidRDefault="003F46B9">
      <w:pPr>
        <w:rPr>
          <w:noProof/>
        </w:rPr>
        <w:sectPr w:rsidR="003F46B9">
          <w:headerReference w:type="even" r:id="rId192"/>
          <w:headerReference w:type="default" r:id="rId193"/>
          <w:footerReference w:type="even" r:id="rId194"/>
          <w:footerReference w:type="default" r:id="rId195"/>
          <w:headerReference w:type="first" r:id="rId196"/>
          <w:footerReference w:type="first" r:id="rId197"/>
          <w:pgSz w:w="16839" w:h="11907" w:orient="landscape"/>
          <w:pgMar w:top="1418" w:right="1134" w:bottom="1418" w:left="1134" w:header="709" w:footer="709" w:gutter="0"/>
          <w:cols w:space="720"/>
          <w:docGrid w:linePitch="360"/>
        </w:sectPr>
      </w:pPr>
    </w:p>
    <w:p w14:paraId="19B1A0AD"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SASTAVNICA 9.: Potpora poslovanju, </w:t>
      </w:r>
      <w:r>
        <w:rPr>
          <w:noProof/>
        </w:rPr>
        <w:t>istraživanje, razvoj i inovacije</w:t>
      </w:r>
    </w:p>
    <w:p w14:paraId="4E6DBB74" w14:textId="77777777" w:rsidR="003F46B9" w:rsidRDefault="0065662E">
      <w:pPr>
        <w:pStyle w:val="P68B1DB1-Normal5"/>
        <w:spacing w:before="120" w:after="120" w:line="240" w:lineRule="auto"/>
        <w:jc w:val="both"/>
        <w:rPr>
          <w:rFonts w:cs="Times New Roman"/>
          <w:noProof/>
        </w:rPr>
      </w:pPr>
      <w:r>
        <w:rPr>
          <w:noProof/>
        </w:rPr>
        <w:t xml:space="preserve">Ta komponenta uključuje niz reformi i ulaganja za jačanje poslovnog okruženja u Rumunjskoj, uključujući sektor istraživanja, razvoja i inovacija. </w:t>
      </w:r>
    </w:p>
    <w:p w14:paraId="62BD2A3B" w14:textId="7FF928A8" w:rsidR="003F46B9" w:rsidRDefault="0065662E">
      <w:pPr>
        <w:pStyle w:val="P68B1DB1-Normal5"/>
        <w:spacing w:before="120" w:after="120" w:line="240" w:lineRule="auto"/>
        <w:jc w:val="both"/>
        <w:rPr>
          <w:rFonts w:cs="Times New Roman"/>
          <w:noProof/>
        </w:rPr>
      </w:pPr>
      <w:r>
        <w:rPr>
          <w:noProof/>
        </w:rPr>
        <w:t>Cilj je ove komponente pružiti potporu poduzećima u Rumunjskoj, posebno mali</w:t>
      </w:r>
      <w:r>
        <w:rPr>
          <w:noProof/>
        </w:rPr>
        <w:t>m i srednjim poduzećima te javnim organizacijama koje provode istraživanja, razvoj i inovacije. Reforme kojima se podupiru ulaganja uključuju regulatorne promjene kako bi se smanjilo administrativno opterećenje za poduzeća pojednostavnjenjem zakonodavstva/</w:t>
      </w:r>
      <w:r>
        <w:rPr>
          <w:noProof/>
        </w:rPr>
        <w:t xml:space="preserve">postupaka start-up poduzeća/izlaza te dobivanjem dozvola. Reformama se rješava i pitanje nejasnog upravljanja, rascjepkanosti i učinkovitosti sustava istraživanja, razvoja i inovacija te se promiče njegova suradnja s privatnim sektorom. Ulaganja se odnose </w:t>
      </w:r>
      <w:r>
        <w:rPr>
          <w:noProof/>
        </w:rPr>
        <w:t>na stvaranje digitalne platforme za pružanje pojednostavnjenih javnih usluga poduzećima, među ostalim za dobivanje dozvola, pristup financiranju za mala i srednja poduzeća i poduzeća putem financijskih instrumenata i bespovratnih sredstava. Dopunska ulagan</w:t>
      </w:r>
      <w:r>
        <w:rPr>
          <w:noProof/>
        </w:rPr>
        <w:t xml:space="preserve">ja odnose se na financiranje istraživačkih centara kompetentnosti i istraživačkih projekata koje vode međunarodno ugledni istraživači.  </w:t>
      </w:r>
    </w:p>
    <w:p w14:paraId="0E09F227" w14:textId="77777777" w:rsidR="003F46B9" w:rsidRDefault="0065662E">
      <w:pPr>
        <w:pStyle w:val="P68B1DB1-Normal5"/>
        <w:spacing w:before="120" w:after="120" w:line="240" w:lineRule="auto"/>
        <w:jc w:val="both"/>
        <w:rPr>
          <w:rFonts w:cs="Times New Roman"/>
          <w:noProof/>
        </w:rPr>
      </w:pPr>
      <w:r>
        <w:rPr>
          <w:noProof/>
        </w:rPr>
        <w:t>Reforme i ulaganja doprinose ispunjavanju preporuke za Rumunjsku iz 2019. i 2020. o potrebi za poboljšanjem kvalitete i</w:t>
      </w:r>
      <w:r>
        <w:rPr>
          <w:noProof/>
        </w:rPr>
        <w:t xml:space="preserve"> predvidljivosti postupka donošenja odluka (preporuka za pojedinu zemlju 5, 2019.); te na pojačano financiranje zrelih projekata javnih ulaganja kojima se promiče konkurentnost gospodarstva, kao što su podupiranje aktivnosti istraživanja i razvoja te integ</w:t>
      </w:r>
      <w:r>
        <w:rPr>
          <w:noProof/>
        </w:rPr>
        <w:t>racija lokalnih pružatelja usluga u strateške lance vrijednosti EU-a (3. preporuka za pojedinu zemlju, 2020.).</w:t>
      </w:r>
    </w:p>
    <w:p w14:paraId="2E9B780B"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ciljevima u smislu članka 17. Uredbe (EU) 2020/852, uzimajući</w:t>
      </w:r>
      <w:r>
        <w:rPr>
          <w:noProof/>
        </w:rPr>
        <w:t xml:space="preserve"> u obzir opis mjera i korake ublažavanja utvrđene u planu za oporavak i otpornost u skladu s Tehničkim smjernicama DNSH-a (2021/C58/01).</w:t>
      </w:r>
    </w:p>
    <w:p w14:paraId="1D59087A" w14:textId="77777777" w:rsidR="003F46B9" w:rsidRDefault="0065662E">
      <w:pPr>
        <w:keepNext/>
        <w:numPr>
          <w:ilvl w:val="1"/>
          <w:numId w:val="0"/>
        </w:numPr>
        <w:spacing w:before="120" w:after="120" w:line="240" w:lineRule="auto"/>
        <w:ind w:left="850" w:hanging="850"/>
        <w:jc w:val="both"/>
        <w:outlineLvl w:val="1"/>
        <w:rPr>
          <w:rFonts w:ascii="Times New Roman" w:eastAsiaTheme="majorEastAsia" w:hAnsi="Times New Roman" w:cs="Times New Roman"/>
          <w:b/>
          <w:noProof/>
          <w:sz w:val="24"/>
        </w:rPr>
      </w:pPr>
      <w:r>
        <w:rPr>
          <w:rFonts w:ascii="Times New Roman" w:hAnsi="Times New Roman"/>
          <w:b/>
          <w:noProof/>
          <w:sz w:val="24"/>
        </w:rPr>
        <w:t xml:space="preserve">I.1. </w:t>
      </w:r>
      <w:r>
        <w:rPr>
          <w:noProof/>
        </w:rPr>
        <w:tab/>
      </w:r>
      <w:r>
        <w:rPr>
          <w:rFonts w:ascii="Times New Roman" w:hAnsi="Times New Roman"/>
          <w:b/>
          <w:noProof/>
          <w:sz w:val="24"/>
        </w:rPr>
        <w:t>Opis reformi i ulaganja za zajmove</w:t>
      </w:r>
    </w:p>
    <w:p w14:paraId="7BA6F8EC" w14:textId="37A2B189" w:rsidR="003F46B9" w:rsidRDefault="0065662E">
      <w:pPr>
        <w:pStyle w:val="P68B1DB1-Standard6"/>
        <w:spacing w:before="240"/>
        <w:jc w:val="both"/>
        <w:rPr>
          <w:rFonts w:ascii="Times New Roman" w:eastAsiaTheme="majorEastAsia" w:hAnsi="Times New Roman" w:cs="Times New Roman"/>
          <w:noProof/>
        </w:rPr>
      </w:pPr>
      <w:r>
        <w:rPr>
          <w:noProof/>
        </w:rPr>
        <w:t xml:space="preserve">Reforma 1. Zakonodavna transparentnost, debirokratizacija i pojednostavnjenje </w:t>
      </w:r>
      <w:r>
        <w:rPr>
          <w:noProof/>
        </w:rPr>
        <w:t>postupaka za poduzeća</w:t>
      </w:r>
    </w:p>
    <w:p w14:paraId="4FA87650" w14:textId="77777777" w:rsidR="003F46B9" w:rsidRDefault="0065662E">
      <w:pPr>
        <w:pStyle w:val="P68B1DB1-Normal5"/>
        <w:spacing w:before="120" w:after="120" w:line="240" w:lineRule="auto"/>
        <w:jc w:val="both"/>
        <w:rPr>
          <w:rFonts w:cs="Times New Roman"/>
          <w:noProof/>
        </w:rPr>
      </w:pPr>
      <w:r>
        <w:rPr>
          <w:noProof/>
        </w:rPr>
        <w:t xml:space="preserve">Cilj je te reforme smanjiti administrativno opterećenje za poslovno okruženje pojednostavnjenjem i povećanjem transparentnosti regulatornih postupaka za poduzeća. </w:t>
      </w:r>
    </w:p>
    <w:p w14:paraId="0CCFA937" w14:textId="77777777" w:rsidR="003F46B9" w:rsidRDefault="0065662E">
      <w:pPr>
        <w:pStyle w:val="P68B1DB1-Normal5"/>
        <w:spacing w:before="120" w:after="120" w:line="240" w:lineRule="auto"/>
        <w:jc w:val="both"/>
        <w:rPr>
          <w:rFonts w:cs="Times New Roman"/>
          <w:noProof/>
        </w:rPr>
      </w:pPr>
      <w:r>
        <w:rPr>
          <w:noProof/>
        </w:rPr>
        <w:t>Reforma se provodi stupanjem na snagu triju različitih skupina zakonod</w:t>
      </w:r>
      <w:r>
        <w:rPr>
          <w:noProof/>
        </w:rPr>
        <w:t>avnih inicijativa/izmjena: prvo, stupanje na snagu zakonodavnih izmjena radi racionalizacije, pojednostavnjenja i potpune digitalizacije regulatornih zahtjeva povezanih s poslovanjem, posebno za osnivanje poduzeća, izlazak s tržišta/zatvaranje poduzeća, ka</w:t>
      </w:r>
      <w:r>
        <w:rPr>
          <w:noProof/>
        </w:rPr>
        <w:t xml:space="preserve">o i za regulatorne zahtjeve za izvješćivanje o obvezama na tržištu rada za poduzeća; drugo, stupanje na snagu zakonodavnih izmjena povezanih s </w:t>
      </w:r>
      <w:r>
        <w:rPr>
          <w:i/>
          <w:noProof/>
        </w:rPr>
        <w:t xml:space="preserve">testom utjecaja zakonodavstva na MSP </w:t>
      </w:r>
      <w:r>
        <w:rPr>
          <w:noProof/>
        </w:rPr>
        <w:t>-ove (ex ante evaluacija gospodarskog, socijalnog i ekološkog učinka zakonod</w:t>
      </w:r>
      <w:r>
        <w:rPr>
          <w:noProof/>
        </w:rPr>
        <w:t>avnih prijedloga na mala i srednja poduzeća); treće, stupanje na snagu zakona kojim se provodi jedinstveni sustav izdavanja dozvola za industriju kojim se učinkovito provodi, među ostalim, prešutno odobrenje (prešutnost je pristanak) za određene vrste dozv</w:t>
      </w:r>
      <w:r>
        <w:rPr>
          <w:noProof/>
        </w:rPr>
        <w:t>ola nakon njihove registracije na elektroničkoj platformi, donošenje načela „samo jednom”, čime se poduzećima omogućuje da iste informacije ili dokumente dostave javnim institucijama samo jednom, te donošenje potrebnih zakonodavnih izmjena za potpunu prove</w:t>
      </w:r>
      <w:r>
        <w:rPr>
          <w:noProof/>
        </w:rPr>
        <w:t xml:space="preserve">dbu jedinstvene elektroničke kontaktne točke, uključujući definiciju njezinih glavnih značajki. </w:t>
      </w:r>
    </w:p>
    <w:p w14:paraId="159B67C4" w14:textId="77777777" w:rsidR="003F46B9" w:rsidRDefault="0065662E">
      <w:pPr>
        <w:pStyle w:val="P68B1DB1-Normal5"/>
        <w:spacing w:before="120" w:after="120" w:line="240" w:lineRule="auto"/>
        <w:jc w:val="both"/>
        <w:rPr>
          <w:rFonts w:cs="Times New Roman"/>
          <w:noProof/>
        </w:rPr>
      </w:pPr>
      <w:r>
        <w:rPr>
          <w:noProof/>
        </w:rPr>
        <w:t>Provedba reforme mora biti dovršena do 31. prosinca 2025. Zakonodavne izmjene radi racionalizacije, pojednostavnjenja i potpune digitalizacije postupaka poveza</w:t>
      </w:r>
      <w:r>
        <w:rPr>
          <w:noProof/>
        </w:rPr>
        <w:t>nih s poslovanjem te „jedinstvene industrijske dozvole” stupaju na snagu do 30. rujna 2022. odnosno 31. prosinca 2022.</w:t>
      </w:r>
    </w:p>
    <w:p w14:paraId="05E89A4E"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 Digitalne platforme o zakonodavnoj transparentnosti, debirokratizaciji i pojednostavnjenju postupaka za poduzeća.</w:t>
      </w:r>
    </w:p>
    <w:p w14:paraId="47745C7B" w14:textId="77777777" w:rsidR="003F46B9" w:rsidRDefault="0065662E">
      <w:pPr>
        <w:pStyle w:val="P68B1DB1-Normal5"/>
        <w:spacing w:before="120" w:after="120" w:line="240" w:lineRule="auto"/>
        <w:jc w:val="both"/>
        <w:rPr>
          <w:rFonts w:eastAsiaTheme="majorEastAsia" w:cs="Times New Roman"/>
          <w:noProof/>
        </w:rPr>
      </w:pPr>
      <w:r>
        <w:rPr>
          <w:noProof/>
        </w:rPr>
        <w:t>Cilj je to</w:t>
      </w:r>
      <w:r>
        <w:rPr>
          <w:noProof/>
        </w:rPr>
        <w:t xml:space="preserve">g ulaganja osigurati potpuni digitalni pristup i mogućnost obavljanja operacija povezanih s posebnim regulatornim zahtjevima za poduzeća. </w:t>
      </w:r>
    </w:p>
    <w:p w14:paraId="423BBF31" w14:textId="46E8B0A7" w:rsidR="003F46B9" w:rsidRDefault="0065662E">
      <w:pPr>
        <w:pStyle w:val="P68B1DB1-Normal5"/>
        <w:spacing w:before="120" w:after="120" w:line="240" w:lineRule="auto"/>
        <w:jc w:val="both"/>
        <w:rPr>
          <w:noProof/>
        </w:rPr>
      </w:pPr>
      <w:r>
        <w:rPr>
          <w:noProof/>
        </w:rPr>
        <w:t>Ulaganje se sastoji od uspostave i uspostave potpuno operativnih javnih digitalnih platformi za pružanje javnih uslug</w:t>
      </w:r>
      <w:r>
        <w:rPr>
          <w:noProof/>
        </w:rPr>
        <w:t>a poduzećima. Digitalne platforme povezane su s uvođenjem jedinstvene kontaktne točke za dozvole/odobrenja/certificiranja i s poticanjem konkurentnosti poslovnog okruženja.</w:t>
      </w:r>
    </w:p>
    <w:p w14:paraId="40314D75" w14:textId="42398F0E" w:rsidR="003F46B9" w:rsidRDefault="0065662E">
      <w:pPr>
        <w:pStyle w:val="P68B1DB1-Normal5"/>
        <w:spacing w:before="120" w:after="120" w:line="240" w:lineRule="auto"/>
        <w:jc w:val="both"/>
        <w:rPr>
          <w:rFonts w:cs="Times New Roman"/>
          <w:noProof/>
        </w:rPr>
      </w:pPr>
      <w:r>
        <w:rPr>
          <w:noProof/>
        </w:rPr>
        <w:t>Provedba ulaganja mora biti dovršena do 30. lipnja 2025.</w:t>
      </w:r>
    </w:p>
    <w:p w14:paraId="3E754AB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 Financijski i</w:t>
      </w:r>
      <w:r>
        <w:rPr>
          <w:noProof/>
        </w:rPr>
        <w:t>nstrumenti za privatni sektor</w:t>
      </w:r>
    </w:p>
    <w:p w14:paraId="34BFED5A" w14:textId="77777777" w:rsidR="003F46B9" w:rsidRDefault="0065662E">
      <w:pPr>
        <w:pStyle w:val="P68B1DB1-Normal26"/>
        <w:spacing w:before="120" w:after="120" w:line="240" w:lineRule="auto"/>
        <w:jc w:val="both"/>
        <w:rPr>
          <w:rFonts w:cs="Times New Roman"/>
          <w:noProof/>
        </w:rPr>
      </w:pPr>
      <w:r>
        <w:rPr>
          <w:noProof/>
        </w:rPr>
        <w:t>Podulaganje 2.1: Portfeljno jamstvo za otpornost</w:t>
      </w:r>
    </w:p>
    <w:p w14:paraId="4201693E" w14:textId="77777777" w:rsidR="003F46B9" w:rsidRDefault="0065662E">
      <w:pPr>
        <w:pStyle w:val="P68B1DB1-Normal5"/>
        <w:spacing w:before="120" w:after="120" w:line="240" w:lineRule="auto"/>
        <w:jc w:val="both"/>
        <w:rPr>
          <w:rFonts w:cs="Times New Roman"/>
          <w:noProof/>
        </w:rPr>
      </w:pPr>
      <w:r>
        <w:rPr>
          <w:noProof/>
        </w:rPr>
        <w:t>Cilj je ovog podulaganja riješiti financijske prepreke s kojima se suočavaju rumunjska poduzeća u pristupu financiranju, a to su: povećani troškovi financiranja, nedostatak kola</w:t>
      </w:r>
      <w:r>
        <w:rPr>
          <w:noProof/>
        </w:rPr>
        <w:t>terala i umanjeni kreditni kanali. Konkretno, podulaganje je usmjereno na probleme s likvidnošću/solventnošću rumunjskih poduzeća koji proizlaze iz znatnog i privremenog smanjenja njihovih prihoda zbog krize uzrokovane bolešću COVID-19. U tom kontekstu ins</w:t>
      </w:r>
      <w:r>
        <w:rPr>
          <w:noProof/>
        </w:rPr>
        <w:t>trument je osmišljen kako bi se poboljšao pristup financiranju i revitalizirali blokirani kanali kreditiranja tijekom i nakon krize uzrokovane bolešću COVID-19 podupiranjem ulaganja ili potreba poduzeća za obrtnim kapitalom. Podulaganje ima oblik portfeljn</w:t>
      </w:r>
      <w:r>
        <w:rPr>
          <w:noProof/>
        </w:rPr>
        <w:t xml:space="preserve">og jamstva koje se provodi kao doprinos programu InvestEU iz Europskog investicijskog fonda („EIF”). </w:t>
      </w:r>
    </w:p>
    <w:p w14:paraId="4B2F374E" w14:textId="77777777" w:rsidR="003F46B9" w:rsidRDefault="0065662E">
      <w:pPr>
        <w:spacing w:before="120" w:after="120" w:line="240" w:lineRule="auto"/>
        <w:jc w:val="both"/>
        <w:rPr>
          <w:rFonts w:ascii="Times New Roman" w:hAnsi="Times New Roman" w:cs="Times New Roman"/>
          <w:noProof/>
          <w:sz w:val="24"/>
        </w:rPr>
      </w:pPr>
      <w:r>
        <w:rPr>
          <w:rFonts w:ascii="Times New Roman" w:hAnsi="Times New Roman"/>
          <w:noProof/>
          <w:sz w:val="24"/>
        </w:rPr>
        <w:t xml:space="preserve">Kako bi se osiguralo da je podulaganje u skladu s Tehničkim smjernicama o nenanošenju bitne štete (2021/C58/01), sporazumom o doprinosu između Europske </w:t>
      </w:r>
      <w:r>
        <w:rPr>
          <w:rFonts w:ascii="Times New Roman" w:hAnsi="Times New Roman"/>
          <w:noProof/>
          <w:sz w:val="24"/>
        </w:rPr>
        <w:t>komisije i rumunjske vlade zahtijeva se primjena tehničkih smjernica Komisije o provjeri održivosti za fond InvestEU. Sporazumom o jamstvu između Europske komisije i EIF-a iz prihvatljivosti</w:t>
      </w:r>
      <w:r>
        <w:rPr>
          <w:noProof/>
        </w:rPr>
        <w:t xml:space="preserve"> </w:t>
      </w:r>
      <w:r>
        <w:rPr>
          <w:rFonts w:ascii="Times New Roman" w:hAnsi="Times New Roman"/>
          <w:noProof/>
          <w:sz w:val="24"/>
        </w:rPr>
        <w:t>se isključuje i sljedeći popis aktivnosti i imovine: i. aktivnost</w:t>
      </w:r>
      <w:r>
        <w:rPr>
          <w:rFonts w:ascii="Times New Roman" w:hAnsi="Times New Roman"/>
          <w:noProof/>
          <w:sz w:val="24"/>
        </w:rPr>
        <w:t>i i imovina povezani s fosilnim gorivima, uključujući uporabu na kraju proizvodnog lanca</w:t>
      </w:r>
      <w:r>
        <w:rPr>
          <w:rFonts w:ascii="Times New Roman" w:hAnsi="Times New Roman"/>
          <w:noProof/>
          <w:sz w:val="24"/>
        </w:rPr>
        <w:footnoteReference w:id="19"/>
      </w:r>
      <w:r>
        <w:rPr>
          <w:rFonts w:ascii="Times New Roman" w:hAnsi="Times New Roman"/>
          <w:noProof/>
          <w:sz w:val="24"/>
        </w:rPr>
        <w:t xml:space="preserve"> i ii. aktivnosti i imovina u okviru sustava EU-a za trgovanje emisijama (ETS) kojima se postižu predviđene emisije stakleničkih plinova koje nisu niže od relevantnih </w:t>
      </w:r>
      <w:r>
        <w:rPr>
          <w:rFonts w:ascii="Times New Roman" w:hAnsi="Times New Roman"/>
          <w:noProof/>
          <w:sz w:val="24"/>
        </w:rPr>
        <w:t>referentnih vrijednosti.</w:t>
      </w:r>
      <w:r>
        <w:rPr>
          <w:rFonts w:ascii="Times New Roman" w:hAnsi="Times New Roman"/>
          <w:noProof/>
          <w:sz w:val="24"/>
        </w:rPr>
        <w:footnoteReference w:id="20"/>
      </w:r>
    </w:p>
    <w:p w14:paraId="6D69859F" w14:textId="77777777" w:rsidR="003F46B9" w:rsidRDefault="0065662E">
      <w:pPr>
        <w:pStyle w:val="P68B1DB1-Normal5"/>
        <w:spacing w:before="120" w:after="120" w:line="240" w:lineRule="auto"/>
        <w:jc w:val="both"/>
        <w:rPr>
          <w:rFonts w:cs="Times New Roman"/>
          <w:noProof/>
        </w:rPr>
      </w:pPr>
      <w:r>
        <w:rPr>
          <w:noProof/>
        </w:rPr>
        <w:t>Provedba podulaganja dovršava se do 30. lipnja 2024. kada Odbor za ulaganja InvestEU odobri operacije financiranja ili operacije ulaganja u iznosu od 100 % ukupnog ciljanog iznosa financiranja ili ulaganja.</w:t>
      </w:r>
    </w:p>
    <w:p w14:paraId="0438203F" w14:textId="77777777" w:rsidR="003F46B9" w:rsidRDefault="0065662E">
      <w:pPr>
        <w:pStyle w:val="P68B1DB1-Normal26"/>
        <w:spacing w:before="120" w:after="120" w:line="240" w:lineRule="auto"/>
        <w:jc w:val="both"/>
        <w:rPr>
          <w:rFonts w:cs="Times New Roman"/>
          <w:noProof/>
        </w:rPr>
      </w:pPr>
      <w:r>
        <w:rPr>
          <w:noProof/>
        </w:rPr>
        <w:t>Podulaganje 2.2: Jamstv</w:t>
      </w:r>
      <w:r>
        <w:rPr>
          <w:noProof/>
        </w:rPr>
        <w:t>o za portfelje za klimatsku politiku</w:t>
      </w:r>
    </w:p>
    <w:p w14:paraId="7839D18C" w14:textId="77777777" w:rsidR="003F46B9" w:rsidRDefault="0065662E">
      <w:pPr>
        <w:pStyle w:val="P68B1DB1-Normal5"/>
        <w:spacing w:before="120" w:after="120" w:line="240" w:lineRule="auto"/>
        <w:jc w:val="both"/>
        <w:rPr>
          <w:rFonts w:cs="Times New Roman"/>
          <w:noProof/>
        </w:rPr>
      </w:pPr>
      <w:r>
        <w:rPr>
          <w:noProof/>
        </w:rPr>
        <w:t>Cilj je ovog podulaganja osigurati financijska sredstva i ulaganja za MSP-ove (do 249 zaposlenika), poduzeća s najviše 500 zaposlenika i pojedince putem obrtnog kapitala, kreditnih linija, investicijskih zajmova ili lea</w:t>
      </w:r>
      <w:r>
        <w:rPr>
          <w:noProof/>
        </w:rPr>
        <w:t xml:space="preserve">singa, usmjerenih na ulaganja i financiranje poboljšanja energetske učinkovitosti u poduzećima te stambenom i građevinskom sektoru. Svrha je instrumenta odgovoriti na trenutačne izazove Rumunjske u podupiranju ulaganja u sektore energetske učinkovitosti i </w:t>
      </w:r>
      <w:r>
        <w:rPr>
          <w:noProof/>
        </w:rPr>
        <w:t>energije iz obnovljivih izvora. Podulaganje ima oblik portfeljnog jamstva koje se provodi kao doprinos programu InvestEU iz Europskog investicijskog fonda („EIF”). Posebni ciljevi i ambicije u pogledu energetske učinkovitosti instrumenta, kao i struktura i</w:t>
      </w:r>
      <w:r>
        <w:rPr>
          <w:noProof/>
        </w:rPr>
        <w:t xml:space="preserve"> kriteriji prihvatljivosti, u potpunosti su usklađeni i odgovaraju ciljevima instrumenta EU-Compartment InvestEU, koji je trenutačno u izradi. </w:t>
      </w:r>
    </w:p>
    <w:p w14:paraId="5D28DEB2" w14:textId="77777777" w:rsidR="003F46B9" w:rsidRDefault="0065662E">
      <w:pPr>
        <w:spacing w:before="120" w:after="120" w:line="240" w:lineRule="auto"/>
        <w:jc w:val="both"/>
        <w:rPr>
          <w:rFonts w:ascii="Times New Roman" w:hAnsi="Times New Roman" w:cs="Times New Roman"/>
          <w:noProof/>
          <w:sz w:val="24"/>
        </w:rPr>
      </w:pPr>
      <w:r>
        <w:rPr>
          <w:rFonts w:ascii="Times New Roman" w:hAnsi="Times New Roman"/>
          <w:noProof/>
          <w:sz w:val="24"/>
        </w:rPr>
        <w:t>Kako bi se osiguralo da je podulaganje u skladu s Tehničkim smjernicama o nenanošenju bitne štete (2021/C58/01),</w:t>
      </w:r>
      <w:r>
        <w:rPr>
          <w:rFonts w:ascii="Times New Roman" w:hAnsi="Times New Roman"/>
          <w:noProof/>
          <w:sz w:val="24"/>
        </w:rPr>
        <w:t xml:space="preserve"> sporazumom o doprinosu između Europske komisije i rumunjske vlade zahtijeva se primjena tehničkih smjernica Komisije o provjeri održivosti za fond InvestEU. Sporazumom o jamstvu između Europske komisije i EIF-a iz prihvatljivosti</w:t>
      </w:r>
      <w:r>
        <w:rPr>
          <w:noProof/>
        </w:rPr>
        <w:t xml:space="preserve"> </w:t>
      </w:r>
      <w:r>
        <w:rPr>
          <w:rFonts w:ascii="Times New Roman" w:hAnsi="Times New Roman"/>
          <w:noProof/>
          <w:sz w:val="24"/>
        </w:rPr>
        <w:t xml:space="preserve">se isključuje i sljedeći </w:t>
      </w:r>
      <w:r>
        <w:rPr>
          <w:rFonts w:ascii="Times New Roman" w:hAnsi="Times New Roman"/>
          <w:noProof/>
          <w:sz w:val="24"/>
        </w:rPr>
        <w:t>popis aktivnosti i imovine: i. aktivnosti i imovina povezani s fosilnim gorivima, uključujući uporabu na kraju proizvodnog lanca</w:t>
      </w:r>
      <w:r>
        <w:rPr>
          <w:rFonts w:ascii="Times New Roman" w:hAnsi="Times New Roman"/>
          <w:noProof/>
          <w:sz w:val="24"/>
        </w:rPr>
        <w:footnoteReference w:id="21"/>
      </w:r>
      <w:r>
        <w:rPr>
          <w:rFonts w:ascii="Times New Roman" w:hAnsi="Times New Roman"/>
          <w:noProof/>
          <w:sz w:val="24"/>
        </w:rPr>
        <w:t xml:space="preserve"> i ii. aktivnosti i imovina u okviru sustava EU-a za trgovanje emisijama (ETS) kojima se postižu predviđene emisije staklenički</w:t>
      </w:r>
      <w:r>
        <w:rPr>
          <w:rFonts w:ascii="Times New Roman" w:hAnsi="Times New Roman"/>
          <w:noProof/>
          <w:sz w:val="24"/>
        </w:rPr>
        <w:t>h plinova koje nisu niže od relevantnih referentnih vrijednosti.</w:t>
      </w:r>
      <w:r>
        <w:rPr>
          <w:rFonts w:ascii="Times New Roman" w:hAnsi="Times New Roman"/>
          <w:noProof/>
          <w:sz w:val="24"/>
        </w:rPr>
        <w:footnoteReference w:id="22"/>
      </w:r>
    </w:p>
    <w:p w14:paraId="03F42FCE" w14:textId="77777777" w:rsidR="003F46B9" w:rsidRDefault="0065662E">
      <w:pPr>
        <w:pStyle w:val="P68B1DB1-Normal5"/>
        <w:spacing w:before="120" w:after="120" w:line="240" w:lineRule="auto"/>
        <w:jc w:val="both"/>
        <w:rPr>
          <w:rFonts w:cs="Times New Roman"/>
          <w:noProof/>
        </w:rPr>
      </w:pPr>
      <w:r>
        <w:rPr>
          <w:noProof/>
        </w:rPr>
        <w:t>Provedba podulaganja dovršava se do 30. lipnja 2024. kada Odbor za ulaganja InvestEU odobri operacije financiranja ili operacije ulaganja u iznosu od 100 % ukupnog ciljanog iznosa financiran</w:t>
      </w:r>
      <w:r>
        <w:rPr>
          <w:noProof/>
        </w:rPr>
        <w:t>ja ili ulaganja.</w:t>
      </w:r>
    </w:p>
    <w:p w14:paraId="49DA9CD8" w14:textId="67D61006" w:rsidR="003F46B9" w:rsidRDefault="0065662E">
      <w:pPr>
        <w:pStyle w:val="P68B1DB1-Normal26"/>
        <w:spacing w:before="120" w:after="120" w:line="240" w:lineRule="auto"/>
        <w:jc w:val="both"/>
        <w:rPr>
          <w:rFonts w:cs="Times New Roman"/>
          <w:noProof/>
        </w:rPr>
      </w:pPr>
      <w:r>
        <w:rPr>
          <w:noProof/>
        </w:rPr>
        <w:t xml:space="preserve">Podulaganje 2.3 za MSP-ove i poduzeća srednje tržišne kapitalizacije: Fond poduzetničkog kapitala za oporavak </w:t>
      </w:r>
    </w:p>
    <w:p w14:paraId="62BFEE59" w14:textId="77777777" w:rsidR="003F46B9" w:rsidRDefault="0065662E">
      <w:pPr>
        <w:pStyle w:val="P68B1DB1-Normal5"/>
        <w:spacing w:before="120" w:after="120" w:line="240" w:lineRule="auto"/>
        <w:jc w:val="both"/>
        <w:rPr>
          <w:rFonts w:cs="Times New Roman"/>
          <w:noProof/>
        </w:rPr>
      </w:pPr>
      <w:r>
        <w:rPr>
          <w:noProof/>
        </w:rPr>
        <w:t>Cilj je ovog podulaganja pružiti potporu u obliku vlasničkog kapitala MSP-ovima, poduzećima srednje tržišne kapitalizacije, uklj</w:t>
      </w:r>
      <w:r>
        <w:rPr>
          <w:noProof/>
        </w:rPr>
        <w:t>učujući novoosnovana poduzeća, poduzećima u ranim i naprednim fazama rasta te infrastrukturnim projektima usmjerenima na obnovljivu energiju i energetsku učinkovitost. Potpora se pruža putem fondova poduzetničkog kapitala i infrastrukturnih fondova kao dio</w:t>
      </w:r>
      <w:r>
        <w:rPr>
          <w:noProof/>
        </w:rPr>
        <w:t xml:space="preserve"> fonda rizičnog kapitala kojim upravlja Europski investicijski fond („EIF”). </w:t>
      </w:r>
    </w:p>
    <w:p w14:paraId="7827AB0A" w14:textId="77777777" w:rsidR="003F46B9" w:rsidRDefault="0065662E">
      <w:pPr>
        <w:pStyle w:val="P68B1DB1-Normal5"/>
        <w:spacing w:before="120" w:after="120" w:line="240" w:lineRule="auto"/>
        <w:jc w:val="both"/>
        <w:rPr>
          <w:rFonts w:cs="Times New Roman"/>
          <w:noProof/>
        </w:rPr>
      </w:pPr>
      <w:r>
        <w:rPr>
          <w:noProof/>
        </w:rPr>
        <w:t>Kako bi se osiguralo da je podulaganje u skladu s Tehničkim smjernicama o nenanošenju bitne štete (2021/C58/01), sporazum o financiranju između rumunjske vlade i EIF-a te naknadn</w:t>
      </w:r>
      <w:r>
        <w:rPr>
          <w:noProof/>
        </w:rPr>
        <w:t xml:space="preserve">a politika ulaganja financijskog instrumenta </w:t>
      </w:r>
    </w:p>
    <w:p w14:paraId="24D98F41"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primjenu tehničkih smjernica Komisije o provjeri održivosti za fond InvestEU; and</w:t>
      </w:r>
    </w:p>
    <w:p w14:paraId="49596463" w14:textId="77777777" w:rsidR="003F46B9" w:rsidRDefault="0065662E">
      <w:pPr>
        <w:pStyle w:val="P68B1DB1-Normal5"/>
        <w:numPr>
          <w:ilvl w:val="0"/>
          <w:numId w:val="2"/>
        </w:numPr>
        <w:spacing w:before="120" w:after="120" w:line="240" w:lineRule="auto"/>
        <w:ind w:left="360"/>
        <w:jc w:val="both"/>
        <w:rPr>
          <w:rFonts w:cs="Times New Roman"/>
          <w:noProof/>
          <w:bdr w:val="none" w:sz="0" w:space="0" w:color="auto" w:frame="1"/>
        </w:rPr>
      </w:pPr>
      <w:r>
        <w:rPr>
          <w:noProof/>
          <w:bdr w:val="none" w:sz="0" w:space="0" w:color="auto" w:frame="1"/>
        </w:rPr>
        <w:t>isključiti sljedeći popis djelatnosti i imovine iz prihvatljivosti: (i) djelatnosti i imovina povezani s fosilnim go</w:t>
      </w:r>
      <w:r>
        <w:rPr>
          <w:noProof/>
          <w:bdr w:val="none" w:sz="0" w:space="0" w:color="auto" w:frame="1"/>
        </w:rPr>
        <w:t>rivima, uključujući uporabu na kraju proizvodnog lanca</w:t>
      </w:r>
      <w:r>
        <w:rPr>
          <w:noProof/>
          <w:bdr w:val="none" w:sz="0" w:space="0" w:color="auto" w:frame="1"/>
        </w:rPr>
        <w:footnoteReference w:id="23"/>
      </w:r>
      <w:r>
        <w:rPr>
          <w:noProof/>
          <w:bdr w:val="none" w:sz="0" w:space="0" w:color="auto" w:frame="1"/>
        </w:rPr>
        <w:t>; ii. aktivnosti i imovina u okviru sustava EU-a za trgovanje emisijama (ETS) kojima se postižu predviđene emisije stakleničkih plinova koje nisu niže od relevantnih referentnih vrijednosti</w:t>
      </w:r>
      <w:r>
        <w:rPr>
          <w:noProof/>
          <w:bdr w:val="none" w:sz="0" w:space="0" w:color="auto" w:frame="1"/>
        </w:rPr>
        <w:footnoteReference w:id="24"/>
      </w:r>
      <w:r>
        <w:rPr>
          <w:noProof/>
          <w:bdr w:val="none" w:sz="0" w:space="0" w:color="auto" w:frame="1"/>
        </w:rPr>
        <w:t>; iii. akti</w:t>
      </w:r>
      <w:r>
        <w:rPr>
          <w:noProof/>
          <w:bdr w:val="none" w:sz="0" w:space="0" w:color="auto" w:frame="1"/>
        </w:rPr>
        <w:t>vnosti i sredstva povezana s</w:t>
      </w:r>
      <w:r>
        <w:rPr>
          <w:noProof/>
        </w:rPr>
        <w:t xml:space="preserve"> odlagalištima otpada, spalionicama</w:t>
      </w:r>
      <w:r>
        <w:rPr>
          <w:noProof/>
        </w:rPr>
        <w:footnoteReference w:id="25"/>
      </w:r>
      <w:r>
        <w:rPr>
          <w:noProof/>
        </w:rPr>
        <w:t xml:space="preserve"> i postrojenjima za mehaničko-biološku obradu</w:t>
      </w:r>
      <w:r>
        <w:rPr>
          <w:noProof/>
        </w:rPr>
        <w:footnoteReference w:id="26"/>
      </w:r>
      <w:r>
        <w:rPr>
          <w:noProof/>
        </w:rPr>
        <w:t xml:space="preserve">; </w:t>
      </w:r>
      <w:r>
        <w:rPr>
          <w:noProof/>
          <w:bdr w:val="none" w:sz="0" w:space="0" w:color="auto" w:frame="1"/>
        </w:rPr>
        <w:t>i iv. djelatnosti i sredstva u kojima dugoročno odlaganje otpada može naštetiti okolišu; and</w:t>
      </w:r>
    </w:p>
    <w:p w14:paraId="056D178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od poduzeća koja su tijekom prethodne f</w:t>
      </w:r>
      <w:r>
        <w:rPr>
          <w:noProof/>
        </w:rPr>
        <w:t>inancijske godine ostvarila više od 50 % svojih prihoda od aktivnosti i/ili imovine koji su obuhvaćeni popisom za isključenje da donesu i objave planove za zelenu tranziciju; and</w:t>
      </w:r>
    </w:p>
    <w:p w14:paraId="452BC57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da EIF provjeri pravnu usklađenost korisnika s relevantnim zakono</w:t>
      </w:r>
      <w:r>
        <w:rPr>
          <w:noProof/>
        </w:rPr>
        <w:t>davstvom EU-a i nacionalnim zakonodavstvom o okolišu za sve transakcije, uključujući one izuzete od provjere održivosti.</w:t>
      </w:r>
    </w:p>
    <w:p w14:paraId="3B4468DC" w14:textId="77777777" w:rsidR="003F46B9" w:rsidRDefault="0065662E">
      <w:pPr>
        <w:pStyle w:val="P68B1DB1-Normal5"/>
        <w:spacing w:before="120" w:after="120" w:line="240" w:lineRule="auto"/>
        <w:jc w:val="both"/>
        <w:rPr>
          <w:rFonts w:cs="Times New Roman"/>
          <w:noProof/>
        </w:rPr>
      </w:pPr>
      <w:r>
        <w:rPr>
          <w:noProof/>
        </w:rPr>
        <w:t>Provedba podulaganja mora biti dovršena do 30. lipnja 2026.</w:t>
      </w:r>
    </w:p>
    <w:p w14:paraId="4A77A3F3" w14:textId="77777777" w:rsidR="003F46B9" w:rsidRDefault="0065662E">
      <w:pPr>
        <w:pStyle w:val="P68B1DB1-Normal26"/>
        <w:spacing w:before="120" w:after="120" w:line="240" w:lineRule="auto"/>
        <w:jc w:val="both"/>
        <w:rPr>
          <w:rFonts w:cs="Times New Roman"/>
          <w:noProof/>
        </w:rPr>
      </w:pPr>
      <w:r>
        <w:rPr>
          <w:noProof/>
        </w:rPr>
        <w:t>Podmjera 2.4.: Fond fondova za digitalizaciju, klimatsku politiku i druga p</w:t>
      </w:r>
      <w:r>
        <w:rPr>
          <w:noProof/>
        </w:rPr>
        <w:t>odručja interesa</w:t>
      </w:r>
    </w:p>
    <w:p w14:paraId="6AD98DEC" w14:textId="77777777" w:rsidR="003F46B9" w:rsidRDefault="0065662E">
      <w:pPr>
        <w:pStyle w:val="P68B1DB1-Normal5"/>
        <w:spacing w:before="120" w:after="120" w:line="240" w:lineRule="auto"/>
        <w:jc w:val="both"/>
        <w:rPr>
          <w:rFonts w:cs="Times New Roman"/>
          <w:noProof/>
        </w:rPr>
      </w:pPr>
      <w:r>
        <w:rPr>
          <w:noProof/>
        </w:rPr>
        <w:t>Cilj je podulaganja pružiti potporu velikim poduzećima (s više od 500 zaposlenika i/ili godišnjim prometom većim od 50 milijuna EUR i ukupnom godišnjom bilancom većim od 43 milijuna EUR), javnim subjektima i subjektima posebne namjene ulag</w:t>
      </w:r>
      <w:r>
        <w:rPr>
          <w:noProof/>
        </w:rPr>
        <w:t>anjima kojima se doprinosi niskougljičnom gospodarstvu te ulaganjima u digitalizaciju i dugotrajnu imovinu putem fonda fondova. Time će se potaknuti veća ulaganja ciljnih poduzeća koja doprinose klimatskim i digitalnim ciljevima te potaknuti rast i širenje</w:t>
      </w:r>
      <w:r>
        <w:rPr>
          <w:noProof/>
        </w:rPr>
        <w:t xml:space="preserve"> poduzeća, stvarajući pritom nove mogućnosti zapošljavanja i podupirući širi gospodarski oporavak. Potpora je u obliku fonda fondova čijim se upravljanjem povjerava Europskoj investicijskoj banci („EIB”). </w:t>
      </w:r>
    </w:p>
    <w:p w14:paraId="37267F1C" w14:textId="5EC1B3C0" w:rsidR="003F46B9" w:rsidRDefault="0065662E">
      <w:pPr>
        <w:pStyle w:val="P68B1DB1-Normal5"/>
        <w:spacing w:before="120" w:after="120" w:line="240" w:lineRule="auto"/>
        <w:jc w:val="both"/>
        <w:rPr>
          <w:rFonts w:cs="Times New Roman"/>
          <w:noProof/>
        </w:rPr>
      </w:pPr>
      <w:r>
        <w:rPr>
          <w:noProof/>
        </w:rPr>
        <w:t xml:space="preserve">Kako bi se osiguralo da je podulaganje u skladu s </w:t>
      </w:r>
      <w:r>
        <w:rPr>
          <w:noProof/>
        </w:rPr>
        <w:t xml:space="preserve">Tehničkim smjernicama o nenanošenju bitne štete (2021/C58/01), sporazumom o financiranju između rumunjske vlade i EIB-a te naknadnom politikom ulaganja financijskog instrumenta: </w:t>
      </w:r>
    </w:p>
    <w:p w14:paraId="5AE7300F"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primjenu tehničkih smjernica Komisije o provjeri održivosti za fo</w:t>
      </w:r>
      <w:r>
        <w:rPr>
          <w:noProof/>
        </w:rPr>
        <w:t>nd InvestEU; and</w:t>
      </w:r>
    </w:p>
    <w:p w14:paraId="722B95F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isključiti sljedeći popis djelatnosti i imovine iz prihvatljivosti: (i) djelatnosti i imovina povezani s fosilnim gorivima, uključujući uporabu na kraju proizvodnog lanca</w:t>
      </w:r>
      <w:r>
        <w:rPr>
          <w:noProof/>
        </w:rPr>
        <w:footnoteReference w:id="27"/>
      </w:r>
      <w:r>
        <w:rPr>
          <w:noProof/>
        </w:rPr>
        <w:t>; ii. aktivnosti i imovina u okviru sustava EU-a za trgovanje emisij</w:t>
      </w:r>
      <w:r>
        <w:rPr>
          <w:noProof/>
        </w:rPr>
        <w:t>ama (ETS) kojima se postižu predviđene emisije stakleničkih plinova koje nisu niže od relevantnih referentnih vrijednosti</w:t>
      </w:r>
      <w:r>
        <w:rPr>
          <w:noProof/>
        </w:rPr>
        <w:footnoteReference w:id="28"/>
      </w:r>
      <w:r>
        <w:rPr>
          <w:noProof/>
        </w:rPr>
        <w:t>; iii. aktivnosti i sredstva povezana s odlagalištima otpada, spalionicama</w:t>
      </w:r>
      <w:r>
        <w:rPr>
          <w:noProof/>
        </w:rPr>
        <w:footnoteReference w:id="29"/>
      </w:r>
      <w:r>
        <w:rPr>
          <w:noProof/>
        </w:rPr>
        <w:t xml:space="preserve"> i postrojenjima za mehaničko-biološku obradu</w:t>
      </w:r>
      <w:r>
        <w:rPr>
          <w:noProof/>
        </w:rPr>
        <w:footnoteReference w:id="30"/>
      </w:r>
      <w:r>
        <w:rPr>
          <w:noProof/>
        </w:rPr>
        <w:t>; i iv. djela</w:t>
      </w:r>
      <w:r>
        <w:rPr>
          <w:noProof/>
        </w:rPr>
        <w:t>tnosti i sredstva u kojima dugoročno odlaganje otpada može naštetiti okolišu; and</w:t>
      </w:r>
    </w:p>
    <w:p w14:paraId="0D2477B4"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zahtijevati provjeru pravne usklađenosti korisnika s relevantnim zakonodavstvom EU-a i nacionalnim zakonodavstvom u području okoliša od strane EIB-a za sve transakcije, uklju</w:t>
      </w:r>
      <w:r>
        <w:rPr>
          <w:noProof/>
        </w:rPr>
        <w:t>čujući one izuzete od provjere održivosti.</w:t>
      </w:r>
    </w:p>
    <w:p w14:paraId="4B10E192" w14:textId="77777777" w:rsidR="003F46B9" w:rsidRDefault="0065662E">
      <w:pPr>
        <w:pStyle w:val="P68B1DB1-Normal5"/>
        <w:spacing w:before="120" w:after="120" w:line="240" w:lineRule="auto"/>
        <w:jc w:val="both"/>
        <w:rPr>
          <w:rFonts w:cs="Times New Roman"/>
          <w:noProof/>
        </w:rPr>
      </w:pPr>
      <w:r>
        <w:rPr>
          <w:noProof/>
        </w:rPr>
        <w:t>Provedba podulaganja mora biti dovršena do 30. lipnja 2026.</w:t>
      </w:r>
    </w:p>
    <w:p w14:paraId="61AA8C2F" w14:textId="77777777" w:rsidR="003F46B9" w:rsidRDefault="0065662E">
      <w:pPr>
        <w:pStyle w:val="P68B1DB1-Normal26"/>
        <w:spacing w:before="120" w:after="120" w:line="240" w:lineRule="auto"/>
        <w:jc w:val="both"/>
        <w:rPr>
          <w:rFonts w:cs="Times New Roman"/>
          <w:noProof/>
        </w:rPr>
      </w:pPr>
      <w:r>
        <w:rPr>
          <w:noProof/>
        </w:rPr>
        <w:t>Podulaganje 2.5: Ulaganja u energetsku učinkovitost u stambenom i građevinskom sektoru</w:t>
      </w:r>
    </w:p>
    <w:p w14:paraId="66D0C15C" w14:textId="77777777" w:rsidR="003F46B9" w:rsidRDefault="0065662E">
      <w:pPr>
        <w:pStyle w:val="P68B1DB1-Normal5"/>
        <w:spacing w:before="120" w:after="120" w:line="240" w:lineRule="auto"/>
        <w:jc w:val="both"/>
        <w:rPr>
          <w:rFonts w:cs="Times New Roman"/>
          <w:noProof/>
        </w:rPr>
      </w:pPr>
      <w:r>
        <w:rPr>
          <w:noProof/>
        </w:rPr>
        <w:t xml:space="preserve">Financijski instrument ima oblik portfeljnog jamstva koje provodi </w:t>
      </w:r>
      <w:r>
        <w:rPr>
          <w:noProof/>
        </w:rPr>
        <w:t>Europska banka za obnovu i razvoj (EBRD).</w:t>
      </w:r>
    </w:p>
    <w:p w14:paraId="7196E1E7" w14:textId="77777777" w:rsidR="003F46B9" w:rsidRDefault="0065662E">
      <w:pPr>
        <w:pStyle w:val="P68B1DB1-Normal5"/>
        <w:spacing w:before="120" w:after="120" w:line="240" w:lineRule="auto"/>
        <w:jc w:val="both"/>
        <w:rPr>
          <w:rFonts w:cs="Times New Roman"/>
          <w:noProof/>
        </w:rPr>
      </w:pPr>
      <w:r>
        <w:rPr>
          <w:noProof/>
        </w:rPr>
        <w:t>Cilj je ovog podulaganja osigurati financijska sredstva i ulaganja u energetsku učinkovitost i obnovljivu energiju u stambenom i građevinskom sektoru. Podulaganje ima oblik portfeljnog jamstva koje Europska banka z</w:t>
      </w:r>
      <w:r>
        <w:rPr>
          <w:noProof/>
        </w:rPr>
        <w:t xml:space="preserve">a obnovu i razvoj („EBRD”) treba provesti kao doprinos programu InvestEU. </w:t>
      </w:r>
    </w:p>
    <w:p w14:paraId="446541F2" w14:textId="77777777" w:rsidR="003F46B9" w:rsidRDefault="0065662E">
      <w:pPr>
        <w:pStyle w:val="P68B1DB1-Normal5"/>
        <w:spacing w:before="120" w:after="120" w:line="240" w:lineRule="auto"/>
        <w:jc w:val="both"/>
        <w:rPr>
          <w:rFonts w:cs="Times New Roman"/>
          <w:noProof/>
        </w:rPr>
      </w:pPr>
      <w:r>
        <w:rPr>
          <w:noProof/>
        </w:rPr>
        <w:t>Kako bi se osiguralo da je podulaganje u skladu s Tehničkim smjernicama o nenanošenju bitne štete (2021/C58/01), sporazumom o doprinosu između Europske komisije i rumunjske vlade za</w:t>
      </w:r>
      <w:r>
        <w:rPr>
          <w:noProof/>
        </w:rPr>
        <w:t>htijeva se primjena tehničkih smjernica Komisije o provjeri održivosti za fond InvestEU. Sporazumom o jamstvu između Europske komisije i EBRD-a iz prihvatljivosti se isključuje i sljedeći popis aktivnosti i imovine: i. aktivnosti i imovina povezani s fosil</w:t>
      </w:r>
      <w:r>
        <w:rPr>
          <w:noProof/>
        </w:rPr>
        <w:t>nim gorivima, uključujući uporabu na kraju proizvodnog lanca</w:t>
      </w:r>
      <w:r>
        <w:rPr>
          <w:noProof/>
        </w:rPr>
        <w:footnoteReference w:id="31"/>
      </w:r>
      <w:r>
        <w:rPr>
          <w:noProof/>
        </w:rPr>
        <w:t xml:space="preserve"> i ii. aktivnosti i imovina u okviru sustava EU-a za trgovanje emisijama (ETS) kojima se postižu predviđene emisije stakleničkih plinova koje nisu niže od relevantnih referentnih vrijednosti.</w:t>
      </w:r>
      <w:r>
        <w:rPr>
          <w:noProof/>
        </w:rPr>
        <w:footnoteReference w:id="32"/>
      </w:r>
    </w:p>
    <w:p w14:paraId="7B9FB175" w14:textId="77777777" w:rsidR="003F46B9" w:rsidRDefault="0065662E">
      <w:pPr>
        <w:pStyle w:val="P68B1DB1-Normal5"/>
        <w:spacing w:before="120" w:after="120" w:line="240" w:lineRule="auto"/>
        <w:jc w:val="both"/>
        <w:rPr>
          <w:rFonts w:cs="Times New Roman"/>
          <w:noProof/>
        </w:rPr>
      </w:pPr>
      <w:r>
        <w:rPr>
          <w:noProof/>
        </w:rPr>
        <w:t>Pr</w:t>
      </w:r>
      <w:r>
        <w:rPr>
          <w:noProof/>
        </w:rPr>
        <w:t>ovedba podulaganja dovršava se do 30. lipnja 2024. kada Odbor za ulaganja InvestEU odobri operacije financiranja ili operacije ulaganja u iznosu od 100 % ukupnog ciljanog iznosa financiranja ili ulaganja.</w:t>
      </w:r>
    </w:p>
    <w:p w14:paraId="3867DFD3"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3. Programi potpora za privatni sektor</w:t>
      </w:r>
    </w:p>
    <w:p w14:paraId="0402611F" w14:textId="77777777" w:rsidR="003F46B9" w:rsidRDefault="0065662E">
      <w:pPr>
        <w:pStyle w:val="P68B1DB1-Normal26"/>
        <w:spacing w:before="120" w:after="120" w:line="240" w:lineRule="auto"/>
        <w:jc w:val="both"/>
        <w:rPr>
          <w:rFonts w:cs="Times New Roman"/>
          <w:noProof/>
        </w:rPr>
      </w:pPr>
      <w:r>
        <w:rPr>
          <w:noProof/>
        </w:rPr>
        <w:t>Pod</w:t>
      </w:r>
      <w:r>
        <w:rPr>
          <w:noProof/>
        </w:rPr>
        <w:t>ulaganje 1 – Program potpora za digitalizaciju MSP-ova</w:t>
      </w:r>
    </w:p>
    <w:p w14:paraId="6A548FF7" w14:textId="77777777" w:rsidR="003F46B9" w:rsidRDefault="0065662E">
      <w:pPr>
        <w:pStyle w:val="P68B1DB1-Normal5"/>
        <w:spacing w:before="120" w:after="120" w:line="240" w:lineRule="auto"/>
        <w:jc w:val="both"/>
        <w:rPr>
          <w:rFonts w:cs="Times New Roman"/>
          <w:noProof/>
        </w:rPr>
      </w:pPr>
      <w:r>
        <w:rPr>
          <w:noProof/>
        </w:rPr>
        <w:t xml:space="preserve">Cilj je tog podulaganja poduprijeti digitalizaciju malih i srednjih poduzeća (MSP-ovi), koja bi zatim mogla doprinijeti povećanju konkurentnosti, omogućujući inovacije tih poduzeća i olakšavajući nove </w:t>
      </w:r>
      <w:r>
        <w:rPr>
          <w:noProof/>
        </w:rPr>
        <w:t>obrasce rada. Ovo podulaganje bavit će se jednim od ključnih izazova MSP-ova: pritisak da svoje poslovne modele prilagode digitalnoj stvarnosti.</w:t>
      </w:r>
    </w:p>
    <w:p w14:paraId="4923EF4A" w14:textId="77777777" w:rsidR="003F46B9" w:rsidRDefault="0065662E">
      <w:pPr>
        <w:pStyle w:val="P68B1DB1-Normal5"/>
        <w:spacing w:before="120" w:after="120" w:line="240" w:lineRule="auto"/>
        <w:jc w:val="both"/>
        <w:rPr>
          <w:rFonts w:cs="Times New Roman"/>
          <w:noProof/>
        </w:rPr>
      </w:pPr>
      <w:r>
        <w:rPr>
          <w:noProof/>
        </w:rPr>
        <w:t>Podulaganje se sastoji od dva instrumenta: i. program bespovratnih sredstava za potporu poduzetnicima u razvoju</w:t>
      </w:r>
      <w:r>
        <w:rPr>
          <w:noProof/>
        </w:rPr>
        <w:t xml:space="preserve"> naprednih digitalnih tehnologija (kao što su umjetna inteligencija, podaci i računalstvo u oblaku, lanci blokova, računalstvo visokih performansi i kvantna tehnologija, internet stvari, kibersigurnost) i ii. program bespovratnih sredstava u iznosu do 100 </w:t>
      </w:r>
      <w:r>
        <w:rPr>
          <w:noProof/>
        </w:rPr>
        <w:t>000 EUR po poduzeću za potporu MSP-ovima koji usvajaju digitalne tehnologije (kao što su kupnja hardvera IKT-a, razvoj i/ili prilagodba softverskih aplikacija/licencija, uključujući rješenja za automatizaciju softvera za robotiku procesa, nabava tehnologij</w:t>
      </w:r>
      <w:r>
        <w:rPr>
          <w:noProof/>
        </w:rPr>
        <w:t>a lanca blokova, nabava sustava umjetne inteligencije, strojno učenje, proširena stvarnost, virtualna stvarnost, kupnja internetskih stranica za prezentaciju, kupnja usluga u oblaku i interneta stvari, osposobljavanje osoblja koje upotrebljava informatičku</w:t>
      </w:r>
      <w:r>
        <w:rPr>
          <w:noProof/>
        </w:rPr>
        <w:t xml:space="preserve"> opremu, savjeti/analiza za utvrđivanje tehničkih rješenja koja su potrebna MSP-ovima). Sva ulaganja moraju biti u skladu s kriterijima odabira iz sljedećih područja intervencije navedenih u Prilogu VII. Uredbi (EU) 2021/241: 021quater (130 milijuna EUR), </w:t>
      </w:r>
      <w:r>
        <w:rPr>
          <w:noProof/>
        </w:rPr>
        <w:t>021 quinquies (raspodjela od 20 milijuna EUR), 010 (raspodjela 315 milijuna EUR), 012 (dodjela 35 milijuna EUR). Za provedbu Ministarstvo ulaganja i europskih projekata objavljuje smjernice za pozive na podnošenje projekata i delegira praćenje projekata ad</w:t>
      </w:r>
      <w:r>
        <w:rPr>
          <w:noProof/>
        </w:rPr>
        <w:t>ministratoru na temelju delegiranog akta. Ministarstvo osigurava provedbu učinkovitog sustava upravljanja i kontrole na razini administratora i, kad god je to potrebno, može poduzeti korektivne mjere, uključujući provjeru uzoraka na razini MSP-a, dok je ad</w:t>
      </w:r>
      <w:r>
        <w:rPr>
          <w:noProof/>
        </w:rPr>
        <w:t>ministrator dužan pratiti i redovito izvješćivati o napretku provedbe projekta u skladu sa svim odgovarajućim uvjetima.</w:t>
      </w:r>
    </w:p>
    <w:p w14:paraId="029FCDB1" w14:textId="77777777" w:rsidR="003F46B9" w:rsidRDefault="0065662E">
      <w:pPr>
        <w:pStyle w:val="P68B1DB1-Normal5"/>
        <w:spacing w:before="120" w:after="120" w:line="240" w:lineRule="auto"/>
        <w:jc w:val="both"/>
        <w:rPr>
          <w:rFonts w:cs="Times New Roman"/>
          <w:noProof/>
        </w:rPr>
      </w:pPr>
      <w:r>
        <w:rPr>
          <w:noProof/>
        </w:rPr>
        <w:t xml:space="preserve">Kako bi se osigurala usklađenost s tehničkim smjernicama o nenanošenju bitne štete (2021/C58/01), podnositelji zahtjeva predstavljaju </w:t>
      </w:r>
      <w:r>
        <w:rPr>
          <w:noProof/>
        </w:rPr>
        <w:t>sve potencijalne rizike za okoliš koji proizlaze iz njihovih aktivnosti i metoda za ublažavanje tih rizika. Usklađenost s tehničkim smjernicama o nenanošenju bitne štete (2021/C58/01) potvrđuje neovisni revizor na kraju razdoblja ulaganja.</w:t>
      </w:r>
    </w:p>
    <w:p w14:paraId="47A2B0AE" w14:textId="77777777" w:rsidR="003F46B9" w:rsidRDefault="0065662E">
      <w:pPr>
        <w:pStyle w:val="P68B1DB1-Normal5"/>
        <w:spacing w:before="120" w:after="120" w:line="240" w:lineRule="auto"/>
        <w:jc w:val="both"/>
        <w:rPr>
          <w:rFonts w:cs="Times New Roman"/>
          <w:noProof/>
        </w:rPr>
      </w:pPr>
      <w:r>
        <w:rPr>
          <w:noProof/>
        </w:rPr>
        <w:t>Provedba podulag</w:t>
      </w:r>
      <w:r>
        <w:rPr>
          <w:noProof/>
        </w:rPr>
        <w:t>anja mora biti dovršena do 30. lipnja 2024.</w:t>
      </w:r>
    </w:p>
    <w:p w14:paraId="4760D197" w14:textId="77777777" w:rsidR="003F46B9" w:rsidRDefault="0065662E">
      <w:pPr>
        <w:pStyle w:val="P68B1DB1-Normal26"/>
        <w:spacing w:before="120" w:after="120" w:line="240" w:lineRule="auto"/>
        <w:jc w:val="both"/>
        <w:rPr>
          <w:rFonts w:cs="Times New Roman"/>
          <w:noProof/>
        </w:rPr>
      </w:pPr>
      <w:r>
        <w:rPr>
          <w:noProof/>
        </w:rPr>
        <w:t>Podulaganje 2 – program de minimis za pomoć rumunjskim poduzećima pri uvrštenju na burzu</w:t>
      </w:r>
    </w:p>
    <w:p w14:paraId="6855582F" w14:textId="77777777" w:rsidR="003F46B9" w:rsidRDefault="0065662E">
      <w:pPr>
        <w:pStyle w:val="P68B1DB1-Normal5"/>
        <w:spacing w:before="120" w:after="120" w:line="240" w:lineRule="auto"/>
        <w:jc w:val="both"/>
        <w:rPr>
          <w:rFonts w:cs="Times New Roman"/>
          <w:noProof/>
        </w:rPr>
      </w:pPr>
      <w:r>
        <w:rPr>
          <w:noProof/>
        </w:rPr>
        <w:t>Cilj je tog podulaganja pružiti potporu poduzećima u povećanju pristupa financiranju s pomoću posebnih instrumenata, odnosn</w:t>
      </w:r>
      <w:r>
        <w:rPr>
          <w:noProof/>
        </w:rPr>
        <w:t xml:space="preserve">o izdavanja novih dionica. </w:t>
      </w:r>
    </w:p>
    <w:p w14:paraId="2D24E41C" w14:textId="77777777" w:rsidR="003F46B9" w:rsidRDefault="0065662E">
      <w:pPr>
        <w:pStyle w:val="P68B1DB1-Normal5"/>
        <w:spacing w:before="120" w:after="120" w:line="240" w:lineRule="auto"/>
        <w:jc w:val="both"/>
        <w:rPr>
          <w:rFonts w:cs="Times New Roman"/>
          <w:noProof/>
        </w:rPr>
      </w:pPr>
      <w:r>
        <w:rPr>
          <w:noProof/>
        </w:rPr>
        <w:t xml:space="preserve">Podulaganje se sastoji od financiranja </w:t>
      </w:r>
      <w:r>
        <w:rPr>
          <w:i/>
          <w:noProof/>
        </w:rPr>
        <w:t>de minimis</w:t>
      </w:r>
      <w:r>
        <w:rPr>
          <w:noProof/>
        </w:rPr>
        <w:t xml:space="preserve"> programa za trgovačka društva sa sjedištem u Rumunjskoj koja su voljna izdati dionice, prethodno kvalificirano za uvrštenje, u skladu s uvjetima burze u Bukureštu, prema redoslij</w:t>
      </w:r>
      <w:r>
        <w:rPr>
          <w:noProof/>
        </w:rPr>
        <w:t>edu prijave. Uzimajući u obzir trenutačnu strukturu gospodarskih subjekata aktivnih u Rumunjskoj, kao i najdinamičnije gospodarske segmente, očekuje se da će poduzeća iz kategorije malih i srednjih poduzeća te poduzeća koja posluju u sektorima s velikim ra</w:t>
      </w:r>
      <w:r>
        <w:rPr>
          <w:noProof/>
        </w:rPr>
        <w:t>stom i znatnim potrebama za financiranjem, kao što su IT i energetika, biti glavni korisnici tog ulaganja.</w:t>
      </w:r>
    </w:p>
    <w:p w14:paraId="7B4FC243" w14:textId="77777777" w:rsidR="003F46B9" w:rsidRDefault="0065662E">
      <w:pPr>
        <w:pStyle w:val="P68B1DB1-Normal5"/>
        <w:spacing w:before="120" w:after="120" w:line="240" w:lineRule="auto"/>
        <w:jc w:val="both"/>
        <w:rPr>
          <w:rFonts w:cs="Times New Roman"/>
          <w:noProof/>
        </w:rPr>
      </w:pPr>
      <w:r>
        <w:rPr>
          <w:noProof/>
        </w:rPr>
        <w:t>Kako bi se osiguralo da je podulaganje u skladu s Tehničkim smjernicama o nenanošenju bitne štete (2021/C58/01), društva koja su tijekom prethodne fi</w:t>
      </w:r>
      <w:r>
        <w:rPr>
          <w:noProof/>
        </w:rPr>
        <w:t>nancijske godine ostvarila više od 50 % svojih prihoda od aktivnosti i/ili imovine obuhvaćenih popisom za isključenje dužna su donijeti i objaviti planove zelene tranzicije. Isključuje se sljedeći popis djelatnosti i imovine: (i) djelatnosti i imovina pove</w:t>
      </w:r>
      <w:r>
        <w:rPr>
          <w:noProof/>
        </w:rPr>
        <w:t>zani s fosilnim gorivima, uključujući uporabu na kraju proizvodnog lanca</w:t>
      </w:r>
      <w:r>
        <w:rPr>
          <w:noProof/>
        </w:rPr>
        <w:footnoteReference w:id="33"/>
      </w:r>
      <w:r>
        <w:rPr>
          <w:noProof/>
        </w:rPr>
        <w:t>; ii. aktivnosti i imovina u okviru sustava EU-a za trgovanje emisijama (ETS) kojima se postižu predviđene emisije stakleničkih plinova koje nisu niže od relevantnih referentnih vrije</w:t>
      </w:r>
      <w:r>
        <w:rPr>
          <w:noProof/>
        </w:rPr>
        <w:t>dnosti</w:t>
      </w:r>
      <w:r>
        <w:rPr>
          <w:noProof/>
        </w:rPr>
        <w:footnoteReference w:id="34"/>
      </w:r>
      <w:r>
        <w:rPr>
          <w:noProof/>
        </w:rPr>
        <w:t>; iii. aktivnosti i sredstva povezana s odlagalištima otpada, spalionicama</w:t>
      </w:r>
      <w:r>
        <w:rPr>
          <w:noProof/>
        </w:rPr>
        <w:footnoteReference w:id="35"/>
      </w:r>
      <w:r>
        <w:rPr>
          <w:noProof/>
        </w:rPr>
        <w:t xml:space="preserve"> i postrojenjima za mehaničko-biološku obradu</w:t>
      </w:r>
      <w:r>
        <w:rPr>
          <w:noProof/>
        </w:rPr>
        <w:footnoteReference w:id="36"/>
      </w:r>
      <w:r>
        <w:rPr>
          <w:noProof/>
        </w:rPr>
        <w:t>; i iv. djelatnosti i sredstva u kojima dugoročno odlaganje otpada može naštetiti okolišu.</w:t>
      </w:r>
    </w:p>
    <w:p w14:paraId="3DDC781B" w14:textId="77777777" w:rsidR="003F46B9" w:rsidRDefault="0065662E">
      <w:pPr>
        <w:pStyle w:val="P68B1DB1-Normal5"/>
        <w:spacing w:before="120" w:after="120" w:line="240" w:lineRule="auto"/>
        <w:jc w:val="both"/>
        <w:rPr>
          <w:rFonts w:cs="Times New Roman"/>
          <w:noProof/>
        </w:rPr>
      </w:pPr>
      <w:r>
        <w:rPr>
          <w:noProof/>
        </w:rPr>
        <w:t>Provedba podulaganja mora biti dovrše</w:t>
      </w:r>
      <w:r>
        <w:rPr>
          <w:noProof/>
        </w:rPr>
        <w:t>na do 30. lipnja 2025.</w:t>
      </w:r>
    </w:p>
    <w:p w14:paraId="4DF86FB6" w14:textId="77777777" w:rsidR="003F46B9" w:rsidRDefault="0065662E">
      <w:pPr>
        <w:pStyle w:val="P68B1DB1-Standard6"/>
        <w:spacing w:before="120" w:after="120"/>
        <w:jc w:val="both"/>
        <w:rPr>
          <w:rFonts w:ascii="Times New Roman" w:eastAsiaTheme="majorEastAsia" w:hAnsi="Times New Roman" w:cs="Times New Roman"/>
          <w:noProof/>
        </w:rPr>
      </w:pPr>
      <w:r>
        <w:rPr>
          <w:noProof/>
        </w:rPr>
        <w:t xml:space="preserve">Ulaganje 4. Prekogranični i višedržavni projekti – procesori male snage i poluvodički čipovi </w:t>
      </w:r>
    </w:p>
    <w:p w14:paraId="6063D28B" w14:textId="77777777" w:rsidR="003F46B9" w:rsidRDefault="0065662E">
      <w:pPr>
        <w:pStyle w:val="P68B1DB1-Normal5"/>
        <w:spacing w:before="120" w:after="120" w:line="240" w:lineRule="auto"/>
        <w:jc w:val="both"/>
        <w:textAlignment w:val="baseline"/>
        <w:rPr>
          <w:rFonts w:eastAsia="Calibri" w:cs="Times New Roman"/>
          <w:noProof/>
        </w:rPr>
      </w:pPr>
      <w:r>
        <w:rPr>
          <w:noProof/>
        </w:rPr>
        <w:t>Cilj je tog ulaganja poduprijeti razvoj područja mikroelektronike u Rumunjskoj rješavanjem jednog od postojećih izazova na razini EU-a i po</w:t>
      </w:r>
      <w:r>
        <w:rPr>
          <w:noProof/>
        </w:rPr>
        <w:t xml:space="preserve">dupiranjem digitalne tranzicije. </w:t>
      </w:r>
    </w:p>
    <w:p w14:paraId="70911A20" w14:textId="77777777" w:rsidR="003F46B9" w:rsidRDefault="0065662E">
      <w:pPr>
        <w:pStyle w:val="P68B1DB1-Normal5"/>
        <w:spacing w:before="120" w:after="120" w:line="240" w:lineRule="auto"/>
        <w:jc w:val="both"/>
        <w:textAlignment w:val="baseline"/>
        <w:rPr>
          <w:rFonts w:eastAsia="Times New Roman" w:cs="Times New Roman"/>
          <w:noProof/>
        </w:rPr>
      </w:pPr>
      <w:r>
        <w:rPr>
          <w:noProof/>
        </w:rPr>
        <w:t>Ulaganje se sastoji od mjera za: i. strukturiranje i razvoj vještina za projektiranje, proizvodnju i primjenu mikroelektroničkih komponenti i sustava u usklađenom nacionalnom ekosustavu; i. osiguravanje intelektualnog vlas</w:t>
      </w:r>
      <w:r>
        <w:rPr>
          <w:noProof/>
        </w:rPr>
        <w:t>ništva i ubrzavanje primjene naprednih tehnologija u ključnim područjima nacionalnog gospodarstva kao što su automobilska industrija, zdravstvo ili precizna poljoprivreda, svemir, obrana, aeronautika; III) koordinirati se sa sposobnostima i potrebama na eu</w:t>
      </w:r>
      <w:r>
        <w:rPr>
          <w:noProof/>
        </w:rPr>
        <w:t xml:space="preserve">ropskoj razini, među ostalim sudjelovanjem ili udruživanjem najmanje deset članova nacionalnog ekosustava u višedržavnom projektu, koji se planira provesti uglavnom kao važan projekt od zajedničkog europskog interesa (IPCEI). U tom se kontekstu očekuje da </w:t>
      </w:r>
      <w:r>
        <w:rPr>
          <w:noProof/>
        </w:rPr>
        <w:t xml:space="preserve">će najmanje tri rumunjska subjekta u konzorcijima odgovoriti na pozive na podnošenje projekata Zajedničkog poduzeća za ključne digitalne tehnologije (Zajedničko poduzeće KDT). </w:t>
      </w:r>
    </w:p>
    <w:p w14:paraId="7B359328" w14:textId="0ADBFDC8" w:rsidR="003F46B9" w:rsidRDefault="0065662E">
      <w:pPr>
        <w:pStyle w:val="P68B1DB1-Normal5"/>
        <w:spacing w:before="120" w:after="120" w:line="240" w:lineRule="auto"/>
        <w:jc w:val="both"/>
        <w:textAlignment w:val="baseline"/>
        <w:rPr>
          <w:rFonts w:eastAsia="Times New Roman" w:cs="Times New Roman"/>
          <w:noProof/>
        </w:rPr>
      </w:pPr>
      <w:r>
        <w:rPr>
          <w:noProof/>
        </w:rPr>
        <w:t>Provedba ulaganja mora biti dovršena do 30. lipnja 2024.</w:t>
      </w:r>
    </w:p>
    <w:p w14:paraId="515B7099" w14:textId="77777777" w:rsidR="003F46B9" w:rsidRDefault="0065662E">
      <w:pPr>
        <w:pStyle w:val="P68B1DB1-Standard6"/>
        <w:spacing w:before="240"/>
        <w:jc w:val="both"/>
        <w:rPr>
          <w:rFonts w:ascii="Times New Roman" w:eastAsiaTheme="majorEastAsia" w:hAnsi="Times New Roman" w:cs="Times New Roman"/>
          <w:noProof/>
        </w:rPr>
      </w:pPr>
      <w:r>
        <w:rPr>
          <w:noProof/>
        </w:rPr>
        <w:t>Reforma 2. Pojednostav</w:t>
      </w:r>
      <w:r>
        <w:rPr>
          <w:noProof/>
        </w:rPr>
        <w:t xml:space="preserve">njenje upravljanja istraživanjem, razvojem i inovacijama </w:t>
      </w:r>
    </w:p>
    <w:p w14:paraId="3BFB7C38" w14:textId="77777777" w:rsidR="003F46B9" w:rsidRDefault="0065662E">
      <w:pPr>
        <w:pStyle w:val="P68B1DB1-Normal5"/>
        <w:spacing w:before="120" w:after="120" w:line="240" w:lineRule="auto"/>
        <w:jc w:val="both"/>
        <w:rPr>
          <w:rFonts w:cs="Times New Roman"/>
          <w:noProof/>
        </w:rPr>
      </w:pPr>
      <w:r>
        <w:rPr>
          <w:noProof/>
        </w:rPr>
        <w:t xml:space="preserve">Cilj je te reforme pojasniti i pojednostavniti upravljanje sustavom istraživanja, razvoja i inovacija u Rumunjskoj. </w:t>
      </w:r>
    </w:p>
    <w:p w14:paraId="39D933A1" w14:textId="77777777" w:rsidR="003F46B9" w:rsidRDefault="0065662E">
      <w:pPr>
        <w:pStyle w:val="P68B1DB1-Normal22"/>
        <w:spacing w:before="120" w:after="120" w:line="240" w:lineRule="auto"/>
        <w:jc w:val="both"/>
        <w:rPr>
          <w:rFonts w:cs="Times New Roman"/>
          <w:noProof/>
          <w:sz w:val="24"/>
        </w:rPr>
      </w:pPr>
      <w:r>
        <w:rPr>
          <w:noProof/>
          <w:sz w:val="24"/>
        </w:rPr>
        <w:t>Reforma se provodi operacionalizacijom Odjela za reformu Instrumenta za političku</w:t>
      </w:r>
      <w:r>
        <w:rPr>
          <w:noProof/>
          <w:sz w:val="24"/>
        </w:rPr>
        <w:t xml:space="preserve"> podršku u okviru Ministarstva istraživanja i inovacija i digitalizacije, s mandatom za provedbu i praćenje preporuka iz Instrumenta za političku potporu koje se prenose u reforme nacionalnog istraživačkog, razvojnog i inovacijskog ekosustava. Jedinica je </w:t>
      </w:r>
      <w:r>
        <w:rPr>
          <w:noProof/>
          <w:sz w:val="24"/>
        </w:rPr>
        <w:t>operativna od 2021. do 2026.</w:t>
      </w:r>
      <w:r>
        <w:rPr>
          <w:noProof/>
        </w:rPr>
        <w:t xml:space="preserve"> </w:t>
      </w:r>
      <w:r>
        <w:rPr>
          <w:noProof/>
          <w:sz w:val="24"/>
        </w:rPr>
        <w:t>i radi na koordiniranom preoblikovanju s relevantnim javnim tijelima, arhitekturom i funkcijama sustava istraživanja, razvoja i inovacija u Rumunjskoj kako bi se poboljšala kvaliteta ulaganja. Tom će se reformom utrti put stupa</w:t>
      </w:r>
      <w:r>
        <w:rPr>
          <w:noProof/>
          <w:sz w:val="24"/>
        </w:rPr>
        <w:t>nju na snagu trajnog sustava kojim se osigurava usklađeno osmišljavanje i provedba, praćenje i evaluacija politike istraživanja, razvoja i inovacija u ministarstvima i agencijama izvan vremenskog okvira Mehanizma za oporavak i otpornost. Reformom se takođe</w:t>
      </w:r>
      <w:r>
        <w:rPr>
          <w:noProof/>
          <w:sz w:val="24"/>
        </w:rPr>
        <w:t>r uspostavlja jedinstveno tijelo koje osigurava koordinaciju među ministarstvima na državnoj razini, među ostalim i na temelju koordinacije s organizacijama iz privatnog sektora.</w:t>
      </w:r>
    </w:p>
    <w:p w14:paraId="5C9E85AC"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Odjel za reformu Inst</w:t>
      </w:r>
      <w:r>
        <w:rPr>
          <w:noProof/>
        </w:rPr>
        <w:t>rumenta za političku potporu ima jasan mandat i postaje operativan do 31. prosinca 2021.</w:t>
      </w:r>
    </w:p>
    <w:p w14:paraId="487AFDB0" w14:textId="77777777" w:rsidR="003F46B9" w:rsidRDefault="0065662E">
      <w:pPr>
        <w:pStyle w:val="P68B1DB1-Standard6"/>
        <w:spacing w:before="240"/>
        <w:jc w:val="both"/>
        <w:rPr>
          <w:rFonts w:ascii="Times New Roman" w:eastAsiaTheme="majorEastAsia" w:hAnsi="Times New Roman" w:cs="Times New Roman"/>
          <w:noProof/>
        </w:rPr>
      </w:pPr>
      <w:r>
        <w:rPr>
          <w:noProof/>
        </w:rPr>
        <w:t>Reforma 3. Reforma istraživačke karijere</w:t>
      </w:r>
      <w:r>
        <w:rPr>
          <w:rFonts w:ascii="Times New Roman" w:hAnsi="Times New Roman"/>
          <w:noProof/>
        </w:rPr>
        <w:t xml:space="preserve"> </w:t>
      </w:r>
    </w:p>
    <w:p w14:paraId="3163197D" w14:textId="7EB05078" w:rsidR="003F46B9" w:rsidRDefault="0065662E">
      <w:pPr>
        <w:pStyle w:val="P68B1DB1-Normal5"/>
        <w:spacing w:before="120" w:after="120" w:line="240" w:lineRule="auto"/>
        <w:jc w:val="both"/>
        <w:rPr>
          <w:rFonts w:cs="Times New Roman"/>
          <w:noProof/>
        </w:rPr>
      </w:pPr>
      <w:r>
        <w:rPr>
          <w:noProof/>
        </w:rPr>
        <w:t xml:space="preserve">Cilj je te reforme povećati privlačnost istraživačke karijere i uspješnost istraživača.  </w:t>
      </w:r>
    </w:p>
    <w:p w14:paraId="41D58E00" w14:textId="77777777" w:rsidR="003F46B9" w:rsidRDefault="0065662E">
      <w:pPr>
        <w:pStyle w:val="P68B1DB1-Normal5"/>
        <w:spacing w:before="120" w:after="120" w:line="240" w:lineRule="auto"/>
        <w:jc w:val="both"/>
        <w:rPr>
          <w:rFonts w:cs="Times New Roman"/>
          <w:noProof/>
        </w:rPr>
      </w:pPr>
      <w:r>
        <w:rPr>
          <w:noProof/>
        </w:rPr>
        <w:t>Reforma se provodi donošenjem zakon</w:t>
      </w:r>
      <w:r>
        <w:rPr>
          <w:noProof/>
        </w:rPr>
        <w:t>odavnih izmjena kojima se detaljno utvrđuju ključni pokazatelji uspješnosti i mjere za provođenje znanstvenih istraživanja u skladu s kojima istraživači dobivaju pristup financiranju i stipendijama. Te su specifikacije jednako usklađene s najboljim europsk</w:t>
      </w:r>
      <w:r>
        <w:rPr>
          <w:noProof/>
        </w:rPr>
        <w:t>im praksama, među ostalim za promaknuće u istraživačkoj karijeri na temelju načela koja se temelje na zaslugama, zapošljavanje na temelju transparentnih, otvorenih i natjecateljskih postupaka, kao i dobre prakse u području etike i integriteta u znanstvenim</w:t>
      </w:r>
      <w:r>
        <w:rPr>
          <w:noProof/>
        </w:rPr>
        <w:t xml:space="preserve"> istraživanjima. Novo zakonodavstvo uključuje i okvir za financijske i nefinancijske poticaje za poticanje provedbe Europske povelje za istraživače i Kodeksa o zapošljavanju istraživača u rumunjskim istraživačkim institucijama.</w:t>
      </w:r>
    </w:p>
    <w:p w14:paraId="38B57BAE" w14:textId="77777777" w:rsidR="003F46B9" w:rsidRDefault="0065662E">
      <w:pPr>
        <w:pStyle w:val="P68B1DB1-Normal5"/>
        <w:spacing w:before="120" w:after="120" w:line="240" w:lineRule="auto"/>
        <w:jc w:val="both"/>
        <w:rPr>
          <w:rFonts w:cs="Times New Roman"/>
          <w:noProof/>
        </w:rPr>
      </w:pPr>
      <w:r>
        <w:rPr>
          <w:noProof/>
        </w:rPr>
        <w:t>Provedba reforme mora biti d</w:t>
      </w:r>
      <w:r>
        <w:rPr>
          <w:noProof/>
        </w:rPr>
        <w:t xml:space="preserve">ovršena do 31. prosinca 2025. </w:t>
      </w:r>
    </w:p>
    <w:p w14:paraId="25568859"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Pojačana suradnja između poduzeća i istraživanja</w:t>
      </w:r>
      <w:r>
        <w:rPr>
          <w:rFonts w:ascii="Times New Roman" w:hAnsi="Times New Roman"/>
          <w:noProof/>
        </w:rPr>
        <w:t xml:space="preserve"> </w:t>
      </w:r>
    </w:p>
    <w:p w14:paraId="03B97269" w14:textId="77777777" w:rsidR="003F46B9" w:rsidRDefault="0065662E">
      <w:pPr>
        <w:pStyle w:val="P68B1DB1-Normal5"/>
        <w:spacing w:before="120" w:after="120" w:line="240" w:lineRule="auto"/>
        <w:jc w:val="both"/>
        <w:rPr>
          <w:rFonts w:cs="Times New Roman"/>
          <w:noProof/>
        </w:rPr>
      </w:pPr>
      <w:r>
        <w:rPr>
          <w:noProof/>
        </w:rPr>
        <w:t xml:space="preserve">Cilj je reforme povećati suradnju između poduzeća i javnih istraživačkih organizacija za istraživanje, razvoj i inovacije te stvoriti povoljno okruženje za javna i </w:t>
      </w:r>
      <w:r>
        <w:rPr>
          <w:noProof/>
        </w:rPr>
        <w:t>privatna ulaganja u tom sektoru.</w:t>
      </w:r>
    </w:p>
    <w:p w14:paraId="7C66E2D5" w14:textId="77777777" w:rsidR="003F46B9" w:rsidRDefault="0065662E">
      <w:pPr>
        <w:pStyle w:val="P68B1DB1-Normal5"/>
        <w:spacing w:before="120" w:after="120" w:line="240" w:lineRule="auto"/>
        <w:jc w:val="both"/>
        <w:rPr>
          <w:rFonts w:cs="Times New Roman"/>
          <w:noProof/>
        </w:rPr>
      </w:pPr>
      <w:r>
        <w:rPr>
          <w:noProof/>
        </w:rPr>
        <w:t>Reforma se provodi donošenjem zakonodavnih izmjena radi pojednostavnjenja i digitalizacije ugovaranja, financiranja, praćenja i evaluacije istraživačkih projekata. Osim toga, osiguravaju otvoren pristup rezultatima važnih i</w:t>
      </w:r>
      <w:r>
        <w:rPr>
          <w:noProof/>
        </w:rPr>
        <w:t xml:space="preserve"> neosjetljivih javno financiranih projekata, kao i njihovu evaluaciju koju provode međunarodno priznati istraživači prije nego što ih odobri javni naručitelj i tijekom cijelog trajanja projekata. Nadalje, izmjenama se osigurava dostupnost stabilnih i predv</w:t>
      </w:r>
      <w:r>
        <w:rPr>
          <w:noProof/>
        </w:rPr>
        <w:t>idljivih izvora financiranja istraživanja na lokalnoj i nacionalnoj razini, kao i njihova centralizacija u jedinstvenu elektroničku kontaktnu točku. Ministarstvo istraživanja, inovacija i digitalizacije provodi zakonodavne izmjene zajedno s relevantnim jav</w:t>
      </w:r>
      <w:r>
        <w:rPr>
          <w:noProof/>
        </w:rPr>
        <w:t>nim tijelima, među ostalim s predstavnicima Ministarstva obrazovanja i njegovih podređenih agencija, Ministarstva financija i Ministarstva gospodarstva, te uzima u obzir preporuke Instrumenta za političku potporu u okviru programa Obzor Europa za razdoblje</w:t>
      </w:r>
      <w:r>
        <w:rPr>
          <w:noProof/>
        </w:rPr>
        <w:t xml:space="preserve"> 2021. 2022.</w:t>
      </w:r>
    </w:p>
    <w:p w14:paraId="12190A88"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w:t>
      </w:r>
    </w:p>
    <w:p w14:paraId="65B5AE57" w14:textId="77777777" w:rsidR="003F46B9" w:rsidRDefault="0065662E">
      <w:pPr>
        <w:pStyle w:val="P68B1DB1-Standard6"/>
        <w:pageBreakBefore/>
        <w:spacing w:before="240"/>
        <w:jc w:val="both"/>
        <w:rPr>
          <w:rFonts w:ascii="Times New Roman" w:eastAsiaTheme="majorEastAsia" w:hAnsi="Times New Roman" w:cs="Times New Roman"/>
          <w:noProof/>
        </w:rPr>
      </w:pPr>
      <w:r>
        <w:rPr>
          <w:noProof/>
        </w:rPr>
        <w:t>Reforma 5. Potpora integraciji organizacija za istraživanje, razvoj i inovacije u Rumunjskoj u europski istraživački prostor</w:t>
      </w:r>
      <w:r>
        <w:rPr>
          <w:rFonts w:ascii="Times New Roman" w:hAnsi="Times New Roman"/>
          <w:noProof/>
        </w:rPr>
        <w:t xml:space="preserve"> </w:t>
      </w:r>
    </w:p>
    <w:p w14:paraId="05EE1C85" w14:textId="77777777" w:rsidR="003F46B9" w:rsidRDefault="0065662E">
      <w:pPr>
        <w:pStyle w:val="P68B1DB1-Normal5"/>
        <w:spacing w:before="120" w:after="120" w:line="240" w:lineRule="auto"/>
        <w:jc w:val="both"/>
        <w:rPr>
          <w:rFonts w:cs="Times New Roman"/>
          <w:noProof/>
        </w:rPr>
      </w:pPr>
      <w:r>
        <w:rPr>
          <w:noProof/>
        </w:rPr>
        <w:t>Cilj je te reforme povećati uspješnost i konsolidaciju javnih</w:t>
      </w:r>
      <w:r>
        <w:rPr>
          <w:noProof/>
        </w:rPr>
        <w:t xml:space="preserve"> organizacija za istraživanje, razvoj i inovacije u Rumunjskoj te njihovu integraciju u europski istraživački prostor. </w:t>
      </w:r>
    </w:p>
    <w:p w14:paraId="1AC8D6C9" w14:textId="77777777" w:rsidR="003F46B9" w:rsidRDefault="0065662E">
      <w:pPr>
        <w:pStyle w:val="P68B1DB1-Normal5"/>
        <w:spacing w:before="120" w:after="120" w:line="240" w:lineRule="auto"/>
        <w:jc w:val="both"/>
        <w:rPr>
          <w:rFonts w:cs="Times New Roman"/>
          <w:noProof/>
        </w:rPr>
      </w:pPr>
      <w:r>
        <w:rPr>
          <w:noProof/>
        </w:rPr>
        <w:t>Reforma se provodi stupanjem na snagu zakonodavstva koje potiče, olakšava i uređuje dobrovoljnu i funkcionalnu integraciju i spajanje is</w:t>
      </w:r>
      <w:r>
        <w:rPr>
          <w:noProof/>
        </w:rPr>
        <w:t xml:space="preserve">traživačkih ustanova. Zakonodavnim okvirom uzimaju se u obzir preporuke instrumenta za političku potporu programu Obzor Europa za razdoblje 2021. – 2022. i utvrđuju se barem sljedeće: periodična vanjska evaluacija uspješnosti svih istraživačkih, razvojnih </w:t>
      </w:r>
      <w:r>
        <w:rPr>
          <w:noProof/>
        </w:rPr>
        <w:t>i inovacijskih organizacija u Rumunjskoj te njihove sposobnosti da dodaju vrijednost međunarodnoj znanstvenoj zajednici i ostvare društveni i gospodarski učinak. Periodičnom evaluacijom utvrđuju se sinergije i moguća spajanja istraživačkih instituta, a pri</w:t>
      </w:r>
      <w:r>
        <w:rPr>
          <w:noProof/>
        </w:rPr>
        <w:t>stup financijskoj i nefinancijskoj potpori za istraživačke organizacije ovisi o rezultatima tih periodičnih evaluacija.</w:t>
      </w:r>
    </w:p>
    <w:p w14:paraId="25E4A6E7"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w:t>
      </w:r>
    </w:p>
    <w:p w14:paraId="4FE3A324"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Uspostava i operacionalizacija centara stručnosti</w:t>
      </w:r>
    </w:p>
    <w:p w14:paraId="6AF670E5" w14:textId="77777777" w:rsidR="003F46B9" w:rsidRDefault="0065662E">
      <w:pPr>
        <w:pStyle w:val="P68B1DB1-Normal5"/>
        <w:spacing w:before="120" w:after="120" w:line="240" w:lineRule="auto"/>
        <w:jc w:val="both"/>
        <w:rPr>
          <w:rFonts w:cs="Times New Roman"/>
          <w:noProof/>
        </w:rPr>
      </w:pPr>
      <w:r>
        <w:rPr>
          <w:noProof/>
        </w:rPr>
        <w:t>Cilj je ulaganja r</w:t>
      </w:r>
      <w:r>
        <w:rPr>
          <w:noProof/>
        </w:rPr>
        <w:t>iješiti problem tematske rascjepkanosti organizacija za istraživanje, razvoj i inovacije podupiranjem provedbe misija programa Obzor Europa na nacionalnoj razini.</w:t>
      </w:r>
    </w:p>
    <w:p w14:paraId="0B55F2B6" w14:textId="77777777" w:rsidR="003F46B9" w:rsidRDefault="0065662E">
      <w:pPr>
        <w:pStyle w:val="P68B1DB1-Normal5"/>
        <w:spacing w:before="120" w:after="120" w:line="240" w:lineRule="auto"/>
        <w:jc w:val="both"/>
        <w:rPr>
          <w:rFonts w:cs="Times New Roman"/>
          <w:noProof/>
        </w:rPr>
      </w:pPr>
      <w:r>
        <w:rPr>
          <w:noProof/>
        </w:rPr>
        <w:t>Ulaganjem se nastoji uspostaviti pet „Centra stručnosti” za provođenje istraživačkih aktivnos</w:t>
      </w:r>
      <w:r>
        <w:rPr>
          <w:noProof/>
        </w:rPr>
        <w:t>ti u skladu s rumunjskim i europskim strateškim istraživačkim prioritetima. Centri se osnivaju na temelju natjecateljskog poziva kao konzorciji javnih i privatnih istraživačkih instituta, koji uključuje sudjelovanje malih i srednjih poduzeća, a partneri un</w:t>
      </w:r>
      <w:r>
        <w:rPr>
          <w:noProof/>
        </w:rPr>
        <w:t>utar konzorcija zajednički provode strateški program za istraživanja i inovacije korespondentne misije iz programa Obzor Europa, čime se jača suradnja akademske zajednice i poduzeća u društveno relevantnim istraživačkim područjima. Projekti doprinose iznal</w:t>
      </w:r>
      <w:r>
        <w:rPr>
          <w:noProof/>
        </w:rPr>
        <w:t>aženju rješenja za poboljšanje života građana, zadovoljavanje lokalnih potreba i povećanje učinka rezultata istraživanja na razini zajednice. Pet „Centra stručnosti” upotrebljavaju i resurse za nadogradnju zajedničke istraživačke opreme i infrastruktura te</w:t>
      </w:r>
      <w:r>
        <w:rPr>
          <w:noProof/>
        </w:rPr>
        <w:t xml:space="preserve"> širenje rezultata istraživanja. </w:t>
      </w:r>
    </w:p>
    <w:p w14:paraId="7B4CEAC8"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50D8037A"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6. Razvoj programa mentorstva Obzor Europa</w:t>
      </w:r>
      <w:r>
        <w:rPr>
          <w:rFonts w:ascii="Times New Roman" w:hAnsi="Times New Roman"/>
          <w:noProof/>
        </w:rPr>
        <w:t xml:space="preserve"> </w:t>
      </w:r>
    </w:p>
    <w:p w14:paraId="0A0A2CE0" w14:textId="77777777" w:rsidR="003F46B9" w:rsidRDefault="0065662E">
      <w:pPr>
        <w:pStyle w:val="P68B1DB1-Normal5"/>
        <w:spacing w:before="120" w:after="120" w:line="240" w:lineRule="auto"/>
        <w:jc w:val="both"/>
        <w:rPr>
          <w:rFonts w:cs="Times New Roman"/>
          <w:noProof/>
        </w:rPr>
      </w:pPr>
      <w:r>
        <w:rPr>
          <w:noProof/>
        </w:rPr>
        <w:t xml:space="preserve">Cilj je tog ulaganja povećati stope uspješnosti prijava u okviru programa Obzor Europa. </w:t>
      </w:r>
    </w:p>
    <w:p w14:paraId="436840C7" w14:textId="77777777" w:rsidR="003F46B9" w:rsidRDefault="0065662E">
      <w:pPr>
        <w:pStyle w:val="P68B1DB1-Normal5"/>
        <w:spacing w:before="120" w:after="120" w:line="240" w:lineRule="auto"/>
        <w:jc w:val="both"/>
        <w:rPr>
          <w:rFonts w:cs="Times New Roman"/>
          <w:noProof/>
        </w:rPr>
      </w:pPr>
      <w:r>
        <w:rPr>
          <w:noProof/>
        </w:rPr>
        <w:t xml:space="preserve">Ulaganjem se </w:t>
      </w:r>
      <w:r>
        <w:rPr>
          <w:noProof/>
        </w:rPr>
        <w:t>dodjeljuje 500 vaučera istraživačima koji su se prijavili za program Obzor Europa i koji su prošli fazu prihvatljivosti.</w:t>
      </w:r>
      <w:r>
        <w:rPr>
          <w:b/>
          <w:noProof/>
        </w:rPr>
        <w:t xml:space="preserve"> </w:t>
      </w:r>
      <w:r>
        <w:rPr>
          <w:noProof/>
        </w:rPr>
        <w:t>Vaučerima se podnositeljima zahtjeva nastoji pružiti potpora u pisanom obliku u projektnom prijedlogu, razmjeni osoblja u organizacijam</w:t>
      </w:r>
      <w:r>
        <w:rPr>
          <w:noProof/>
        </w:rPr>
        <w:t xml:space="preserve">a koje su na vrhuncu u smislu stjecanja projekata u okviru programa Obzor ili iskustva u pisanju uspješnih prijedloga u okviru programa Obzor 2020., sudjelovanja u posredovanju i pristupa ekstremnoj svjetlosnoj infrastrukturi – nuklearnoj fizici. </w:t>
      </w:r>
    </w:p>
    <w:p w14:paraId="1189DD00" w14:textId="77777777" w:rsidR="003F46B9" w:rsidRDefault="0065662E">
      <w:pPr>
        <w:pStyle w:val="P68B1DB1-Normal5"/>
        <w:spacing w:before="120" w:after="120" w:line="240" w:lineRule="auto"/>
        <w:jc w:val="both"/>
        <w:rPr>
          <w:rFonts w:cs="Times New Roman"/>
          <w:noProof/>
        </w:rPr>
      </w:pPr>
      <w:r>
        <w:rPr>
          <w:noProof/>
        </w:rPr>
        <w:t xml:space="preserve">Kako bi </w:t>
      </w:r>
      <w:r>
        <w:rPr>
          <w:noProof/>
        </w:rPr>
        <w:t>se osiguralo da je mjera u skladu s Tehničkim smjernicama o nenanošenju bitne štete (2021/C58/01), projekti i istraživanja koji se odnose na sljedeći popis aktivnosti i imovine isključuju se iz prihvatljivosti: (i) djelatnosti i imovina povezani s fosilnim</w:t>
      </w:r>
      <w:r>
        <w:rPr>
          <w:noProof/>
        </w:rPr>
        <w:t xml:space="preserve"> gorivima, uključujući uporabu na kraju proizvodnog lanca</w:t>
      </w:r>
      <w:r>
        <w:rPr>
          <w:noProof/>
        </w:rPr>
        <w:footnoteReference w:id="37"/>
      </w:r>
      <w:r>
        <w:rPr>
          <w:noProof/>
        </w:rPr>
        <w:t>; ii. aktivnosti i imovina u okviru sustava EU-a za trgovanje emisijama (ETS) kojima se postižu predviđene emisije stakleničkih plinova koje nisu niže od relevantnih referentnih vrijednosti</w:t>
      </w:r>
      <w:r>
        <w:rPr>
          <w:noProof/>
        </w:rPr>
        <w:footnoteReference w:id="38"/>
      </w:r>
      <w:r>
        <w:rPr>
          <w:noProof/>
        </w:rPr>
        <w:t>; iii. a</w:t>
      </w:r>
      <w:r>
        <w:rPr>
          <w:noProof/>
        </w:rPr>
        <w:t>ktivnosti i sredstva povezana s odlagalištima otpada, spalionicama</w:t>
      </w:r>
      <w:r>
        <w:rPr>
          <w:noProof/>
        </w:rPr>
        <w:footnoteReference w:id="39"/>
      </w:r>
      <w:r>
        <w:rPr>
          <w:noProof/>
        </w:rPr>
        <w:t xml:space="preserve"> i postrojenjima za mehaničko-biološku obradu</w:t>
      </w:r>
      <w:r>
        <w:rPr>
          <w:noProof/>
        </w:rPr>
        <w:footnoteReference w:id="40"/>
      </w:r>
      <w:r>
        <w:rPr>
          <w:noProof/>
        </w:rPr>
        <w:t>; i iv. djelatnosti i sredstva u kojima dugoročno odlaganje otpada može naštetiti okolišu.</w:t>
      </w:r>
    </w:p>
    <w:p w14:paraId="70F00025"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w:t>
      </w:r>
      <w:r>
        <w:rPr>
          <w:noProof/>
        </w:rPr>
        <w:t>026.</w:t>
      </w:r>
    </w:p>
    <w:p w14:paraId="42427FA8"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7. Jačanje izvrsnosti i podupiranje sudjelovanja Rumunjske u partnerstvima i misijama u okviru programa Obzor Europa</w:t>
      </w:r>
    </w:p>
    <w:p w14:paraId="0C281F62" w14:textId="58D39159" w:rsidR="003F46B9" w:rsidRDefault="0065662E">
      <w:pPr>
        <w:pStyle w:val="P68B1DB1-Normal5"/>
        <w:spacing w:before="120" w:after="120" w:line="240" w:lineRule="auto"/>
        <w:jc w:val="both"/>
        <w:rPr>
          <w:rFonts w:cs="Times New Roman"/>
          <w:noProof/>
        </w:rPr>
      </w:pPr>
      <w:r>
        <w:rPr>
          <w:noProof/>
        </w:rPr>
        <w:t>Cilj je tog ulaganja povećati stope uspješnosti prijava u okviru programa Obzor Europa. Ulaganjem se dodjeljuju dodatna sreds</w:t>
      </w:r>
      <w:r>
        <w:rPr>
          <w:noProof/>
        </w:rPr>
        <w:t>tva za projekte istraživanja, razvoja i inovacija u kontekstu europskih partnerstava i misija EU-a, pri čemu se prednost daje zelenim ili digitalnim projektima. Predviđene su sljedeće mjere: (i) sufinanciranje istraživačkih projekata preporučenih za financ</w:t>
      </w:r>
      <w:r>
        <w:rPr>
          <w:noProof/>
        </w:rPr>
        <w:t>iranje u okviru europskih partnerstava i misija EU-a. U skladu s posebnim pravilima poziva dodijelit će se proračun od najviše 300 000 EUR za svakog rumunjskog partnera koji sudjeluje u europskim partnerstvima i misijama EU-a. Najmanje 35 ugovora potpisuje</w:t>
      </w:r>
      <w:r>
        <w:rPr>
          <w:noProof/>
        </w:rPr>
        <w:t xml:space="preserve"> se s rumunjskim sudionicima u europskim partnerstvima i misijama EU-a. ii. komplementarni projekti u svrhu povećanja učinka projekata Obzor Europa i Obzor 2020. koji se već financiraju (u tijeku ili su nedavno dovršeni). Do 10 dopunskih istraživačkih proj</w:t>
      </w:r>
      <w:r>
        <w:rPr>
          <w:noProof/>
        </w:rPr>
        <w:t>ekata financira se s proračunom od najviše 1 000 000 EUR po projektu; iii. projekte izgradnje kapaciteta u području ljudskih resursa u sinergiji s nacionalnim programima/POCIDIF-om. Najviše 10 projekata financira se s proračunom od najviše 500 000 EUR po p</w:t>
      </w:r>
      <w:r>
        <w:rPr>
          <w:noProof/>
        </w:rPr>
        <w:t xml:space="preserve">rojektu. </w:t>
      </w:r>
    </w:p>
    <w:p w14:paraId="7A48B3C9" w14:textId="77777777" w:rsidR="003F46B9" w:rsidRDefault="0065662E">
      <w:pPr>
        <w:pStyle w:val="P68B1DB1-Normal5"/>
        <w:spacing w:before="120" w:after="120" w:line="240" w:lineRule="auto"/>
        <w:jc w:val="both"/>
        <w:rPr>
          <w:rFonts w:cs="Times New Roman"/>
          <w:noProof/>
        </w:rPr>
      </w:pPr>
      <w:r>
        <w:rPr>
          <w:noProof/>
        </w:rPr>
        <w:t xml:space="preserve">Kako bi se osiguralo da je mjera u skladu s Tehničkim smjernicama o nenanošenju bitne štete (2021/C58/01), istraživanja koja se odnose na sljedeći popis djelatnosti i imovine isključuju se iz prihvatljivosti: (i) djelatnosti i imovina povezani s </w:t>
      </w:r>
      <w:r>
        <w:rPr>
          <w:noProof/>
        </w:rPr>
        <w:t>fosilnim gorivima, uključujući uporabu na kraju proizvodnog lanca</w:t>
      </w:r>
      <w:r>
        <w:rPr>
          <w:noProof/>
        </w:rPr>
        <w:footnoteReference w:id="41"/>
      </w:r>
      <w:r>
        <w:rPr>
          <w:noProof/>
        </w:rPr>
        <w:t>; ii. aktivnosti i imovina u okviru sustava EU-a za trgovanje emisijama (ETS) kojima se postižu predviđene emisije stakleničkih plinova koje nisu niže od relevantnih referentnih vrijednosti</w:t>
      </w:r>
      <w:r>
        <w:rPr>
          <w:noProof/>
        </w:rPr>
        <w:footnoteReference w:id="42"/>
      </w:r>
      <w:r>
        <w:rPr>
          <w:noProof/>
        </w:rPr>
        <w:t>; iii. aktivnosti i sredstva povezana s odlagalištima otpada, spalionicama</w:t>
      </w:r>
      <w:r>
        <w:rPr>
          <w:noProof/>
        </w:rPr>
        <w:footnoteReference w:id="43"/>
      </w:r>
      <w:r>
        <w:rPr>
          <w:noProof/>
        </w:rPr>
        <w:t xml:space="preserve"> i postrojenjima za mehaničko-biološku obradu</w:t>
      </w:r>
      <w:r>
        <w:rPr>
          <w:noProof/>
        </w:rPr>
        <w:footnoteReference w:id="44"/>
      </w:r>
      <w:r>
        <w:rPr>
          <w:noProof/>
        </w:rPr>
        <w:t>; i iv. djelatnosti i sredstva u kojima dugoročno odlaganje otpada može naštetiti okolišu.</w:t>
      </w:r>
    </w:p>
    <w:p w14:paraId="52262745" w14:textId="2E480610" w:rsidR="003F46B9" w:rsidRDefault="0065662E">
      <w:pPr>
        <w:pStyle w:val="P68B1DB1-Normal5"/>
        <w:spacing w:before="120" w:after="120" w:line="240" w:lineRule="auto"/>
        <w:jc w:val="both"/>
        <w:rPr>
          <w:rFonts w:cs="Times New Roman"/>
          <w:noProof/>
        </w:rPr>
      </w:pPr>
      <w:r>
        <w:rPr>
          <w:noProof/>
        </w:rPr>
        <w:t xml:space="preserve">Provedba ulaganja mora biti dovršena do 30. </w:t>
      </w:r>
      <w:r>
        <w:rPr>
          <w:noProof/>
        </w:rPr>
        <w:t>lipnja 2024.</w:t>
      </w:r>
    </w:p>
    <w:p w14:paraId="1CBD68A5"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8. Razvoj programa za privlačenje visokospecijaliziranih ljudskih resursa iz inozemstva u aktivnostima istraživanja, razvoja i inovacija </w:t>
      </w:r>
    </w:p>
    <w:p w14:paraId="29644EF8" w14:textId="77777777" w:rsidR="003F46B9" w:rsidRDefault="0065662E">
      <w:pPr>
        <w:pStyle w:val="P68B1DB1-Normal5"/>
        <w:spacing w:before="120" w:after="120" w:line="240" w:lineRule="auto"/>
        <w:jc w:val="both"/>
        <w:rPr>
          <w:rFonts w:cs="Times New Roman"/>
          <w:noProof/>
        </w:rPr>
      </w:pPr>
      <w:r>
        <w:rPr>
          <w:noProof/>
        </w:rPr>
        <w:t>Cilj je ovog ulaganja povećati istraživački kapacitet organizacije za istraživanje, razvoj i ino</w:t>
      </w:r>
      <w:r>
        <w:rPr>
          <w:noProof/>
        </w:rPr>
        <w:t>vacije.</w:t>
      </w:r>
    </w:p>
    <w:p w14:paraId="08364F72" w14:textId="77777777" w:rsidR="003F46B9" w:rsidRDefault="0065662E">
      <w:pPr>
        <w:pStyle w:val="P68B1DB1-Normal5"/>
        <w:spacing w:before="120" w:after="120" w:line="240" w:lineRule="auto"/>
        <w:jc w:val="both"/>
        <w:rPr>
          <w:rFonts w:cs="Times New Roman"/>
          <w:noProof/>
        </w:rPr>
      </w:pPr>
      <w:r>
        <w:rPr>
          <w:noProof/>
        </w:rPr>
        <w:t>Ulaganjem se dodjeljuje financiranje za 100 istraživačkih projekata koje vode vrhunski međunarodni istraživači odabrani na temelju niza kriterija kvalitete. Natjecatelji se odabiru na natjecateljskoj osnovi i povezani su s istraživačkim institucija</w:t>
      </w:r>
      <w:r>
        <w:rPr>
          <w:noProof/>
        </w:rPr>
        <w:t>ma domaćinima u Rumunjskoj te doprinose povećanju istraživačkih kapaciteta organizacije domaćina. Oni su doktorski studij koji su u prethodne tri godine provodili istraživanja izvan Rumunjske. Oni mogu neovisno privući sredstva za svoje istraživačke timove</w:t>
      </w:r>
      <w:r>
        <w:rPr>
          <w:noProof/>
        </w:rPr>
        <w:t xml:space="preserve"> te koordinirati bespovratna sredstva i sredstva za projekte te donositi odluke o dodjeli sredstava. Pritom aktivnosti međunarodnih istraživača koriste radu istraživačkih instituta domaćina.</w:t>
      </w:r>
    </w:p>
    <w:p w14:paraId="2692899B" w14:textId="77777777" w:rsidR="003F46B9" w:rsidRDefault="0065662E">
      <w:pPr>
        <w:pStyle w:val="P68B1DB1-Normal5"/>
        <w:spacing w:before="120" w:after="120" w:line="240" w:lineRule="auto"/>
        <w:jc w:val="both"/>
        <w:rPr>
          <w:rFonts w:cs="Times New Roman"/>
          <w:noProof/>
        </w:rPr>
      </w:pPr>
      <w:r>
        <w:rPr>
          <w:noProof/>
        </w:rPr>
        <w:t>Kako bi se osiguralo da je mjera u skladu s Tehničkim smjernicama</w:t>
      </w:r>
      <w:r>
        <w:rPr>
          <w:noProof/>
        </w:rPr>
        <w:t xml:space="preserve"> o nenanošenju bitne štete (2021/C58/01), istraživački projekti koji se odnose na sljedeći popis aktivnosti i imovine isključuju se iz prihvatljivosti: (i) djelatnosti i imovina povezani s fosilnim gorivima, uključujući uporabu na kraju proizvodnog lanca</w:t>
      </w:r>
      <w:r>
        <w:rPr>
          <w:noProof/>
        </w:rPr>
        <w:footnoteReference w:id="45"/>
      </w:r>
      <w:r>
        <w:rPr>
          <w:noProof/>
        </w:rPr>
        <w:t>;</w:t>
      </w:r>
      <w:r>
        <w:rPr>
          <w:noProof/>
        </w:rPr>
        <w:t xml:space="preserve"> ii. aktivnosti i imovina u okviru sustava EU-a za trgovanje emisijama (ETS) kojima se postižu predviđene emisije stakleničkih plinova koje nisu niže od relevantnih referentnih vrijednosti</w:t>
      </w:r>
      <w:r>
        <w:rPr>
          <w:noProof/>
        </w:rPr>
        <w:footnoteReference w:id="46"/>
      </w:r>
      <w:r>
        <w:rPr>
          <w:noProof/>
        </w:rPr>
        <w:t>; iii. aktivnosti i sredstva povezana s odlagalištima otpada, spali</w:t>
      </w:r>
      <w:r>
        <w:rPr>
          <w:noProof/>
        </w:rPr>
        <w:t>onicama</w:t>
      </w:r>
      <w:r>
        <w:rPr>
          <w:noProof/>
        </w:rPr>
        <w:footnoteReference w:id="47"/>
      </w:r>
      <w:r>
        <w:rPr>
          <w:noProof/>
        </w:rPr>
        <w:t xml:space="preserve"> i postrojenjima za mehaničko-biološku obradu</w:t>
      </w:r>
      <w:r>
        <w:rPr>
          <w:noProof/>
        </w:rPr>
        <w:footnoteReference w:id="48"/>
      </w:r>
      <w:r>
        <w:rPr>
          <w:noProof/>
        </w:rPr>
        <w:t>; i iv. djelatnosti i sredstva u kojima dugoročno odlaganje otpada može naštetiti okolišu.</w:t>
      </w:r>
    </w:p>
    <w:p w14:paraId="5EB5B3D5"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2023.</w:t>
      </w:r>
    </w:p>
    <w:p w14:paraId="7BC0D8E1"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9 – Potpora nositeljima svjedodžbi o izvrsn</w:t>
      </w:r>
      <w:r>
        <w:rPr>
          <w:noProof/>
        </w:rPr>
        <w:t xml:space="preserve">osti primljenih u okviru Nagrade za individualnu stipendiju Marie Sklodowska Curie </w:t>
      </w:r>
    </w:p>
    <w:p w14:paraId="304D1C29" w14:textId="77777777" w:rsidR="003F46B9" w:rsidRDefault="0065662E">
      <w:pPr>
        <w:pStyle w:val="P68B1DB1-Normal5"/>
        <w:spacing w:before="120" w:after="120" w:line="240" w:lineRule="auto"/>
        <w:jc w:val="both"/>
        <w:rPr>
          <w:rFonts w:cs="Times New Roman"/>
          <w:noProof/>
        </w:rPr>
      </w:pPr>
      <w:r>
        <w:rPr>
          <w:noProof/>
        </w:rPr>
        <w:t>Cilj je tog ulaganja povećati privlačnost istraživačke karijere i poduprijeti potvrđena istraživanja u provedbi njihova istraživačkog projekta.</w:t>
      </w:r>
    </w:p>
    <w:p w14:paraId="193E2471" w14:textId="214121A0" w:rsidR="003F46B9" w:rsidRDefault="0065662E">
      <w:pPr>
        <w:pStyle w:val="P68B1DB1-Normal5"/>
        <w:spacing w:before="120" w:after="120" w:line="240" w:lineRule="auto"/>
        <w:jc w:val="both"/>
        <w:rPr>
          <w:rFonts w:cs="Times New Roman"/>
          <w:noProof/>
        </w:rPr>
      </w:pPr>
      <w:r>
        <w:rPr>
          <w:noProof/>
        </w:rPr>
        <w:t>Ulaganjem će se do 31. prosi</w:t>
      </w:r>
      <w:r>
        <w:rPr>
          <w:noProof/>
        </w:rPr>
        <w:t xml:space="preserve">nca 2023. nagraditi najmanje 10 izvrsnih istraživača kojima je dodijeljen Pečat izvrsnosti pojedinačnih stipendija Marie Skłodowska Curie. </w:t>
      </w:r>
    </w:p>
    <w:p w14:paraId="0008CAD6" w14:textId="77777777" w:rsidR="003F46B9" w:rsidRDefault="0065662E">
      <w:pPr>
        <w:pStyle w:val="P68B1DB1-Normal5"/>
        <w:spacing w:before="120" w:after="120" w:line="240" w:lineRule="auto"/>
        <w:jc w:val="both"/>
        <w:rPr>
          <w:rFonts w:cs="Times New Roman"/>
          <w:noProof/>
        </w:rPr>
      </w:pPr>
      <w:r>
        <w:rPr>
          <w:noProof/>
        </w:rPr>
        <w:t>Kako bi se osiguralo da je mjera u skladu s Tehničkim smjernicama o nenanošenju bitne štete (2021/C58/01), istraživa</w:t>
      </w:r>
      <w:r>
        <w:rPr>
          <w:noProof/>
        </w:rPr>
        <w:t>čki projekti koji se odnose na sljedeći popis aktivnosti i imovine isključuju se iz prihvatljivosti: (i) djelatnosti i imovina povezani s fosilnim gorivima, uključujući uporabu na kraju proizvodnog lanca; ii. aktivnosti i imovina u okviru sustava EU-a za t</w:t>
      </w:r>
      <w:r>
        <w:rPr>
          <w:noProof/>
        </w:rPr>
        <w:t>rgovanje emisijama (ETS) kojima se postižu predviđene emisije stakleničkih plinova koje nisu niže od relevantnih referentnih vrijednosti; iii. aktivnosti i sredstva povezana s odlagalištima otpada, spalionicama i postrojenjima za mehaničko-biološku obradu;</w:t>
      </w:r>
      <w:r>
        <w:rPr>
          <w:noProof/>
        </w:rPr>
        <w:t xml:space="preserve"> i iv. djelatnosti i sredstva u kojima dugoročno odlaganje otpada može naštetiti okolišu.</w:t>
      </w:r>
    </w:p>
    <w:p w14:paraId="6C5A27AA"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2023.</w:t>
      </w:r>
    </w:p>
    <w:p w14:paraId="59B0A03D" w14:textId="77777777" w:rsidR="003F46B9" w:rsidRDefault="0065662E">
      <w:pPr>
        <w:pStyle w:val="P68B1DB1-Standard6"/>
        <w:spacing w:before="240"/>
        <w:jc w:val="both"/>
        <w:rPr>
          <w:rFonts w:ascii="Times New Roman" w:eastAsiaTheme="majorEastAsia" w:hAnsi="Times New Roman" w:cs="Times New Roman"/>
          <w:noProof/>
        </w:rPr>
      </w:pPr>
      <w:r>
        <w:rPr>
          <w:noProof/>
        </w:rPr>
        <w:t>Ulaganja 10 – Osnivanje i financijska potpora nacionalne mreže osam regionalnih centara za profesionalno us</w:t>
      </w:r>
      <w:r>
        <w:rPr>
          <w:noProof/>
        </w:rPr>
        <w:t>mjeravanje u okviru Platforme europskog istraživačkog prostora za talente</w:t>
      </w:r>
    </w:p>
    <w:p w14:paraId="680038F9" w14:textId="63C2B08B" w:rsidR="003F46B9" w:rsidRDefault="0065662E">
      <w:pPr>
        <w:pStyle w:val="P68B1DB1-Normal5"/>
        <w:spacing w:before="120" w:after="120" w:line="240" w:lineRule="auto"/>
        <w:jc w:val="both"/>
        <w:rPr>
          <w:rFonts w:cs="Times New Roman"/>
          <w:noProof/>
        </w:rPr>
      </w:pPr>
      <w:r>
        <w:rPr>
          <w:noProof/>
        </w:rPr>
        <w:t xml:space="preserve">Cilj je ovog ulaganja promicanje istraživačke karijere i privlačenje učenika, studenata za provođenje istraživačkih aktivnosti i razvoj interesa građana za istraživanje. </w:t>
      </w:r>
    </w:p>
    <w:p w14:paraId="6B96891D" w14:textId="77777777" w:rsidR="003F46B9" w:rsidRDefault="0065662E">
      <w:pPr>
        <w:pStyle w:val="P68B1DB1-Normal5"/>
        <w:spacing w:before="120" w:after="120" w:line="240" w:lineRule="auto"/>
        <w:jc w:val="both"/>
        <w:rPr>
          <w:rFonts w:cs="Times New Roman"/>
          <w:noProof/>
        </w:rPr>
      </w:pPr>
      <w:r>
        <w:rPr>
          <w:noProof/>
        </w:rPr>
        <w:t>Cilj je ula</w:t>
      </w:r>
      <w:r>
        <w:rPr>
          <w:noProof/>
        </w:rPr>
        <w:t>ganja uspostaviti i učiniti operativnim osam istraživačkih centara za orijentaciju njegovatelja koji će istraživačima pružati profesionalno usmjeravanje, promicati istraživačku profesiju i stvarati izravne sinergije s ulaganjem 4.4. Osam centara također dj</w:t>
      </w:r>
      <w:r>
        <w:rPr>
          <w:noProof/>
        </w:rPr>
        <w:t>eluju kao mreža i postaju jedinstvena ulazna točka za istraživačku karijeru te povezuju istraživačke aktivnosti karijerne orijentacije s obrazovnim programom usmjerenim na znanost s društvom i za društvo, uz istodobno promicanje rumunjskih rezultata istraž</w:t>
      </w:r>
      <w:r>
        <w:rPr>
          <w:noProof/>
        </w:rPr>
        <w:t>ivanja i podizanje svijesti o znanstvenim koristima u društvu.</w:t>
      </w:r>
    </w:p>
    <w:p w14:paraId="09170384"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52EE9AAC"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198"/>
          <w:headerReference w:type="default" r:id="rId199"/>
          <w:footerReference w:type="even" r:id="rId200"/>
          <w:footerReference w:type="default" r:id="rId201"/>
          <w:headerReference w:type="first" r:id="rId202"/>
          <w:footerReference w:type="first" r:id="rId203"/>
          <w:pgSz w:w="11906" w:h="16838"/>
          <w:pgMar w:top="1440" w:right="1440" w:bottom="1440" w:left="1440" w:header="708" w:footer="708" w:gutter="0"/>
          <w:cols w:space="708"/>
          <w:docGrid w:linePitch="360"/>
        </w:sectPr>
      </w:pPr>
    </w:p>
    <w:p w14:paraId="26B08969" w14:textId="77777777" w:rsidR="003F46B9" w:rsidRDefault="0065662E">
      <w:pPr>
        <w:keepNext/>
        <w:numPr>
          <w:ilvl w:val="1"/>
          <w:numId w:val="0"/>
        </w:numPr>
        <w:spacing w:before="120" w:after="120" w:line="240" w:lineRule="auto"/>
        <w:ind w:left="850" w:hanging="130"/>
        <w:jc w:val="both"/>
        <w:outlineLvl w:val="1"/>
        <w:rPr>
          <w:rFonts w:ascii="Times New Roman" w:eastAsiaTheme="majorEastAsia" w:hAnsi="Times New Roman" w:cs="Times New Roman"/>
          <w:b/>
          <w:noProof/>
          <w:sz w:val="24"/>
        </w:rPr>
      </w:pPr>
      <w:r>
        <w:rPr>
          <w:rFonts w:ascii="Times New Roman" w:hAnsi="Times New Roman"/>
          <w:b/>
          <w:noProof/>
          <w:sz w:val="24"/>
        </w:rPr>
        <w:t xml:space="preserve">I.2. </w:t>
      </w:r>
      <w:r>
        <w:rPr>
          <w:noProof/>
        </w:rPr>
        <w:tab/>
      </w:r>
      <w:r>
        <w:rPr>
          <w:rFonts w:ascii="Times New Roman" w:hAnsi="Times New Roman"/>
          <w:b/>
          <w:noProof/>
          <w:sz w:val="24"/>
        </w:rPr>
        <w:t xml:space="preserve">Ključne etape, ciljne vrijednosti, pokazatelji i vremenski raspored za praćenje i provedbu zajma </w:t>
      </w:r>
    </w:p>
    <w:tbl>
      <w:tblPr>
        <w:tblW w:w="15876" w:type="dxa"/>
        <w:jc w:val="center"/>
        <w:tblLayout w:type="fixed"/>
        <w:tblCellMar>
          <w:left w:w="28" w:type="dxa"/>
          <w:right w:w="28" w:type="dxa"/>
        </w:tblCellMar>
        <w:tblLook w:val="04A0" w:firstRow="1" w:lastRow="0" w:firstColumn="1" w:lastColumn="0" w:noHBand="0" w:noVBand="1"/>
      </w:tblPr>
      <w:tblGrid>
        <w:gridCol w:w="606"/>
        <w:gridCol w:w="1844"/>
        <w:gridCol w:w="1089"/>
        <w:gridCol w:w="1496"/>
        <w:gridCol w:w="1766"/>
        <w:gridCol w:w="1558"/>
        <w:gridCol w:w="1299"/>
        <w:gridCol w:w="675"/>
        <w:gridCol w:w="943"/>
        <w:gridCol w:w="840"/>
        <w:gridCol w:w="3760"/>
      </w:tblGrid>
      <w:tr w:rsidR="003F46B9" w14:paraId="1F3C3F41" w14:textId="77777777">
        <w:trPr>
          <w:trHeight w:val="20"/>
          <w:tblHeader/>
          <w:jc w:val="center"/>
        </w:trPr>
        <w:tc>
          <w:tcPr>
            <w:tcW w:w="6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943B36"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B07E0E"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E0A717"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770C8C" w14:textId="77777777" w:rsidR="003F46B9" w:rsidRDefault="0065662E">
            <w:pPr>
              <w:pStyle w:val="P68B1DB1-Normal1"/>
              <w:spacing w:after="0" w:line="240" w:lineRule="auto"/>
              <w:jc w:val="center"/>
              <w:rPr>
                <w:rFonts w:eastAsia="Times New Roman" w:cs="Times New Roman"/>
                <w:noProof/>
              </w:rPr>
            </w:pPr>
            <w:r>
              <w:rPr>
                <w:noProof/>
              </w:rPr>
              <w:t>Ime</w:t>
            </w:r>
          </w:p>
        </w:tc>
        <w:tc>
          <w:tcPr>
            <w:tcW w:w="17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945FB" w14:textId="77777777" w:rsidR="003F46B9" w:rsidRDefault="0065662E">
            <w:pPr>
              <w:pStyle w:val="P68B1DB1-Normal1"/>
              <w:spacing w:after="0" w:line="240" w:lineRule="auto"/>
              <w:jc w:val="center"/>
              <w:rPr>
                <w:rFonts w:eastAsia="Times New Roman" w:cs="Times New Roman"/>
                <w:noProof/>
              </w:rPr>
            </w:pPr>
            <w:r>
              <w:rPr>
                <w:noProof/>
              </w:rPr>
              <w:t>Kvalitativna</w:t>
            </w:r>
          </w:p>
          <w:p w14:paraId="5C6E6FF8"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353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3CA695E" w14:textId="77777777" w:rsidR="003F46B9" w:rsidRDefault="0065662E">
            <w:pPr>
              <w:pStyle w:val="P68B1DB1-Normal1"/>
              <w:spacing w:after="0" w:line="240" w:lineRule="auto"/>
              <w:jc w:val="center"/>
              <w:rPr>
                <w:rFonts w:eastAsia="Times New Roman" w:cs="Times New Roman"/>
                <w:noProof/>
              </w:rPr>
            </w:pPr>
            <w:r>
              <w:rPr>
                <w:noProof/>
              </w:rPr>
              <w:t>Kvantitativne</w:t>
            </w:r>
          </w:p>
          <w:p w14:paraId="573900AE" w14:textId="5ACD032C"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783" w:type="dxa"/>
            <w:gridSpan w:val="2"/>
            <w:tcBorders>
              <w:top w:val="single" w:sz="4" w:space="0" w:color="auto"/>
              <w:left w:val="nil"/>
              <w:bottom w:val="single" w:sz="4" w:space="0" w:color="auto"/>
              <w:right w:val="single" w:sz="4" w:space="0" w:color="auto"/>
            </w:tcBorders>
            <w:shd w:val="clear" w:color="auto" w:fill="BDD7EE"/>
            <w:vAlign w:val="center"/>
            <w:hideMark/>
          </w:tcPr>
          <w:p w14:paraId="40DC02A1" w14:textId="77777777" w:rsidR="003F46B9" w:rsidRDefault="0065662E">
            <w:pPr>
              <w:pStyle w:val="P68B1DB1-Normal1"/>
              <w:spacing w:after="0" w:line="240" w:lineRule="auto"/>
              <w:jc w:val="center"/>
              <w:rPr>
                <w:rFonts w:eastAsia="Times New Roman" w:cs="Times New Roman"/>
                <w:noProof/>
              </w:rPr>
            </w:pPr>
            <w:r>
              <w:rPr>
                <w:noProof/>
              </w:rPr>
              <w:t>Okvirni vremenski raspored</w:t>
            </w:r>
          </w:p>
          <w:p w14:paraId="535DB826" w14:textId="77777777" w:rsidR="003F46B9" w:rsidRDefault="0065662E">
            <w:pPr>
              <w:pStyle w:val="P68B1DB1-Normal1"/>
              <w:spacing w:after="0" w:line="240" w:lineRule="auto"/>
              <w:jc w:val="center"/>
              <w:rPr>
                <w:rFonts w:eastAsia="Times New Roman" w:cs="Times New Roman"/>
                <w:noProof/>
              </w:rPr>
            </w:pPr>
            <w:r>
              <w:rPr>
                <w:noProof/>
              </w:rPr>
              <w:t xml:space="preserve">za završetak </w:t>
            </w:r>
          </w:p>
        </w:tc>
        <w:tc>
          <w:tcPr>
            <w:tcW w:w="3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6E6597"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164EEDAA" w14:textId="77777777">
        <w:trPr>
          <w:trHeight w:val="20"/>
          <w:tblHeader/>
          <w:jc w:val="center"/>
        </w:trPr>
        <w:tc>
          <w:tcPr>
            <w:tcW w:w="606" w:type="dxa"/>
            <w:vMerge/>
            <w:tcBorders>
              <w:top w:val="single" w:sz="4" w:space="0" w:color="auto"/>
              <w:left w:val="single" w:sz="4" w:space="0" w:color="auto"/>
              <w:bottom w:val="single" w:sz="4" w:space="0" w:color="auto"/>
              <w:right w:val="single" w:sz="4" w:space="0" w:color="auto"/>
            </w:tcBorders>
            <w:hideMark/>
          </w:tcPr>
          <w:p w14:paraId="65535B94" w14:textId="77777777" w:rsidR="003F46B9" w:rsidRDefault="003F46B9">
            <w:pPr>
              <w:spacing w:after="0" w:line="240" w:lineRule="auto"/>
              <w:jc w:val="center"/>
              <w:rPr>
                <w:rFonts w:ascii="Times New Roman" w:eastAsia="Times New Roman" w:hAnsi="Times New Roman" w:cs="Times New Roman"/>
                <w:noProof/>
                <w:sz w:val="24"/>
              </w:rPr>
            </w:pPr>
          </w:p>
        </w:tc>
        <w:tc>
          <w:tcPr>
            <w:tcW w:w="1844" w:type="dxa"/>
            <w:vMerge/>
            <w:tcBorders>
              <w:top w:val="single" w:sz="4" w:space="0" w:color="auto"/>
              <w:left w:val="single" w:sz="4" w:space="0" w:color="auto"/>
              <w:bottom w:val="single" w:sz="4" w:space="0" w:color="auto"/>
              <w:right w:val="single" w:sz="4" w:space="0" w:color="auto"/>
            </w:tcBorders>
            <w:hideMark/>
          </w:tcPr>
          <w:p w14:paraId="49ED3B18" w14:textId="77777777" w:rsidR="003F46B9" w:rsidRDefault="003F46B9">
            <w:pPr>
              <w:spacing w:after="0" w:line="240" w:lineRule="auto"/>
              <w:jc w:val="both"/>
              <w:rPr>
                <w:rFonts w:ascii="Times New Roman" w:eastAsia="Times New Roman" w:hAnsi="Times New Roman" w:cs="Times New Roman"/>
                <w:noProof/>
                <w:sz w:val="24"/>
              </w:rPr>
            </w:pPr>
          </w:p>
        </w:tc>
        <w:tc>
          <w:tcPr>
            <w:tcW w:w="1089" w:type="dxa"/>
            <w:vMerge/>
            <w:tcBorders>
              <w:top w:val="single" w:sz="4" w:space="0" w:color="auto"/>
              <w:left w:val="single" w:sz="4" w:space="0" w:color="auto"/>
              <w:bottom w:val="single" w:sz="4" w:space="0" w:color="auto"/>
              <w:right w:val="single" w:sz="4" w:space="0" w:color="auto"/>
            </w:tcBorders>
            <w:hideMark/>
          </w:tcPr>
          <w:p w14:paraId="2D00EB00" w14:textId="77777777" w:rsidR="003F46B9" w:rsidRDefault="003F46B9">
            <w:pPr>
              <w:spacing w:after="0" w:line="240" w:lineRule="auto"/>
              <w:jc w:val="center"/>
              <w:rPr>
                <w:rFonts w:ascii="Times New Roman" w:eastAsia="Times New Roman" w:hAnsi="Times New Roman" w:cs="Times New Roman"/>
                <w:noProof/>
                <w:sz w:val="24"/>
              </w:rPr>
            </w:pPr>
          </w:p>
        </w:tc>
        <w:tc>
          <w:tcPr>
            <w:tcW w:w="1496" w:type="dxa"/>
            <w:vMerge/>
            <w:tcBorders>
              <w:top w:val="single" w:sz="4" w:space="0" w:color="auto"/>
              <w:left w:val="single" w:sz="4" w:space="0" w:color="auto"/>
              <w:bottom w:val="single" w:sz="4" w:space="0" w:color="auto"/>
              <w:right w:val="single" w:sz="4" w:space="0" w:color="auto"/>
            </w:tcBorders>
            <w:hideMark/>
          </w:tcPr>
          <w:p w14:paraId="17442C54" w14:textId="77777777" w:rsidR="003F46B9" w:rsidRDefault="003F46B9">
            <w:pPr>
              <w:spacing w:after="0" w:line="240" w:lineRule="auto"/>
              <w:jc w:val="both"/>
              <w:rPr>
                <w:rFonts w:ascii="Times New Roman" w:eastAsia="Times New Roman" w:hAnsi="Times New Roman" w:cs="Times New Roman"/>
                <w:noProof/>
                <w:sz w:val="24"/>
              </w:rPr>
            </w:pPr>
          </w:p>
        </w:tc>
        <w:tc>
          <w:tcPr>
            <w:tcW w:w="1766" w:type="dxa"/>
            <w:vMerge/>
            <w:tcBorders>
              <w:top w:val="single" w:sz="4" w:space="0" w:color="auto"/>
              <w:left w:val="single" w:sz="4" w:space="0" w:color="auto"/>
              <w:bottom w:val="single" w:sz="4" w:space="0" w:color="auto"/>
              <w:right w:val="single" w:sz="4" w:space="0" w:color="auto"/>
            </w:tcBorders>
            <w:hideMark/>
          </w:tcPr>
          <w:p w14:paraId="2D655760" w14:textId="77777777" w:rsidR="003F46B9" w:rsidRDefault="003F46B9">
            <w:pPr>
              <w:spacing w:after="0" w:line="240" w:lineRule="auto"/>
              <w:jc w:val="both"/>
              <w:rPr>
                <w:rFonts w:ascii="Times New Roman" w:eastAsia="Times New Roman" w:hAnsi="Times New Roman" w:cs="Times New Roman"/>
                <w:noProof/>
                <w:sz w:val="24"/>
              </w:rPr>
            </w:pPr>
          </w:p>
        </w:tc>
        <w:tc>
          <w:tcPr>
            <w:tcW w:w="1558" w:type="dxa"/>
            <w:tcBorders>
              <w:top w:val="nil"/>
              <w:left w:val="single" w:sz="4" w:space="0" w:color="auto"/>
              <w:bottom w:val="single" w:sz="4" w:space="0" w:color="auto"/>
              <w:right w:val="single" w:sz="4" w:space="0" w:color="auto"/>
            </w:tcBorders>
            <w:shd w:val="clear" w:color="auto" w:fill="BDD7EE"/>
            <w:vAlign w:val="center"/>
            <w:hideMark/>
          </w:tcPr>
          <w:p w14:paraId="23D5D4F2" w14:textId="77777777" w:rsidR="003F46B9" w:rsidRDefault="0065662E">
            <w:pPr>
              <w:pStyle w:val="P68B1DB1-Normal1"/>
              <w:spacing w:after="0" w:line="240" w:lineRule="auto"/>
              <w:jc w:val="center"/>
              <w:rPr>
                <w:rFonts w:eastAsia="Times New Roman" w:cs="Times New Roman"/>
                <w:noProof/>
              </w:rPr>
            </w:pPr>
            <w:r>
              <w:rPr>
                <w:noProof/>
              </w:rPr>
              <w:t>Odjel</w:t>
            </w:r>
          </w:p>
          <w:p w14:paraId="5D56FDF0" w14:textId="77777777" w:rsidR="003F46B9" w:rsidRDefault="0065662E">
            <w:pPr>
              <w:pStyle w:val="P68B1DB1-Normal1"/>
              <w:spacing w:after="0" w:line="240" w:lineRule="auto"/>
              <w:jc w:val="center"/>
              <w:rPr>
                <w:rFonts w:eastAsia="Times New Roman" w:cs="Times New Roman"/>
                <w:noProof/>
              </w:rPr>
            </w:pPr>
            <w:r>
              <w:rPr>
                <w:noProof/>
              </w:rPr>
              <w:t>od</w:t>
            </w:r>
          </w:p>
          <w:p w14:paraId="6D58B89A"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299" w:type="dxa"/>
            <w:tcBorders>
              <w:top w:val="nil"/>
              <w:left w:val="nil"/>
              <w:bottom w:val="single" w:sz="4" w:space="0" w:color="auto"/>
              <w:right w:val="single" w:sz="4" w:space="0" w:color="auto"/>
            </w:tcBorders>
            <w:shd w:val="clear" w:color="auto" w:fill="BDD7EE"/>
            <w:vAlign w:val="center"/>
            <w:hideMark/>
          </w:tcPr>
          <w:p w14:paraId="70D4EB85" w14:textId="16C7623D"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675" w:type="dxa"/>
            <w:tcBorders>
              <w:top w:val="nil"/>
              <w:left w:val="nil"/>
              <w:bottom w:val="single" w:sz="4" w:space="0" w:color="auto"/>
              <w:right w:val="single" w:sz="4" w:space="0" w:color="auto"/>
            </w:tcBorders>
            <w:shd w:val="clear" w:color="auto" w:fill="BDD7EE"/>
            <w:vAlign w:val="center"/>
            <w:hideMark/>
          </w:tcPr>
          <w:p w14:paraId="335C41D5"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943" w:type="dxa"/>
            <w:tcBorders>
              <w:top w:val="nil"/>
              <w:left w:val="nil"/>
              <w:bottom w:val="single" w:sz="4" w:space="0" w:color="auto"/>
              <w:right w:val="single" w:sz="4" w:space="0" w:color="auto"/>
            </w:tcBorders>
            <w:shd w:val="clear" w:color="auto" w:fill="BDD7EE"/>
            <w:vAlign w:val="center"/>
            <w:hideMark/>
          </w:tcPr>
          <w:p w14:paraId="75564D3C"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40" w:type="dxa"/>
            <w:tcBorders>
              <w:top w:val="nil"/>
              <w:left w:val="nil"/>
              <w:bottom w:val="single" w:sz="4" w:space="0" w:color="auto"/>
              <w:right w:val="single" w:sz="4" w:space="0" w:color="auto"/>
            </w:tcBorders>
            <w:shd w:val="clear" w:color="auto" w:fill="BDD7EE"/>
            <w:vAlign w:val="center"/>
            <w:hideMark/>
          </w:tcPr>
          <w:p w14:paraId="0ADDF43B"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760" w:type="dxa"/>
            <w:vMerge/>
            <w:tcBorders>
              <w:top w:val="single" w:sz="4" w:space="0" w:color="auto"/>
              <w:bottom w:val="single" w:sz="4" w:space="0" w:color="auto"/>
              <w:right w:val="single" w:sz="4" w:space="0" w:color="auto"/>
            </w:tcBorders>
            <w:hideMark/>
          </w:tcPr>
          <w:p w14:paraId="7FEF319A"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56CB0D47"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D004B07" w14:textId="77777777" w:rsidR="003F46B9" w:rsidRDefault="0065662E">
            <w:pPr>
              <w:pStyle w:val="P68B1DB1-Normal5"/>
              <w:spacing w:after="0" w:line="240" w:lineRule="auto"/>
              <w:jc w:val="center"/>
              <w:rPr>
                <w:rFonts w:cs="Times New Roman"/>
                <w:noProof/>
              </w:rPr>
            </w:pPr>
            <w:r>
              <w:rPr>
                <w:noProof/>
              </w:rPr>
              <w:t>241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F4B3531" w14:textId="77777777" w:rsidR="003F46B9" w:rsidRDefault="0065662E">
            <w:pPr>
              <w:pStyle w:val="P68B1DB1-Normal5"/>
              <w:spacing w:after="0" w:line="240" w:lineRule="auto"/>
              <w:jc w:val="both"/>
              <w:rPr>
                <w:rFonts w:cs="Times New Roman"/>
                <w:noProof/>
              </w:rPr>
            </w:pPr>
            <w:r>
              <w:rPr>
                <w:noProof/>
              </w:rPr>
              <w:t xml:space="preserve">Reforma 1. Zakonodavna transparentnost, debirokratizacija i pojednostavnjenje postupaka za poduzeća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447723"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49B477E" w14:textId="77777777" w:rsidR="003F46B9" w:rsidRDefault="0065662E">
            <w:pPr>
              <w:pStyle w:val="P68B1DB1-Normal5"/>
              <w:spacing w:after="0" w:line="240" w:lineRule="auto"/>
              <w:jc w:val="both"/>
              <w:rPr>
                <w:rFonts w:cs="Times New Roman"/>
                <w:noProof/>
              </w:rPr>
            </w:pPr>
            <w:r>
              <w:rPr>
                <w:noProof/>
              </w:rPr>
              <w:t xml:space="preserve">Stupanje na snagu zakonodavnih izmjena radi racionalizacije, pojednostavnjenja i potpune digitalizacije poslovnih postupaka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4127514" w14:textId="3B278AAC" w:rsidR="003F46B9" w:rsidRDefault="0065662E">
            <w:pPr>
              <w:pStyle w:val="P68B1DB1-Normal5"/>
              <w:spacing w:after="0" w:line="240" w:lineRule="auto"/>
              <w:jc w:val="both"/>
              <w:rPr>
                <w:rFonts w:cs="Times New Roman"/>
                <w:noProof/>
              </w:rPr>
            </w:pPr>
            <w:r>
              <w:rPr>
                <w:noProof/>
              </w:rPr>
              <w:t>I. odredba u zakon</w:t>
            </w:r>
            <w:r>
              <w:rPr>
                <w:noProof/>
              </w:rPr>
              <w:t xml:space="preserve">u o stupanju na snagu i. Zakona br. 31/1990 – Pravo trgovačkih društava, ii. Zakona br. 26/1990, ponovno objavljenog, o registru trgovačkih društava, iii. Uredbe sa zakonskom snagom br. 122/1990 o odobrenju i funkcioniranju predstavnika stranih trgovačkih </w:t>
            </w:r>
            <w:r>
              <w:rPr>
                <w:noProof/>
              </w:rPr>
              <w:t xml:space="preserve">društava i gospodarskih organizacija u Rumunjskoj i iv. Zakona br. 53/2003 – Zakon o radu </w:t>
            </w:r>
          </w:p>
        </w:tc>
        <w:tc>
          <w:tcPr>
            <w:tcW w:w="1558" w:type="dxa"/>
            <w:tcBorders>
              <w:top w:val="nil"/>
              <w:left w:val="single" w:sz="4" w:space="0" w:color="auto"/>
              <w:bottom w:val="single" w:sz="4" w:space="0" w:color="auto"/>
              <w:right w:val="single" w:sz="4" w:space="0" w:color="auto"/>
            </w:tcBorders>
            <w:shd w:val="clear" w:color="auto" w:fill="C6EFCE"/>
            <w:noWrap/>
          </w:tcPr>
          <w:p w14:paraId="132264F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29885CB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6F5A353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72B88387"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2B9AB852"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699DF961" w14:textId="77777777" w:rsidR="003F46B9" w:rsidRDefault="0065662E">
            <w:pPr>
              <w:pStyle w:val="P68B1DB1-Normal5"/>
              <w:spacing w:after="0" w:line="240" w:lineRule="auto"/>
              <w:jc w:val="both"/>
              <w:rPr>
                <w:rFonts w:cs="Times New Roman"/>
                <w:noProof/>
              </w:rPr>
            </w:pPr>
            <w:r>
              <w:rPr>
                <w:noProof/>
              </w:rPr>
              <w:t>Zakonodavnim promjenama smanjuje se administrativno opterećenje poslovnog okruženja pojednostavnjenjem zakonodavstva/postupka osnivanja/izlaza</w:t>
            </w:r>
            <w:r>
              <w:rPr>
                <w:noProof/>
              </w:rPr>
              <w:t xml:space="preserve"> za poduzeća, posebno sljedećih postupaka:</w:t>
            </w:r>
          </w:p>
          <w:p w14:paraId="6C74E50A" w14:textId="77777777" w:rsidR="003F46B9" w:rsidRDefault="0065662E">
            <w:pPr>
              <w:pStyle w:val="P68B1DB1-Normal5"/>
              <w:spacing w:after="0" w:line="240" w:lineRule="auto"/>
              <w:jc w:val="both"/>
              <w:rPr>
                <w:rFonts w:cs="Times New Roman"/>
                <w:noProof/>
              </w:rPr>
            </w:pPr>
            <w:r>
              <w:rPr>
                <w:noProof/>
              </w:rPr>
              <w:t xml:space="preserve">(a) osnuje poduzeće, izlazi s tržišta/zatvore poduzeće; </w:t>
            </w:r>
          </w:p>
          <w:p w14:paraId="5B839290" w14:textId="77777777" w:rsidR="003F46B9" w:rsidRDefault="0065662E">
            <w:pPr>
              <w:pStyle w:val="P68B1DB1-Normal5"/>
              <w:spacing w:after="0" w:line="240" w:lineRule="auto"/>
              <w:jc w:val="both"/>
              <w:rPr>
                <w:rFonts w:cs="Times New Roman"/>
                <w:noProof/>
              </w:rPr>
            </w:pPr>
            <w:r>
              <w:rPr>
                <w:noProof/>
              </w:rPr>
              <w:t xml:space="preserve">b) racionalizaciju, pojednostavnjenje i digitalizaciju postupaka za odobravanje i djelovanje stranih predstavništava u Rumunjskoj; </w:t>
            </w:r>
          </w:p>
          <w:p w14:paraId="619A87BC" w14:textId="77777777" w:rsidR="003F46B9" w:rsidRDefault="0065662E">
            <w:pPr>
              <w:pStyle w:val="P68B1DB1-Normal5"/>
              <w:spacing w:after="0" w:line="240" w:lineRule="auto"/>
              <w:jc w:val="both"/>
              <w:rPr>
                <w:rFonts w:cs="Times New Roman"/>
                <w:noProof/>
              </w:rPr>
            </w:pPr>
            <w:r>
              <w:rPr>
                <w:noProof/>
              </w:rPr>
              <w:t>C) izvješćivanje o obvez</w:t>
            </w:r>
            <w:r>
              <w:rPr>
                <w:noProof/>
              </w:rPr>
              <w:t>ama poduzeća na tržištu rada i drugo obvezno izvješćivanje</w:t>
            </w:r>
          </w:p>
          <w:p w14:paraId="005626F2" w14:textId="77777777" w:rsidR="003F46B9" w:rsidRDefault="0065662E">
            <w:pPr>
              <w:pStyle w:val="P68B1DB1-Normal5"/>
              <w:spacing w:after="0" w:line="240" w:lineRule="auto"/>
              <w:jc w:val="both"/>
              <w:rPr>
                <w:rFonts w:cs="Times New Roman"/>
                <w:noProof/>
              </w:rPr>
            </w:pPr>
            <w:r>
              <w:rPr>
                <w:noProof/>
              </w:rPr>
              <w:t>Zakonodavne izmjene provode se u pogledu sljedećih normativnih akata:</w:t>
            </w:r>
          </w:p>
          <w:p w14:paraId="0420B7C2" w14:textId="77777777" w:rsidR="003F46B9" w:rsidRDefault="0065662E">
            <w:pPr>
              <w:pStyle w:val="P68B1DB1-Normal5"/>
              <w:spacing w:after="0" w:line="240" w:lineRule="auto"/>
              <w:jc w:val="both"/>
              <w:rPr>
                <w:rFonts w:cs="Times New Roman"/>
                <w:noProof/>
              </w:rPr>
            </w:pPr>
            <w:r>
              <w:rPr>
                <w:noProof/>
              </w:rPr>
              <w:t>—Pravo trgovačkih društava br. 31/1990, koje je pokrenulo Ministarstvo pravosuđa;</w:t>
            </w:r>
          </w:p>
          <w:p w14:paraId="76363689" w14:textId="77777777" w:rsidR="003F46B9" w:rsidRDefault="0065662E">
            <w:pPr>
              <w:pStyle w:val="P68B1DB1-Normal5"/>
              <w:spacing w:after="0" w:line="240" w:lineRule="auto"/>
              <w:jc w:val="both"/>
              <w:rPr>
                <w:rFonts w:cs="Times New Roman"/>
                <w:noProof/>
              </w:rPr>
            </w:pPr>
            <w:r>
              <w:rPr>
                <w:noProof/>
              </w:rPr>
              <w:t>Zakon br. 26/1990, ponovno objavljen, o regis</w:t>
            </w:r>
            <w:r>
              <w:rPr>
                <w:noProof/>
              </w:rPr>
              <w:t>tru trgovačkih društava;</w:t>
            </w:r>
          </w:p>
          <w:p w14:paraId="18D722AA" w14:textId="77777777" w:rsidR="003F46B9" w:rsidRDefault="0065662E">
            <w:pPr>
              <w:pStyle w:val="P68B1DB1-Normal5"/>
              <w:spacing w:after="0" w:line="240" w:lineRule="auto"/>
              <w:jc w:val="both"/>
              <w:rPr>
                <w:rFonts w:cs="Times New Roman"/>
                <w:noProof/>
              </w:rPr>
            </w:pPr>
            <w:r>
              <w:rPr>
                <w:noProof/>
              </w:rPr>
              <w:t>—Uredba sa zakonskom snagom br. 122/1990 o odobravanju i funkcioniranju predstavnika stranih trgovačkih društava i gospodarskih organizacija u Rumunjskoj, koju je pokrenulo Ministarstvo gospodarstva, poduzetništva i turizma;</w:t>
            </w:r>
          </w:p>
          <w:p w14:paraId="10598EE1" w14:textId="305D8D55" w:rsidR="003F46B9" w:rsidRDefault="0065662E">
            <w:pPr>
              <w:pStyle w:val="P68B1DB1-Normal5"/>
              <w:spacing w:after="0" w:line="240" w:lineRule="auto"/>
              <w:jc w:val="both"/>
              <w:rPr>
                <w:rFonts w:cs="Times New Roman"/>
                <w:noProof/>
              </w:rPr>
            </w:pPr>
            <w:r>
              <w:rPr>
                <w:noProof/>
              </w:rPr>
              <w:t xml:space="preserve">Zakon </w:t>
            </w:r>
            <w:r>
              <w:rPr>
                <w:noProof/>
              </w:rPr>
              <w:t>br. 53/2003 o Zakoniku o radu, koji je pokrenulo Ministarstvo rada i socijalne zaštite</w:t>
            </w:r>
          </w:p>
        </w:tc>
      </w:tr>
      <w:tr w:rsidR="003F46B9" w14:paraId="05AE8DE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6C937D5" w14:textId="77777777" w:rsidR="003F46B9" w:rsidRDefault="0065662E">
            <w:pPr>
              <w:pStyle w:val="P68B1DB1-Normal5"/>
              <w:spacing w:after="0" w:line="240" w:lineRule="auto"/>
              <w:jc w:val="center"/>
              <w:rPr>
                <w:rFonts w:cs="Times New Roman"/>
                <w:noProof/>
              </w:rPr>
            </w:pPr>
            <w:r>
              <w:rPr>
                <w:noProof/>
              </w:rPr>
              <w:t>242</w:t>
            </w:r>
          </w:p>
        </w:tc>
        <w:tc>
          <w:tcPr>
            <w:tcW w:w="1844" w:type="dxa"/>
            <w:tcBorders>
              <w:top w:val="nil"/>
              <w:left w:val="single" w:sz="4" w:space="0" w:color="auto"/>
              <w:bottom w:val="single" w:sz="4" w:space="0" w:color="auto"/>
              <w:right w:val="single" w:sz="4" w:space="0" w:color="auto"/>
            </w:tcBorders>
            <w:shd w:val="clear" w:color="auto" w:fill="C6EFCE"/>
            <w:noWrap/>
          </w:tcPr>
          <w:p w14:paraId="306FB475" w14:textId="4D33574C" w:rsidR="003F46B9" w:rsidRDefault="0065662E">
            <w:pPr>
              <w:pStyle w:val="P68B1DB1-Normal5"/>
              <w:spacing w:after="0" w:line="240" w:lineRule="auto"/>
              <w:jc w:val="both"/>
              <w:rPr>
                <w:rFonts w:cs="Times New Roman"/>
                <w:noProof/>
              </w:rPr>
            </w:pPr>
            <w:r>
              <w:rPr>
                <w:noProof/>
              </w:rPr>
              <w:t xml:space="preserve">Reforma 1. Zakonodavna transparentnost, debirokratizacija i pojednostavnjenje postupaka za poduzeća </w:t>
            </w:r>
          </w:p>
        </w:tc>
        <w:tc>
          <w:tcPr>
            <w:tcW w:w="1089" w:type="dxa"/>
            <w:tcBorders>
              <w:top w:val="nil"/>
              <w:left w:val="single" w:sz="4" w:space="0" w:color="auto"/>
              <w:bottom w:val="single" w:sz="4" w:space="0" w:color="auto"/>
              <w:right w:val="single" w:sz="4" w:space="0" w:color="auto"/>
            </w:tcBorders>
            <w:shd w:val="clear" w:color="auto" w:fill="C6EFCE"/>
            <w:noWrap/>
          </w:tcPr>
          <w:p w14:paraId="486AAA52"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3F14E002" w14:textId="77777777" w:rsidR="003F46B9" w:rsidRDefault="0065662E">
            <w:pPr>
              <w:pStyle w:val="P68B1DB1-Normal5"/>
              <w:spacing w:after="0" w:line="240" w:lineRule="auto"/>
              <w:jc w:val="both"/>
              <w:rPr>
                <w:rFonts w:cs="Times New Roman"/>
                <w:noProof/>
              </w:rPr>
            </w:pPr>
            <w:r>
              <w:rPr>
                <w:noProof/>
              </w:rPr>
              <w:t xml:space="preserve">Stupanje na snagu zakonodavnih izmjena kako bi se </w:t>
            </w:r>
            <w:r>
              <w:rPr>
                <w:noProof/>
              </w:rPr>
              <w:t>pojednostavnilo i učinilo provođenje testa utjecaja zakonodavstva na MSP-ove transparentnim i primjenjivim</w:t>
            </w:r>
          </w:p>
        </w:tc>
        <w:tc>
          <w:tcPr>
            <w:tcW w:w="1766" w:type="dxa"/>
            <w:tcBorders>
              <w:top w:val="nil"/>
              <w:left w:val="single" w:sz="4" w:space="0" w:color="auto"/>
              <w:bottom w:val="single" w:sz="4" w:space="0" w:color="auto"/>
              <w:right w:val="single" w:sz="4" w:space="0" w:color="auto"/>
            </w:tcBorders>
            <w:shd w:val="clear" w:color="auto" w:fill="C6EFCE"/>
            <w:noWrap/>
          </w:tcPr>
          <w:p w14:paraId="1EE28CDD" w14:textId="77777777" w:rsidR="003F46B9" w:rsidRDefault="0065662E">
            <w:pPr>
              <w:pStyle w:val="P68B1DB1-Normal5"/>
              <w:spacing w:after="0" w:line="240" w:lineRule="auto"/>
              <w:jc w:val="both"/>
              <w:rPr>
                <w:rFonts w:cs="Times New Roman"/>
                <w:noProof/>
              </w:rPr>
            </w:pPr>
            <w:r>
              <w:rPr>
                <w:noProof/>
              </w:rPr>
              <w:t>Odredba zakona o stupanju na snagu Zakona br. 346/2004 o promicanju osnivanja i razvoja malih i srednjih poduzeća</w:t>
            </w:r>
          </w:p>
        </w:tc>
        <w:tc>
          <w:tcPr>
            <w:tcW w:w="1558" w:type="dxa"/>
            <w:tcBorders>
              <w:top w:val="nil"/>
              <w:left w:val="single" w:sz="4" w:space="0" w:color="auto"/>
              <w:bottom w:val="single" w:sz="4" w:space="0" w:color="auto"/>
              <w:right w:val="single" w:sz="4" w:space="0" w:color="auto"/>
            </w:tcBorders>
            <w:shd w:val="clear" w:color="auto" w:fill="C6EFCE"/>
            <w:noWrap/>
          </w:tcPr>
          <w:p w14:paraId="7442AF7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3D53008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3448758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5AD20CF1"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47476346"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18B85996" w14:textId="77777777" w:rsidR="003F46B9" w:rsidRDefault="0065662E">
            <w:pPr>
              <w:pStyle w:val="P68B1DB1-Normal5"/>
              <w:spacing w:after="0" w:line="240" w:lineRule="auto"/>
              <w:jc w:val="both"/>
              <w:rPr>
                <w:rFonts w:cs="Times New Roman"/>
                <w:noProof/>
              </w:rPr>
            </w:pPr>
            <w:r>
              <w:rPr>
                <w:noProof/>
              </w:rPr>
              <w:t xml:space="preserve">Zakonodavne </w:t>
            </w:r>
            <w:r>
              <w:rPr>
                <w:noProof/>
              </w:rPr>
              <w:t xml:space="preserve">promjene povezane su s testom utjecaja zakonodavstva na MSP-ove (ex ante evaluacija gospodarskog, socijalnog i ekološkog učinka zakonodavnih prijedloga na MSP-ove). </w:t>
            </w:r>
          </w:p>
          <w:p w14:paraId="73518B35" w14:textId="77777777" w:rsidR="003F46B9" w:rsidRDefault="0065662E">
            <w:pPr>
              <w:pStyle w:val="P68B1DB1-Normal5"/>
              <w:spacing w:after="0" w:line="240" w:lineRule="auto"/>
              <w:jc w:val="both"/>
              <w:rPr>
                <w:rFonts w:cs="Times New Roman"/>
                <w:noProof/>
              </w:rPr>
            </w:pPr>
            <w:r>
              <w:rPr>
                <w:noProof/>
              </w:rPr>
              <w:t>Izmjenama se osigurava sljedeće:</w:t>
            </w:r>
          </w:p>
          <w:p w14:paraId="1A56678B" w14:textId="77777777" w:rsidR="003F46B9" w:rsidRDefault="0065662E">
            <w:pPr>
              <w:pStyle w:val="P68B1DB1-Normal5"/>
              <w:numPr>
                <w:ilvl w:val="0"/>
                <w:numId w:val="70"/>
              </w:numPr>
              <w:spacing w:before="120" w:after="0" w:line="240" w:lineRule="auto"/>
              <w:ind w:left="299" w:hanging="218"/>
              <w:contextualSpacing/>
              <w:jc w:val="both"/>
              <w:rPr>
                <w:rFonts w:cs="Times New Roman"/>
                <w:noProof/>
              </w:rPr>
            </w:pPr>
            <w:r>
              <w:rPr>
                <w:noProof/>
              </w:rPr>
              <w:t>Provedeno je savjetovanje s većim i reprezentativnim uzor</w:t>
            </w:r>
            <w:r>
              <w:rPr>
                <w:noProof/>
              </w:rPr>
              <w:t>kom MSP-ova</w:t>
            </w:r>
          </w:p>
          <w:p w14:paraId="7FCEF990" w14:textId="77777777" w:rsidR="003F46B9" w:rsidRDefault="0065662E">
            <w:pPr>
              <w:pStyle w:val="P68B1DB1-Normal5"/>
              <w:numPr>
                <w:ilvl w:val="0"/>
                <w:numId w:val="70"/>
              </w:numPr>
              <w:spacing w:before="120" w:after="0" w:line="240" w:lineRule="auto"/>
              <w:ind w:left="299" w:hanging="218"/>
              <w:contextualSpacing/>
              <w:jc w:val="both"/>
              <w:rPr>
                <w:rFonts w:cs="Times New Roman"/>
                <w:noProof/>
              </w:rPr>
            </w:pPr>
            <w:r>
              <w:rPr>
                <w:noProof/>
              </w:rPr>
              <w:t>rezultati testa utjecaja zakonodavstva na MSP-ove za svaki zakonodavni prijedlog objavljuju se u roku od 30 dana.</w:t>
            </w:r>
          </w:p>
          <w:p w14:paraId="424900C0" w14:textId="77777777" w:rsidR="003F46B9" w:rsidRDefault="0065662E">
            <w:pPr>
              <w:pStyle w:val="P68B1DB1-Normal5"/>
              <w:numPr>
                <w:ilvl w:val="0"/>
                <w:numId w:val="70"/>
              </w:numPr>
              <w:spacing w:before="120" w:after="0" w:line="240" w:lineRule="auto"/>
              <w:ind w:left="299" w:hanging="218"/>
              <w:contextualSpacing/>
              <w:jc w:val="both"/>
              <w:rPr>
                <w:rFonts w:cs="Times New Roman"/>
                <w:noProof/>
              </w:rPr>
            </w:pPr>
            <w:r>
              <w:rPr>
                <w:noProof/>
              </w:rPr>
              <w:t>rezultati testa utjecaja zakonodavstva na MSP-ove ugrađeni su u zakonodavni prijedlog/izmjene povezane s MSP-ovima.</w:t>
            </w:r>
          </w:p>
        </w:tc>
      </w:tr>
      <w:tr w:rsidR="003F46B9" w14:paraId="059896A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486D40D" w14:textId="77777777" w:rsidR="003F46B9" w:rsidRDefault="0065662E">
            <w:pPr>
              <w:pStyle w:val="P68B1DB1-Normal5"/>
              <w:spacing w:after="0" w:line="240" w:lineRule="auto"/>
              <w:jc w:val="center"/>
              <w:rPr>
                <w:rFonts w:cs="Times New Roman"/>
                <w:noProof/>
              </w:rPr>
            </w:pPr>
            <w:r>
              <w:rPr>
                <w:noProof/>
              </w:rPr>
              <w:t>243</w:t>
            </w:r>
          </w:p>
        </w:tc>
        <w:tc>
          <w:tcPr>
            <w:tcW w:w="1844" w:type="dxa"/>
            <w:tcBorders>
              <w:top w:val="nil"/>
              <w:left w:val="single" w:sz="4" w:space="0" w:color="auto"/>
              <w:bottom w:val="single" w:sz="4" w:space="0" w:color="auto"/>
              <w:right w:val="single" w:sz="4" w:space="0" w:color="auto"/>
            </w:tcBorders>
            <w:shd w:val="clear" w:color="auto" w:fill="C6EFCE"/>
            <w:noWrap/>
          </w:tcPr>
          <w:p w14:paraId="1381B73D" w14:textId="7AD7B62F" w:rsidR="003F46B9" w:rsidRDefault="0065662E">
            <w:pPr>
              <w:pStyle w:val="P68B1DB1-Normal5"/>
              <w:spacing w:after="0" w:line="240" w:lineRule="auto"/>
              <w:jc w:val="both"/>
              <w:rPr>
                <w:rFonts w:cs="Times New Roman"/>
                <w:noProof/>
              </w:rPr>
            </w:pPr>
            <w:r>
              <w:rPr>
                <w:noProof/>
              </w:rPr>
              <w:t xml:space="preserve">Reforma 1. Zakonodavna transparentnost, debirokratizacija i pojednostavnjenje postupaka za poduzeća </w:t>
            </w:r>
          </w:p>
        </w:tc>
        <w:tc>
          <w:tcPr>
            <w:tcW w:w="1089" w:type="dxa"/>
            <w:tcBorders>
              <w:top w:val="nil"/>
              <w:left w:val="single" w:sz="4" w:space="0" w:color="auto"/>
              <w:bottom w:val="single" w:sz="4" w:space="0" w:color="auto"/>
              <w:right w:val="single" w:sz="4" w:space="0" w:color="auto"/>
            </w:tcBorders>
            <w:shd w:val="clear" w:color="auto" w:fill="C6EFCE"/>
            <w:noWrap/>
          </w:tcPr>
          <w:p w14:paraId="725F61B2"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5033CEE4" w14:textId="77777777" w:rsidR="003F46B9" w:rsidRDefault="0065662E">
            <w:pPr>
              <w:pStyle w:val="P68B1DB1-Normal5"/>
              <w:spacing w:after="0" w:line="240" w:lineRule="auto"/>
              <w:jc w:val="both"/>
              <w:rPr>
                <w:rFonts w:cs="Times New Roman"/>
                <w:noProof/>
              </w:rPr>
            </w:pPr>
            <w:r>
              <w:rPr>
                <w:noProof/>
              </w:rPr>
              <w:t xml:space="preserve">Stupanje na snagu zakona „jedinstvena industrijska dozvola” </w:t>
            </w:r>
          </w:p>
        </w:tc>
        <w:tc>
          <w:tcPr>
            <w:tcW w:w="1766" w:type="dxa"/>
            <w:tcBorders>
              <w:top w:val="nil"/>
              <w:left w:val="single" w:sz="4" w:space="0" w:color="auto"/>
              <w:bottom w:val="single" w:sz="4" w:space="0" w:color="auto"/>
              <w:right w:val="single" w:sz="4" w:space="0" w:color="auto"/>
            </w:tcBorders>
            <w:shd w:val="clear" w:color="auto" w:fill="C6EFCE"/>
            <w:noWrap/>
          </w:tcPr>
          <w:p w14:paraId="6E94E9F3" w14:textId="77777777" w:rsidR="003F46B9" w:rsidRDefault="0065662E">
            <w:pPr>
              <w:pStyle w:val="P68B1DB1-Normal5"/>
              <w:spacing w:after="0" w:line="240" w:lineRule="auto"/>
              <w:jc w:val="both"/>
              <w:rPr>
                <w:rFonts w:cs="Times New Roman"/>
                <w:noProof/>
              </w:rPr>
            </w:pPr>
            <w:r>
              <w:rPr>
                <w:noProof/>
              </w:rPr>
              <w:t>Zakonska odredba o stupanju na snagu jedinstvene industrijske dozvole</w:t>
            </w:r>
          </w:p>
        </w:tc>
        <w:tc>
          <w:tcPr>
            <w:tcW w:w="1558" w:type="dxa"/>
            <w:tcBorders>
              <w:top w:val="nil"/>
              <w:left w:val="single" w:sz="4" w:space="0" w:color="auto"/>
              <w:bottom w:val="single" w:sz="4" w:space="0" w:color="auto"/>
              <w:right w:val="single" w:sz="4" w:space="0" w:color="auto"/>
            </w:tcBorders>
            <w:shd w:val="clear" w:color="auto" w:fill="C6EFCE"/>
            <w:noWrap/>
          </w:tcPr>
          <w:p w14:paraId="61E0096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99" w:type="dxa"/>
            <w:tcBorders>
              <w:top w:val="nil"/>
              <w:left w:val="single" w:sz="4" w:space="0" w:color="auto"/>
              <w:bottom w:val="single" w:sz="4" w:space="0" w:color="auto"/>
              <w:right w:val="single" w:sz="4" w:space="0" w:color="auto"/>
            </w:tcBorders>
            <w:shd w:val="clear" w:color="auto" w:fill="C6EFCE"/>
            <w:noWrap/>
          </w:tcPr>
          <w:p w14:paraId="6AD5DDFA"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675" w:type="dxa"/>
            <w:tcBorders>
              <w:top w:val="nil"/>
              <w:left w:val="single" w:sz="4" w:space="0" w:color="auto"/>
              <w:bottom w:val="single" w:sz="4" w:space="0" w:color="auto"/>
              <w:right w:val="single" w:sz="4" w:space="0" w:color="auto"/>
            </w:tcBorders>
            <w:shd w:val="clear" w:color="auto" w:fill="C6EFCE"/>
            <w:noWrap/>
          </w:tcPr>
          <w:p w14:paraId="29B1C20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3" w:type="dxa"/>
            <w:tcBorders>
              <w:top w:val="nil"/>
              <w:left w:val="single" w:sz="4" w:space="0" w:color="auto"/>
              <w:bottom w:val="single" w:sz="4" w:space="0" w:color="auto"/>
              <w:right w:val="single" w:sz="4" w:space="0" w:color="auto"/>
            </w:tcBorders>
            <w:shd w:val="clear" w:color="auto" w:fill="C6EFCE"/>
            <w:noWrap/>
          </w:tcPr>
          <w:p w14:paraId="236E1483"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5115AA60"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4735F4F9" w14:textId="77777777" w:rsidR="003F46B9" w:rsidRDefault="0065662E">
            <w:pPr>
              <w:pStyle w:val="P68B1DB1-Normal5"/>
              <w:spacing w:after="0" w:line="240" w:lineRule="auto"/>
              <w:jc w:val="both"/>
              <w:rPr>
                <w:rFonts w:cs="Times New Roman"/>
                <w:noProof/>
              </w:rPr>
            </w:pPr>
            <w:r>
              <w:rPr>
                <w:noProof/>
              </w:rPr>
              <w:t xml:space="preserve">Pravom jedinstvene industrijske licencije osigurava se: </w:t>
            </w:r>
          </w:p>
          <w:p w14:paraId="7C03D4F6"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reorganizaciju postupaka potrebnih za dobivanje dozvola povezanih s industrijom,</w:t>
            </w:r>
          </w:p>
          <w:p w14:paraId="3A0DDFC6"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 xml:space="preserve"> uključivanje postojećih sektorskih dozvola u jedinstveni pojednostavnjeni postupak, </w:t>
            </w:r>
          </w:p>
          <w:p w14:paraId="414E72E4"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preobli</w:t>
            </w:r>
            <w:r>
              <w:rPr>
                <w:noProof/>
              </w:rPr>
              <w:t xml:space="preserve">kovanje postupaka podnošenja zahtjeva, institucija koordinacijskog tijela, međuministarske radne skupine za koordinaciju tih postupaka, </w:t>
            </w:r>
          </w:p>
          <w:p w14:paraId="799A6500"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 xml:space="preserve">ukidanje dvostrukih kontrola i zahtjeva za nepotrebnu obnovu dozvole, </w:t>
            </w:r>
          </w:p>
          <w:p w14:paraId="3321987A"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Stvaranje taksonomije vrsta dozvola u skladu s n</w:t>
            </w:r>
            <w:r>
              <w:rPr>
                <w:noProof/>
              </w:rPr>
              <w:t xml:space="preserve">jihovim glavnim značajkama i značajkama </w:t>
            </w:r>
          </w:p>
          <w:p w14:paraId="2AE35451"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 xml:space="preserve">izmjena zakona iz 2003. kojom se uspostavlja politika „prešutnja je pristanak” – Izvanredna uredba Vlade br. 27/2003 – čiji je cilj određivanje vremenskog okvira za prešutno odobrenje (prešutnost je pristanak) koja </w:t>
            </w:r>
            <w:r>
              <w:rPr>
                <w:noProof/>
              </w:rPr>
              <w:t>stupa na snagu kada elektronička platforma registrira zahtjev za izdavanje dozvole. Zahtjev za izdavanje dozvole izdaje se automatski ako/kada dođe do prešutnog odobrenja;</w:t>
            </w:r>
          </w:p>
          <w:p w14:paraId="6E2672A7"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Donošenje načela „samo jednom” u rumunjskom zakonodavstvu kojim se omogućuje pravo u</w:t>
            </w:r>
            <w:r>
              <w:rPr>
                <w:noProof/>
              </w:rPr>
              <w:t>lagača da budu obvezni javnim institucijama dostaviti iste informacije ili dokumente samo jednom;</w:t>
            </w:r>
          </w:p>
          <w:p w14:paraId="54095898" w14:textId="77777777" w:rsidR="003F46B9" w:rsidRDefault="0065662E">
            <w:pPr>
              <w:pStyle w:val="P68B1DB1-Normal5"/>
              <w:numPr>
                <w:ilvl w:val="0"/>
                <w:numId w:val="72"/>
              </w:numPr>
              <w:spacing w:before="120" w:after="0" w:line="240" w:lineRule="auto"/>
              <w:ind w:left="441"/>
              <w:contextualSpacing/>
              <w:jc w:val="both"/>
              <w:rPr>
                <w:rFonts w:cs="Times New Roman"/>
                <w:noProof/>
              </w:rPr>
            </w:pPr>
            <w:r>
              <w:rPr>
                <w:noProof/>
              </w:rPr>
              <w:t xml:space="preserve">Donošenje potrebnih zakonodavnih izmjena za potpunu provedbu jedinstvene elektroničke kontaktne točke, uključujući definiciju njezinih glavnih značajki. </w:t>
            </w:r>
          </w:p>
        </w:tc>
      </w:tr>
      <w:tr w:rsidR="003F46B9" w14:paraId="27EE42EF"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9D8AA42" w14:textId="77777777" w:rsidR="003F46B9" w:rsidRDefault="0065662E">
            <w:pPr>
              <w:pStyle w:val="P68B1DB1-Normal5"/>
              <w:spacing w:after="0" w:line="240" w:lineRule="auto"/>
              <w:jc w:val="center"/>
              <w:rPr>
                <w:rFonts w:cs="Times New Roman"/>
                <w:noProof/>
              </w:rPr>
            </w:pPr>
            <w:r>
              <w:rPr>
                <w:noProof/>
              </w:rPr>
              <w:t>244</w:t>
            </w:r>
          </w:p>
        </w:tc>
        <w:tc>
          <w:tcPr>
            <w:tcW w:w="1844" w:type="dxa"/>
            <w:tcBorders>
              <w:top w:val="nil"/>
              <w:left w:val="single" w:sz="4" w:space="0" w:color="auto"/>
              <w:bottom w:val="single" w:sz="4" w:space="0" w:color="auto"/>
              <w:right w:val="single" w:sz="4" w:space="0" w:color="auto"/>
            </w:tcBorders>
            <w:shd w:val="clear" w:color="auto" w:fill="C6EFCE"/>
            <w:noWrap/>
          </w:tcPr>
          <w:p w14:paraId="18089027" w14:textId="77777777" w:rsidR="003F46B9" w:rsidRDefault="0065662E">
            <w:pPr>
              <w:pStyle w:val="P68B1DB1-Normal5"/>
              <w:spacing w:after="0" w:line="240" w:lineRule="auto"/>
              <w:jc w:val="both"/>
              <w:rPr>
                <w:rFonts w:cs="Times New Roman"/>
                <w:noProof/>
              </w:rPr>
            </w:pPr>
            <w:r>
              <w:rPr>
                <w:noProof/>
              </w:rPr>
              <w:t xml:space="preserve">Reforma 1. Zakonodavna transparentnost, debirokratizacija i pojednostavnjenje postupaka za poduzeća </w:t>
            </w:r>
          </w:p>
        </w:tc>
        <w:tc>
          <w:tcPr>
            <w:tcW w:w="1089" w:type="dxa"/>
            <w:tcBorders>
              <w:top w:val="nil"/>
              <w:left w:val="single" w:sz="4" w:space="0" w:color="auto"/>
              <w:bottom w:val="single" w:sz="4" w:space="0" w:color="auto"/>
              <w:right w:val="single" w:sz="4" w:space="0" w:color="auto"/>
            </w:tcBorders>
            <w:shd w:val="clear" w:color="auto" w:fill="C6EFCE"/>
            <w:noWrap/>
          </w:tcPr>
          <w:p w14:paraId="1B8EEA68"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54C36123" w14:textId="77777777" w:rsidR="003F46B9" w:rsidRDefault="0065662E">
            <w:pPr>
              <w:pStyle w:val="P68B1DB1-Normal5"/>
              <w:spacing w:after="0" w:line="240" w:lineRule="auto"/>
              <w:jc w:val="both"/>
              <w:rPr>
                <w:rFonts w:cs="Times New Roman"/>
                <w:noProof/>
              </w:rPr>
            </w:pPr>
            <w:r>
              <w:rPr>
                <w:noProof/>
              </w:rPr>
              <w:t xml:space="preserve">Skraćivanje prosječnog vremena potrebnog za ispunjavanje regulatornih zahtjeva povezanih s poslovnim okruženjem </w:t>
            </w:r>
          </w:p>
        </w:tc>
        <w:tc>
          <w:tcPr>
            <w:tcW w:w="1766" w:type="dxa"/>
            <w:tcBorders>
              <w:top w:val="nil"/>
              <w:left w:val="single" w:sz="4" w:space="0" w:color="auto"/>
              <w:bottom w:val="single" w:sz="4" w:space="0" w:color="auto"/>
              <w:right w:val="single" w:sz="4" w:space="0" w:color="auto"/>
            </w:tcBorders>
            <w:shd w:val="clear" w:color="auto" w:fill="C6EFCE"/>
            <w:noWrap/>
          </w:tcPr>
          <w:p w14:paraId="66724EE2"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A4925C4" w14:textId="77777777" w:rsidR="003F46B9" w:rsidRDefault="0065662E">
            <w:pPr>
              <w:pStyle w:val="P68B1DB1-Normal5"/>
              <w:spacing w:after="0" w:line="240" w:lineRule="auto"/>
              <w:rPr>
                <w:rFonts w:eastAsia="Times New Roman" w:cs="Times New Roman"/>
                <w:noProof/>
              </w:rPr>
            </w:pPr>
            <w:r>
              <w:rPr>
                <w:noProof/>
              </w:rPr>
              <w:t>Postotak (%)</w:t>
            </w:r>
          </w:p>
          <w:p w14:paraId="733ABF18"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2FC1F554"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3EED69DD" w14:textId="77777777" w:rsidR="003F46B9" w:rsidRDefault="0065662E">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35030EAA" w14:textId="77777777" w:rsidR="003F46B9" w:rsidRDefault="0065662E">
            <w:pPr>
              <w:pStyle w:val="P68B1DB1-Normal5"/>
              <w:spacing w:after="0" w:line="240" w:lineRule="auto"/>
              <w:jc w:val="center"/>
              <w:rPr>
                <w:rFonts w:cs="Times New Roman"/>
                <w:noProof/>
              </w:rPr>
            </w:pPr>
            <w:r>
              <w:rPr>
                <w:noProof/>
              </w:rPr>
              <w:t xml:space="preserve">ČETVRTO </w:t>
            </w: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51565F42" w14:textId="77777777" w:rsidR="003F46B9" w:rsidRDefault="0065662E">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9913619" w14:textId="77777777" w:rsidR="003F46B9" w:rsidRDefault="0065662E">
            <w:pPr>
              <w:pStyle w:val="P68B1DB1-Normal5"/>
              <w:spacing w:after="0" w:line="240" w:lineRule="auto"/>
              <w:jc w:val="both"/>
              <w:rPr>
                <w:rFonts w:cs="Times New Roman"/>
                <w:noProof/>
              </w:rPr>
            </w:pPr>
            <w:r>
              <w:rPr>
                <w:noProof/>
              </w:rPr>
              <w:t>Skraćivanje vremena za 50 % za:</w:t>
            </w:r>
          </w:p>
          <w:p w14:paraId="52D55617" w14:textId="77777777" w:rsidR="003F46B9" w:rsidRDefault="0065662E">
            <w:pPr>
              <w:pStyle w:val="P68B1DB1-Normal5"/>
              <w:numPr>
                <w:ilvl w:val="0"/>
                <w:numId w:val="73"/>
              </w:numPr>
              <w:spacing w:before="120" w:after="0" w:line="240" w:lineRule="auto"/>
              <w:ind w:left="441"/>
              <w:contextualSpacing/>
              <w:jc w:val="both"/>
              <w:rPr>
                <w:rFonts w:cs="Times New Roman"/>
                <w:noProof/>
              </w:rPr>
            </w:pPr>
            <w:r>
              <w:rPr>
                <w:noProof/>
              </w:rPr>
              <w:t xml:space="preserve">uspostavljanje/stavljanje na tržište za poduzeća, </w:t>
            </w:r>
          </w:p>
          <w:p w14:paraId="5D5497AE" w14:textId="77777777" w:rsidR="003F46B9" w:rsidRDefault="0065662E">
            <w:pPr>
              <w:pStyle w:val="P68B1DB1-Normal5"/>
              <w:numPr>
                <w:ilvl w:val="0"/>
                <w:numId w:val="73"/>
              </w:numPr>
              <w:spacing w:before="120" w:after="0" w:line="240" w:lineRule="auto"/>
              <w:ind w:left="441"/>
              <w:contextualSpacing/>
              <w:jc w:val="both"/>
              <w:rPr>
                <w:rFonts w:cs="Times New Roman"/>
                <w:noProof/>
              </w:rPr>
            </w:pPr>
            <w:r>
              <w:rPr>
                <w:noProof/>
              </w:rPr>
              <w:t>odobrenje stranih predstavništava u Rumunjskoj; proizvodni sektor</w:t>
            </w:r>
          </w:p>
          <w:p w14:paraId="114BDA8F" w14:textId="77777777" w:rsidR="003F46B9" w:rsidRDefault="0065662E">
            <w:pPr>
              <w:pStyle w:val="P68B1DB1-Normal5"/>
              <w:numPr>
                <w:ilvl w:val="0"/>
                <w:numId w:val="73"/>
              </w:numPr>
              <w:spacing w:after="0" w:line="240" w:lineRule="auto"/>
              <w:ind w:left="441"/>
              <w:contextualSpacing/>
              <w:jc w:val="both"/>
              <w:rPr>
                <w:rFonts w:cs="Times New Roman"/>
                <w:noProof/>
              </w:rPr>
            </w:pPr>
            <w:r>
              <w:rPr>
                <w:noProof/>
              </w:rPr>
              <w:t xml:space="preserve">Dobivanje dozvola/dozvola povezanih s industrijom </w:t>
            </w:r>
          </w:p>
          <w:p w14:paraId="260C6C74" w14:textId="77777777" w:rsidR="003F46B9" w:rsidRDefault="0065662E">
            <w:pPr>
              <w:pStyle w:val="P68B1DB1-Normal5"/>
              <w:spacing w:after="0" w:line="240" w:lineRule="auto"/>
              <w:jc w:val="both"/>
              <w:rPr>
                <w:rFonts w:cs="Times New Roman"/>
                <w:noProof/>
              </w:rPr>
            </w:pPr>
            <w:r>
              <w:rPr>
                <w:noProof/>
              </w:rPr>
              <w:t>Polazna vrijednost koja se upotrebljava</w:t>
            </w:r>
            <w:r>
              <w:rPr>
                <w:noProof/>
              </w:rPr>
              <w:t>:</w:t>
            </w:r>
          </w:p>
          <w:p w14:paraId="45A96313" w14:textId="77777777" w:rsidR="003F46B9" w:rsidRDefault="0065662E">
            <w:pPr>
              <w:pStyle w:val="P68B1DB1-Normal5"/>
              <w:numPr>
                <w:ilvl w:val="0"/>
                <w:numId w:val="74"/>
              </w:numPr>
              <w:spacing w:before="120" w:after="0" w:line="240" w:lineRule="auto"/>
              <w:ind w:left="299" w:hanging="222"/>
              <w:contextualSpacing/>
              <w:jc w:val="both"/>
              <w:rPr>
                <w:rFonts w:cs="Times New Roman"/>
                <w:noProof/>
              </w:rPr>
            </w:pPr>
            <w:r>
              <w:rPr>
                <w:noProof/>
              </w:rPr>
              <w:t>20 dana – početak poslovanja 2020.</w:t>
            </w:r>
          </w:p>
          <w:p w14:paraId="0E4AADF1" w14:textId="77777777" w:rsidR="003F46B9" w:rsidRDefault="0065662E">
            <w:pPr>
              <w:pStyle w:val="P68B1DB1-Normal5"/>
              <w:numPr>
                <w:ilvl w:val="0"/>
                <w:numId w:val="74"/>
              </w:numPr>
              <w:spacing w:before="120" w:after="0" w:line="240" w:lineRule="auto"/>
              <w:ind w:left="299" w:hanging="222"/>
              <w:contextualSpacing/>
              <w:jc w:val="both"/>
              <w:rPr>
                <w:rFonts w:cs="Times New Roman"/>
                <w:noProof/>
              </w:rPr>
            </w:pPr>
            <w:r>
              <w:rPr>
                <w:noProof/>
              </w:rPr>
              <w:t>30 dana – ovlaštenje stranog predstavnika u 2020.</w:t>
            </w:r>
          </w:p>
          <w:p w14:paraId="61FFA874" w14:textId="77777777" w:rsidR="003F46B9" w:rsidRDefault="0065662E">
            <w:pPr>
              <w:pStyle w:val="P68B1DB1-Normal5"/>
              <w:numPr>
                <w:ilvl w:val="0"/>
                <w:numId w:val="74"/>
              </w:numPr>
              <w:spacing w:before="120" w:after="0" w:line="240" w:lineRule="auto"/>
              <w:ind w:left="299" w:hanging="222"/>
              <w:contextualSpacing/>
              <w:jc w:val="both"/>
              <w:rPr>
                <w:rFonts w:cs="Times New Roman"/>
                <w:noProof/>
              </w:rPr>
            </w:pPr>
            <w:r>
              <w:rPr>
                <w:noProof/>
              </w:rPr>
              <w:t>prosječno 217 dana – dobivanje dozvola/dozvola povezanih s industrijom 2020. (primjer: 147 dana – obrada građevinskih dozvola)</w:t>
            </w:r>
          </w:p>
        </w:tc>
      </w:tr>
      <w:tr w:rsidR="003F46B9" w14:paraId="1F12B90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A8A87AA" w14:textId="77777777" w:rsidR="003F46B9" w:rsidRDefault="0065662E">
            <w:pPr>
              <w:pStyle w:val="P68B1DB1-Normal5"/>
              <w:spacing w:after="0" w:line="240" w:lineRule="auto"/>
              <w:jc w:val="center"/>
              <w:rPr>
                <w:rFonts w:cs="Times New Roman"/>
                <w:noProof/>
              </w:rPr>
            </w:pPr>
            <w:r>
              <w:rPr>
                <w:noProof/>
              </w:rPr>
              <w:t>245</w:t>
            </w:r>
          </w:p>
        </w:tc>
        <w:tc>
          <w:tcPr>
            <w:tcW w:w="1844" w:type="dxa"/>
            <w:tcBorders>
              <w:top w:val="nil"/>
              <w:left w:val="single" w:sz="4" w:space="0" w:color="auto"/>
              <w:bottom w:val="single" w:sz="4" w:space="0" w:color="auto"/>
              <w:right w:val="single" w:sz="4" w:space="0" w:color="auto"/>
            </w:tcBorders>
            <w:shd w:val="clear" w:color="auto" w:fill="C6EFCE"/>
            <w:noWrap/>
          </w:tcPr>
          <w:p w14:paraId="2F83717B" w14:textId="77777777" w:rsidR="003F46B9" w:rsidRDefault="0065662E">
            <w:pPr>
              <w:pStyle w:val="P68B1DB1-Normal5"/>
              <w:spacing w:after="0" w:line="240" w:lineRule="auto"/>
              <w:jc w:val="both"/>
              <w:rPr>
                <w:rFonts w:cs="Times New Roman"/>
                <w:noProof/>
              </w:rPr>
            </w:pPr>
            <w:r>
              <w:rPr>
                <w:noProof/>
              </w:rPr>
              <w:t xml:space="preserve">Reforma 1 zakonodavne transparentnosti, debirokratizacije i pojednostavnjenja postupaka za poduzeća </w:t>
            </w:r>
          </w:p>
        </w:tc>
        <w:tc>
          <w:tcPr>
            <w:tcW w:w="1089" w:type="dxa"/>
            <w:tcBorders>
              <w:top w:val="nil"/>
              <w:left w:val="single" w:sz="4" w:space="0" w:color="auto"/>
              <w:bottom w:val="single" w:sz="4" w:space="0" w:color="auto"/>
              <w:right w:val="single" w:sz="4" w:space="0" w:color="auto"/>
            </w:tcBorders>
            <w:shd w:val="clear" w:color="auto" w:fill="C6EFCE"/>
            <w:noWrap/>
          </w:tcPr>
          <w:p w14:paraId="60A544BD"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3F4AE452" w14:textId="77777777" w:rsidR="003F46B9" w:rsidRDefault="0065662E">
            <w:pPr>
              <w:pStyle w:val="P68B1DB1-Normal5"/>
              <w:spacing w:after="0" w:line="240" w:lineRule="auto"/>
              <w:jc w:val="both"/>
              <w:rPr>
                <w:rFonts w:cs="Times New Roman"/>
                <w:noProof/>
              </w:rPr>
            </w:pPr>
            <w:r>
              <w:rPr>
                <w:noProof/>
              </w:rPr>
              <w:t>Zakonodavni akti/izmjena koja se odnosi na MSP-ove na koje je test primijenjen</w:t>
            </w:r>
          </w:p>
        </w:tc>
        <w:tc>
          <w:tcPr>
            <w:tcW w:w="1766" w:type="dxa"/>
            <w:tcBorders>
              <w:top w:val="nil"/>
              <w:left w:val="single" w:sz="4" w:space="0" w:color="auto"/>
              <w:bottom w:val="single" w:sz="4" w:space="0" w:color="auto"/>
              <w:right w:val="single" w:sz="4" w:space="0" w:color="auto"/>
            </w:tcBorders>
            <w:shd w:val="clear" w:color="auto" w:fill="C6EFCE"/>
            <w:noWrap/>
          </w:tcPr>
          <w:p w14:paraId="3725F994"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6E469CC" w14:textId="77777777" w:rsidR="003F46B9" w:rsidRDefault="0065662E">
            <w:pPr>
              <w:pStyle w:val="P68B1DB1-Normal5"/>
              <w:spacing w:after="0" w:line="240" w:lineRule="auto"/>
              <w:rPr>
                <w:rFonts w:eastAsia="Times New Roman" w:cs="Times New Roman"/>
                <w:noProof/>
              </w:rPr>
            </w:pPr>
            <w:r>
              <w:rPr>
                <w:noProof/>
              </w:rPr>
              <w:t>Postotak (%)</w:t>
            </w:r>
          </w:p>
          <w:p w14:paraId="43BB9871"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0ED3FF05" w14:textId="6B8945D8" w:rsidR="003F46B9" w:rsidRDefault="0065662E">
            <w:pPr>
              <w:pStyle w:val="P68B1DB1-Normal5"/>
              <w:spacing w:after="0" w:line="240" w:lineRule="auto"/>
              <w:jc w:val="both"/>
              <w:rPr>
                <w:rFonts w:cs="Times New Roman"/>
                <w:noProof/>
              </w:rPr>
            </w:pPr>
            <w:r>
              <w:rPr>
                <w:noProof/>
              </w:rPr>
              <w:t>50 % [2020.]</w:t>
            </w:r>
          </w:p>
          <w:p w14:paraId="75EB1FBB"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582D3C9F" w14:textId="77777777" w:rsidR="003F46B9" w:rsidRDefault="0065662E">
            <w:pPr>
              <w:pStyle w:val="P68B1DB1-Normal5"/>
              <w:spacing w:after="0" w:line="240" w:lineRule="auto"/>
              <w:jc w:val="both"/>
              <w:rPr>
                <w:rFonts w:cs="Times New Roman"/>
                <w:noProof/>
              </w:rPr>
            </w:pPr>
            <w:r>
              <w:rPr>
                <w:noProof/>
              </w:rPr>
              <w:t xml:space="preserve">100 % </w:t>
            </w:r>
          </w:p>
          <w:p w14:paraId="5A7B8AFC"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08FBC9D"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3543AF6C" w14:textId="77777777" w:rsidR="003F46B9" w:rsidRDefault="0065662E">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00AD9AA7" w14:textId="77777777" w:rsidR="003F46B9" w:rsidRDefault="0065662E">
            <w:pPr>
              <w:pStyle w:val="P68B1DB1-Normal5"/>
              <w:spacing w:after="0" w:line="240" w:lineRule="auto"/>
              <w:jc w:val="both"/>
              <w:rPr>
                <w:rFonts w:cs="Times New Roman"/>
                <w:noProof/>
              </w:rPr>
            </w:pPr>
            <w:r>
              <w:rPr>
                <w:noProof/>
              </w:rPr>
              <w:t xml:space="preserve">100 % </w:t>
            </w:r>
            <w:r>
              <w:rPr>
                <w:noProof/>
              </w:rPr>
              <w:t xml:space="preserve">zakonodavnih akata/izmjena odnosi se na MSP-ove na koje je test primijenjen. </w:t>
            </w:r>
          </w:p>
        </w:tc>
      </w:tr>
      <w:tr w:rsidR="003F46B9" w14:paraId="21A8F9C1"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2C5142DF" w14:textId="77777777" w:rsidR="003F46B9" w:rsidRDefault="0065662E">
            <w:pPr>
              <w:pStyle w:val="P68B1DB1-Normal5"/>
              <w:spacing w:after="0" w:line="240" w:lineRule="auto"/>
              <w:jc w:val="center"/>
              <w:rPr>
                <w:rFonts w:cs="Times New Roman"/>
                <w:noProof/>
              </w:rPr>
            </w:pPr>
            <w:r>
              <w:rPr>
                <w:noProof/>
              </w:rPr>
              <w:t>246</w:t>
            </w:r>
          </w:p>
        </w:tc>
        <w:tc>
          <w:tcPr>
            <w:tcW w:w="1844" w:type="dxa"/>
            <w:tcBorders>
              <w:top w:val="nil"/>
              <w:left w:val="single" w:sz="4" w:space="0" w:color="auto"/>
              <w:bottom w:val="single" w:sz="4" w:space="0" w:color="auto"/>
              <w:right w:val="single" w:sz="4" w:space="0" w:color="auto"/>
            </w:tcBorders>
            <w:shd w:val="clear" w:color="auto" w:fill="C6EFCE"/>
            <w:noWrap/>
          </w:tcPr>
          <w:p w14:paraId="447F379F" w14:textId="77777777" w:rsidR="003F46B9" w:rsidRDefault="0065662E">
            <w:pPr>
              <w:pStyle w:val="P68B1DB1-Normal5"/>
              <w:spacing w:after="0" w:line="240" w:lineRule="auto"/>
              <w:jc w:val="both"/>
              <w:rPr>
                <w:rFonts w:cs="Times New Roman"/>
                <w:noProof/>
              </w:rPr>
            </w:pPr>
            <w:r>
              <w:rPr>
                <w:noProof/>
              </w:rPr>
              <w:t xml:space="preserve">Ulaganje 1. Digitalne platforme o zakonodavnoj transparentnosti, debirokratizaciji i pojednostavnjenju postupaka za poduzeća. </w:t>
            </w:r>
          </w:p>
        </w:tc>
        <w:tc>
          <w:tcPr>
            <w:tcW w:w="1089" w:type="dxa"/>
            <w:tcBorders>
              <w:top w:val="nil"/>
              <w:left w:val="single" w:sz="4" w:space="0" w:color="auto"/>
              <w:bottom w:val="single" w:sz="4" w:space="0" w:color="auto"/>
              <w:right w:val="single" w:sz="4" w:space="0" w:color="auto"/>
            </w:tcBorders>
            <w:shd w:val="clear" w:color="auto" w:fill="C6EFCE"/>
            <w:noWrap/>
          </w:tcPr>
          <w:p w14:paraId="5F859F58"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243EED8E" w14:textId="17E0E10E" w:rsidR="003F46B9" w:rsidRDefault="0065662E">
            <w:pPr>
              <w:pStyle w:val="P68B1DB1-Normal5"/>
              <w:spacing w:after="0" w:line="240" w:lineRule="auto"/>
              <w:jc w:val="both"/>
              <w:rPr>
                <w:rFonts w:cs="Times New Roman"/>
                <w:noProof/>
              </w:rPr>
            </w:pPr>
            <w:r>
              <w:rPr>
                <w:noProof/>
              </w:rPr>
              <w:t xml:space="preserve">Uspostava digitalnih platformi povezanih s državnim oblakom koji je u potpunosti operativan </w:t>
            </w:r>
          </w:p>
        </w:tc>
        <w:tc>
          <w:tcPr>
            <w:tcW w:w="1766" w:type="dxa"/>
            <w:tcBorders>
              <w:top w:val="nil"/>
              <w:left w:val="single" w:sz="4" w:space="0" w:color="auto"/>
              <w:bottom w:val="single" w:sz="4" w:space="0" w:color="auto"/>
              <w:right w:val="single" w:sz="4" w:space="0" w:color="auto"/>
            </w:tcBorders>
            <w:shd w:val="clear" w:color="auto" w:fill="C6EFCE"/>
            <w:noWrap/>
          </w:tcPr>
          <w:p w14:paraId="1D2C1A5C" w14:textId="77777777" w:rsidR="003F46B9" w:rsidRDefault="0065662E">
            <w:pPr>
              <w:pStyle w:val="P68B1DB1-Normal5"/>
              <w:spacing w:after="0" w:line="240" w:lineRule="auto"/>
              <w:jc w:val="both"/>
              <w:rPr>
                <w:rFonts w:cs="Times New Roman"/>
                <w:noProof/>
              </w:rPr>
            </w:pPr>
            <w:r>
              <w:rPr>
                <w:noProof/>
              </w:rPr>
              <w:t> Uspostavljene i operativne digitalne platforme</w:t>
            </w:r>
          </w:p>
        </w:tc>
        <w:tc>
          <w:tcPr>
            <w:tcW w:w="1558" w:type="dxa"/>
            <w:tcBorders>
              <w:top w:val="nil"/>
              <w:left w:val="single" w:sz="4" w:space="0" w:color="auto"/>
              <w:bottom w:val="single" w:sz="4" w:space="0" w:color="auto"/>
              <w:right w:val="single" w:sz="4" w:space="0" w:color="auto"/>
            </w:tcBorders>
            <w:shd w:val="clear" w:color="auto" w:fill="C6EFCE"/>
            <w:noWrap/>
          </w:tcPr>
          <w:p w14:paraId="3FFBF09F"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3F4ADC41"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35F070F2"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6429CAC1" w14:textId="69531979"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32543BF6" w14:textId="340536DC" w:rsidR="003F46B9" w:rsidRDefault="0065662E">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648D0AC8" w14:textId="43237981" w:rsidR="003F46B9" w:rsidRDefault="0065662E">
            <w:pPr>
              <w:pStyle w:val="P68B1DB1-Normal5"/>
              <w:spacing w:after="0" w:line="240" w:lineRule="auto"/>
              <w:jc w:val="both"/>
              <w:rPr>
                <w:rFonts w:cs="Times New Roman"/>
                <w:noProof/>
              </w:rPr>
            </w:pPr>
            <w:r>
              <w:rPr>
                <w:noProof/>
              </w:rPr>
              <w:t>Uspostava najmanje dviju operativnih javnih digitalnih platformi koje su povezane s državnim ob</w:t>
            </w:r>
            <w:r>
              <w:rPr>
                <w:noProof/>
              </w:rPr>
              <w:t>lakom i potpuno operativne i koje se temelje na postojećim relevantnim digitalnim bazama podataka kako slijedi:</w:t>
            </w:r>
          </w:p>
          <w:p w14:paraId="5FBC4981" w14:textId="39E1BCF1" w:rsidR="003F46B9" w:rsidRDefault="0065662E">
            <w:pPr>
              <w:pStyle w:val="P68B1DB1-Normal5"/>
              <w:spacing w:after="0" w:line="240" w:lineRule="auto"/>
              <w:jc w:val="both"/>
              <w:rPr>
                <w:rFonts w:cs="Times New Roman"/>
                <w:noProof/>
              </w:rPr>
            </w:pPr>
            <w:r>
              <w:rPr>
                <w:noProof/>
              </w:rPr>
              <w:t>uvođenje jedinstvene kontaktne točke za dozvole/odobrenja/certificiranja</w:t>
            </w:r>
          </w:p>
          <w:p w14:paraId="06E99851" w14:textId="77777777" w:rsidR="003F46B9" w:rsidRDefault="0065662E">
            <w:pPr>
              <w:pStyle w:val="P68B1DB1-Normal5"/>
              <w:spacing w:after="0" w:line="240" w:lineRule="auto"/>
              <w:jc w:val="both"/>
              <w:rPr>
                <w:rFonts w:cs="Times New Roman"/>
                <w:noProof/>
              </w:rPr>
            </w:pPr>
            <w:r>
              <w:rPr>
                <w:noProof/>
              </w:rPr>
              <w:t>—poticanje konkurentnosti poslovnog okruženja kako bi se osigurala zako</w:t>
            </w:r>
            <w:r>
              <w:rPr>
                <w:noProof/>
              </w:rPr>
              <w:t>nodavna transparentnost, debirokratizacija i pojednostavnjenje postupaka.</w:t>
            </w:r>
          </w:p>
          <w:p w14:paraId="6F6570E5" w14:textId="2F75BC3E" w:rsidR="003F46B9" w:rsidRDefault="0065662E">
            <w:pPr>
              <w:pStyle w:val="P68B1DB1-Normal5"/>
              <w:spacing w:after="0" w:line="240" w:lineRule="auto"/>
              <w:jc w:val="both"/>
              <w:rPr>
                <w:rFonts w:cs="Times New Roman"/>
                <w:noProof/>
              </w:rPr>
            </w:pPr>
            <w:r>
              <w:rPr>
                <w:noProof/>
              </w:rPr>
              <w:t xml:space="preserve"> </w:t>
            </w:r>
          </w:p>
        </w:tc>
      </w:tr>
      <w:tr w:rsidR="003F46B9" w14:paraId="7AFA821D"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821EA1" w14:textId="77777777" w:rsidR="003F46B9" w:rsidRDefault="0065662E">
            <w:pPr>
              <w:pStyle w:val="P68B1DB1-Normal5"/>
              <w:spacing w:after="0" w:line="240" w:lineRule="auto"/>
              <w:jc w:val="center"/>
              <w:rPr>
                <w:rFonts w:cs="Times New Roman"/>
                <w:noProof/>
              </w:rPr>
            </w:pPr>
            <w:r>
              <w:rPr>
                <w:noProof/>
              </w:rPr>
              <w:t>247</w:t>
            </w:r>
          </w:p>
        </w:tc>
        <w:tc>
          <w:tcPr>
            <w:tcW w:w="1844" w:type="dxa"/>
            <w:tcBorders>
              <w:top w:val="nil"/>
              <w:left w:val="single" w:sz="4" w:space="0" w:color="auto"/>
              <w:bottom w:val="single" w:sz="4" w:space="0" w:color="auto"/>
              <w:right w:val="single" w:sz="4" w:space="0" w:color="auto"/>
            </w:tcBorders>
            <w:shd w:val="clear" w:color="auto" w:fill="C6EFCE"/>
            <w:noWrap/>
          </w:tcPr>
          <w:p w14:paraId="1CDDE533" w14:textId="77777777" w:rsidR="003F46B9" w:rsidRDefault="0065662E">
            <w:pPr>
              <w:pStyle w:val="P68B1DB1-Normal5"/>
              <w:spacing w:after="0" w:line="240" w:lineRule="auto"/>
              <w:jc w:val="both"/>
              <w:rPr>
                <w:rFonts w:cs="Times New Roman"/>
                <w:noProof/>
              </w:rPr>
            </w:pPr>
            <w:r>
              <w:rPr>
                <w:noProof/>
              </w:rPr>
              <w:t xml:space="preserve">Ulaganje 2.1 Financijski instrumenti za privatni sektor – portfeljno jamstvo za otpornost </w:t>
            </w:r>
          </w:p>
        </w:tc>
        <w:tc>
          <w:tcPr>
            <w:tcW w:w="1089" w:type="dxa"/>
            <w:tcBorders>
              <w:top w:val="nil"/>
              <w:left w:val="single" w:sz="4" w:space="0" w:color="auto"/>
              <w:bottom w:val="single" w:sz="4" w:space="0" w:color="auto"/>
              <w:right w:val="single" w:sz="4" w:space="0" w:color="auto"/>
            </w:tcBorders>
            <w:shd w:val="clear" w:color="auto" w:fill="C6EFCE"/>
            <w:noWrap/>
          </w:tcPr>
          <w:p w14:paraId="07AE9FC9"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513495B8" w14:textId="77777777" w:rsidR="003F46B9" w:rsidRDefault="0065662E">
            <w:pPr>
              <w:pStyle w:val="P68B1DB1-Normal5"/>
              <w:spacing w:after="0" w:line="240" w:lineRule="auto"/>
              <w:jc w:val="both"/>
              <w:rPr>
                <w:rFonts w:cs="Times New Roman"/>
                <w:noProof/>
              </w:rPr>
            </w:pPr>
            <w:r>
              <w:rPr>
                <w:noProof/>
              </w:rPr>
              <w:t xml:space="preserve">Potpisivanje sporazuma o doprinosu između Europske komisije i rumunjske </w:t>
            </w:r>
            <w:r>
              <w:rPr>
                <w:noProof/>
              </w:rPr>
              <w:t>vlade.</w:t>
            </w:r>
          </w:p>
        </w:tc>
        <w:tc>
          <w:tcPr>
            <w:tcW w:w="1766" w:type="dxa"/>
            <w:tcBorders>
              <w:top w:val="nil"/>
              <w:left w:val="single" w:sz="4" w:space="0" w:color="auto"/>
              <w:bottom w:val="single" w:sz="4" w:space="0" w:color="auto"/>
              <w:right w:val="single" w:sz="4" w:space="0" w:color="auto"/>
            </w:tcBorders>
            <w:shd w:val="clear" w:color="auto" w:fill="C6EFCE"/>
            <w:noWrap/>
          </w:tcPr>
          <w:p w14:paraId="69609A6B" w14:textId="77777777" w:rsidR="003F46B9" w:rsidRDefault="0065662E">
            <w:pPr>
              <w:pStyle w:val="P68B1DB1-Normal5"/>
              <w:spacing w:after="0" w:line="240" w:lineRule="auto"/>
              <w:jc w:val="both"/>
              <w:rPr>
                <w:rFonts w:cs="Times New Roman"/>
                <w:noProof/>
              </w:rPr>
            </w:pPr>
            <w:r>
              <w:rPr>
                <w:noProof/>
              </w:rPr>
              <w:t> Potpisan sporazum</w:t>
            </w:r>
          </w:p>
        </w:tc>
        <w:tc>
          <w:tcPr>
            <w:tcW w:w="1558" w:type="dxa"/>
            <w:tcBorders>
              <w:top w:val="nil"/>
              <w:left w:val="single" w:sz="4" w:space="0" w:color="auto"/>
              <w:bottom w:val="single" w:sz="4" w:space="0" w:color="auto"/>
              <w:right w:val="single" w:sz="4" w:space="0" w:color="auto"/>
            </w:tcBorders>
            <w:shd w:val="clear" w:color="auto" w:fill="C6EFCE"/>
            <w:noWrap/>
          </w:tcPr>
          <w:p w14:paraId="3A10EE43"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36914FB1"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7FAAFA7C"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D58684C"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23A61230" w14:textId="77777777" w:rsidR="003F46B9" w:rsidRDefault="0065662E">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35148877" w14:textId="77777777" w:rsidR="003F46B9" w:rsidRDefault="0065662E">
            <w:pPr>
              <w:pStyle w:val="P68B1DB1-Normal5"/>
              <w:spacing w:after="0" w:line="240" w:lineRule="auto"/>
              <w:jc w:val="both"/>
              <w:rPr>
                <w:rFonts w:cs="Times New Roman"/>
                <w:noProof/>
              </w:rPr>
            </w:pPr>
            <w:r>
              <w:rPr>
                <w:noProof/>
              </w:rPr>
              <w:t>Potpisivanje sporazuma o doprinosu između Europske komisije i rumunjske vlade, uključujući:</w:t>
            </w:r>
          </w:p>
          <w:p w14:paraId="6FC40C94" w14:textId="77777777" w:rsidR="003F46B9" w:rsidRDefault="0065662E">
            <w:pPr>
              <w:pStyle w:val="P68B1DB1-Normal5"/>
              <w:numPr>
                <w:ilvl w:val="2"/>
                <w:numId w:val="69"/>
              </w:numPr>
              <w:spacing w:after="0" w:line="240" w:lineRule="auto"/>
              <w:ind w:left="178" w:hanging="308"/>
              <w:jc w:val="both"/>
              <w:rPr>
                <w:rFonts w:cs="Times New Roman"/>
                <w:noProof/>
              </w:rPr>
            </w:pPr>
            <w:r>
              <w:rPr>
                <w:noProof/>
              </w:rPr>
              <w:t>Usklađenost s Tehničkim smjernicama o nenanošenju bitne štete (2021/C58/01) transakcija za koje se pruža potpo</w:t>
            </w:r>
            <w:r>
              <w:rPr>
                <w:noProof/>
              </w:rPr>
              <w:t>ra u okviru te mjere primjenom provjere održivosti i popisa za isključenje.</w:t>
            </w:r>
          </w:p>
          <w:p w14:paraId="4F237151" w14:textId="77777777" w:rsidR="003F46B9" w:rsidRDefault="0065662E">
            <w:pPr>
              <w:pStyle w:val="P68B1DB1-Normal5"/>
              <w:numPr>
                <w:ilvl w:val="2"/>
                <w:numId w:val="69"/>
              </w:numPr>
              <w:spacing w:after="0" w:line="240" w:lineRule="auto"/>
              <w:ind w:left="178" w:hanging="308"/>
              <w:jc w:val="both"/>
              <w:rPr>
                <w:rFonts w:cs="Times New Roman"/>
                <w:noProof/>
              </w:rPr>
            </w:pPr>
            <w:r>
              <w:rPr>
                <w:noProof/>
              </w:rPr>
              <w:t>Kriteriji kojima se osigurava usklađenost financijskog instrumenta sa Smjernicama Komisije od 22. siječnja 2021. (SWD(2021) 12 final) koje se odnose na financijske instrumente.</w:t>
            </w:r>
          </w:p>
          <w:p w14:paraId="1DBF0B77" w14:textId="77777777" w:rsidR="003F46B9" w:rsidRDefault="0065662E">
            <w:pPr>
              <w:pStyle w:val="P68B1DB1-Normal5"/>
              <w:spacing w:after="0" w:line="240" w:lineRule="auto"/>
              <w:jc w:val="both"/>
              <w:rPr>
                <w:rFonts w:cs="Times New Roman"/>
                <w:noProof/>
              </w:rPr>
            </w:pPr>
            <w:r>
              <w:rPr>
                <w:noProof/>
              </w:rPr>
              <w:t>S o</w:t>
            </w:r>
            <w:r>
              <w:rPr>
                <w:noProof/>
              </w:rPr>
              <w:t>bzirom na to da se predloženi instrument provodi kao doprinos programu InvestEU (kompenzacija država članica ili dodatak postojećem proizvodu u okviru EU-Compartmenta), prethodno navedene točke (a) i (b) osiguravaju se primjenom odredbi programa InvestEU t</w:t>
            </w:r>
            <w:r>
              <w:rPr>
                <w:noProof/>
              </w:rPr>
              <w:t>e kreditne politike i kriterija za isključenje odabranog provedbenog partnera. Dodatna izuzeća potrebna kako bi se osigurala usklađenost s Tehničkim smjernicama o nenanošenju bitne štete (2021/C58/01) navode se u sporazumu o jamstvu između Europske komisij</w:t>
            </w:r>
            <w:r>
              <w:rPr>
                <w:noProof/>
              </w:rPr>
              <w:t>e i Europskog investicijskog fonda (EIF).</w:t>
            </w:r>
          </w:p>
          <w:p w14:paraId="4527A24E" w14:textId="77777777" w:rsidR="003F46B9" w:rsidRDefault="0065662E">
            <w:pPr>
              <w:pStyle w:val="P68B1DB1-Normal5"/>
              <w:spacing w:after="0" w:line="240" w:lineRule="auto"/>
              <w:jc w:val="both"/>
              <w:rPr>
                <w:rFonts w:eastAsia="Times New Roman" w:cs="Times New Roman"/>
                <w:noProof/>
              </w:rPr>
            </w:pPr>
            <w:r>
              <w:rPr>
                <w:noProof/>
              </w:rPr>
              <w:t>Financijski instrument ima oblik portfeljnog jamstva, koje provodi EIF, i njime se osiguravaju financijska sredstva i ulaganja MSP-ovima s najviše 249 zaposlenika, poduzećima s najviše 500 zaposlenika i pojedincima</w:t>
            </w:r>
            <w:r>
              <w:rPr>
                <w:noProof/>
              </w:rPr>
              <w:t xml:space="preserve"> („korisnici”) putem obrtnog kapitala, kreditnih linija, investicijskih zajmova ili leasinga. Financijskim instrumentom rješavaju se trenutačne prepreke s kojima se suočavaju rumunjska poduzeća u pristupu financiranju, a to su: povećani troškovi financiran</w:t>
            </w:r>
            <w:r>
              <w:rPr>
                <w:noProof/>
              </w:rPr>
              <w:t>ja, nedostatak kolaterala i umanjeni kreditni kanali. Instrument je posebno usmjeren na probleme likvidnosti/solventnosti s kojima se poduzeća suočavaju zbog nemogućnosti da ispune svoje financijske obveze koje proizlaze iz znatnog privremenog smanjenja nj</w:t>
            </w:r>
            <w:r>
              <w:rPr>
                <w:noProof/>
              </w:rPr>
              <w:t xml:space="preserve">ihovih prihoda zbog krize uzrokovane bolešću COVID-19. U tom kontekstu instrument je osmišljen kako bi se poboljšao pristup financiranju i revitalizirali blokirani kanali kreditiranja tijekom i nakon krize uzrokovane bolešću COVID-19 podupiranjem ulaganja </w:t>
            </w:r>
            <w:r>
              <w:rPr>
                <w:noProof/>
              </w:rPr>
              <w:t xml:space="preserve">ili potreba poduzeća za obrtnim kapitalom. Očekuje se da će najmanje 1500 korisnika dobiti potporu u okviru instrumenta. </w:t>
            </w:r>
          </w:p>
          <w:p w14:paraId="1C8A6E84" w14:textId="77777777" w:rsidR="003F46B9" w:rsidRDefault="0065662E">
            <w:pPr>
              <w:pStyle w:val="P68B1DB1-Normal5"/>
              <w:spacing w:after="0" w:line="240" w:lineRule="auto"/>
              <w:jc w:val="both"/>
              <w:rPr>
                <w:rFonts w:cs="Times New Roman"/>
                <w:noProof/>
              </w:rPr>
            </w:pPr>
            <w:r>
              <w:rPr>
                <w:noProof/>
              </w:rPr>
              <w:t xml:space="preserve">Struktura instrumenta omogućuje iskorištavanje privatnih sredstava. </w:t>
            </w:r>
          </w:p>
          <w:p w14:paraId="05BE922D" w14:textId="77777777" w:rsidR="003F46B9" w:rsidRDefault="0065662E">
            <w:pPr>
              <w:pStyle w:val="P68B1DB1-Normal5"/>
              <w:spacing w:after="0" w:line="240" w:lineRule="auto"/>
              <w:jc w:val="both"/>
              <w:rPr>
                <w:rFonts w:eastAsia="Times New Roman" w:cs="Times New Roman"/>
                <w:noProof/>
              </w:rPr>
            </w:pPr>
            <w:r>
              <w:rPr>
                <w:noProof/>
              </w:rPr>
              <w:t xml:space="preserve">Svi povrati na financijski instrument, među ostalim od vraćanja, </w:t>
            </w:r>
            <w:r>
              <w:rPr>
                <w:noProof/>
              </w:rPr>
              <w:t>te dobit ostvarena upotrebom sredstava iz Mehanizma za oporavak i otpornost, umanjena za naknadu upravitelju fonda i financijskim posrednicima, upotrebljavaju se za iste ciljeve politike, među ostalim i nakon 2026.</w:t>
            </w:r>
          </w:p>
        </w:tc>
      </w:tr>
      <w:tr w:rsidR="003F46B9" w14:paraId="3F718044"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5E9475" w14:textId="77777777" w:rsidR="003F46B9" w:rsidRDefault="0065662E">
            <w:pPr>
              <w:pStyle w:val="P68B1DB1-Normal5"/>
              <w:spacing w:after="0" w:line="240" w:lineRule="auto"/>
              <w:jc w:val="center"/>
              <w:rPr>
                <w:rFonts w:cs="Times New Roman"/>
                <w:noProof/>
              </w:rPr>
            </w:pPr>
            <w:r>
              <w:rPr>
                <w:noProof/>
              </w:rPr>
              <w:t>248</w:t>
            </w:r>
          </w:p>
        </w:tc>
        <w:tc>
          <w:tcPr>
            <w:tcW w:w="1844" w:type="dxa"/>
            <w:tcBorders>
              <w:top w:val="nil"/>
              <w:left w:val="single" w:sz="4" w:space="0" w:color="auto"/>
              <w:bottom w:val="single" w:sz="4" w:space="0" w:color="auto"/>
              <w:right w:val="single" w:sz="4" w:space="0" w:color="auto"/>
            </w:tcBorders>
            <w:shd w:val="clear" w:color="auto" w:fill="C6EFCE"/>
            <w:noWrap/>
          </w:tcPr>
          <w:p w14:paraId="02724B83" w14:textId="77777777" w:rsidR="003F46B9" w:rsidRDefault="0065662E">
            <w:pPr>
              <w:pStyle w:val="P68B1DB1-Normal5"/>
              <w:spacing w:after="0" w:line="240" w:lineRule="auto"/>
              <w:jc w:val="both"/>
              <w:rPr>
                <w:rFonts w:cs="Times New Roman"/>
                <w:noProof/>
              </w:rPr>
            </w:pPr>
            <w:r>
              <w:rPr>
                <w:noProof/>
              </w:rPr>
              <w:t xml:space="preserve">Ulaganje 2.1 Financijski instrumenti za privatni sektor – portfeljno jamstvo za otpornost </w:t>
            </w:r>
          </w:p>
        </w:tc>
        <w:tc>
          <w:tcPr>
            <w:tcW w:w="1089" w:type="dxa"/>
            <w:tcBorders>
              <w:top w:val="nil"/>
              <w:left w:val="single" w:sz="4" w:space="0" w:color="auto"/>
              <w:bottom w:val="single" w:sz="4" w:space="0" w:color="auto"/>
              <w:right w:val="single" w:sz="4" w:space="0" w:color="auto"/>
            </w:tcBorders>
            <w:shd w:val="clear" w:color="auto" w:fill="C6EFCE"/>
            <w:noWrap/>
          </w:tcPr>
          <w:p w14:paraId="75C78F91"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03DBA99D" w14:textId="77777777" w:rsidR="003F46B9" w:rsidRDefault="0065662E">
            <w:pPr>
              <w:pStyle w:val="P68B1DB1-Normal5"/>
              <w:spacing w:after="0" w:line="240" w:lineRule="auto"/>
              <w:jc w:val="both"/>
              <w:rPr>
                <w:rFonts w:cs="Times New Roman"/>
                <w:noProof/>
              </w:rPr>
            </w:pPr>
            <w:r>
              <w:rPr>
                <w:noProof/>
              </w:rPr>
              <w:t>Operacije financiranja ili ulaganja u iznosu od najmanje 50 % ukupnog iznosa sredstava dodijeljenih instrumentu koji je odobrio Odbor za ulaganja InvestEU.</w:t>
            </w:r>
          </w:p>
        </w:tc>
        <w:tc>
          <w:tcPr>
            <w:tcW w:w="1766" w:type="dxa"/>
            <w:tcBorders>
              <w:top w:val="nil"/>
              <w:left w:val="single" w:sz="4" w:space="0" w:color="auto"/>
              <w:bottom w:val="single" w:sz="4" w:space="0" w:color="auto"/>
              <w:right w:val="single" w:sz="4" w:space="0" w:color="auto"/>
            </w:tcBorders>
            <w:shd w:val="clear" w:color="auto" w:fill="C6EFCE"/>
            <w:noWrap/>
          </w:tcPr>
          <w:p w14:paraId="1D06A0DD"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255F3F0" w14:textId="77777777" w:rsidR="003F46B9" w:rsidRDefault="0065662E">
            <w:pPr>
              <w:pStyle w:val="P68B1DB1-Normal5"/>
              <w:spacing w:after="0" w:line="240" w:lineRule="auto"/>
              <w:rPr>
                <w:rFonts w:eastAsia="Times New Roman" w:cs="Times New Roman"/>
                <w:noProof/>
              </w:rPr>
            </w:pPr>
            <w:r>
              <w:rPr>
                <w:noProof/>
              </w:rPr>
              <w:t>Postotak (%)</w:t>
            </w:r>
          </w:p>
          <w:p w14:paraId="567BF3C3"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C4354CE"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6E196249" w14:textId="77777777" w:rsidR="003F46B9" w:rsidRDefault="0065662E">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EDC89AC"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4D9A6EC4"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8982288" w14:textId="77777777" w:rsidR="003F46B9" w:rsidRDefault="0065662E">
            <w:pPr>
              <w:pStyle w:val="P68B1DB1-Normal5"/>
              <w:spacing w:after="0" w:line="240" w:lineRule="auto"/>
              <w:jc w:val="both"/>
              <w:rPr>
                <w:rFonts w:cs="Times New Roman"/>
                <w:noProof/>
              </w:rPr>
            </w:pPr>
            <w:r>
              <w:rPr>
                <w:noProof/>
              </w:rPr>
              <w:t>Operacije financiranja ili operacije ulaganja u iznosu od najmanje 50 % ukupnog iznosa sredstava dodijeljenih instrumentu, u skladu sa zahtjevima navedenima u ključnoj etapi 247, koje je odobrio Odbor za ulaganja program</w:t>
            </w:r>
            <w:r>
              <w:rPr>
                <w:noProof/>
              </w:rPr>
              <w:t>a InvestEU.</w:t>
            </w:r>
          </w:p>
        </w:tc>
      </w:tr>
      <w:tr w:rsidR="003F46B9" w14:paraId="576222B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05287C6" w14:textId="77777777" w:rsidR="003F46B9" w:rsidRDefault="0065662E">
            <w:pPr>
              <w:pStyle w:val="P68B1DB1-Normal5"/>
              <w:spacing w:after="0" w:line="240" w:lineRule="auto"/>
              <w:jc w:val="center"/>
              <w:rPr>
                <w:rFonts w:cs="Times New Roman"/>
                <w:noProof/>
              </w:rPr>
            </w:pPr>
            <w:r>
              <w:rPr>
                <w:noProof/>
              </w:rPr>
              <w:t>249</w:t>
            </w:r>
          </w:p>
        </w:tc>
        <w:tc>
          <w:tcPr>
            <w:tcW w:w="1844" w:type="dxa"/>
            <w:tcBorders>
              <w:top w:val="nil"/>
              <w:left w:val="single" w:sz="4" w:space="0" w:color="auto"/>
              <w:bottom w:val="single" w:sz="4" w:space="0" w:color="auto"/>
              <w:right w:val="single" w:sz="4" w:space="0" w:color="auto"/>
            </w:tcBorders>
            <w:shd w:val="clear" w:color="auto" w:fill="C6EFCE"/>
            <w:noWrap/>
          </w:tcPr>
          <w:p w14:paraId="792F6CF3" w14:textId="77777777" w:rsidR="003F46B9" w:rsidRDefault="0065662E">
            <w:pPr>
              <w:pStyle w:val="P68B1DB1-Normal5"/>
              <w:spacing w:after="0" w:line="240" w:lineRule="auto"/>
              <w:jc w:val="both"/>
              <w:rPr>
                <w:rFonts w:cs="Times New Roman"/>
                <w:noProof/>
              </w:rPr>
            </w:pPr>
            <w:r>
              <w:rPr>
                <w:noProof/>
              </w:rPr>
              <w:t xml:space="preserve">Ulaganje 2.1 Financijski instrumenti za privatni sektor – portfeljno jamstvo za otpornost </w:t>
            </w:r>
          </w:p>
        </w:tc>
        <w:tc>
          <w:tcPr>
            <w:tcW w:w="1089" w:type="dxa"/>
            <w:tcBorders>
              <w:top w:val="nil"/>
              <w:left w:val="single" w:sz="4" w:space="0" w:color="auto"/>
              <w:bottom w:val="single" w:sz="4" w:space="0" w:color="auto"/>
              <w:right w:val="single" w:sz="4" w:space="0" w:color="auto"/>
            </w:tcBorders>
            <w:shd w:val="clear" w:color="auto" w:fill="C6EFCE"/>
            <w:noWrap/>
          </w:tcPr>
          <w:p w14:paraId="2B73A50F"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0E8FFF34" w14:textId="77777777" w:rsidR="003F46B9" w:rsidRDefault="0065662E">
            <w:pPr>
              <w:pStyle w:val="P68B1DB1-Normal5"/>
              <w:spacing w:after="0" w:line="240" w:lineRule="auto"/>
              <w:jc w:val="both"/>
              <w:rPr>
                <w:rFonts w:cs="Times New Roman"/>
                <w:noProof/>
              </w:rPr>
            </w:pPr>
            <w:r>
              <w:rPr>
                <w:noProof/>
              </w:rPr>
              <w:t>Operacije financiranja ili ulaganja u iznosu od 100 % sredstava dodijeljenih instrumentu koji je odobrio Odbor za ulaganja InvestEU.</w:t>
            </w:r>
          </w:p>
        </w:tc>
        <w:tc>
          <w:tcPr>
            <w:tcW w:w="1766" w:type="dxa"/>
            <w:tcBorders>
              <w:top w:val="nil"/>
              <w:left w:val="single" w:sz="4" w:space="0" w:color="auto"/>
              <w:bottom w:val="single" w:sz="4" w:space="0" w:color="auto"/>
              <w:right w:val="single" w:sz="4" w:space="0" w:color="auto"/>
            </w:tcBorders>
            <w:shd w:val="clear" w:color="auto" w:fill="C6EFCE"/>
            <w:noWrap/>
          </w:tcPr>
          <w:p w14:paraId="453E1DB2"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B060B27" w14:textId="77777777" w:rsidR="003F46B9" w:rsidRDefault="0065662E">
            <w:pPr>
              <w:pStyle w:val="P68B1DB1-Normal5"/>
              <w:spacing w:after="0" w:line="240" w:lineRule="auto"/>
              <w:rPr>
                <w:rFonts w:eastAsia="Times New Roman" w:cs="Times New Roman"/>
                <w:noProof/>
              </w:rPr>
            </w:pPr>
            <w:r>
              <w:rPr>
                <w:noProof/>
              </w:rPr>
              <w:t>Postotak (%)</w:t>
            </w:r>
          </w:p>
          <w:p w14:paraId="31E6E10A"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0153F881" w14:textId="77777777" w:rsidR="003F46B9" w:rsidRDefault="0065662E">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0D71255D"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48B3129D"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18DDEE5C"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50E0F00" w14:textId="77777777" w:rsidR="003F46B9" w:rsidRDefault="0065662E">
            <w:pPr>
              <w:pStyle w:val="P68B1DB1-Normal5"/>
              <w:spacing w:after="0" w:line="240" w:lineRule="auto"/>
              <w:jc w:val="both"/>
              <w:rPr>
                <w:rFonts w:cs="Times New Roman"/>
                <w:noProof/>
              </w:rPr>
            </w:pPr>
            <w:r>
              <w:rPr>
                <w:noProof/>
              </w:rPr>
              <w:t>Operacije financiranja ili ulaganja u iznosu od 100 % ukupnog iznosa sredstava dodijeljenih instrumentu, u skladu sa zahtjevima navedenima u ključnoj etapi 247, koje je odobrio Odbor za ulaganja programa InvestEU.</w:t>
            </w:r>
          </w:p>
        </w:tc>
      </w:tr>
      <w:tr w:rsidR="003F46B9" w14:paraId="6126708A"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ADB2E75" w14:textId="77777777" w:rsidR="003F46B9" w:rsidRDefault="0065662E">
            <w:pPr>
              <w:pStyle w:val="P68B1DB1-Normal5"/>
              <w:spacing w:after="0" w:line="240" w:lineRule="auto"/>
              <w:jc w:val="center"/>
              <w:rPr>
                <w:rFonts w:cs="Times New Roman"/>
                <w:noProof/>
              </w:rPr>
            </w:pPr>
            <w:r>
              <w:rPr>
                <w:noProof/>
              </w:rPr>
              <w:t>250</w:t>
            </w:r>
          </w:p>
        </w:tc>
        <w:tc>
          <w:tcPr>
            <w:tcW w:w="1844" w:type="dxa"/>
            <w:tcBorders>
              <w:top w:val="nil"/>
              <w:left w:val="single" w:sz="4" w:space="0" w:color="auto"/>
              <w:bottom w:val="single" w:sz="4" w:space="0" w:color="auto"/>
              <w:right w:val="single" w:sz="4" w:space="0" w:color="auto"/>
            </w:tcBorders>
            <w:shd w:val="clear" w:color="auto" w:fill="C6EFCE"/>
            <w:noWrap/>
          </w:tcPr>
          <w:p w14:paraId="75922620" w14:textId="77777777" w:rsidR="003F46B9" w:rsidRDefault="0065662E">
            <w:pPr>
              <w:pStyle w:val="P68B1DB1-Normal5"/>
              <w:spacing w:after="0" w:line="240" w:lineRule="auto"/>
              <w:jc w:val="both"/>
              <w:rPr>
                <w:rFonts w:cs="Times New Roman"/>
                <w:noProof/>
              </w:rPr>
            </w:pPr>
            <w:r>
              <w:rPr>
                <w:noProof/>
              </w:rPr>
              <w:t xml:space="preserve">Ulaganje 2.2 Financijski instrumenti za privatni sektor – jamstvo portfelja za klimatsku politiku </w:t>
            </w:r>
          </w:p>
        </w:tc>
        <w:tc>
          <w:tcPr>
            <w:tcW w:w="1089" w:type="dxa"/>
            <w:tcBorders>
              <w:top w:val="nil"/>
              <w:left w:val="single" w:sz="4" w:space="0" w:color="auto"/>
              <w:bottom w:val="single" w:sz="4" w:space="0" w:color="auto"/>
              <w:right w:val="single" w:sz="4" w:space="0" w:color="auto"/>
            </w:tcBorders>
            <w:shd w:val="clear" w:color="auto" w:fill="C6EFCE"/>
            <w:noWrap/>
          </w:tcPr>
          <w:p w14:paraId="02CDA1EC"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25C99DCC" w14:textId="77777777" w:rsidR="003F46B9" w:rsidRDefault="0065662E">
            <w:pPr>
              <w:pStyle w:val="P68B1DB1-Normal5"/>
              <w:spacing w:after="0" w:line="240" w:lineRule="auto"/>
              <w:jc w:val="both"/>
              <w:rPr>
                <w:rFonts w:cs="Times New Roman"/>
                <w:noProof/>
              </w:rPr>
            </w:pPr>
            <w:r>
              <w:rPr>
                <w:noProof/>
              </w:rPr>
              <w:t>Potpisivanje sporazuma o doprinosu između Europske komisije i rumunjske vlade.</w:t>
            </w:r>
          </w:p>
        </w:tc>
        <w:tc>
          <w:tcPr>
            <w:tcW w:w="1766" w:type="dxa"/>
            <w:tcBorders>
              <w:top w:val="nil"/>
              <w:left w:val="single" w:sz="4" w:space="0" w:color="auto"/>
              <w:bottom w:val="single" w:sz="4" w:space="0" w:color="auto"/>
              <w:right w:val="single" w:sz="4" w:space="0" w:color="auto"/>
            </w:tcBorders>
            <w:shd w:val="clear" w:color="auto" w:fill="C6EFCE"/>
            <w:noWrap/>
          </w:tcPr>
          <w:p w14:paraId="42B76464" w14:textId="77777777" w:rsidR="003F46B9" w:rsidRDefault="0065662E">
            <w:pPr>
              <w:pStyle w:val="P68B1DB1-Normal5"/>
              <w:spacing w:after="0" w:line="240" w:lineRule="auto"/>
              <w:jc w:val="both"/>
              <w:rPr>
                <w:rFonts w:cs="Times New Roman"/>
                <w:noProof/>
              </w:rPr>
            </w:pPr>
            <w:r>
              <w:rPr>
                <w:noProof/>
              </w:rPr>
              <w:t> Potpisan sporazum</w:t>
            </w:r>
          </w:p>
        </w:tc>
        <w:tc>
          <w:tcPr>
            <w:tcW w:w="1558" w:type="dxa"/>
            <w:tcBorders>
              <w:top w:val="nil"/>
              <w:left w:val="single" w:sz="4" w:space="0" w:color="auto"/>
              <w:bottom w:val="single" w:sz="4" w:space="0" w:color="auto"/>
              <w:right w:val="single" w:sz="4" w:space="0" w:color="auto"/>
            </w:tcBorders>
            <w:shd w:val="clear" w:color="auto" w:fill="C6EFCE"/>
            <w:noWrap/>
          </w:tcPr>
          <w:p w14:paraId="10933389"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A2CD520"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24F91BF8"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3B2CFF1"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7DDFF1AA" w14:textId="77777777" w:rsidR="003F46B9" w:rsidRDefault="0065662E">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134711E7" w14:textId="77777777" w:rsidR="003F46B9" w:rsidRDefault="0065662E">
            <w:pPr>
              <w:pStyle w:val="P68B1DB1-Normal5"/>
              <w:spacing w:after="0" w:line="240" w:lineRule="auto"/>
              <w:jc w:val="both"/>
              <w:rPr>
                <w:rFonts w:cs="Times New Roman"/>
                <w:noProof/>
              </w:rPr>
            </w:pPr>
            <w:r>
              <w:rPr>
                <w:noProof/>
              </w:rPr>
              <w:t xml:space="preserve">Potpisivanje </w:t>
            </w:r>
            <w:r>
              <w:rPr>
                <w:noProof/>
              </w:rPr>
              <w:t>sporazuma o doprinosu između Europske komisije i rumunjske vlade, uključujući:</w:t>
            </w:r>
          </w:p>
          <w:p w14:paraId="28868A3C" w14:textId="77777777" w:rsidR="003F46B9" w:rsidRDefault="0065662E">
            <w:pPr>
              <w:pStyle w:val="P68B1DB1-Normal5"/>
              <w:spacing w:after="0" w:line="240" w:lineRule="auto"/>
              <w:jc w:val="both"/>
              <w:rPr>
                <w:rFonts w:cs="Times New Roman"/>
                <w:noProof/>
              </w:rPr>
            </w:pPr>
            <w:r>
              <w:rPr>
                <w:noProof/>
              </w:rPr>
              <w:t xml:space="preserve">a. Kriteriji odabira za usklađenost s Tehničkim smjernicama o nenanošenju bitne štete (2021/C58/01) za transakcije za koje se pruža potpora u okviru te mjere primjenom provjere </w:t>
            </w:r>
            <w:r>
              <w:rPr>
                <w:noProof/>
              </w:rPr>
              <w:t>održivosti i popisa za isključenje.</w:t>
            </w:r>
          </w:p>
          <w:p w14:paraId="4C71E5EE" w14:textId="77777777" w:rsidR="003F46B9" w:rsidRDefault="0065662E">
            <w:pPr>
              <w:pStyle w:val="P68B1DB1-Normal5"/>
              <w:spacing w:after="0" w:line="240" w:lineRule="auto"/>
              <w:jc w:val="both"/>
              <w:rPr>
                <w:rFonts w:cs="Times New Roman"/>
                <w:noProof/>
              </w:rPr>
            </w:pPr>
            <w:r>
              <w:rPr>
                <w:noProof/>
              </w:rPr>
              <w:t>b. Kriteriji za osiguravanje usklađenosti financijskog instrumenta sa Smjernicama Komisije od 22. siječnja 2021. (SWD(2021) 12 final) koje se odnose na financijske instrumente.</w:t>
            </w:r>
          </w:p>
          <w:p w14:paraId="488EB5E6" w14:textId="77777777" w:rsidR="003F46B9" w:rsidRDefault="003F46B9">
            <w:pPr>
              <w:spacing w:after="0" w:line="240" w:lineRule="auto"/>
              <w:jc w:val="both"/>
              <w:rPr>
                <w:rFonts w:ascii="Times New Roman" w:hAnsi="Times New Roman" w:cs="Times New Roman"/>
                <w:noProof/>
                <w:sz w:val="24"/>
              </w:rPr>
            </w:pPr>
          </w:p>
          <w:p w14:paraId="25E51B9D" w14:textId="77777777" w:rsidR="003F46B9" w:rsidRDefault="0065662E">
            <w:pPr>
              <w:pStyle w:val="P68B1DB1-Normal5"/>
              <w:spacing w:after="0" w:line="240" w:lineRule="auto"/>
              <w:jc w:val="both"/>
              <w:rPr>
                <w:rFonts w:cs="Times New Roman"/>
                <w:noProof/>
              </w:rPr>
            </w:pPr>
            <w:r>
              <w:rPr>
                <w:noProof/>
              </w:rPr>
              <w:t>S obzirom na to da se predloženi instrumen</w:t>
            </w:r>
            <w:r>
              <w:rPr>
                <w:noProof/>
              </w:rPr>
              <w:t>t provodi kao doprinos programu InvestEU (potencijalni dodatak postojećem proizvodu u okviru EU-Compartmenta), prethodno navedene točke (a) i (b) osiguravaju se primjenom odredbi programa InvestEU i politike kreditiranja odabranog provedbenog partnera te k</w:t>
            </w:r>
            <w:r>
              <w:rPr>
                <w:noProof/>
              </w:rPr>
              <w:t>riterija za isključenje. Dodatna izuzeća potrebna kako bi se osigurala usklađenost s Tehničkim smjernicama o nenanošenju bitne štete (2021/C58/01) navode se u sporazumu o jamstvu između Europske komisije i Europskog investicijskog fonda (EIF).</w:t>
            </w:r>
          </w:p>
          <w:p w14:paraId="61610E74" w14:textId="77777777" w:rsidR="003F46B9" w:rsidRDefault="0065662E">
            <w:pPr>
              <w:pStyle w:val="P68B1DB1-Normal5"/>
              <w:spacing w:after="0" w:line="240" w:lineRule="auto"/>
              <w:jc w:val="both"/>
              <w:rPr>
                <w:rFonts w:eastAsia="Times New Roman" w:cs="Times New Roman"/>
                <w:noProof/>
              </w:rPr>
            </w:pPr>
            <w:r>
              <w:rPr>
                <w:noProof/>
              </w:rPr>
              <w:t xml:space="preserve">Financijski </w:t>
            </w:r>
            <w:r>
              <w:rPr>
                <w:noProof/>
              </w:rPr>
              <w:t>instrument ima oblik portfeljnog jamstva, koje provodi EIF, i njime se osiguravaju financijska sredstva i ulaganja MSP-ovima s do 249 zaposlenika, poduzećima s najviše 500 zaposlenika i pojedincima („korisnici”) putem obrtnog kapitala, kreditnih linija, in</w:t>
            </w:r>
            <w:r>
              <w:rPr>
                <w:noProof/>
              </w:rPr>
              <w:t>vesticijskih zajmova ili leasinga, u cilju ulaganja i financiranja za poboljšanje energetske učinkovitosti u poduzećima te stambenom i građevinskom sektoru. Očekuje se da će najmanje 250 korisnika dobiti potporu u okviru instrumenta. Svrha je instrumenta o</w:t>
            </w:r>
            <w:r>
              <w:rPr>
                <w:noProof/>
              </w:rPr>
              <w:t xml:space="preserve">dgovoriti na trenutačne izazove Rumunjske u podupiranju ulaganja u sektore energetske učinkovitosti i energije iz obnovljivih izvora. Posebni ciljevi i ambicije u pogledu energetske učinkovitosti instrumenta, kao i struktura i kriteriji prihvatljivosti, u </w:t>
            </w:r>
            <w:r>
              <w:rPr>
                <w:noProof/>
              </w:rPr>
              <w:t>potpunosti su usklađeni i odgovaraju ciljevima instrumenta EU-Compartment InvestEU, koji je trenutačno u izradi.</w:t>
            </w:r>
          </w:p>
          <w:p w14:paraId="63746FB9" w14:textId="77777777" w:rsidR="003F46B9" w:rsidRDefault="0065662E">
            <w:pPr>
              <w:pStyle w:val="P68B1DB1-Normal5"/>
              <w:spacing w:after="0" w:line="240" w:lineRule="auto"/>
              <w:jc w:val="both"/>
              <w:rPr>
                <w:rFonts w:cs="Times New Roman"/>
                <w:noProof/>
              </w:rPr>
            </w:pPr>
            <w:r>
              <w:rPr>
                <w:noProof/>
              </w:rPr>
              <w:t xml:space="preserve">Struktura instrumenta omogućuje iskorištavanje privatnih sredstava. </w:t>
            </w:r>
          </w:p>
          <w:p w14:paraId="04EF0884" w14:textId="77777777" w:rsidR="003F46B9" w:rsidRDefault="0065662E">
            <w:pPr>
              <w:pStyle w:val="P68B1DB1-Normal5"/>
              <w:spacing w:after="0" w:line="240" w:lineRule="auto"/>
              <w:jc w:val="both"/>
              <w:rPr>
                <w:rFonts w:cs="Times New Roman"/>
                <w:noProof/>
              </w:rPr>
            </w:pPr>
            <w:r>
              <w:rPr>
                <w:noProof/>
              </w:rPr>
              <w:t xml:space="preserve">Svi povrati na financijski instrument, među ostalim od vraćanja, te dobit </w:t>
            </w:r>
            <w:r>
              <w:rPr>
                <w:noProof/>
              </w:rPr>
              <w:t>ostvarena upotrebom sredstava iz Mehanizma za oporavak i otpornost, umanjena za naknadu upravitelju fonda i financijskim posrednicima, upotrebljavaju se za iste ciljeve politike, među ostalim i nakon 2026.</w:t>
            </w:r>
          </w:p>
        </w:tc>
      </w:tr>
      <w:tr w:rsidR="003F46B9" w14:paraId="2C58A27B"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AB84E01" w14:textId="77777777" w:rsidR="003F46B9" w:rsidRDefault="0065662E">
            <w:pPr>
              <w:pStyle w:val="P68B1DB1-Normal5"/>
              <w:spacing w:after="0" w:line="240" w:lineRule="auto"/>
              <w:jc w:val="center"/>
              <w:rPr>
                <w:rFonts w:cs="Times New Roman"/>
                <w:noProof/>
              </w:rPr>
            </w:pPr>
            <w:r>
              <w:rPr>
                <w:noProof/>
              </w:rPr>
              <w:t>251</w:t>
            </w:r>
          </w:p>
        </w:tc>
        <w:tc>
          <w:tcPr>
            <w:tcW w:w="1844" w:type="dxa"/>
            <w:tcBorders>
              <w:top w:val="nil"/>
              <w:left w:val="single" w:sz="4" w:space="0" w:color="auto"/>
              <w:bottom w:val="single" w:sz="4" w:space="0" w:color="auto"/>
              <w:right w:val="single" w:sz="4" w:space="0" w:color="auto"/>
            </w:tcBorders>
            <w:shd w:val="clear" w:color="auto" w:fill="C6EFCE"/>
            <w:noWrap/>
          </w:tcPr>
          <w:p w14:paraId="2B95371C" w14:textId="77777777" w:rsidR="003F46B9" w:rsidRDefault="0065662E">
            <w:pPr>
              <w:pStyle w:val="P68B1DB1-Normal5"/>
              <w:spacing w:after="0" w:line="240" w:lineRule="auto"/>
              <w:jc w:val="both"/>
              <w:rPr>
                <w:rFonts w:cs="Times New Roman"/>
                <w:noProof/>
              </w:rPr>
            </w:pPr>
            <w:r>
              <w:rPr>
                <w:noProof/>
              </w:rPr>
              <w:t xml:space="preserve">Ulaganje 2.2 Financijski instrumenti za privatni sektor – jamstvo portfelja za klimatsku politiku </w:t>
            </w:r>
          </w:p>
        </w:tc>
        <w:tc>
          <w:tcPr>
            <w:tcW w:w="1089" w:type="dxa"/>
            <w:tcBorders>
              <w:top w:val="nil"/>
              <w:left w:val="single" w:sz="4" w:space="0" w:color="auto"/>
              <w:bottom w:val="single" w:sz="4" w:space="0" w:color="auto"/>
              <w:right w:val="single" w:sz="4" w:space="0" w:color="auto"/>
            </w:tcBorders>
            <w:shd w:val="clear" w:color="auto" w:fill="C6EFCE"/>
            <w:noWrap/>
          </w:tcPr>
          <w:p w14:paraId="166FF03C"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5F5FF713"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najmanje 50 % ukupnog iznosa sredstava dodijeljenih instrumentu, koje je odobrio Odbor za ulaganja </w:t>
            </w:r>
            <w:r>
              <w:rPr>
                <w:noProof/>
              </w:rPr>
              <w:t xml:space="preserve">programa InvestEU. </w:t>
            </w:r>
          </w:p>
        </w:tc>
        <w:tc>
          <w:tcPr>
            <w:tcW w:w="1766" w:type="dxa"/>
            <w:tcBorders>
              <w:top w:val="nil"/>
              <w:left w:val="single" w:sz="4" w:space="0" w:color="auto"/>
              <w:bottom w:val="single" w:sz="4" w:space="0" w:color="auto"/>
              <w:right w:val="single" w:sz="4" w:space="0" w:color="auto"/>
            </w:tcBorders>
            <w:shd w:val="clear" w:color="auto" w:fill="C6EFCE"/>
            <w:noWrap/>
          </w:tcPr>
          <w:p w14:paraId="7F968677"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CB17904" w14:textId="77777777" w:rsidR="003F46B9" w:rsidRDefault="0065662E">
            <w:pPr>
              <w:pStyle w:val="P68B1DB1-Normal5"/>
              <w:spacing w:after="0" w:line="240" w:lineRule="auto"/>
              <w:rPr>
                <w:rFonts w:eastAsia="Times New Roman" w:cs="Times New Roman"/>
                <w:noProof/>
              </w:rPr>
            </w:pPr>
            <w:r>
              <w:rPr>
                <w:noProof/>
              </w:rPr>
              <w:t>Postotak (%)</w:t>
            </w:r>
          </w:p>
          <w:p w14:paraId="4F7C7CF9"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5D33339"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4260F895" w14:textId="77777777" w:rsidR="003F46B9" w:rsidRDefault="0065662E">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1D2D551B"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6F26B2A4"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3AA02282" w14:textId="77777777" w:rsidR="003F46B9" w:rsidRDefault="0065662E">
            <w:pPr>
              <w:pStyle w:val="P68B1DB1-Normal5"/>
              <w:spacing w:after="0" w:line="240" w:lineRule="auto"/>
              <w:jc w:val="both"/>
              <w:rPr>
                <w:rFonts w:cs="Times New Roman"/>
                <w:noProof/>
              </w:rPr>
            </w:pPr>
            <w:r>
              <w:rPr>
                <w:noProof/>
              </w:rPr>
              <w:t>Operacije financiranja ili ulaganja u iznosu od najmanje 50 % ukupnog iznosa sredstava dodijeljenih instrumentu, u skladu sa zahtjevima utvrđenima u ključnoj etapi 250, koje je odobrio Odbor za ulag</w:t>
            </w:r>
            <w:r>
              <w:rPr>
                <w:noProof/>
              </w:rPr>
              <w:t>anja programa InvestEU</w:t>
            </w:r>
          </w:p>
        </w:tc>
      </w:tr>
      <w:tr w:rsidR="003F46B9" w14:paraId="1125F90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5F5E0693" w14:textId="77777777" w:rsidR="003F46B9" w:rsidRDefault="0065662E">
            <w:pPr>
              <w:pStyle w:val="P68B1DB1-Normal5"/>
              <w:spacing w:after="0" w:line="240" w:lineRule="auto"/>
              <w:jc w:val="center"/>
              <w:rPr>
                <w:rFonts w:cs="Times New Roman"/>
                <w:noProof/>
              </w:rPr>
            </w:pPr>
            <w:r>
              <w:rPr>
                <w:noProof/>
              </w:rPr>
              <w:t>252</w:t>
            </w:r>
          </w:p>
        </w:tc>
        <w:tc>
          <w:tcPr>
            <w:tcW w:w="1844" w:type="dxa"/>
            <w:tcBorders>
              <w:top w:val="nil"/>
              <w:left w:val="single" w:sz="4" w:space="0" w:color="auto"/>
              <w:bottom w:val="single" w:sz="4" w:space="0" w:color="auto"/>
              <w:right w:val="single" w:sz="4" w:space="0" w:color="auto"/>
            </w:tcBorders>
            <w:shd w:val="clear" w:color="auto" w:fill="C6EFCE"/>
            <w:noWrap/>
          </w:tcPr>
          <w:p w14:paraId="352F1097" w14:textId="77777777" w:rsidR="003F46B9" w:rsidRDefault="0065662E">
            <w:pPr>
              <w:pStyle w:val="P68B1DB1-Normal5"/>
              <w:spacing w:after="0" w:line="240" w:lineRule="auto"/>
              <w:jc w:val="both"/>
              <w:rPr>
                <w:rFonts w:cs="Times New Roman"/>
                <w:noProof/>
              </w:rPr>
            </w:pPr>
            <w:r>
              <w:rPr>
                <w:noProof/>
              </w:rPr>
              <w:t xml:space="preserve">Ulaganje 2.2 Financijski instrumenti za privatni sektor – jamstvo portfelja za klimatsku politiku </w:t>
            </w:r>
          </w:p>
        </w:tc>
        <w:tc>
          <w:tcPr>
            <w:tcW w:w="1089" w:type="dxa"/>
            <w:tcBorders>
              <w:top w:val="nil"/>
              <w:left w:val="single" w:sz="4" w:space="0" w:color="auto"/>
              <w:bottom w:val="single" w:sz="4" w:space="0" w:color="auto"/>
              <w:right w:val="single" w:sz="4" w:space="0" w:color="auto"/>
            </w:tcBorders>
            <w:shd w:val="clear" w:color="auto" w:fill="C6EFCE"/>
            <w:noWrap/>
          </w:tcPr>
          <w:p w14:paraId="699C4CDD"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2C3DBC96"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100 % ukupnog iznosa sredstava dodijeljenih instrumentu, koje je odobrio </w:t>
            </w:r>
            <w:r>
              <w:rPr>
                <w:noProof/>
              </w:rPr>
              <w:t>Odbor za ulaganja programa InvestEU.</w:t>
            </w:r>
          </w:p>
        </w:tc>
        <w:tc>
          <w:tcPr>
            <w:tcW w:w="1766" w:type="dxa"/>
            <w:tcBorders>
              <w:top w:val="nil"/>
              <w:left w:val="single" w:sz="4" w:space="0" w:color="auto"/>
              <w:bottom w:val="single" w:sz="4" w:space="0" w:color="auto"/>
              <w:right w:val="single" w:sz="4" w:space="0" w:color="auto"/>
            </w:tcBorders>
            <w:shd w:val="clear" w:color="auto" w:fill="C6EFCE"/>
            <w:noWrap/>
          </w:tcPr>
          <w:p w14:paraId="57789B76"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48F0D6F5" w14:textId="77777777" w:rsidR="003F46B9" w:rsidRDefault="0065662E">
            <w:pPr>
              <w:pStyle w:val="P68B1DB1-Normal5"/>
              <w:spacing w:after="0" w:line="240" w:lineRule="auto"/>
              <w:rPr>
                <w:rFonts w:eastAsia="Times New Roman" w:cs="Times New Roman"/>
                <w:noProof/>
              </w:rPr>
            </w:pPr>
            <w:r>
              <w:rPr>
                <w:noProof/>
              </w:rPr>
              <w:t>Postotak (%)</w:t>
            </w:r>
          </w:p>
          <w:p w14:paraId="5A734DB8"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14796815" w14:textId="77777777" w:rsidR="003F46B9" w:rsidRDefault="0065662E">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109AB81C"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A95D2C8"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00C3F683"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78D4A760" w14:textId="77777777" w:rsidR="003F46B9" w:rsidRDefault="0065662E">
            <w:pPr>
              <w:pStyle w:val="P68B1DB1-Normal5"/>
              <w:spacing w:after="0" w:line="240" w:lineRule="auto"/>
              <w:jc w:val="both"/>
              <w:rPr>
                <w:rFonts w:cs="Times New Roman"/>
                <w:noProof/>
              </w:rPr>
            </w:pPr>
            <w:r>
              <w:rPr>
                <w:noProof/>
              </w:rPr>
              <w:t>Operacije financiranja ili ulaganja u iznosu od 100 % ukupnog iznosa sredstava dodijeljenih instrumentu, u skladu sa zahtjevima utvrđenima u ključnoj etapi 250, koje je odobrio Od</w:t>
            </w:r>
            <w:r>
              <w:rPr>
                <w:noProof/>
              </w:rPr>
              <w:t>bor za ulaganja programa InvestEU</w:t>
            </w:r>
          </w:p>
        </w:tc>
      </w:tr>
      <w:tr w:rsidR="003F46B9" w14:paraId="54EE96BD"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8CF36D0" w14:textId="77777777" w:rsidR="003F46B9" w:rsidRDefault="0065662E">
            <w:pPr>
              <w:pStyle w:val="P68B1DB1-Normal5"/>
              <w:spacing w:after="0" w:line="240" w:lineRule="auto"/>
              <w:jc w:val="center"/>
              <w:rPr>
                <w:rFonts w:cs="Times New Roman"/>
                <w:noProof/>
              </w:rPr>
            </w:pPr>
            <w:r>
              <w:rPr>
                <w:noProof/>
              </w:rPr>
              <w:t>253</w:t>
            </w:r>
          </w:p>
        </w:tc>
        <w:tc>
          <w:tcPr>
            <w:tcW w:w="1844" w:type="dxa"/>
            <w:tcBorders>
              <w:top w:val="nil"/>
              <w:left w:val="single" w:sz="4" w:space="0" w:color="auto"/>
              <w:bottom w:val="single" w:sz="4" w:space="0" w:color="auto"/>
              <w:right w:val="single" w:sz="4" w:space="0" w:color="auto"/>
            </w:tcBorders>
            <w:shd w:val="clear" w:color="auto" w:fill="C6EFCE"/>
            <w:noWrap/>
          </w:tcPr>
          <w:p w14:paraId="4076CF62" w14:textId="77777777" w:rsidR="003F46B9" w:rsidRDefault="0065662E">
            <w:pPr>
              <w:pStyle w:val="P68B1DB1-Normal5"/>
              <w:spacing w:after="0" w:line="240" w:lineRule="auto"/>
              <w:jc w:val="both"/>
              <w:rPr>
                <w:rFonts w:cs="Times New Roman"/>
                <w:noProof/>
              </w:rPr>
            </w:pPr>
            <w:r>
              <w:rPr>
                <w:noProof/>
              </w:rPr>
              <w:t xml:space="preserve">Ulaganje 2.3. Financijski instrumenti za privatni sektor – Fond poduzetničkog kapitala za oporavak </w:t>
            </w:r>
          </w:p>
        </w:tc>
        <w:tc>
          <w:tcPr>
            <w:tcW w:w="1089" w:type="dxa"/>
            <w:tcBorders>
              <w:top w:val="nil"/>
              <w:left w:val="single" w:sz="4" w:space="0" w:color="auto"/>
              <w:bottom w:val="single" w:sz="4" w:space="0" w:color="auto"/>
              <w:right w:val="single" w:sz="4" w:space="0" w:color="auto"/>
            </w:tcBorders>
            <w:shd w:val="clear" w:color="auto" w:fill="C6EFCE"/>
            <w:noWrap/>
          </w:tcPr>
          <w:p w14:paraId="28FECC54"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51F1714E" w14:textId="77777777" w:rsidR="003F46B9" w:rsidRDefault="0065662E">
            <w:pPr>
              <w:pStyle w:val="P68B1DB1-Normal5"/>
              <w:spacing w:after="0" w:line="240" w:lineRule="auto"/>
              <w:jc w:val="both"/>
              <w:rPr>
                <w:rFonts w:cs="Times New Roman"/>
                <w:noProof/>
              </w:rPr>
            </w:pPr>
            <w:r>
              <w:rPr>
                <w:noProof/>
              </w:rPr>
              <w:t xml:space="preserve">Potpisivanje sporazuma o financiranju između Europskog investicijskog fonda i rumunjske </w:t>
            </w:r>
            <w:r>
              <w:rPr>
                <w:noProof/>
              </w:rPr>
              <w:t xml:space="preserve">vlade za osnivanje Fonda za rizični kapital za oporavak („Fond”) i donošenje investicijske politike Fonda. </w:t>
            </w:r>
          </w:p>
        </w:tc>
        <w:tc>
          <w:tcPr>
            <w:tcW w:w="1766" w:type="dxa"/>
            <w:tcBorders>
              <w:top w:val="nil"/>
              <w:left w:val="single" w:sz="4" w:space="0" w:color="auto"/>
              <w:bottom w:val="single" w:sz="4" w:space="0" w:color="auto"/>
              <w:right w:val="single" w:sz="4" w:space="0" w:color="auto"/>
            </w:tcBorders>
            <w:shd w:val="clear" w:color="auto" w:fill="C6EFCE"/>
            <w:noWrap/>
          </w:tcPr>
          <w:p w14:paraId="36949F6B" w14:textId="77777777" w:rsidR="003F46B9" w:rsidRDefault="0065662E">
            <w:pPr>
              <w:pStyle w:val="P68B1DB1-Normal5"/>
              <w:spacing w:after="0" w:line="240" w:lineRule="auto"/>
              <w:jc w:val="both"/>
              <w:rPr>
                <w:rFonts w:cs="Times New Roman"/>
                <w:noProof/>
              </w:rPr>
            </w:pPr>
            <w:r>
              <w:rPr>
                <w:noProof/>
              </w:rPr>
              <w:t> Potpisan sporazum</w:t>
            </w:r>
          </w:p>
        </w:tc>
        <w:tc>
          <w:tcPr>
            <w:tcW w:w="1558" w:type="dxa"/>
            <w:tcBorders>
              <w:top w:val="nil"/>
              <w:left w:val="single" w:sz="4" w:space="0" w:color="auto"/>
              <w:bottom w:val="single" w:sz="4" w:space="0" w:color="auto"/>
              <w:right w:val="single" w:sz="4" w:space="0" w:color="auto"/>
            </w:tcBorders>
            <w:shd w:val="clear" w:color="auto" w:fill="C6EFCE"/>
            <w:noWrap/>
          </w:tcPr>
          <w:p w14:paraId="7EB49CCA"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1EFF82D"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1E10CDDC"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5B63FFA"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3BC0FF23" w14:textId="77777777" w:rsidR="003F46B9" w:rsidRDefault="0065662E">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7608A6B9" w14:textId="77777777" w:rsidR="003F46B9" w:rsidRDefault="0065662E">
            <w:pPr>
              <w:pStyle w:val="P68B1DB1-Normal5"/>
              <w:spacing w:after="0" w:line="240" w:lineRule="auto"/>
              <w:jc w:val="both"/>
              <w:rPr>
                <w:rFonts w:cs="Times New Roman"/>
                <w:noProof/>
              </w:rPr>
            </w:pPr>
            <w:r>
              <w:rPr>
                <w:noProof/>
              </w:rPr>
              <w:t>Potpisivanje sporazuma o financiranju između Europskog investicijskog fonda i rumunjske vlade te dono</w:t>
            </w:r>
            <w:r>
              <w:rPr>
                <w:noProof/>
              </w:rPr>
              <w:t>šenje investicijske politike Fonda. Potonji:</w:t>
            </w:r>
          </w:p>
          <w:p w14:paraId="44F0EC36" w14:textId="77777777" w:rsidR="003F46B9" w:rsidRDefault="0065662E">
            <w:pPr>
              <w:pStyle w:val="P68B1DB1-Normal5"/>
              <w:spacing w:after="0" w:line="240" w:lineRule="auto"/>
              <w:jc w:val="both"/>
              <w:rPr>
                <w:rFonts w:cs="Times New Roman"/>
                <w:noProof/>
              </w:rPr>
            </w:pPr>
            <w:r>
              <w:rPr>
                <w:noProof/>
              </w:rPr>
              <w:t>—usvajaju upravljačka tijela financijskog instrumenta;</w:t>
            </w:r>
          </w:p>
          <w:p w14:paraId="69A2A7C2" w14:textId="77777777" w:rsidR="003F46B9" w:rsidRDefault="0065662E">
            <w:pPr>
              <w:pStyle w:val="P68B1DB1-Normal5"/>
              <w:spacing w:after="0" w:line="240" w:lineRule="auto"/>
              <w:jc w:val="both"/>
              <w:rPr>
                <w:rFonts w:cs="Times New Roman"/>
                <w:noProof/>
              </w:rPr>
            </w:pPr>
            <w:r>
              <w:rPr>
                <w:noProof/>
              </w:rPr>
              <w:t>— biti u skladu sa smjernicama Komisije od 22. siječnja 2021. (SWD(2021) 12 final) koje se odnose na financijske instrumente;</w:t>
            </w:r>
          </w:p>
          <w:p w14:paraId="200ABD02" w14:textId="77777777" w:rsidR="003F46B9" w:rsidRDefault="0065662E">
            <w:pPr>
              <w:pStyle w:val="P68B1DB1-Normal5"/>
              <w:spacing w:after="0" w:line="240" w:lineRule="auto"/>
              <w:jc w:val="both"/>
              <w:rPr>
                <w:rFonts w:cs="Times New Roman"/>
                <w:noProof/>
              </w:rPr>
            </w:pPr>
            <w:r>
              <w:rPr>
                <w:noProof/>
              </w:rPr>
              <w:t xml:space="preserve">—uključiti kriterije odabira </w:t>
            </w:r>
            <w:r>
              <w:rPr>
                <w:noProof/>
              </w:rPr>
              <w:t xml:space="preserve">kako bi se osigurala usklađenost s Tehničkim smjernicama o nenanošenju bitne štete (2021/C58/01) za transakcije koje primaju potporu u okviru te mjere primjenom provjere održivosti, popisa za isključenje, zahtjeva usklađenosti s relevantnim zakonodavstvom </w:t>
            </w:r>
            <w:r>
              <w:rPr>
                <w:noProof/>
              </w:rPr>
              <w:t>EU-a i nacionalnim zakonodavstvom u području okoliša;</w:t>
            </w:r>
          </w:p>
          <w:p w14:paraId="5701AF0C" w14:textId="77777777" w:rsidR="003F46B9" w:rsidRDefault="0065662E">
            <w:pPr>
              <w:pStyle w:val="P68B1DB1-Normal5"/>
              <w:spacing w:after="0" w:line="240" w:lineRule="auto"/>
              <w:jc w:val="both"/>
              <w:rPr>
                <w:rFonts w:cs="Times New Roman"/>
                <w:noProof/>
              </w:rPr>
            </w:pPr>
            <w:r>
              <w:rPr>
                <w:noProof/>
              </w:rPr>
              <w:t>—uključiti zahtjev da korisnici koji su tijekom prethodne financijske godine ostvarili više od 50 % svojih prihoda od aktivnosti ili imovine s popisa za isključenje donesu i objave planove zelene tranzi</w:t>
            </w:r>
            <w:r>
              <w:rPr>
                <w:noProof/>
              </w:rPr>
              <w:t>cije.</w:t>
            </w:r>
          </w:p>
          <w:p w14:paraId="76A53779" w14:textId="77777777" w:rsidR="003F46B9" w:rsidRDefault="0065662E">
            <w:pPr>
              <w:pStyle w:val="P68B1DB1-Normal5"/>
              <w:spacing w:after="0" w:line="240" w:lineRule="auto"/>
              <w:jc w:val="both"/>
              <w:rPr>
                <w:rFonts w:cs="Times New Roman"/>
                <w:noProof/>
              </w:rPr>
            </w:pPr>
            <w:r>
              <w:rPr>
                <w:noProof/>
              </w:rPr>
              <w:t>Fondom se pruža potpora u obliku financijskih instrumenata (vlasnički kapital) MSP-ovima, poduzećima srednje tržišne kapitalizacije, uključujući novoosnovana poduzeća, poduzećima u ranim i naprednim fazama rasta te infrastrukturnim projektima usmjere</w:t>
            </w:r>
            <w:r>
              <w:rPr>
                <w:noProof/>
              </w:rPr>
              <w:t>nima na obnovljivu energiju i energetsku učinkovitost. Potpora se pruža putem fondova poduzetničkog kapitala i infrastrukturnih fondova. Ciljani broj korisnika je 100.</w:t>
            </w:r>
          </w:p>
          <w:p w14:paraId="3B4E0E2D" w14:textId="77777777" w:rsidR="003F46B9" w:rsidRDefault="0065662E">
            <w:pPr>
              <w:pStyle w:val="P68B1DB1-Normal5"/>
              <w:spacing w:after="0" w:line="240" w:lineRule="auto"/>
              <w:jc w:val="both"/>
              <w:rPr>
                <w:rFonts w:cs="Times New Roman"/>
                <w:noProof/>
              </w:rPr>
            </w:pPr>
            <w:r>
              <w:rPr>
                <w:noProof/>
              </w:rPr>
              <w:t>Upravljanje Fondom povjerava se Europskom investicijskom fondu (EIF). Osniva se Odbor za</w:t>
            </w:r>
            <w:r>
              <w:rPr>
                <w:noProof/>
              </w:rPr>
              <w:t xml:space="preserve"> ulaganja koji je odgovoran za odobravanje operacija s posrednicima kako ih je predložio upravitelj fonda (EIF) na temelju tržišnih potreba i na otvoren način koji je u skladu s tržištem. EIF-ove naknade za upravljanje uključuju element uspješnosti. </w:t>
            </w:r>
          </w:p>
          <w:p w14:paraId="3C829982" w14:textId="77777777" w:rsidR="003F46B9" w:rsidRDefault="0065662E">
            <w:pPr>
              <w:pStyle w:val="P68B1DB1-Normal5"/>
              <w:spacing w:after="0" w:line="240" w:lineRule="auto"/>
              <w:jc w:val="both"/>
              <w:rPr>
                <w:rFonts w:cs="Times New Roman"/>
                <w:noProof/>
              </w:rPr>
            </w:pPr>
            <w:r>
              <w:rPr>
                <w:noProof/>
              </w:rPr>
              <w:t>Struk</w:t>
            </w:r>
            <w:r>
              <w:rPr>
                <w:noProof/>
              </w:rPr>
              <w:t xml:space="preserve">tura Fonda omogućuje iskorištavanje privatnih sredstava. </w:t>
            </w:r>
          </w:p>
          <w:p w14:paraId="7947DCCD" w14:textId="77777777" w:rsidR="003F46B9" w:rsidRDefault="0065662E">
            <w:pPr>
              <w:pStyle w:val="P68B1DB1-Normal5"/>
              <w:spacing w:after="0" w:line="240" w:lineRule="auto"/>
              <w:jc w:val="both"/>
              <w:rPr>
                <w:rFonts w:cs="Times New Roman"/>
                <w:noProof/>
              </w:rPr>
            </w:pPr>
            <w:r>
              <w:rPr>
                <w:noProof/>
              </w:rPr>
              <w:t>Svi povrati u Fond ili financijske instrumente, među ostalim od vraćanja, te dobit ostvarena upotrebom sredstava iz Mehanizma za oporavak i otpornost, umanjena za naknadu upravitelju fonda i financi</w:t>
            </w:r>
            <w:r>
              <w:rPr>
                <w:noProof/>
              </w:rPr>
              <w:t>jskim posrednicima, upotrebljavaju se za iste ciljeve politike, među ostalim i nakon 2026.</w:t>
            </w:r>
          </w:p>
        </w:tc>
      </w:tr>
      <w:tr w:rsidR="003F46B9" w14:paraId="333851F6"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019AAA6" w14:textId="77777777" w:rsidR="003F46B9" w:rsidRDefault="0065662E">
            <w:pPr>
              <w:pStyle w:val="P68B1DB1-Normal5"/>
              <w:spacing w:after="0" w:line="240" w:lineRule="auto"/>
              <w:jc w:val="center"/>
              <w:rPr>
                <w:rFonts w:cs="Times New Roman"/>
                <w:noProof/>
              </w:rPr>
            </w:pPr>
            <w:r>
              <w:rPr>
                <w:noProof/>
              </w:rPr>
              <w:t>254</w:t>
            </w:r>
          </w:p>
        </w:tc>
        <w:tc>
          <w:tcPr>
            <w:tcW w:w="1844" w:type="dxa"/>
            <w:tcBorders>
              <w:top w:val="nil"/>
              <w:left w:val="single" w:sz="4" w:space="0" w:color="auto"/>
              <w:bottom w:val="single" w:sz="4" w:space="0" w:color="auto"/>
              <w:right w:val="single" w:sz="4" w:space="0" w:color="auto"/>
            </w:tcBorders>
            <w:shd w:val="clear" w:color="auto" w:fill="C6EFCE"/>
            <w:noWrap/>
          </w:tcPr>
          <w:p w14:paraId="53B481EA" w14:textId="77777777" w:rsidR="003F46B9" w:rsidRDefault="0065662E">
            <w:pPr>
              <w:pStyle w:val="P68B1DB1-Normal5"/>
              <w:spacing w:after="0" w:line="240" w:lineRule="auto"/>
              <w:jc w:val="both"/>
              <w:rPr>
                <w:rFonts w:cs="Times New Roman"/>
                <w:noProof/>
              </w:rPr>
            </w:pPr>
            <w:r>
              <w:rPr>
                <w:noProof/>
              </w:rPr>
              <w:t xml:space="preserve">Ulaganje 2.3. Financijski instrumenti za privatni sektor – Fond poduzetničkog kapitala za oporavak </w:t>
            </w:r>
          </w:p>
        </w:tc>
        <w:tc>
          <w:tcPr>
            <w:tcW w:w="1089" w:type="dxa"/>
            <w:tcBorders>
              <w:top w:val="nil"/>
              <w:left w:val="single" w:sz="4" w:space="0" w:color="auto"/>
              <w:bottom w:val="single" w:sz="4" w:space="0" w:color="auto"/>
              <w:right w:val="single" w:sz="4" w:space="0" w:color="auto"/>
            </w:tcBorders>
            <w:shd w:val="clear" w:color="auto" w:fill="C6EFCE"/>
            <w:noWrap/>
          </w:tcPr>
          <w:p w14:paraId="4EE8BF28"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51FA3081"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50 % </w:t>
            </w:r>
            <w:r>
              <w:rPr>
                <w:noProof/>
              </w:rPr>
              <w:t>ukupnog ciljanog iznosa financiranja ili ulaganja koje je odobrio Odbor za ulaganja.</w:t>
            </w:r>
          </w:p>
        </w:tc>
        <w:tc>
          <w:tcPr>
            <w:tcW w:w="1766" w:type="dxa"/>
            <w:tcBorders>
              <w:top w:val="nil"/>
              <w:left w:val="single" w:sz="4" w:space="0" w:color="auto"/>
              <w:bottom w:val="single" w:sz="4" w:space="0" w:color="auto"/>
              <w:right w:val="single" w:sz="4" w:space="0" w:color="auto"/>
            </w:tcBorders>
            <w:shd w:val="clear" w:color="auto" w:fill="C6EFCE"/>
            <w:noWrap/>
          </w:tcPr>
          <w:p w14:paraId="0623AFF1" w14:textId="77777777" w:rsidR="003F46B9" w:rsidRDefault="0065662E">
            <w:pPr>
              <w:pStyle w:val="P68B1DB1-Normal5"/>
              <w:spacing w:after="0" w:line="240" w:lineRule="auto"/>
              <w:jc w:val="both"/>
              <w:rPr>
                <w:rFonts w:cs="Times New Roman"/>
                <w:noProof/>
              </w:rPr>
            </w:pPr>
            <w:r>
              <w:rPr>
                <w:noProof/>
              </w:rPr>
              <w:t>Odbor za ulaganja odobrava najmanje 50 % ukupnog ciljanog iznosa financiranja ili ulaganja.</w:t>
            </w:r>
          </w:p>
        </w:tc>
        <w:tc>
          <w:tcPr>
            <w:tcW w:w="1558" w:type="dxa"/>
            <w:tcBorders>
              <w:top w:val="nil"/>
              <w:left w:val="single" w:sz="4" w:space="0" w:color="auto"/>
              <w:bottom w:val="single" w:sz="4" w:space="0" w:color="auto"/>
              <w:right w:val="single" w:sz="4" w:space="0" w:color="auto"/>
            </w:tcBorders>
            <w:shd w:val="clear" w:color="auto" w:fill="C6EFCE"/>
            <w:noWrap/>
          </w:tcPr>
          <w:p w14:paraId="22215352" w14:textId="77777777" w:rsidR="003F46B9" w:rsidRDefault="0065662E">
            <w:pPr>
              <w:pStyle w:val="P68B1DB1-Normal5"/>
              <w:spacing w:after="0" w:line="240" w:lineRule="auto"/>
              <w:rPr>
                <w:rFonts w:eastAsia="Times New Roman" w:cs="Times New Roman"/>
                <w:noProof/>
              </w:rPr>
            </w:pPr>
            <w:r>
              <w:rPr>
                <w:noProof/>
              </w:rPr>
              <w:t>Postotak (%)</w:t>
            </w:r>
          </w:p>
          <w:p w14:paraId="73862F0D"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DC803C0"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7D44CAAB" w14:textId="77777777" w:rsidR="003F46B9" w:rsidRDefault="0065662E">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31FEDF1"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0AF81F14"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6BCD04A6" w14:textId="77777777" w:rsidR="003F46B9" w:rsidRDefault="0065662E">
            <w:pPr>
              <w:pStyle w:val="P68B1DB1-Normal5"/>
              <w:spacing w:after="0" w:line="240" w:lineRule="auto"/>
              <w:jc w:val="both"/>
              <w:rPr>
                <w:rFonts w:cs="Times New Roman"/>
                <w:noProof/>
              </w:rPr>
            </w:pPr>
            <w:r>
              <w:rPr>
                <w:noProof/>
              </w:rPr>
              <w:t>Operacije financiranja ili ulaganja</w:t>
            </w:r>
            <w:r>
              <w:rPr>
                <w:noProof/>
              </w:rPr>
              <w:t xml:space="preserve"> u iznosu od 50 % ukupnog ciljanog iznosa financiranja ili ulaganja koje je odobrio Odbor za ulaganja, u skladu sa zahtjevima utvrđenima u ključnoj etapi 253.</w:t>
            </w:r>
          </w:p>
        </w:tc>
      </w:tr>
      <w:tr w:rsidR="003F46B9" w14:paraId="70125FA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AD1560" w14:textId="77777777" w:rsidR="003F46B9" w:rsidRDefault="0065662E">
            <w:pPr>
              <w:pStyle w:val="P68B1DB1-Normal5"/>
              <w:spacing w:after="0" w:line="240" w:lineRule="auto"/>
              <w:jc w:val="center"/>
              <w:rPr>
                <w:rFonts w:cs="Times New Roman"/>
                <w:noProof/>
              </w:rPr>
            </w:pPr>
            <w:r>
              <w:rPr>
                <w:noProof/>
              </w:rPr>
              <w:t>255</w:t>
            </w:r>
          </w:p>
        </w:tc>
        <w:tc>
          <w:tcPr>
            <w:tcW w:w="1844" w:type="dxa"/>
            <w:tcBorders>
              <w:top w:val="nil"/>
              <w:left w:val="single" w:sz="4" w:space="0" w:color="auto"/>
              <w:bottom w:val="single" w:sz="4" w:space="0" w:color="auto"/>
              <w:right w:val="single" w:sz="4" w:space="0" w:color="auto"/>
            </w:tcBorders>
            <w:shd w:val="clear" w:color="auto" w:fill="C6EFCE"/>
            <w:noWrap/>
          </w:tcPr>
          <w:p w14:paraId="1519B089" w14:textId="77777777" w:rsidR="003F46B9" w:rsidRDefault="0065662E">
            <w:pPr>
              <w:pStyle w:val="P68B1DB1-Normal5"/>
              <w:spacing w:after="0" w:line="240" w:lineRule="auto"/>
              <w:jc w:val="both"/>
              <w:rPr>
                <w:rFonts w:cs="Times New Roman"/>
                <w:noProof/>
              </w:rPr>
            </w:pPr>
            <w:r>
              <w:rPr>
                <w:noProof/>
              </w:rPr>
              <w:t xml:space="preserve">Ulaganje 2.3. Financijski instrumenti za privatni sektor – Fond poduzetničkog kapitala za oporavak </w:t>
            </w:r>
          </w:p>
        </w:tc>
        <w:tc>
          <w:tcPr>
            <w:tcW w:w="1089" w:type="dxa"/>
            <w:tcBorders>
              <w:top w:val="nil"/>
              <w:left w:val="single" w:sz="4" w:space="0" w:color="auto"/>
              <w:bottom w:val="single" w:sz="4" w:space="0" w:color="auto"/>
              <w:right w:val="single" w:sz="4" w:space="0" w:color="auto"/>
            </w:tcBorders>
            <w:shd w:val="clear" w:color="auto" w:fill="C6EFCE"/>
            <w:noWrap/>
          </w:tcPr>
          <w:p w14:paraId="15963524"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3E81507D" w14:textId="77777777" w:rsidR="003F46B9" w:rsidRDefault="0065662E">
            <w:pPr>
              <w:pStyle w:val="P68B1DB1-Normal5"/>
              <w:spacing w:after="0" w:line="240" w:lineRule="auto"/>
              <w:jc w:val="both"/>
              <w:rPr>
                <w:rFonts w:cs="Times New Roman"/>
                <w:noProof/>
              </w:rPr>
            </w:pPr>
            <w:r>
              <w:rPr>
                <w:noProof/>
              </w:rPr>
              <w:t>Operacije financiranja ili ulaganja u iznosu od 100 % ukupnog ciljanog iznosa financiranja ili ulaganja koje je odobrio Odbor za ulaganja.</w:t>
            </w:r>
          </w:p>
        </w:tc>
        <w:tc>
          <w:tcPr>
            <w:tcW w:w="1766" w:type="dxa"/>
            <w:tcBorders>
              <w:top w:val="nil"/>
              <w:left w:val="single" w:sz="4" w:space="0" w:color="auto"/>
              <w:bottom w:val="single" w:sz="4" w:space="0" w:color="auto"/>
              <w:right w:val="single" w:sz="4" w:space="0" w:color="auto"/>
            </w:tcBorders>
            <w:shd w:val="clear" w:color="auto" w:fill="C6EFCE"/>
            <w:noWrap/>
          </w:tcPr>
          <w:p w14:paraId="01F99DE9" w14:textId="77777777" w:rsidR="003F46B9" w:rsidRDefault="0065662E">
            <w:pPr>
              <w:pStyle w:val="P68B1DB1-Normal5"/>
              <w:spacing w:after="0" w:line="240" w:lineRule="auto"/>
              <w:jc w:val="both"/>
              <w:rPr>
                <w:rFonts w:cs="Times New Roman"/>
                <w:noProof/>
              </w:rPr>
            </w:pPr>
            <w:r>
              <w:rPr>
                <w:noProof/>
              </w:rPr>
              <w:t xml:space="preserve"> Odbor za </w:t>
            </w:r>
            <w:r>
              <w:rPr>
                <w:noProof/>
              </w:rPr>
              <w:t>ulaganja odobrava 100 % ukupnog ciljanog iznosa financiranja ili ulaganja.</w:t>
            </w:r>
          </w:p>
        </w:tc>
        <w:tc>
          <w:tcPr>
            <w:tcW w:w="1558" w:type="dxa"/>
            <w:tcBorders>
              <w:top w:val="nil"/>
              <w:left w:val="single" w:sz="4" w:space="0" w:color="auto"/>
              <w:bottom w:val="single" w:sz="4" w:space="0" w:color="auto"/>
              <w:right w:val="single" w:sz="4" w:space="0" w:color="auto"/>
            </w:tcBorders>
            <w:shd w:val="clear" w:color="auto" w:fill="C6EFCE"/>
            <w:noWrap/>
          </w:tcPr>
          <w:p w14:paraId="602BA698" w14:textId="77777777" w:rsidR="003F46B9" w:rsidRDefault="0065662E">
            <w:pPr>
              <w:pStyle w:val="P68B1DB1-Normal5"/>
              <w:spacing w:after="0" w:line="240" w:lineRule="auto"/>
              <w:rPr>
                <w:rFonts w:eastAsia="Times New Roman" w:cs="Times New Roman"/>
                <w:noProof/>
              </w:rPr>
            </w:pPr>
            <w:r>
              <w:rPr>
                <w:noProof/>
              </w:rPr>
              <w:t>Postotak (%)</w:t>
            </w:r>
          </w:p>
          <w:p w14:paraId="05A302D8"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59B0D8FB" w14:textId="77777777" w:rsidR="003F46B9" w:rsidRDefault="0065662E">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7080FE15"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1FA050DC"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644ACAAE"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244E6F59" w14:textId="77777777" w:rsidR="003F46B9" w:rsidRDefault="0065662E">
            <w:pPr>
              <w:pStyle w:val="P68B1DB1-Normal5"/>
              <w:spacing w:after="0" w:line="240" w:lineRule="auto"/>
              <w:jc w:val="both"/>
              <w:rPr>
                <w:rFonts w:cs="Times New Roman"/>
                <w:noProof/>
              </w:rPr>
            </w:pPr>
            <w:r>
              <w:rPr>
                <w:noProof/>
              </w:rPr>
              <w:t>Operacije financiranja ili ulaganja u iznosu od 100 % ukupnog ciljanog iznosa financiranja ili ulaganja koje je Odbor za ulaganja odobrio, u sk</w:t>
            </w:r>
            <w:r>
              <w:rPr>
                <w:noProof/>
              </w:rPr>
              <w:t>ladu sa zahtjevima utvrđenima u ključnoj etapi 253, do 30. lipnja 2026.</w:t>
            </w:r>
          </w:p>
        </w:tc>
      </w:tr>
      <w:tr w:rsidR="003F46B9" w14:paraId="3D9742B7"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0BEC7DF6" w14:textId="77777777" w:rsidR="003F46B9" w:rsidRDefault="0065662E">
            <w:pPr>
              <w:pStyle w:val="P68B1DB1-Normal5"/>
              <w:spacing w:after="0" w:line="240" w:lineRule="auto"/>
              <w:jc w:val="center"/>
              <w:rPr>
                <w:rFonts w:cs="Times New Roman"/>
                <w:noProof/>
              </w:rPr>
            </w:pPr>
            <w:r>
              <w:rPr>
                <w:noProof/>
              </w:rPr>
              <w:t>256</w:t>
            </w:r>
          </w:p>
        </w:tc>
        <w:tc>
          <w:tcPr>
            <w:tcW w:w="1844" w:type="dxa"/>
            <w:tcBorders>
              <w:top w:val="nil"/>
              <w:left w:val="single" w:sz="4" w:space="0" w:color="auto"/>
              <w:bottom w:val="single" w:sz="4" w:space="0" w:color="auto"/>
              <w:right w:val="single" w:sz="4" w:space="0" w:color="auto"/>
            </w:tcBorders>
            <w:shd w:val="clear" w:color="auto" w:fill="C6EFCE"/>
            <w:noWrap/>
          </w:tcPr>
          <w:p w14:paraId="0AA8F640" w14:textId="77777777" w:rsidR="003F46B9" w:rsidRDefault="0065662E">
            <w:pPr>
              <w:pStyle w:val="P68B1DB1-Normal5"/>
              <w:spacing w:after="0" w:line="240" w:lineRule="auto"/>
              <w:jc w:val="both"/>
              <w:rPr>
                <w:rFonts w:cs="Times New Roman"/>
                <w:noProof/>
              </w:rPr>
            </w:pPr>
            <w:r>
              <w:rPr>
                <w:noProof/>
              </w:rPr>
              <w:t xml:space="preserve">Ulaganja 2.4 Financijski instrumenti za privatni sektor – Fond za digitalizaciju, klimatsku politiku i druga područja interesa </w:t>
            </w:r>
          </w:p>
        </w:tc>
        <w:tc>
          <w:tcPr>
            <w:tcW w:w="1089" w:type="dxa"/>
            <w:tcBorders>
              <w:top w:val="nil"/>
              <w:left w:val="single" w:sz="4" w:space="0" w:color="auto"/>
              <w:bottom w:val="single" w:sz="4" w:space="0" w:color="auto"/>
              <w:right w:val="single" w:sz="4" w:space="0" w:color="auto"/>
            </w:tcBorders>
            <w:shd w:val="clear" w:color="auto" w:fill="C6EFCE"/>
            <w:noWrap/>
          </w:tcPr>
          <w:p w14:paraId="0EFBAB5A"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67E954B7" w14:textId="77777777" w:rsidR="003F46B9" w:rsidRDefault="0065662E">
            <w:pPr>
              <w:pStyle w:val="P68B1DB1-Normal5"/>
              <w:spacing w:after="0" w:line="240" w:lineRule="auto"/>
              <w:jc w:val="both"/>
              <w:rPr>
                <w:rFonts w:cs="Times New Roman"/>
                <w:noProof/>
              </w:rPr>
            </w:pPr>
            <w:r>
              <w:rPr>
                <w:noProof/>
              </w:rPr>
              <w:t xml:space="preserve">Uspostava financijskog instrumenta </w:t>
            </w:r>
            <w:r>
              <w:rPr>
                <w:noProof/>
              </w:rPr>
              <w:t>(„Fond”) i donošenje investicijske politike Fonda.</w:t>
            </w:r>
          </w:p>
        </w:tc>
        <w:tc>
          <w:tcPr>
            <w:tcW w:w="1766" w:type="dxa"/>
            <w:tcBorders>
              <w:top w:val="nil"/>
              <w:left w:val="single" w:sz="4" w:space="0" w:color="auto"/>
              <w:bottom w:val="single" w:sz="4" w:space="0" w:color="auto"/>
              <w:right w:val="single" w:sz="4" w:space="0" w:color="auto"/>
            </w:tcBorders>
            <w:shd w:val="clear" w:color="auto" w:fill="C6EFCE"/>
            <w:noWrap/>
          </w:tcPr>
          <w:p w14:paraId="7D63D315"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79A5CE54"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8E95689"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5AA9C6DF"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3E3F3194"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195DC912"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3DF763E6" w14:textId="77777777" w:rsidR="003F46B9" w:rsidRDefault="0065662E">
            <w:pPr>
              <w:pStyle w:val="P68B1DB1-Normal5"/>
              <w:spacing w:after="0" w:line="240" w:lineRule="auto"/>
              <w:jc w:val="both"/>
              <w:rPr>
                <w:rFonts w:cs="Times New Roman"/>
                <w:noProof/>
              </w:rPr>
            </w:pPr>
            <w:r>
              <w:rPr>
                <w:noProof/>
              </w:rPr>
              <w:t>Potpisivanje sporazuma o financiranju između Europske investicijske banke i rumunjske vlade te donošenje investicijske politike Fonda. Potonji:</w:t>
            </w:r>
          </w:p>
          <w:p w14:paraId="56C03669" w14:textId="77777777" w:rsidR="003F46B9" w:rsidRDefault="0065662E">
            <w:pPr>
              <w:pStyle w:val="P68B1DB1-Normal5"/>
              <w:spacing w:after="0" w:line="240" w:lineRule="auto"/>
              <w:jc w:val="both"/>
              <w:rPr>
                <w:rFonts w:cs="Times New Roman"/>
                <w:noProof/>
              </w:rPr>
            </w:pPr>
            <w:r>
              <w:rPr>
                <w:noProof/>
              </w:rPr>
              <w:t>—usvajaju upravljačka tijela financijsk</w:t>
            </w:r>
            <w:r>
              <w:rPr>
                <w:noProof/>
              </w:rPr>
              <w:t>og instrumenta;</w:t>
            </w:r>
          </w:p>
          <w:p w14:paraId="26F43B67" w14:textId="77777777" w:rsidR="003F46B9" w:rsidRDefault="0065662E">
            <w:pPr>
              <w:pStyle w:val="P68B1DB1-Normal5"/>
              <w:spacing w:after="0" w:line="240" w:lineRule="auto"/>
              <w:jc w:val="both"/>
              <w:rPr>
                <w:rFonts w:cs="Times New Roman"/>
                <w:noProof/>
              </w:rPr>
            </w:pPr>
            <w:r>
              <w:rPr>
                <w:noProof/>
              </w:rPr>
              <w:t>— biti u skladu sa smjernicama Komisije od 22. siječnja 2021. (SWD(2021) 12 final) koje se odnose na financijske instrumente;</w:t>
            </w:r>
          </w:p>
          <w:p w14:paraId="0297AF6B" w14:textId="78340C78" w:rsidR="003F46B9" w:rsidRDefault="0065662E">
            <w:pPr>
              <w:pStyle w:val="P68B1DB1-Normal5"/>
              <w:spacing w:after="0" w:line="240" w:lineRule="auto"/>
              <w:jc w:val="both"/>
              <w:rPr>
                <w:rFonts w:cs="Times New Roman"/>
                <w:noProof/>
              </w:rPr>
            </w:pPr>
            <w:r>
              <w:rPr>
                <w:noProof/>
              </w:rPr>
              <w:t xml:space="preserve">—uključiti kriterije za odabir kako bi se osigurala usklađenost s Tehničkim smjernicama o nenanošenju bitne štete </w:t>
            </w:r>
            <w:r>
              <w:rPr>
                <w:noProof/>
              </w:rPr>
              <w:t xml:space="preserve">(2021/C58/01) za transakcije koje primaju potporu u okviru te mjere primjenom provjere održivosti, popisa za isključenje i zahtjeva usklađenosti s relevantnim zakonodavstvom EU-a i nacionalnim zakonodavstvom u području okoliša; </w:t>
            </w:r>
          </w:p>
          <w:p w14:paraId="10315CE9" w14:textId="77777777" w:rsidR="003F46B9" w:rsidRDefault="0065662E">
            <w:pPr>
              <w:pStyle w:val="P68B1DB1-Normal5"/>
              <w:spacing w:after="0" w:line="240" w:lineRule="auto"/>
              <w:jc w:val="both"/>
              <w:rPr>
                <w:rFonts w:cs="Times New Roman"/>
                <w:noProof/>
              </w:rPr>
            </w:pPr>
            <w:r>
              <w:rPr>
                <w:noProof/>
              </w:rPr>
              <w:t xml:space="preserve">—uključiti obvezu ulaganja </w:t>
            </w:r>
            <w:r>
              <w:rPr>
                <w:noProof/>
              </w:rPr>
              <w:t>najmanje 33 % sredstava u potporu klimatskoj tranziciji i 16 % sredstava u potporu digitalnoj tranziciji, primjenom metodologije iz priloga VI. i VII. Uredbi o Mehanizmu za oporavak i otpornost.</w:t>
            </w:r>
          </w:p>
          <w:p w14:paraId="50C62399" w14:textId="0CC76AA4" w:rsidR="003F46B9" w:rsidRDefault="0065662E">
            <w:pPr>
              <w:pStyle w:val="P68B1DB1-Normal5"/>
              <w:spacing w:after="0" w:line="240" w:lineRule="auto"/>
              <w:jc w:val="both"/>
              <w:rPr>
                <w:rFonts w:cs="Times New Roman"/>
                <w:noProof/>
              </w:rPr>
            </w:pPr>
            <w:r>
              <w:rPr>
                <w:noProof/>
              </w:rPr>
              <w:t>Fond pruža potporu financijskim instrumentima (dugovima) najmanje 25 velikih poduzeća (s više od 500 zaposlenika i/ili godišnjim prometom većim od 50 milijuna EUR i ukupnom godišnjom bilancom većim od 43 milijuna EUR), javnim subjektima i subjektima posebn</w:t>
            </w:r>
            <w:r>
              <w:rPr>
                <w:noProof/>
              </w:rPr>
              <w:t xml:space="preserve">e namjene putem ulaganja kojima se doprinosi niskougljičnom gospodarstvu, kao i ulaganjima u digitalizaciju i dugotrajnu imovinu, s ciljem poticanja većeg iznosa ulaganja ciljnih poduzeća koja doprinose klimatskim i digitalnim ciljevima te poticanja rasta </w:t>
            </w:r>
            <w:r>
              <w:rPr>
                <w:noProof/>
              </w:rPr>
              <w:t>i širenja poduzeća, čime se stvaraju nove mogućnosti zapošljavanja i podupire širi gospodarski oporavak. Iznos dodijeljen područjima intervencije povezanima s klimom, u skladu s Prilogom VI. Uredbi o Mehanizmu za oporavak i otpornost, iznosi 100 milijuna E</w:t>
            </w:r>
            <w:r>
              <w:rPr>
                <w:noProof/>
              </w:rPr>
              <w:t xml:space="preserve">UR. Iznos dodijeljen područjima intervencije povezanima s digitalizacijom, u skladu s Prilogom VII. Uredbi o Mehanizmu za oporavak i otpornost, iznosi 50 milijuna EUR. Fond može uključivati i dodatne rashode povezane s klimom i digitalizacijom. </w:t>
            </w:r>
          </w:p>
          <w:p w14:paraId="5C5083F7" w14:textId="77777777" w:rsidR="003F46B9" w:rsidRDefault="0065662E">
            <w:pPr>
              <w:pStyle w:val="P68B1DB1-Normal5"/>
              <w:spacing w:after="0" w:line="240" w:lineRule="auto"/>
              <w:jc w:val="both"/>
              <w:rPr>
                <w:rFonts w:cs="Times New Roman"/>
                <w:noProof/>
              </w:rPr>
            </w:pPr>
            <w:r>
              <w:rPr>
                <w:noProof/>
              </w:rPr>
              <w:t>Upravljanj</w:t>
            </w:r>
            <w:r>
              <w:rPr>
                <w:noProof/>
              </w:rPr>
              <w:t>e Fondom povjerava se Europskoj investicijskoj banci (EIB). Osniva se Odbor za ulaganja koji uključuje neovisne stručnjake i odgovoran je za odobravanje komponenti projekata krajnjih primatelja (ulagača) povezanih s bespovratnim sredstvima kako ih je predl</w:t>
            </w:r>
            <w:r>
              <w:rPr>
                <w:noProof/>
              </w:rPr>
              <w:t xml:space="preserve">ožio upravitelj fonda (EIB) na temelju tržišnih potreba te na otvoren i tržišno usklađen način. </w:t>
            </w:r>
          </w:p>
          <w:p w14:paraId="17E37D57" w14:textId="77777777" w:rsidR="003F46B9" w:rsidRDefault="0065662E">
            <w:pPr>
              <w:pStyle w:val="P68B1DB1-Normal5"/>
              <w:spacing w:after="0" w:line="240" w:lineRule="auto"/>
              <w:jc w:val="both"/>
              <w:rPr>
                <w:rFonts w:cs="Times New Roman"/>
                <w:noProof/>
              </w:rPr>
            </w:pPr>
            <w:r>
              <w:rPr>
                <w:noProof/>
              </w:rPr>
              <w:t xml:space="preserve">Struktura Fonda omogućuje iskorištavanje privatnih sredstava. </w:t>
            </w:r>
          </w:p>
          <w:p w14:paraId="0D4C2795" w14:textId="77777777" w:rsidR="003F46B9" w:rsidRDefault="0065662E">
            <w:pPr>
              <w:pStyle w:val="P68B1DB1-Normal5"/>
              <w:spacing w:after="0" w:line="240" w:lineRule="auto"/>
              <w:jc w:val="both"/>
              <w:rPr>
                <w:rFonts w:cs="Times New Roman"/>
                <w:noProof/>
              </w:rPr>
            </w:pPr>
            <w:r>
              <w:rPr>
                <w:noProof/>
              </w:rPr>
              <w:t>Svi povrati u Fond ili financijske instrumente, među ostalim od vraćanja, te dobit ostvarena upo</w:t>
            </w:r>
            <w:r>
              <w:rPr>
                <w:noProof/>
              </w:rPr>
              <w:t>trebom sredstava iz Mehanizma za oporavak i otpornost, umanjena za naknadu upravitelju fonda i financijskim posrednicima, upotrebljavaju se za iste ciljeve politike, među ostalim i nakon 2026.</w:t>
            </w:r>
          </w:p>
        </w:tc>
      </w:tr>
      <w:tr w:rsidR="003F46B9" w14:paraId="71DCF8AC"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EE73A2C" w14:textId="77777777" w:rsidR="003F46B9" w:rsidRDefault="0065662E">
            <w:pPr>
              <w:pStyle w:val="P68B1DB1-Normal5"/>
              <w:spacing w:after="0" w:line="240" w:lineRule="auto"/>
              <w:jc w:val="center"/>
              <w:rPr>
                <w:rFonts w:cs="Times New Roman"/>
                <w:noProof/>
              </w:rPr>
            </w:pPr>
            <w:r>
              <w:rPr>
                <w:noProof/>
              </w:rPr>
              <w:t>257</w:t>
            </w:r>
          </w:p>
        </w:tc>
        <w:tc>
          <w:tcPr>
            <w:tcW w:w="1844" w:type="dxa"/>
            <w:tcBorders>
              <w:top w:val="nil"/>
              <w:left w:val="single" w:sz="4" w:space="0" w:color="auto"/>
              <w:bottom w:val="single" w:sz="4" w:space="0" w:color="auto"/>
              <w:right w:val="single" w:sz="4" w:space="0" w:color="auto"/>
            </w:tcBorders>
            <w:shd w:val="clear" w:color="auto" w:fill="C6EFCE"/>
            <w:noWrap/>
          </w:tcPr>
          <w:p w14:paraId="37AFA611" w14:textId="77777777" w:rsidR="003F46B9" w:rsidRDefault="0065662E">
            <w:pPr>
              <w:pStyle w:val="P68B1DB1-Normal22"/>
              <w:spacing w:after="0" w:line="240" w:lineRule="auto"/>
              <w:jc w:val="both"/>
              <w:rPr>
                <w:rFonts w:cs="Times New Roman"/>
                <w:noProof/>
                <w:sz w:val="24"/>
              </w:rPr>
            </w:pPr>
            <w:r>
              <w:rPr>
                <w:noProof/>
              </w:rPr>
              <w:t>Ulaganje 2.</w:t>
            </w:r>
            <w:r>
              <w:rPr>
                <w:noProof/>
                <w:sz w:val="24"/>
              </w:rPr>
              <w:t xml:space="preserve">4 Financijski instrumenti za privatni sektor – </w:t>
            </w:r>
            <w:r>
              <w:rPr>
                <w:noProof/>
                <w:sz w:val="24"/>
              </w:rPr>
              <w:t>Fond za digitalizaciju, klimatsku politiku i druga područja interesa</w:t>
            </w:r>
          </w:p>
        </w:tc>
        <w:tc>
          <w:tcPr>
            <w:tcW w:w="1089" w:type="dxa"/>
            <w:tcBorders>
              <w:top w:val="nil"/>
              <w:left w:val="single" w:sz="4" w:space="0" w:color="auto"/>
              <w:bottom w:val="single" w:sz="4" w:space="0" w:color="auto"/>
              <w:right w:val="single" w:sz="4" w:space="0" w:color="auto"/>
            </w:tcBorders>
            <w:shd w:val="clear" w:color="auto" w:fill="C6EFCE"/>
            <w:noWrap/>
          </w:tcPr>
          <w:p w14:paraId="6882AC38"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7815DC92" w14:textId="77777777" w:rsidR="003F46B9" w:rsidRDefault="0065662E">
            <w:pPr>
              <w:pStyle w:val="P68B1DB1-Normal5"/>
              <w:spacing w:after="0" w:line="240" w:lineRule="auto"/>
              <w:jc w:val="both"/>
              <w:rPr>
                <w:rFonts w:cs="Times New Roman"/>
                <w:noProof/>
              </w:rPr>
            </w:pPr>
            <w:r>
              <w:rPr>
                <w:noProof/>
              </w:rPr>
              <w:t>Najmanje 30 % ciljanih korisnika kojima je pružena potpora.</w:t>
            </w:r>
          </w:p>
        </w:tc>
        <w:tc>
          <w:tcPr>
            <w:tcW w:w="1766" w:type="dxa"/>
            <w:tcBorders>
              <w:top w:val="nil"/>
              <w:left w:val="single" w:sz="4" w:space="0" w:color="auto"/>
              <w:bottom w:val="single" w:sz="4" w:space="0" w:color="auto"/>
              <w:right w:val="single" w:sz="4" w:space="0" w:color="auto"/>
            </w:tcBorders>
            <w:shd w:val="clear" w:color="auto" w:fill="C6EFCE"/>
            <w:noWrap/>
          </w:tcPr>
          <w:p w14:paraId="79BBD362"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5A94AAB" w14:textId="77777777" w:rsidR="003F46B9" w:rsidRDefault="0065662E">
            <w:pPr>
              <w:pStyle w:val="P68B1DB1-Normal5"/>
              <w:spacing w:after="0" w:line="240" w:lineRule="auto"/>
              <w:rPr>
                <w:rFonts w:eastAsia="Times New Roman" w:cs="Times New Roman"/>
                <w:noProof/>
              </w:rPr>
            </w:pPr>
            <w:r>
              <w:rPr>
                <w:noProof/>
              </w:rPr>
              <w:t>Postotak (%)</w:t>
            </w:r>
          </w:p>
          <w:p w14:paraId="3AA24389"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E05A832"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3A1286AB" w14:textId="77777777" w:rsidR="003F46B9" w:rsidRDefault="0065662E">
            <w:pPr>
              <w:pStyle w:val="P68B1DB1-Normal5"/>
              <w:spacing w:after="0" w:line="240" w:lineRule="auto"/>
              <w:jc w:val="both"/>
              <w:rPr>
                <w:rFonts w:eastAsia="Times New Roman" w:cs="Times New Roman"/>
                <w:noProof/>
              </w:rPr>
            </w:pPr>
            <w:r>
              <w:rPr>
                <w:noProof/>
              </w:rPr>
              <w:t>30</w:t>
            </w:r>
          </w:p>
        </w:tc>
        <w:tc>
          <w:tcPr>
            <w:tcW w:w="943" w:type="dxa"/>
            <w:tcBorders>
              <w:top w:val="nil"/>
              <w:left w:val="single" w:sz="4" w:space="0" w:color="auto"/>
              <w:bottom w:val="single" w:sz="4" w:space="0" w:color="auto"/>
              <w:right w:val="single" w:sz="4" w:space="0" w:color="auto"/>
            </w:tcBorders>
            <w:shd w:val="clear" w:color="auto" w:fill="C6EFCE"/>
            <w:noWrap/>
          </w:tcPr>
          <w:p w14:paraId="73C51560"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6AD1FA1C"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474F64A" w14:textId="77777777" w:rsidR="003F46B9" w:rsidRDefault="0065662E">
            <w:pPr>
              <w:pStyle w:val="P68B1DB1-Normal5"/>
              <w:spacing w:after="0" w:line="240" w:lineRule="auto"/>
              <w:jc w:val="both"/>
              <w:rPr>
                <w:rFonts w:cs="Times New Roman"/>
                <w:noProof/>
              </w:rPr>
            </w:pPr>
            <w:r>
              <w:rPr>
                <w:noProof/>
              </w:rPr>
              <w:t xml:space="preserve">Najmanje 30 % ciljanih korisnika kojima je pružena potpora, kako je </w:t>
            </w:r>
            <w:r>
              <w:rPr>
                <w:noProof/>
              </w:rPr>
              <w:t>navedeno u ključnoj etapi 256, u skladu s politikom ulaganja i zahtjevima navedenima u ključnoj etapi 256.</w:t>
            </w:r>
          </w:p>
          <w:p w14:paraId="661940EF" w14:textId="77777777" w:rsidR="003F46B9" w:rsidRDefault="003F46B9">
            <w:pPr>
              <w:spacing w:after="0" w:line="240" w:lineRule="auto"/>
              <w:jc w:val="both"/>
              <w:rPr>
                <w:rFonts w:ascii="Times New Roman" w:hAnsi="Times New Roman" w:cs="Times New Roman"/>
                <w:noProof/>
                <w:sz w:val="24"/>
              </w:rPr>
            </w:pPr>
          </w:p>
        </w:tc>
      </w:tr>
      <w:tr w:rsidR="003F46B9" w14:paraId="0BA2572C"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53CD53F" w14:textId="77777777" w:rsidR="003F46B9" w:rsidRDefault="0065662E">
            <w:pPr>
              <w:pStyle w:val="P68B1DB1-Normal5"/>
              <w:spacing w:after="0" w:line="240" w:lineRule="auto"/>
              <w:jc w:val="center"/>
              <w:rPr>
                <w:rFonts w:cs="Times New Roman"/>
                <w:noProof/>
              </w:rPr>
            </w:pPr>
            <w:r>
              <w:rPr>
                <w:noProof/>
              </w:rPr>
              <w:t>258</w:t>
            </w:r>
          </w:p>
        </w:tc>
        <w:tc>
          <w:tcPr>
            <w:tcW w:w="1844" w:type="dxa"/>
            <w:tcBorders>
              <w:top w:val="nil"/>
              <w:left w:val="single" w:sz="4" w:space="0" w:color="auto"/>
              <w:bottom w:val="single" w:sz="4" w:space="0" w:color="auto"/>
              <w:right w:val="single" w:sz="4" w:space="0" w:color="auto"/>
            </w:tcBorders>
            <w:shd w:val="clear" w:color="auto" w:fill="C6EFCE"/>
            <w:noWrap/>
          </w:tcPr>
          <w:p w14:paraId="49CDA7FB" w14:textId="77777777" w:rsidR="003F46B9" w:rsidRDefault="0065662E">
            <w:pPr>
              <w:pStyle w:val="P68B1DB1-Normal22"/>
              <w:spacing w:after="0" w:line="240" w:lineRule="auto"/>
              <w:jc w:val="both"/>
              <w:rPr>
                <w:rFonts w:cs="Times New Roman"/>
                <w:noProof/>
                <w:sz w:val="24"/>
              </w:rPr>
            </w:pPr>
            <w:r>
              <w:rPr>
                <w:noProof/>
              </w:rPr>
              <w:t>Ulaganje 2.</w:t>
            </w:r>
            <w:r>
              <w:rPr>
                <w:noProof/>
                <w:sz w:val="24"/>
              </w:rPr>
              <w:t>4 Financijski instrumenti za privatni sektor – Fond za digitalizaciju, klimatsku politiku i druga područja interesa</w:t>
            </w:r>
          </w:p>
        </w:tc>
        <w:tc>
          <w:tcPr>
            <w:tcW w:w="1089" w:type="dxa"/>
            <w:tcBorders>
              <w:top w:val="nil"/>
              <w:left w:val="single" w:sz="4" w:space="0" w:color="auto"/>
              <w:bottom w:val="single" w:sz="4" w:space="0" w:color="auto"/>
              <w:right w:val="single" w:sz="4" w:space="0" w:color="auto"/>
            </w:tcBorders>
            <w:shd w:val="clear" w:color="auto" w:fill="C6EFCE"/>
            <w:noWrap/>
          </w:tcPr>
          <w:p w14:paraId="71B216B5"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581E0561" w14:textId="77777777" w:rsidR="003F46B9" w:rsidRDefault="0065662E">
            <w:pPr>
              <w:pStyle w:val="P68B1DB1-Normal5"/>
              <w:spacing w:after="0" w:line="240" w:lineRule="auto"/>
              <w:jc w:val="both"/>
              <w:rPr>
                <w:rFonts w:cs="Times New Roman"/>
                <w:noProof/>
              </w:rPr>
            </w:pPr>
            <w:r>
              <w:rPr>
                <w:noProof/>
              </w:rPr>
              <w:t xml:space="preserve">100 % </w:t>
            </w:r>
            <w:r>
              <w:rPr>
                <w:noProof/>
              </w:rPr>
              <w:t>ciljanih korisnika kojima je pružena potpora.</w:t>
            </w:r>
          </w:p>
        </w:tc>
        <w:tc>
          <w:tcPr>
            <w:tcW w:w="1766" w:type="dxa"/>
            <w:tcBorders>
              <w:top w:val="nil"/>
              <w:left w:val="single" w:sz="4" w:space="0" w:color="auto"/>
              <w:bottom w:val="single" w:sz="4" w:space="0" w:color="auto"/>
              <w:right w:val="single" w:sz="4" w:space="0" w:color="auto"/>
            </w:tcBorders>
            <w:shd w:val="clear" w:color="auto" w:fill="C6EFCE"/>
            <w:noWrap/>
          </w:tcPr>
          <w:p w14:paraId="12C13C2C"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1A2E26F9" w14:textId="77777777" w:rsidR="003F46B9" w:rsidRDefault="0065662E">
            <w:pPr>
              <w:pStyle w:val="P68B1DB1-Normal5"/>
              <w:spacing w:after="0" w:line="240" w:lineRule="auto"/>
              <w:rPr>
                <w:rFonts w:eastAsia="Times New Roman" w:cs="Times New Roman"/>
                <w:noProof/>
              </w:rPr>
            </w:pPr>
            <w:r>
              <w:rPr>
                <w:noProof/>
              </w:rPr>
              <w:t>Postotak (%)</w:t>
            </w:r>
          </w:p>
          <w:p w14:paraId="7799E0C4"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6550B5E3" w14:textId="77777777" w:rsidR="003F46B9" w:rsidRDefault="0065662E">
            <w:pPr>
              <w:pStyle w:val="P68B1DB1-Normal5"/>
              <w:spacing w:after="0" w:line="240" w:lineRule="auto"/>
              <w:jc w:val="both"/>
              <w:rPr>
                <w:rFonts w:eastAsia="Times New Roman" w:cs="Times New Roman"/>
                <w:noProof/>
              </w:rPr>
            </w:pPr>
            <w:r>
              <w:rPr>
                <w:noProof/>
              </w:rPr>
              <w:t>30</w:t>
            </w:r>
          </w:p>
        </w:tc>
        <w:tc>
          <w:tcPr>
            <w:tcW w:w="675" w:type="dxa"/>
            <w:tcBorders>
              <w:top w:val="nil"/>
              <w:left w:val="single" w:sz="4" w:space="0" w:color="auto"/>
              <w:bottom w:val="single" w:sz="4" w:space="0" w:color="auto"/>
              <w:right w:val="single" w:sz="4" w:space="0" w:color="auto"/>
            </w:tcBorders>
            <w:shd w:val="clear" w:color="auto" w:fill="C6EFCE"/>
            <w:noWrap/>
          </w:tcPr>
          <w:p w14:paraId="645EBAE0"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2134156B"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66266EE1"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nil"/>
              <w:left w:val="single" w:sz="4" w:space="0" w:color="auto"/>
              <w:bottom w:val="single" w:sz="4" w:space="0" w:color="auto"/>
              <w:right w:val="single" w:sz="4" w:space="0" w:color="auto"/>
            </w:tcBorders>
            <w:shd w:val="clear" w:color="auto" w:fill="C6EFCE"/>
            <w:noWrap/>
          </w:tcPr>
          <w:p w14:paraId="6B7892BD" w14:textId="77777777" w:rsidR="003F46B9" w:rsidRDefault="0065662E">
            <w:pPr>
              <w:pStyle w:val="P68B1DB1-Normal5"/>
              <w:spacing w:after="0" w:line="240" w:lineRule="auto"/>
              <w:jc w:val="both"/>
              <w:rPr>
                <w:rFonts w:cs="Times New Roman"/>
                <w:noProof/>
              </w:rPr>
            </w:pPr>
            <w:r>
              <w:rPr>
                <w:noProof/>
              </w:rPr>
              <w:t>100 % ciljanih korisnika primilo je potporu, kako je navedeno u ključnoj etapi 256, u skladu sa zahtjevima navedenima u ključnoj etapi 256, do 30. lipnja 2026.</w:t>
            </w:r>
          </w:p>
        </w:tc>
      </w:tr>
      <w:tr w:rsidR="003F46B9" w14:paraId="5629D26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DF6E5DC" w14:textId="77777777" w:rsidR="003F46B9" w:rsidRDefault="0065662E">
            <w:pPr>
              <w:pStyle w:val="P68B1DB1-Normal5"/>
              <w:spacing w:after="0" w:line="240" w:lineRule="auto"/>
              <w:jc w:val="center"/>
              <w:rPr>
                <w:rFonts w:cs="Times New Roman"/>
                <w:noProof/>
              </w:rPr>
            </w:pPr>
            <w:r>
              <w:rPr>
                <w:noProof/>
              </w:rPr>
              <w:t>259</w:t>
            </w:r>
          </w:p>
        </w:tc>
        <w:tc>
          <w:tcPr>
            <w:tcW w:w="1844" w:type="dxa"/>
            <w:tcBorders>
              <w:top w:val="nil"/>
              <w:left w:val="single" w:sz="4" w:space="0" w:color="auto"/>
              <w:bottom w:val="single" w:sz="4" w:space="0" w:color="auto"/>
              <w:right w:val="single" w:sz="4" w:space="0" w:color="auto"/>
            </w:tcBorders>
            <w:shd w:val="clear" w:color="auto" w:fill="C6EFCE"/>
            <w:noWrap/>
          </w:tcPr>
          <w:p w14:paraId="33DD0F93" w14:textId="77777777" w:rsidR="003F46B9" w:rsidRDefault="0065662E">
            <w:pPr>
              <w:pStyle w:val="P68B1DB1-Normal5"/>
              <w:spacing w:after="0" w:line="240" w:lineRule="auto"/>
              <w:jc w:val="both"/>
              <w:rPr>
                <w:rFonts w:cs="Times New Roman"/>
                <w:noProof/>
              </w:rPr>
            </w:pPr>
            <w:r>
              <w:rPr>
                <w:noProof/>
              </w:rPr>
              <w:t>Ulaganje 2.5 Financijski instrumenti za privatni sektor – Ulaganja u energetsku učinkovitost u stambenom i građevinskom sektoru</w:t>
            </w:r>
          </w:p>
        </w:tc>
        <w:tc>
          <w:tcPr>
            <w:tcW w:w="1089" w:type="dxa"/>
            <w:tcBorders>
              <w:top w:val="nil"/>
              <w:left w:val="single" w:sz="4" w:space="0" w:color="auto"/>
              <w:bottom w:val="single" w:sz="4" w:space="0" w:color="auto"/>
              <w:right w:val="single" w:sz="4" w:space="0" w:color="auto"/>
            </w:tcBorders>
            <w:shd w:val="clear" w:color="auto" w:fill="C6EFCE"/>
            <w:noWrap/>
          </w:tcPr>
          <w:p w14:paraId="42AB4E8C"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40F12A06" w14:textId="77777777" w:rsidR="003F46B9" w:rsidRDefault="0065662E">
            <w:pPr>
              <w:pStyle w:val="P68B1DB1-Normal5"/>
              <w:spacing w:after="0" w:line="240" w:lineRule="auto"/>
              <w:jc w:val="both"/>
              <w:rPr>
                <w:rFonts w:cs="Times New Roman"/>
                <w:noProof/>
              </w:rPr>
            </w:pPr>
            <w:r>
              <w:rPr>
                <w:noProof/>
              </w:rPr>
              <w:t>Potpisivanje sporazuma o doprinosu između Europske komisije i rumunjske vlade.</w:t>
            </w:r>
          </w:p>
        </w:tc>
        <w:tc>
          <w:tcPr>
            <w:tcW w:w="1766" w:type="dxa"/>
            <w:tcBorders>
              <w:top w:val="nil"/>
              <w:left w:val="single" w:sz="4" w:space="0" w:color="auto"/>
              <w:bottom w:val="single" w:sz="4" w:space="0" w:color="auto"/>
              <w:right w:val="single" w:sz="4" w:space="0" w:color="auto"/>
            </w:tcBorders>
            <w:shd w:val="clear" w:color="auto" w:fill="C6EFCE"/>
            <w:noWrap/>
          </w:tcPr>
          <w:p w14:paraId="7EE607DC"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59C88166"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C191745"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699E9D83"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50D96B7"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755BA213" w14:textId="77777777" w:rsidR="003F46B9" w:rsidRDefault="0065662E">
            <w:pPr>
              <w:pStyle w:val="P68B1DB1-Normal5"/>
              <w:spacing w:after="0" w:line="240" w:lineRule="auto"/>
              <w:jc w:val="center"/>
              <w:rPr>
                <w:rFonts w:cs="Times New Roman"/>
                <w:noProof/>
              </w:rPr>
            </w:pPr>
            <w:r>
              <w:rPr>
                <w:noProof/>
              </w:rPr>
              <w:t>2021</w:t>
            </w:r>
          </w:p>
        </w:tc>
        <w:tc>
          <w:tcPr>
            <w:tcW w:w="3760" w:type="dxa"/>
            <w:tcBorders>
              <w:top w:val="nil"/>
              <w:left w:val="single" w:sz="4" w:space="0" w:color="auto"/>
              <w:bottom w:val="single" w:sz="4" w:space="0" w:color="auto"/>
              <w:right w:val="single" w:sz="4" w:space="0" w:color="auto"/>
            </w:tcBorders>
            <w:shd w:val="clear" w:color="auto" w:fill="C6EFCE"/>
            <w:noWrap/>
          </w:tcPr>
          <w:p w14:paraId="5765AA90" w14:textId="77777777" w:rsidR="003F46B9" w:rsidRDefault="0065662E">
            <w:pPr>
              <w:pStyle w:val="P68B1DB1-Normal5"/>
              <w:spacing w:after="0" w:line="240" w:lineRule="auto"/>
              <w:jc w:val="both"/>
              <w:rPr>
                <w:rFonts w:cs="Times New Roman"/>
                <w:noProof/>
              </w:rPr>
            </w:pPr>
            <w:r>
              <w:rPr>
                <w:noProof/>
              </w:rPr>
              <w:t>Potpisivanje sporazuma o doprinosu između Europske komisije i rumunjske vlade, uključujući:</w:t>
            </w:r>
          </w:p>
          <w:p w14:paraId="724D334C" w14:textId="77777777" w:rsidR="003F46B9" w:rsidRDefault="0065662E">
            <w:pPr>
              <w:pStyle w:val="P68B1DB1-ListParagraph13"/>
              <w:numPr>
                <w:ilvl w:val="0"/>
                <w:numId w:val="77"/>
              </w:numPr>
              <w:spacing w:after="0" w:line="240" w:lineRule="auto"/>
              <w:ind w:hanging="414"/>
              <w:jc w:val="both"/>
              <w:rPr>
                <w:rFonts w:cs="Times New Roman"/>
                <w:noProof/>
              </w:rPr>
            </w:pPr>
            <w:r>
              <w:rPr>
                <w:noProof/>
              </w:rPr>
              <w:t>Kriteriji odabira za usklađenost s Tehničkim smjernicama o nenanošenju bitne štete (2021/C58/01) za potpomognutu transakciju u okviru ove mjere primjenom provjere o</w:t>
            </w:r>
            <w:r>
              <w:rPr>
                <w:noProof/>
              </w:rPr>
              <w:t>drživosti i popisa za isključenje.</w:t>
            </w:r>
          </w:p>
          <w:p w14:paraId="16B5D469" w14:textId="77777777" w:rsidR="003F46B9" w:rsidRDefault="0065662E">
            <w:pPr>
              <w:pStyle w:val="P68B1DB1-ListParagraph13"/>
              <w:numPr>
                <w:ilvl w:val="0"/>
                <w:numId w:val="77"/>
              </w:numPr>
              <w:spacing w:after="0" w:line="240" w:lineRule="auto"/>
              <w:ind w:hanging="414"/>
              <w:jc w:val="both"/>
              <w:rPr>
                <w:rFonts w:cs="Times New Roman"/>
                <w:noProof/>
              </w:rPr>
            </w:pPr>
            <w:r>
              <w:rPr>
                <w:noProof/>
              </w:rPr>
              <w:t>Kriteriji kojima se osigurava usklađenost financijskog instrumenta sa Smjernicama Komisije od 22. siječnja 2021. (SWD(2021) 12 final) koje se odnose na financijske instrumente.</w:t>
            </w:r>
          </w:p>
          <w:p w14:paraId="58A285E7" w14:textId="77777777" w:rsidR="003F46B9" w:rsidRDefault="0065662E">
            <w:pPr>
              <w:pStyle w:val="P68B1DB1-ListParagraph13"/>
              <w:numPr>
                <w:ilvl w:val="0"/>
                <w:numId w:val="77"/>
              </w:numPr>
              <w:spacing w:after="0" w:line="240" w:lineRule="auto"/>
              <w:ind w:hanging="414"/>
              <w:jc w:val="both"/>
              <w:rPr>
                <w:rFonts w:cs="Times New Roman"/>
                <w:noProof/>
              </w:rPr>
            </w:pPr>
            <w:r>
              <w:rPr>
                <w:noProof/>
              </w:rPr>
              <w:t>S obzirom na to da se predloženi instrument provodi kao doprinos programu InvestEU, prethodno navedene točke (a) i (b) osiguravaju se primjenom odredbi programa InvestEU i politike kreditiranja odabranog partnera u provedbi te kriterija za isključenje. Dod</w:t>
            </w:r>
            <w:r>
              <w:rPr>
                <w:noProof/>
              </w:rPr>
              <w:t xml:space="preserve">atna izuzeća potrebna kako bi se osigurala usklađenost s Tehničkim smjernicama o nenanošenju bitne štete (2021/C58/01) navode se u sporazumu o jamstvu između Europske komisije i Europske banke za obnovu i razvoj (EBRD). </w:t>
            </w:r>
          </w:p>
          <w:p w14:paraId="6DF7CCE0" w14:textId="77777777" w:rsidR="003F46B9" w:rsidRDefault="0065662E">
            <w:pPr>
              <w:pStyle w:val="P68B1DB1-Normal5"/>
              <w:spacing w:after="0" w:line="240" w:lineRule="auto"/>
              <w:jc w:val="both"/>
              <w:rPr>
                <w:rFonts w:cs="Times New Roman"/>
                <w:noProof/>
              </w:rPr>
            </w:pPr>
            <w:r>
              <w:rPr>
                <w:noProof/>
              </w:rPr>
              <w:t>Financijski instrument ima oblik po</w:t>
            </w:r>
            <w:r>
              <w:rPr>
                <w:noProof/>
              </w:rPr>
              <w:t>rtfeljnog jamstva koje provodi Europska banka za obnovu i razvoj (EBRD) i njime se osiguravaju financijska sredstva i ulaganja u energetsku učinkovitost i obnovljivu energiju u stambenom i građevinskom sektoru MSP-ovima (do 249 zaposlenika), poduzećima s n</w:t>
            </w:r>
            <w:r>
              <w:rPr>
                <w:noProof/>
              </w:rPr>
              <w:t>ajviše 500 zaposlenika i pojedincima („korisnici”). Očekuje se da će najmanje 100 korisnika dobiti potporu u okviru instrumenta.</w:t>
            </w:r>
          </w:p>
          <w:p w14:paraId="567BA509" w14:textId="77777777" w:rsidR="003F46B9" w:rsidRDefault="0065662E">
            <w:pPr>
              <w:pStyle w:val="P68B1DB1-Normal5"/>
              <w:spacing w:after="0" w:line="240" w:lineRule="auto"/>
              <w:jc w:val="both"/>
              <w:rPr>
                <w:rFonts w:cs="Times New Roman"/>
                <w:noProof/>
              </w:rPr>
            </w:pPr>
            <w:r>
              <w:rPr>
                <w:noProof/>
              </w:rPr>
              <w:t xml:space="preserve">Struktura instrumenta omogućuje iskorištavanje privatnih sredstava. </w:t>
            </w:r>
          </w:p>
          <w:p w14:paraId="60772741" w14:textId="77777777" w:rsidR="003F46B9" w:rsidRDefault="0065662E">
            <w:pPr>
              <w:pStyle w:val="P68B1DB1-Normal5"/>
              <w:spacing w:after="0" w:line="240" w:lineRule="auto"/>
              <w:jc w:val="both"/>
              <w:rPr>
                <w:rFonts w:cs="Times New Roman"/>
                <w:noProof/>
              </w:rPr>
            </w:pPr>
            <w:r>
              <w:rPr>
                <w:noProof/>
              </w:rPr>
              <w:t>Svi povrati na financijski instrument, među ostalim od vra</w:t>
            </w:r>
            <w:r>
              <w:rPr>
                <w:noProof/>
              </w:rPr>
              <w:t>ćanja, te dobit ostvarena upotrebom sredstava iz Mehanizma za oporavak i otpornost, umanjena za naknadu upravitelju fonda i financijskim posrednicima, upotrebljavaju se za iste ciljeve politike, među ostalim i nakon 2026.</w:t>
            </w:r>
          </w:p>
        </w:tc>
      </w:tr>
      <w:tr w:rsidR="003F46B9" w14:paraId="2B2704E4"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D79F245" w14:textId="77777777" w:rsidR="003F46B9" w:rsidRDefault="0065662E">
            <w:pPr>
              <w:pStyle w:val="P68B1DB1-Normal5"/>
              <w:spacing w:after="0" w:line="240" w:lineRule="auto"/>
              <w:jc w:val="center"/>
              <w:rPr>
                <w:rFonts w:cs="Times New Roman"/>
                <w:noProof/>
              </w:rPr>
            </w:pPr>
            <w:r>
              <w:rPr>
                <w:noProof/>
              </w:rPr>
              <w:t>260</w:t>
            </w:r>
          </w:p>
        </w:tc>
        <w:tc>
          <w:tcPr>
            <w:tcW w:w="1844" w:type="dxa"/>
            <w:tcBorders>
              <w:top w:val="nil"/>
              <w:left w:val="single" w:sz="4" w:space="0" w:color="auto"/>
              <w:bottom w:val="single" w:sz="4" w:space="0" w:color="auto"/>
              <w:right w:val="single" w:sz="4" w:space="0" w:color="auto"/>
            </w:tcBorders>
            <w:shd w:val="clear" w:color="auto" w:fill="C6EFCE"/>
            <w:noWrap/>
          </w:tcPr>
          <w:p w14:paraId="6A4FF8A9" w14:textId="77777777" w:rsidR="003F46B9" w:rsidRDefault="0065662E">
            <w:pPr>
              <w:pStyle w:val="P68B1DB1-Normal22"/>
              <w:spacing w:after="0" w:line="240" w:lineRule="auto"/>
              <w:jc w:val="both"/>
              <w:rPr>
                <w:rFonts w:cs="Times New Roman"/>
                <w:noProof/>
                <w:sz w:val="24"/>
              </w:rPr>
            </w:pPr>
            <w:r>
              <w:rPr>
                <w:noProof/>
              </w:rPr>
              <w:t>Ulaganje 2.</w:t>
            </w:r>
            <w:r>
              <w:rPr>
                <w:noProof/>
                <w:sz w:val="24"/>
              </w:rPr>
              <w:t xml:space="preserve">5 Financijski </w:t>
            </w:r>
            <w:r>
              <w:rPr>
                <w:noProof/>
                <w:sz w:val="24"/>
              </w:rPr>
              <w:t>instrumenti za privatni sektor – Ulaganja u energetsku učinkovitost u stambenom i građevinskom sektoru</w:t>
            </w:r>
          </w:p>
        </w:tc>
        <w:tc>
          <w:tcPr>
            <w:tcW w:w="1089" w:type="dxa"/>
            <w:tcBorders>
              <w:top w:val="nil"/>
              <w:left w:val="single" w:sz="4" w:space="0" w:color="auto"/>
              <w:bottom w:val="single" w:sz="4" w:space="0" w:color="auto"/>
              <w:right w:val="single" w:sz="4" w:space="0" w:color="auto"/>
            </w:tcBorders>
            <w:shd w:val="clear" w:color="auto" w:fill="C6EFCE"/>
            <w:noWrap/>
          </w:tcPr>
          <w:p w14:paraId="1903630F"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31FBED00"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najmanje 50 % ukupnog ciljanog iznosa financiranja ili ulaganja koje je odobrio Odbor za ulaganja </w:t>
            </w:r>
            <w:r>
              <w:rPr>
                <w:noProof/>
              </w:rPr>
              <w:t>programa InvestEU.</w:t>
            </w:r>
          </w:p>
        </w:tc>
        <w:tc>
          <w:tcPr>
            <w:tcW w:w="1766" w:type="dxa"/>
            <w:tcBorders>
              <w:top w:val="nil"/>
              <w:left w:val="single" w:sz="4" w:space="0" w:color="auto"/>
              <w:bottom w:val="single" w:sz="4" w:space="0" w:color="auto"/>
              <w:right w:val="single" w:sz="4" w:space="0" w:color="auto"/>
            </w:tcBorders>
            <w:shd w:val="clear" w:color="auto" w:fill="C6EFCE"/>
            <w:noWrap/>
          </w:tcPr>
          <w:p w14:paraId="28BFD578"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26D2679" w14:textId="77777777" w:rsidR="003F46B9" w:rsidRDefault="0065662E">
            <w:pPr>
              <w:pStyle w:val="P68B1DB1-Normal5"/>
              <w:spacing w:after="0" w:line="240" w:lineRule="auto"/>
              <w:rPr>
                <w:rFonts w:eastAsia="Times New Roman" w:cs="Times New Roman"/>
                <w:noProof/>
              </w:rPr>
            </w:pPr>
            <w:r>
              <w:rPr>
                <w:noProof/>
              </w:rPr>
              <w:t>Postotak (%)</w:t>
            </w:r>
          </w:p>
          <w:p w14:paraId="1069CD8C"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45FF2251"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67D44894" w14:textId="77777777" w:rsidR="003F46B9" w:rsidRDefault="0065662E">
            <w:pPr>
              <w:pStyle w:val="P68B1DB1-Normal5"/>
              <w:spacing w:after="0" w:line="240" w:lineRule="auto"/>
              <w:jc w:val="both"/>
              <w:rPr>
                <w:rFonts w:eastAsia="Times New Roman" w:cs="Times New Roman"/>
                <w:noProof/>
              </w:rPr>
            </w:pPr>
            <w:r>
              <w:rPr>
                <w:noProof/>
              </w:rPr>
              <w:t>50</w:t>
            </w:r>
          </w:p>
        </w:tc>
        <w:tc>
          <w:tcPr>
            <w:tcW w:w="943" w:type="dxa"/>
            <w:tcBorders>
              <w:top w:val="nil"/>
              <w:left w:val="single" w:sz="4" w:space="0" w:color="auto"/>
              <w:bottom w:val="single" w:sz="4" w:space="0" w:color="auto"/>
              <w:right w:val="single" w:sz="4" w:space="0" w:color="auto"/>
            </w:tcBorders>
            <w:shd w:val="clear" w:color="auto" w:fill="C6EFCE"/>
            <w:noWrap/>
          </w:tcPr>
          <w:p w14:paraId="55F136B9"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21CD32B2"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nil"/>
              <w:left w:val="single" w:sz="4" w:space="0" w:color="auto"/>
              <w:bottom w:val="single" w:sz="4" w:space="0" w:color="auto"/>
              <w:right w:val="single" w:sz="4" w:space="0" w:color="auto"/>
            </w:tcBorders>
            <w:shd w:val="clear" w:color="auto" w:fill="C6EFCE"/>
            <w:noWrap/>
          </w:tcPr>
          <w:p w14:paraId="581EA82F" w14:textId="77777777" w:rsidR="003F46B9" w:rsidRDefault="0065662E">
            <w:pPr>
              <w:pStyle w:val="P68B1DB1-Normal5"/>
              <w:spacing w:after="0" w:line="240" w:lineRule="auto"/>
              <w:jc w:val="both"/>
              <w:rPr>
                <w:rFonts w:cs="Times New Roman"/>
                <w:noProof/>
              </w:rPr>
            </w:pPr>
            <w:r>
              <w:rPr>
                <w:noProof/>
              </w:rPr>
              <w:t> Operacije financiranja ili ulaganja u iznosu od najmanje 50 % ukupnog ciljanog ulaganja, u skladu sa zahtjevima utvrđenima u ključnoj etapi 259, koje je odobrio Odbor za ulaganja programa InvestEU</w:t>
            </w:r>
          </w:p>
        </w:tc>
      </w:tr>
      <w:tr w:rsidR="003F46B9" w14:paraId="7B2933F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12F3754C" w14:textId="77777777" w:rsidR="003F46B9" w:rsidRDefault="0065662E">
            <w:pPr>
              <w:pStyle w:val="P68B1DB1-Normal5"/>
              <w:spacing w:after="0" w:line="240" w:lineRule="auto"/>
              <w:jc w:val="center"/>
              <w:rPr>
                <w:rFonts w:cs="Times New Roman"/>
                <w:noProof/>
              </w:rPr>
            </w:pPr>
            <w:r>
              <w:rPr>
                <w:noProof/>
              </w:rPr>
              <w:t>261</w:t>
            </w:r>
          </w:p>
        </w:tc>
        <w:tc>
          <w:tcPr>
            <w:tcW w:w="1844" w:type="dxa"/>
            <w:tcBorders>
              <w:top w:val="nil"/>
              <w:left w:val="single" w:sz="4" w:space="0" w:color="auto"/>
              <w:bottom w:val="single" w:sz="4" w:space="0" w:color="auto"/>
              <w:right w:val="single" w:sz="4" w:space="0" w:color="auto"/>
            </w:tcBorders>
            <w:shd w:val="clear" w:color="auto" w:fill="C6EFCE"/>
            <w:noWrap/>
          </w:tcPr>
          <w:p w14:paraId="20E7AF9D" w14:textId="77777777" w:rsidR="003F46B9" w:rsidRDefault="0065662E">
            <w:pPr>
              <w:pStyle w:val="P68B1DB1-Normal22"/>
              <w:spacing w:after="0" w:line="240" w:lineRule="auto"/>
              <w:jc w:val="both"/>
              <w:rPr>
                <w:rFonts w:cs="Times New Roman"/>
                <w:noProof/>
                <w:sz w:val="24"/>
              </w:rPr>
            </w:pPr>
            <w:r>
              <w:rPr>
                <w:noProof/>
              </w:rPr>
              <w:t xml:space="preserve">Ulaganje </w:t>
            </w:r>
            <w:r>
              <w:rPr>
                <w:noProof/>
                <w:sz w:val="24"/>
              </w:rPr>
              <w:t>2</w:t>
            </w:r>
            <w:r>
              <w:rPr>
                <w:noProof/>
              </w:rPr>
              <w:t xml:space="preserve"> – </w:t>
            </w:r>
            <w:r>
              <w:rPr>
                <w:noProof/>
                <w:sz w:val="24"/>
              </w:rPr>
              <w:t>5 Financijski instrumenti za privatni sektor – Ulaganja u energetsku učinkovitost u stambenom i građevinskom sektoru</w:t>
            </w:r>
          </w:p>
        </w:tc>
        <w:tc>
          <w:tcPr>
            <w:tcW w:w="1089" w:type="dxa"/>
            <w:tcBorders>
              <w:top w:val="nil"/>
              <w:left w:val="single" w:sz="4" w:space="0" w:color="auto"/>
              <w:bottom w:val="single" w:sz="4" w:space="0" w:color="auto"/>
              <w:right w:val="single" w:sz="4" w:space="0" w:color="auto"/>
            </w:tcBorders>
            <w:shd w:val="clear" w:color="auto" w:fill="C6EFCE"/>
            <w:noWrap/>
          </w:tcPr>
          <w:p w14:paraId="7348ED0E"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4FBB15D1"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100 % ukupnog ciljanog iznosa financiranja ili ulaganja koje je </w:t>
            </w:r>
            <w:r>
              <w:rPr>
                <w:noProof/>
              </w:rPr>
              <w:t>odobrio Odbor za ulaganja InvestEU.</w:t>
            </w:r>
          </w:p>
        </w:tc>
        <w:tc>
          <w:tcPr>
            <w:tcW w:w="1766" w:type="dxa"/>
            <w:tcBorders>
              <w:top w:val="nil"/>
              <w:left w:val="single" w:sz="4" w:space="0" w:color="auto"/>
              <w:bottom w:val="single" w:sz="4" w:space="0" w:color="auto"/>
              <w:right w:val="single" w:sz="4" w:space="0" w:color="auto"/>
            </w:tcBorders>
            <w:shd w:val="clear" w:color="auto" w:fill="C6EFCE"/>
            <w:noWrap/>
          </w:tcPr>
          <w:p w14:paraId="5740C3C6"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6AA35C64" w14:textId="77777777" w:rsidR="003F46B9" w:rsidRDefault="0065662E">
            <w:pPr>
              <w:pStyle w:val="P68B1DB1-Normal5"/>
              <w:spacing w:after="0" w:line="240" w:lineRule="auto"/>
              <w:rPr>
                <w:rFonts w:eastAsia="Times New Roman" w:cs="Times New Roman"/>
                <w:noProof/>
              </w:rPr>
            </w:pPr>
            <w:r>
              <w:rPr>
                <w:noProof/>
              </w:rPr>
              <w:t>Postotak (%)</w:t>
            </w:r>
          </w:p>
          <w:p w14:paraId="181C63E3"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1430C319" w14:textId="77777777" w:rsidR="003F46B9" w:rsidRDefault="0065662E">
            <w:pPr>
              <w:pStyle w:val="P68B1DB1-Normal5"/>
              <w:spacing w:after="0" w:line="240" w:lineRule="auto"/>
              <w:jc w:val="both"/>
              <w:rPr>
                <w:rFonts w:eastAsia="Times New Roman" w:cs="Times New Roman"/>
                <w:noProof/>
              </w:rPr>
            </w:pPr>
            <w:r>
              <w:rPr>
                <w:noProof/>
              </w:rPr>
              <w:t>50</w:t>
            </w:r>
          </w:p>
        </w:tc>
        <w:tc>
          <w:tcPr>
            <w:tcW w:w="675" w:type="dxa"/>
            <w:tcBorders>
              <w:top w:val="nil"/>
              <w:left w:val="single" w:sz="4" w:space="0" w:color="auto"/>
              <w:bottom w:val="single" w:sz="4" w:space="0" w:color="auto"/>
              <w:right w:val="single" w:sz="4" w:space="0" w:color="auto"/>
            </w:tcBorders>
            <w:shd w:val="clear" w:color="auto" w:fill="C6EFCE"/>
            <w:noWrap/>
          </w:tcPr>
          <w:p w14:paraId="2DB9626F"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nil"/>
              <w:left w:val="single" w:sz="4" w:space="0" w:color="auto"/>
              <w:bottom w:val="single" w:sz="4" w:space="0" w:color="auto"/>
              <w:right w:val="single" w:sz="4" w:space="0" w:color="auto"/>
            </w:tcBorders>
            <w:shd w:val="clear" w:color="auto" w:fill="C6EFCE"/>
            <w:noWrap/>
          </w:tcPr>
          <w:p w14:paraId="3C0219AF"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37A034DA"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181866B7" w14:textId="77777777" w:rsidR="003F46B9" w:rsidRDefault="0065662E">
            <w:pPr>
              <w:pStyle w:val="P68B1DB1-Normal5"/>
              <w:spacing w:after="0" w:line="240" w:lineRule="auto"/>
              <w:jc w:val="both"/>
              <w:rPr>
                <w:rFonts w:cs="Times New Roman"/>
                <w:noProof/>
              </w:rPr>
            </w:pPr>
            <w:r>
              <w:rPr>
                <w:noProof/>
              </w:rPr>
              <w:t xml:space="preserve">Operacije financiranja ili ulaganja u iznosu od 100 % ukupnog ciljanog ulaganja, u skladu sa zahtjevima utvrđenima u ključnoj etapi 259, koje je odobrio Odbor za ulaganja programa </w:t>
            </w:r>
            <w:r>
              <w:rPr>
                <w:noProof/>
              </w:rPr>
              <w:t>InvestEU</w:t>
            </w:r>
          </w:p>
        </w:tc>
      </w:tr>
      <w:tr w:rsidR="003F46B9" w14:paraId="267B532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6BAD754" w14:textId="77777777" w:rsidR="003F46B9" w:rsidRDefault="0065662E">
            <w:pPr>
              <w:pStyle w:val="P68B1DB1-Normal5"/>
              <w:spacing w:after="0" w:line="240" w:lineRule="auto"/>
              <w:jc w:val="center"/>
              <w:rPr>
                <w:rFonts w:cs="Times New Roman"/>
                <w:noProof/>
              </w:rPr>
            </w:pPr>
            <w:r>
              <w:rPr>
                <w:noProof/>
              </w:rPr>
              <w:t>262</w:t>
            </w:r>
          </w:p>
        </w:tc>
        <w:tc>
          <w:tcPr>
            <w:tcW w:w="1844" w:type="dxa"/>
            <w:tcBorders>
              <w:top w:val="nil"/>
              <w:left w:val="single" w:sz="4" w:space="0" w:color="auto"/>
              <w:bottom w:val="single" w:sz="4" w:space="0" w:color="auto"/>
              <w:right w:val="single" w:sz="4" w:space="0" w:color="auto"/>
            </w:tcBorders>
            <w:shd w:val="clear" w:color="auto" w:fill="C6EFCE"/>
            <w:noWrap/>
          </w:tcPr>
          <w:p w14:paraId="78E39AA3" w14:textId="77777777" w:rsidR="003F46B9" w:rsidRDefault="0065662E">
            <w:pPr>
              <w:pStyle w:val="P68B1DB1-Normal5"/>
              <w:spacing w:after="0" w:line="240" w:lineRule="auto"/>
              <w:jc w:val="both"/>
              <w:rPr>
                <w:rFonts w:cs="Times New Roman"/>
                <w:noProof/>
              </w:rPr>
            </w:pPr>
            <w:r>
              <w:rPr>
                <w:noProof/>
              </w:rPr>
              <w:t>Ulaganje 3.1 Programi potpora privatnog sektora – Program potpora za digitalizaciju MSP-ova</w:t>
            </w:r>
          </w:p>
        </w:tc>
        <w:tc>
          <w:tcPr>
            <w:tcW w:w="1089" w:type="dxa"/>
            <w:tcBorders>
              <w:top w:val="nil"/>
              <w:left w:val="single" w:sz="4" w:space="0" w:color="auto"/>
              <w:bottom w:val="single" w:sz="4" w:space="0" w:color="auto"/>
              <w:right w:val="single" w:sz="4" w:space="0" w:color="auto"/>
            </w:tcBorders>
            <w:shd w:val="clear" w:color="auto" w:fill="C6EFCE"/>
            <w:noWrap/>
          </w:tcPr>
          <w:p w14:paraId="4EB0596C"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5E6367F6" w14:textId="77777777" w:rsidR="003F46B9" w:rsidRDefault="0065662E">
            <w:pPr>
              <w:pStyle w:val="P68B1DB1-Normal5"/>
              <w:spacing w:after="0" w:line="240" w:lineRule="auto"/>
              <w:jc w:val="both"/>
              <w:rPr>
                <w:rFonts w:cs="Times New Roman"/>
                <w:noProof/>
              </w:rPr>
            </w:pPr>
            <w:r>
              <w:rPr>
                <w:noProof/>
              </w:rPr>
              <w:t xml:space="preserve">Odabir administratora sustava </w:t>
            </w:r>
          </w:p>
        </w:tc>
        <w:tc>
          <w:tcPr>
            <w:tcW w:w="1766" w:type="dxa"/>
            <w:tcBorders>
              <w:top w:val="nil"/>
              <w:left w:val="single" w:sz="4" w:space="0" w:color="auto"/>
              <w:bottom w:val="single" w:sz="4" w:space="0" w:color="auto"/>
              <w:right w:val="single" w:sz="4" w:space="0" w:color="auto"/>
            </w:tcBorders>
            <w:shd w:val="clear" w:color="auto" w:fill="C6EFCE"/>
            <w:noWrap/>
          </w:tcPr>
          <w:p w14:paraId="26983F81" w14:textId="77777777" w:rsidR="003F46B9" w:rsidRDefault="0065662E">
            <w:pPr>
              <w:pStyle w:val="P68B1DB1-Normal5"/>
              <w:spacing w:after="0" w:line="240" w:lineRule="auto"/>
              <w:jc w:val="both"/>
              <w:rPr>
                <w:rFonts w:cs="Times New Roman"/>
                <w:noProof/>
              </w:rPr>
            </w:pPr>
            <w:r>
              <w:rPr>
                <w:noProof/>
              </w:rPr>
              <w:t> Obavijest o odabiru</w:t>
            </w:r>
          </w:p>
        </w:tc>
        <w:tc>
          <w:tcPr>
            <w:tcW w:w="1558" w:type="dxa"/>
            <w:tcBorders>
              <w:top w:val="nil"/>
              <w:left w:val="single" w:sz="4" w:space="0" w:color="auto"/>
              <w:bottom w:val="single" w:sz="4" w:space="0" w:color="auto"/>
              <w:right w:val="single" w:sz="4" w:space="0" w:color="auto"/>
            </w:tcBorders>
            <w:shd w:val="clear" w:color="auto" w:fill="C6EFCE"/>
            <w:noWrap/>
          </w:tcPr>
          <w:p w14:paraId="39C90A5C"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709F44BC"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291CCDEB"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51148052"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1A8B9C5D"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78FA55B4" w14:textId="77777777" w:rsidR="003F46B9" w:rsidRDefault="0065662E">
            <w:pPr>
              <w:pStyle w:val="P68B1DB1-Normal5"/>
              <w:spacing w:after="0" w:line="240" w:lineRule="auto"/>
              <w:jc w:val="both"/>
              <w:rPr>
                <w:rFonts w:cs="Times New Roman"/>
                <w:noProof/>
              </w:rPr>
            </w:pPr>
            <w:r>
              <w:rPr>
                <w:noProof/>
              </w:rPr>
              <w:t xml:space="preserve">Odabir upravitelja programa koji će provoditi program de minimis </w:t>
            </w:r>
            <w:r>
              <w:rPr>
                <w:noProof/>
              </w:rPr>
              <w:t>(pokretanje poziva, ocjenjivanje ugovaranja i praćenja projekata).</w:t>
            </w:r>
          </w:p>
          <w:p w14:paraId="36B6C3E4" w14:textId="77777777" w:rsidR="003F46B9" w:rsidRDefault="0065662E">
            <w:pPr>
              <w:pStyle w:val="P68B1DB1-Normal5"/>
              <w:spacing w:after="0" w:line="240" w:lineRule="auto"/>
              <w:jc w:val="both"/>
              <w:rPr>
                <w:rFonts w:cs="Times New Roman"/>
                <w:noProof/>
              </w:rPr>
            </w:pPr>
            <w:r>
              <w:rPr>
                <w:noProof/>
              </w:rPr>
              <w:t>Kriterijima za odabir projekata osigurava se:</w:t>
            </w:r>
          </w:p>
          <w:p w14:paraId="1C85D214" w14:textId="77777777" w:rsidR="003F46B9" w:rsidRDefault="0065662E">
            <w:pPr>
              <w:pStyle w:val="P68B1DB1-Normal5"/>
              <w:numPr>
                <w:ilvl w:val="0"/>
                <w:numId w:val="70"/>
              </w:numPr>
              <w:spacing w:before="120" w:after="0" w:line="240" w:lineRule="auto"/>
              <w:ind w:left="299" w:hanging="218"/>
              <w:contextualSpacing/>
              <w:jc w:val="both"/>
              <w:rPr>
                <w:rFonts w:cs="Times New Roman"/>
                <w:noProof/>
              </w:rPr>
            </w:pPr>
            <w:r>
              <w:rPr>
                <w:noProof/>
              </w:rPr>
              <w:t>obveza ulaganja 100 % sredstava u potporu digitalnoj tranziciji, u skladu s područjima intervencije 010, 012, 021quater i 021quinquies iz Prilo</w:t>
            </w:r>
            <w:r>
              <w:rPr>
                <w:noProof/>
              </w:rPr>
              <w:t>ga VII. Uredbi o Mehanizmu za oporavak i otpornost.</w:t>
            </w:r>
          </w:p>
          <w:p w14:paraId="54D91158" w14:textId="77777777" w:rsidR="003F46B9" w:rsidRDefault="0065662E">
            <w:pPr>
              <w:pStyle w:val="P68B1DB1-Normal5"/>
              <w:numPr>
                <w:ilvl w:val="0"/>
                <w:numId w:val="70"/>
              </w:numPr>
              <w:spacing w:before="120" w:after="0" w:line="240" w:lineRule="auto"/>
              <w:ind w:left="299" w:hanging="218"/>
              <w:contextualSpacing/>
              <w:jc w:val="both"/>
              <w:rPr>
                <w:rFonts w:cs="Times New Roman"/>
                <w:noProof/>
              </w:rPr>
            </w:pPr>
            <w:r>
              <w:rPr>
                <w:noProof/>
              </w:rPr>
              <w:t xml:space="preserve">usklađenost s Tehničkim smjernicama o nenanošenju bitne štete (2021/C58/01). Pri podnošenju zahtjeva za sporazum o financiranju poslovni plan sadržava sve moguće rizike za okoliš i metode za njihovo rješavanje. </w:t>
            </w:r>
          </w:p>
        </w:tc>
      </w:tr>
      <w:tr w:rsidR="003F46B9" w14:paraId="2A490816"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643103FC" w14:textId="77777777" w:rsidR="003F46B9" w:rsidRDefault="0065662E">
            <w:pPr>
              <w:pStyle w:val="P68B1DB1-Normal5"/>
              <w:spacing w:after="0" w:line="240" w:lineRule="auto"/>
              <w:jc w:val="center"/>
              <w:rPr>
                <w:rFonts w:cs="Times New Roman"/>
                <w:noProof/>
              </w:rPr>
            </w:pPr>
            <w:r>
              <w:rPr>
                <w:noProof/>
              </w:rPr>
              <w:t>263</w:t>
            </w:r>
          </w:p>
        </w:tc>
        <w:tc>
          <w:tcPr>
            <w:tcW w:w="1844" w:type="dxa"/>
            <w:tcBorders>
              <w:top w:val="nil"/>
              <w:left w:val="single" w:sz="4" w:space="0" w:color="auto"/>
              <w:bottom w:val="single" w:sz="4" w:space="0" w:color="auto"/>
              <w:right w:val="single" w:sz="4" w:space="0" w:color="auto"/>
            </w:tcBorders>
            <w:shd w:val="clear" w:color="auto" w:fill="C6EFCE"/>
            <w:noWrap/>
          </w:tcPr>
          <w:p w14:paraId="4772C312" w14:textId="77777777" w:rsidR="003F46B9" w:rsidRDefault="0065662E">
            <w:pPr>
              <w:pStyle w:val="P68B1DB1-Normal5"/>
              <w:spacing w:after="0" w:line="240" w:lineRule="auto"/>
              <w:jc w:val="both"/>
              <w:rPr>
                <w:rFonts w:cs="Times New Roman"/>
                <w:noProof/>
              </w:rPr>
            </w:pPr>
            <w:r>
              <w:rPr>
                <w:noProof/>
              </w:rPr>
              <w:t>Ulaganje 3.1 Programi potpora privatnog</w:t>
            </w:r>
            <w:r>
              <w:rPr>
                <w:noProof/>
              </w:rPr>
              <w:t xml:space="preserve"> sektora – Program potpora za digitalizaciju MSP-ova</w:t>
            </w:r>
          </w:p>
        </w:tc>
        <w:tc>
          <w:tcPr>
            <w:tcW w:w="1089" w:type="dxa"/>
            <w:tcBorders>
              <w:top w:val="nil"/>
              <w:left w:val="single" w:sz="4" w:space="0" w:color="auto"/>
              <w:bottom w:val="single" w:sz="4" w:space="0" w:color="auto"/>
              <w:right w:val="single" w:sz="4" w:space="0" w:color="auto"/>
            </w:tcBorders>
            <w:shd w:val="clear" w:color="auto" w:fill="C6EFCE"/>
            <w:noWrap/>
          </w:tcPr>
          <w:p w14:paraId="18B2724B"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10D7582D" w14:textId="77777777" w:rsidR="003F46B9" w:rsidRDefault="0065662E">
            <w:pPr>
              <w:pStyle w:val="P68B1DB1-Normal5"/>
              <w:spacing w:after="0" w:line="240" w:lineRule="auto"/>
              <w:jc w:val="both"/>
              <w:rPr>
                <w:rFonts w:cs="Times New Roman"/>
                <w:noProof/>
              </w:rPr>
            </w:pPr>
            <w:r>
              <w:rPr>
                <w:noProof/>
              </w:rPr>
              <w:t xml:space="preserve">Broj potpisanih ugovora o financiranju </w:t>
            </w:r>
          </w:p>
        </w:tc>
        <w:tc>
          <w:tcPr>
            <w:tcW w:w="1766" w:type="dxa"/>
            <w:tcBorders>
              <w:top w:val="nil"/>
              <w:left w:val="single" w:sz="4" w:space="0" w:color="auto"/>
              <w:bottom w:val="single" w:sz="4" w:space="0" w:color="auto"/>
              <w:right w:val="single" w:sz="4" w:space="0" w:color="auto"/>
            </w:tcBorders>
            <w:shd w:val="clear" w:color="auto" w:fill="C6EFCE"/>
            <w:noWrap/>
          </w:tcPr>
          <w:p w14:paraId="305E8147"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34924CD9" w14:textId="77777777" w:rsidR="003F46B9" w:rsidRDefault="0065662E">
            <w:pPr>
              <w:pStyle w:val="P68B1DB1-Normal5"/>
              <w:spacing w:after="0" w:line="240" w:lineRule="auto"/>
              <w:jc w:val="both"/>
              <w:rPr>
                <w:rFonts w:cs="Times New Roman"/>
                <w:noProof/>
              </w:rPr>
            </w:pPr>
            <w:r>
              <w:rPr>
                <w:noProof/>
              </w:rPr>
              <w:t>Broj</w:t>
            </w:r>
          </w:p>
        </w:tc>
        <w:tc>
          <w:tcPr>
            <w:tcW w:w="1299" w:type="dxa"/>
            <w:tcBorders>
              <w:top w:val="nil"/>
              <w:left w:val="single" w:sz="4" w:space="0" w:color="auto"/>
              <w:bottom w:val="single" w:sz="4" w:space="0" w:color="auto"/>
              <w:right w:val="single" w:sz="4" w:space="0" w:color="auto"/>
            </w:tcBorders>
            <w:shd w:val="clear" w:color="auto" w:fill="C6EFCE"/>
            <w:noWrap/>
          </w:tcPr>
          <w:p w14:paraId="6B9AE251"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2FE93430" w14:textId="77777777" w:rsidR="003F46B9" w:rsidRDefault="0065662E">
            <w:pPr>
              <w:pStyle w:val="P68B1DB1-Normal5"/>
              <w:spacing w:after="0" w:line="240" w:lineRule="auto"/>
              <w:jc w:val="both"/>
              <w:rPr>
                <w:rFonts w:cs="Times New Roman"/>
                <w:noProof/>
              </w:rPr>
            </w:pPr>
            <w:r>
              <w:rPr>
                <w:noProof/>
              </w:rPr>
              <w:t>5492</w:t>
            </w:r>
          </w:p>
        </w:tc>
        <w:tc>
          <w:tcPr>
            <w:tcW w:w="943" w:type="dxa"/>
            <w:tcBorders>
              <w:top w:val="nil"/>
              <w:left w:val="single" w:sz="4" w:space="0" w:color="auto"/>
              <w:bottom w:val="single" w:sz="4" w:space="0" w:color="auto"/>
              <w:right w:val="single" w:sz="4" w:space="0" w:color="auto"/>
            </w:tcBorders>
            <w:shd w:val="clear" w:color="auto" w:fill="C6EFCE"/>
            <w:noWrap/>
          </w:tcPr>
          <w:p w14:paraId="2083EB88"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7FEF8EED"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nil"/>
              <w:left w:val="single" w:sz="4" w:space="0" w:color="auto"/>
              <w:bottom w:val="single" w:sz="4" w:space="0" w:color="auto"/>
              <w:right w:val="single" w:sz="4" w:space="0" w:color="auto"/>
            </w:tcBorders>
            <w:shd w:val="clear" w:color="auto" w:fill="C6EFCE"/>
            <w:noWrap/>
          </w:tcPr>
          <w:p w14:paraId="244B2817" w14:textId="77777777" w:rsidR="003F46B9" w:rsidRDefault="0065662E">
            <w:pPr>
              <w:pStyle w:val="P68B1DB1-Normal5"/>
              <w:spacing w:after="0" w:line="240" w:lineRule="auto"/>
              <w:jc w:val="both"/>
              <w:rPr>
                <w:rFonts w:cs="Times New Roman"/>
                <w:noProof/>
              </w:rPr>
            </w:pPr>
            <w:r>
              <w:rPr>
                <w:noProof/>
              </w:rPr>
              <w:t>Broj ugovora o financiranju potpisanih s poduzećima kojima se podupire prihvaćanje digitalnih tehnologija/rješenja kao što su</w:t>
            </w:r>
            <w:r>
              <w:rPr>
                <w:noProof/>
              </w:rPr>
              <w:t xml:space="preserve"> umjetna inteligencija, podaci, računalstvo u oblaku, platforme, lanac blokova i digitalna transformacija poslovnih procesa (npr. upotreba digitalnih tehnologija za automatizaciju poslovnih procesa, upotreba podataka za dinamično upravljanje imovinom i pre</w:t>
            </w:r>
            <w:r>
              <w:rPr>
                <w:noProof/>
              </w:rPr>
              <w:t>diktivno/preskriptivno vodstvo, upotreba/razvoj lokalnih platformi za prodaju proizvoda/usluga, razvoj novih digitalnih usluga) u skladu sa zahtjevima utvrđenima u ključnoj etapi 262.</w:t>
            </w:r>
          </w:p>
          <w:p w14:paraId="724DB5EC" w14:textId="77777777" w:rsidR="003F46B9" w:rsidRDefault="0065662E">
            <w:pPr>
              <w:pStyle w:val="P68B1DB1-Normal5"/>
              <w:spacing w:after="0" w:line="240" w:lineRule="auto"/>
              <w:jc w:val="both"/>
              <w:rPr>
                <w:rFonts w:cs="Times New Roman"/>
                <w:noProof/>
              </w:rPr>
            </w:pPr>
            <w:r>
              <w:rPr>
                <w:noProof/>
              </w:rPr>
              <w:t>Na kraju projekta ulaganja šalje se tehničko izvješće koje priprema neov</w:t>
            </w:r>
            <w:r>
              <w:rPr>
                <w:noProof/>
              </w:rPr>
              <w:t>isni revizor i kojim se potvrđuje usklađenost s Tehničkim smjernicama o nenanošenju bitne štete (2021/C58/01).</w:t>
            </w:r>
          </w:p>
        </w:tc>
      </w:tr>
      <w:tr w:rsidR="003F46B9" w14:paraId="1C5B5AC2"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4EC7F674" w14:textId="77777777" w:rsidR="003F46B9" w:rsidRDefault="0065662E">
            <w:pPr>
              <w:pStyle w:val="P68B1DB1-Normal5"/>
              <w:spacing w:after="0" w:line="240" w:lineRule="auto"/>
              <w:jc w:val="center"/>
              <w:rPr>
                <w:rFonts w:cs="Times New Roman"/>
                <w:noProof/>
              </w:rPr>
            </w:pPr>
            <w:r>
              <w:rPr>
                <w:noProof/>
              </w:rPr>
              <w:t>264</w:t>
            </w:r>
          </w:p>
        </w:tc>
        <w:tc>
          <w:tcPr>
            <w:tcW w:w="1844" w:type="dxa"/>
            <w:tcBorders>
              <w:top w:val="nil"/>
              <w:left w:val="single" w:sz="4" w:space="0" w:color="auto"/>
              <w:bottom w:val="single" w:sz="4" w:space="0" w:color="auto"/>
              <w:right w:val="single" w:sz="4" w:space="0" w:color="auto"/>
            </w:tcBorders>
            <w:shd w:val="clear" w:color="auto" w:fill="C6EFCE"/>
            <w:noWrap/>
          </w:tcPr>
          <w:p w14:paraId="68469E66" w14:textId="77777777" w:rsidR="003F46B9" w:rsidRDefault="0065662E">
            <w:pPr>
              <w:pStyle w:val="P68B1DB1-Normal5"/>
              <w:spacing w:after="0" w:line="240" w:lineRule="auto"/>
              <w:jc w:val="both"/>
              <w:rPr>
                <w:rFonts w:cs="Times New Roman"/>
                <w:noProof/>
              </w:rPr>
            </w:pPr>
            <w:r>
              <w:rPr>
                <w:noProof/>
              </w:rPr>
              <w:t>Ulaganje 3.2. Programi potpora privatnog sektora – program de minimis za pomoć rumunjskim poduzećima u uvrštavanju dionica</w:t>
            </w:r>
          </w:p>
        </w:tc>
        <w:tc>
          <w:tcPr>
            <w:tcW w:w="1089" w:type="dxa"/>
            <w:tcBorders>
              <w:top w:val="nil"/>
              <w:left w:val="single" w:sz="4" w:space="0" w:color="auto"/>
              <w:bottom w:val="single" w:sz="4" w:space="0" w:color="auto"/>
              <w:right w:val="single" w:sz="4" w:space="0" w:color="auto"/>
            </w:tcBorders>
            <w:shd w:val="clear" w:color="auto" w:fill="C6EFCE"/>
            <w:noWrap/>
          </w:tcPr>
          <w:p w14:paraId="78379C39"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nil"/>
              <w:left w:val="single" w:sz="4" w:space="0" w:color="auto"/>
              <w:bottom w:val="single" w:sz="4" w:space="0" w:color="auto"/>
              <w:right w:val="single" w:sz="4" w:space="0" w:color="auto"/>
            </w:tcBorders>
            <w:shd w:val="clear" w:color="auto" w:fill="C6EFCE"/>
            <w:noWrap/>
          </w:tcPr>
          <w:p w14:paraId="08712980" w14:textId="77777777" w:rsidR="003F46B9" w:rsidRDefault="0065662E">
            <w:pPr>
              <w:pStyle w:val="P68B1DB1-Normal5"/>
              <w:spacing w:after="0" w:line="240" w:lineRule="auto"/>
              <w:jc w:val="both"/>
              <w:rPr>
                <w:rFonts w:cs="Times New Roman"/>
                <w:noProof/>
              </w:rPr>
            </w:pPr>
            <w:r>
              <w:rPr>
                <w:noProof/>
              </w:rPr>
              <w:t xml:space="preserve">Odabir administratora sustava </w:t>
            </w:r>
          </w:p>
        </w:tc>
        <w:tc>
          <w:tcPr>
            <w:tcW w:w="1766" w:type="dxa"/>
            <w:tcBorders>
              <w:top w:val="nil"/>
              <w:left w:val="single" w:sz="4" w:space="0" w:color="auto"/>
              <w:bottom w:val="single" w:sz="4" w:space="0" w:color="auto"/>
              <w:right w:val="single" w:sz="4" w:space="0" w:color="auto"/>
            </w:tcBorders>
            <w:shd w:val="clear" w:color="auto" w:fill="C6EFCE"/>
            <w:noWrap/>
          </w:tcPr>
          <w:p w14:paraId="7851D176" w14:textId="77777777" w:rsidR="003F46B9" w:rsidRDefault="0065662E">
            <w:pPr>
              <w:pStyle w:val="P68B1DB1-Normal5"/>
              <w:spacing w:after="0" w:line="240" w:lineRule="auto"/>
              <w:jc w:val="both"/>
              <w:rPr>
                <w:rFonts w:cs="Times New Roman"/>
                <w:noProof/>
              </w:rPr>
            </w:pPr>
            <w:r>
              <w:rPr>
                <w:noProof/>
              </w:rPr>
              <w:t> Obavijest o odabiru</w:t>
            </w:r>
          </w:p>
        </w:tc>
        <w:tc>
          <w:tcPr>
            <w:tcW w:w="1558" w:type="dxa"/>
            <w:tcBorders>
              <w:top w:val="nil"/>
              <w:left w:val="single" w:sz="4" w:space="0" w:color="auto"/>
              <w:bottom w:val="single" w:sz="4" w:space="0" w:color="auto"/>
              <w:right w:val="single" w:sz="4" w:space="0" w:color="auto"/>
            </w:tcBorders>
            <w:shd w:val="clear" w:color="auto" w:fill="C6EFCE"/>
            <w:noWrap/>
          </w:tcPr>
          <w:p w14:paraId="75DDA462" w14:textId="77777777" w:rsidR="003F46B9" w:rsidRDefault="003F46B9">
            <w:pPr>
              <w:spacing w:after="0" w:line="240" w:lineRule="auto"/>
              <w:jc w:val="both"/>
              <w:rPr>
                <w:rFonts w:ascii="Times New Roman" w:hAnsi="Times New Roman" w:cs="Times New Roman"/>
                <w:noProof/>
                <w:sz w:val="24"/>
              </w:rPr>
            </w:pPr>
          </w:p>
        </w:tc>
        <w:tc>
          <w:tcPr>
            <w:tcW w:w="1299" w:type="dxa"/>
            <w:tcBorders>
              <w:top w:val="nil"/>
              <w:left w:val="single" w:sz="4" w:space="0" w:color="auto"/>
              <w:bottom w:val="single" w:sz="4" w:space="0" w:color="auto"/>
              <w:right w:val="single" w:sz="4" w:space="0" w:color="auto"/>
            </w:tcBorders>
            <w:shd w:val="clear" w:color="auto" w:fill="C6EFCE"/>
            <w:noWrap/>
          </w:tcPr>
          <w:p w14:paraId="52F84201" w14:textId="77777777" w:rsidR="003F46B9" w:rsidRDefault="003F46B9">
            <w:pPr>
              <w:spacing w:after="0" w:line="240" w:lineRule="auto"/>
              <w:jc w:val="both"/>
              <w:rPr>
                <w:rFonts w:ascii="Times New Roman" w:hAnsi="Times New Roman" w:cs="Times New Roman"/>
                <w:noProof/>
                <w:sz w:val="24"/>
              </w:rPr>
            </w:pPr>
          </w:p>
        </w:tc>
        <w:tc>
          <w:tcPr>
            <w:tcW w:w="675" w:type="dxa"/>
            <w:tcBorders>
              <w:top w:val="nil"/>
              <w:left w:val="single" w:sz="4" w:space="0" w:color="auto"/>
              <w:bottom w:val="single" w:sz="4" w:space="0" w:color="auto"/>
              <w:right w:val="single" w:sz="4" w:space="0" w:color="auto"/>
            </w:tcBorders>
            <w:shd w:val="clear" w:color="auto" w:fill="C6EFCE"/>
            <w:noWrap/>
          </w:tcPr>
          <w:p w14:paraId="19090AB0" w14:textId="77777777" w:rsidR="003F46B9" w:rsidRDefault="003F46B9">
            <w:pPr>
              <w:spacing w:after="0" w:line="240" w:lineRule="auto"/>
              <w:jc w:val="both"/>
              <w:rPr>
                <w:rFonts w:ascii="Times New Roman" w:hAnsi="Times New Roman" w:cs="Times New Roman"/>
                <w:noProof/>
                <w:sz w:val="24"/>
              </w:rPr>
            </w:pPr>
          </w:p>
        </w:tc>
        <w:tc>
          <w:tcPr>
            <w:tcW w:w="943" w:type="dxa"/>
            <w:tcBorders>
              <w:top w:val="nil"/>
              <w:left w:val="single" w:sz="4" w:space="0" w:color="auto"/>
              <w:bottom w:val="single" w:sz="4" w:space="0" w:color="auto"/>
              <w:right w:val="single" w:sz="4" w:space="0" w:color="auto"/>
            </w:tcBorders>
            <w:shd w:val="clear" w:color="auto" w:fill="C6EFCE"/>
            <w:noWrap/>
          </w:tcPr>
          <w:p w14:paraId="0AEBD21D"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13E863A7"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nil"/>
              <w:left w:val="single" w:sz="4" w:space="0" w:color="auto"/>
              <w:bottom w:val="single" w:sz="4" w:space="0" w:color="auto"/>
              <w:right w:val="single" w:sz="4" w:space="0" w:color="auto"/>
            </w:tcBorders>
            <w:shd w:val="clear" w:color="auto" w:fill="C6EFCE"/>
            <w:noWrap/>
          </w:tcPr>
          <w:p w14:paraId="5543AB39" w14:textId="77777777" w:rsidR="003F46B9" w:rsidRDefault="0065662E">
            <w:pPr>
              <w:pStyle w:val="P68B1DB1-Normal5"/>
              <w:spacing w:after="0" w:line="240" w:lineRule="auto"/>
              <w:jc w:val="both"/>
              <w:rPr>
                <w:rFonts w:cs="Times New Roman"/>
                <w:noProof/>
              </w:rPr>
            </w:pPr>
            <w:r>
              <w:rPr>
                <w:noProof/>
              </w:rPr>
              <w:t>Odabir upravitelja programa koji će provoditi program de minimis (pokretanje poziva, ocjenjivanje ugovaranja i praćenja projekata)</w:t>
            </w:r>
          </w:p>
          <w:p w14:paraId="200C9455" w14:textId="77777777" w:rsidR="003F46B9" w:rsidRDefault="0065662E">
            <w:pPr>
              <w:pStyle w:val="P68B1DB1-Normal5"/>
              <w:spacing w:after="0" w:line="240" w:lineRule="auto"/>
              <w:jc w:val="both"/>
              <w:rPr>
                <w:rFonts w:eastAsia="Times New Roman" w:cs="Times New Roman"/>
                <w:noProof/>
              </w:rPr>
            </w:pPr>
            <w:r>
              <w:rPr>
                <w:noProof/>
              </w:rPr>
              <w:t>Društvima koja su voljna izdati dionice, prethodno kv</w:t>
            </w:r>
            <w:r>
              <w:rPr>
                <w:noProof/>
              </w:rPr>
              <w:t xml:space="preserve">alificirana za uvrštenje, u skladu s uvjetima burze u Bukureštu, dodjeljuju se bespovratna sredstva prema redoslijedu prijave. </w:t>
            </w:r>
          </w:p>
          <w:p w14:paraId="1DA34691" w14:textId="77777777" w:rsidR="003F46B9" w:rsidRDefault="0065662E">
            <w:pPr>
              <w:pStyle w:val="P68B1DB1-Normal5"/>
              <w:spacing w:after="0" w:line="240" w:lineRule="auto"/>
              <w:jc w:val="both"/>
              <w:rPr>
                <w:rFonts w:eastAsia="Times New Roman" w:cs="Times New Roman"/>
                <w:noProof/>
              </w:rPr>
            </w:pPr>
            <w:r>
              <w:rPr>
                <w:noProof/>
              </w:rPr>
              <w:t>Cilj je pripremiti ona društva koja se pridržavaju pravila o uvrštenju burze u Bukureštu za uspješno financiranje tržišta kapita</w:t>
            </w:r>
            <w:r>
              <w:rPr>
                <w:noProof/>
              </w:rPr>
              <w:t>la u bilo kojem dostupnom segmentu tržišta kapitala.</w:t>
            </w:r>
          </w:p>
          <w:p w14:paraId="1BD6D94F" w14:textId="77777777" w:rsidR="003F46B9" w:rsidRDefault="0065662E">
            <w:pPr>
              <w:pStyle w:val="P68B1DB1-Normal5"/>
              <w:spacing w:after="0" w:line="240" w:lineRule="auto"/>
              <w:jc w:val="both"/>
              <w:rPr>
                <w:rFonts w:cs="Times New Roman"/>
                <w:noProof/>
              </w:rPr>
            </w:pPr>
            <w:r>
              <w:rPr>
                <w:noProof/>
              </w:rPr>
              <w:t xml:space="preserve">Kako bi se osigurala usklađenost s tehničkim smjernicama o nenanošenju bitne štete (2021/C58/01), društva koja su tijekom prethodne financijske godine ostvarila više od 50 % svojih prihoda od aktivnosti </w:t>
            </w:r>
            <w:r>
              <w:rPr>
                <w:noProof/>
              </w:rPr>
              <w:t>ili imovine s popisa za isključenje dužna su donijeti i objaviti planove zelene tranzicije.</w:t>
            </w:r>
          </w:p>
        </w:tc>
      </w:tr>
      <w:tr w:rsidR="003F46B9" w14:paraId="59D3A479" w14:textId="77777777">
        <w:trPr>
          <w:trHeight w:val="309"/>
          <w:jc w:val="center"/>
        </w:trPr>
        <w:tc>
          <w:tcPr>
            <w:tcW w:w="606" w:type="dxa"/>
            <w:tcBorders>
              <w:top w:val="nil"/>
              <w:left w:val="single" w:sz="4" w:space="0" w:color="auto"/>
              <w:bottom w:val="single" w:sz="4" w:space="0" w:color="auto"/>
              <w:right w:val="single" w:sz="4" w:space="0" w:color="auto"/>
            </w:tcBorders>
            <w:shd w:val="clear" w:color="auto" w:fill="C6EFCE"/>
            <w:noWrap/>
          </w:tcPr>
          <w:p w14:paraId="77B57AA6" w14:textId="77777777" w:rsidR="003F46B9" w:rsidRDefault="0065662E">
            <w:pPr>
              <w:pStyle w:val="P68B1DB1-Normal5"/>
              <w:spacing w:after="0" w:line="240" w:lineRule="auto"/>
              <w:jc w:val="center"/>
              <w:rPr>
                <w:rFonts w:cs="Times New Roman"/>
                <w:noProof/>
              </w:rPr>
            </w:pPr>
            <w:r>
              <w:rPr>
                <w:noProof/>
              </w:rPr>
              <w:t>265</w:t>
            </w:r>
          </w:p>
        </w:tc>
        <w:tc>
          <w:tcPr>
            <w:tcW w:w="1844" w:type="dxa"/>
            <w:tcBorders>
              <w:top w:val="nil"/>
              <w:left w:val="single" w:sz="4" w:space="0" w:color="auto"/>
              <w:bottom w:val="single" w:sz="4" w:space="0" w:color="auto"/>
              <w:right w:val="single" w:sz="4" w:space="0" w:color="auto"/>
            </w:tcBorders>
            <w:shd w:val="clear" w:color="auto" w:fill="C6EFCE"/>
            <w:noWrap/>
          </w:tcPr>
          <w:p w14:paraId="082F18A9" w14:textId="77777777" w:rsidR="003F46B9" w:rsidRDefault="0065662E">
            <w:pPr>
              <w:pStyle w:val="P68B1DB1-Normal5"/>
              <w:spacing w:after="0" w:line="240" w:lineRule="auto"/>
              <w:jc w:val="both"/>
              <w:rPr>
                <w:rFonts w:cs="Times New Roman"/>
                <w:noProof/>
              </w:rPr>
            </w:pPr>
            <w:r>
              <w:rPr>
                <w:noProof/>
              </w:rPr>
              <w:t>Ulaganje 3.2. Programi potpora privatnog sektora – program de minimis za pomoć rumunjskim poduzećima u uvrštavanju na burzu</w:t>
            </w:r>
          </w:p>
        </w:tc>
        <w:tc>
          <w:tcPr>
            <w:tcW w:w="1089" w:type="dxa"/>
            <w:tcBorders>
              <w:top w:val="nil"/>
              <w:left w:val="single" w:sz="4" w:space="0" w:color="auto"/>
              <w:bottom w:val="single" w:sz="4" w:space="0" w:color="auto"/>
              <w:right w:val="single" w:sz="4" w:space="0" w:color="auto"/>
            </w:tcBorders>
            <w:shd w:val="clear" w:color="auto" w:fill="C6EFCE"/>
            <w:noWrap/>
          </w:tcPr>
          <w:p w14:paraId="11D1C3AB"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nil"/>
              <w:left w:val="single" w:sz="4" w:space="0" w:color="auto"/>
              <w:bottom w:val="single" w:sz="4" w:space="0" w:color="auto"/>
              <w:right w:val="single" w:sz="4" w:space="0" w:color="auto"/>
            </w:tcBorders>
            <w:shd w:val="clear" w:color="auto" w:fill="C6EFCE"/>
            <w:noWrap/>
          </w:tcPr>
          <w:p w14:paraId="374C3A68" w14:textId="77777777" w:rsidR="003F46B9" w:rsidRDefault="0065662E">
            <w:pPr>
              <w:pStyle w:val="P68B1DB1-Normal5"/>
              <w:spacing w:after="0" w:line="240" w:lineRule="auto"/>
              <w:jc w:val="both"/>
              <w:rPr>
                <w:rFonts w:cs="Times New Roman"/>
                <w:noProof/>
              </w:rPr>
            </w:pPr>
            <w:r>
              <w:rPr>
                <w:noProof/>
              </w:rPr>
              <w:t xml:space="preserve">Broj potpisanih ugovora o </w:t>
            </w:r>
            <w:r>
              <w:rPr>
                <w:noProof/>
              </w:rPr>
              <w:t>financiranju koji omogućuju uvrštenje na burzu u Bukureštu</w:t>
            </w:r>
          </w:p>
        </w:tc>
        <w:tc>
          <w:tcPr>
            <w:tcW w:w="1766" w:type="dxa"/>
            <w:tcBorders>
              <w:top w:val="nil"/>
              <w:left w:val="single" w:sz="4" w:space="0" w:color="auto"/>
              <w:bottom w:val="single" w:sz="4" w:space="0" w:color="auto"/>
              <w:right w:val="single" w:sz="4" w:space="0" w:color="auto"/>
            </w:tcBorders>
            <w:shd w:val="clear" w:color="auto" w:fill="C6EFCE"/>
            <w:noWrap/>
          </w:tcPr>
          <w:p w14:paraId="026985F8"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nil"/>
              <w:left w:val="single" w:sz="4" w:space="0" w:color="auto"/>
              <w:bottom w:val="single" w:sz="4" w:space="0" w:color="auto"/>
              <w:right w:val="single" w:sz="4" w:space="0" w:color="auto"/>
            </w:tcBorders>
            <w:shd w:val="clear" w:color="auto" w:fill="C6EFCE"/>
            <w:noWrap/>
          </w:tcPr>
          <w:p w14:paraId="25453AEF" w14:textId="77777777" w:rsidR="003F46B9" w:rsidRDefault="0065662E">
            <w:pPr>
              <w:pStyle w:val="P68B1DB1-Normal5"/>
              <w:spacing w:after="0" w:line="240" w:lineRule="auto"/>
              <w:jc w:val="both"/>
              <w:rPr>
                <w:rFonts w:cs="Times New Roman"/>
                <w:noProof/>
              </w:rPr>
            </w:pPr>
            <w:r>
              <w:rPr>
                <w:noProof/>
              </w:rPr>
              <w:t>Broj</w:t>
            </w:r>
          </w:p>
        </w:tc>
        <w:tc>
          <w:tcPr>
            <w:tcW w:w="1299" w:type="dxa"/>
            <w:tcBorders>
              <w:top w:val="nil"/>
              <w:left w:val="single" w:sz="4" w:space="0" w:color="auto"/>
              <w:bottom w:val="single" w:sz="4" w:space="0" w:color="auto"/>
              <w:right w:val="single" w:sz="4" w:space="0" w:color="auto"/>
            </w:tcBorders>
            <w:shd w:val="clear" w:color="auto" w:fill="C6EFCE"/>
            <w:noWrap/>
          </w:tcPr>
          <w:p w14:paraId="6BF2B35F"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nil"/>
              <w:left w:val="single" w:sz="4" w:space="0" w:color="auto"/>
              <w:bottom w:val="single" w:sz="4" w:space="0" w:color="auto"/>
              <w:right w:val="single" w:sz="4" w:space="0" w:color="auto"/>
            </w:tcBorders>
            <w:shd w:val="clear" w:color="auto" w:fill="C6EFCE"/>
            <w:noWrap/>
          </w:tcPr>
          <w:p w14:paraId="58D83E78" w14:textId="77777777" w:rsidR="003F46B9" w:rsidRDefault="0065662E">
            <w:pPr>
              <w:pStyle w:val="P68B1DB1-Normal5"/>
              <w:spacing w:after="0" w:line="240" w:lineRule="auto"/>
              <w:jc w:val="both"/>
              <w:rPr>
                <w:rFonts w:cs="Times New Roman"/>
                <w:noProof/>
              </w:rPr>
            </w:pPr>
            <w:r>
              <w:rPr>
                <w:noProof/>
              </w:rPr>
              <w:t>280</w:t>
            </w:r>
          </w:p>
        </w:tc>
        <w:tc>
          <w:tcPr>
            <w:tcW w:w="943" w:type="dxa"/>
            <w:tcBorders>
              <w:top w:val="nil"/>
              <w:left w:val="single" w:sz="4" w:space="0" w:color="auto"/>
              <w:bottom w:val="single" w:sz="4" w:space="0" w:color="auto"/>
              <w:right w:val="single" w:sz="4" w:space="0" w:color="auto"/>
            </w:tcBorders>
            <w:shd w:val="clear" w:color="auto" w:fill="C6EFCE"/>
            <w:noWrap/>
          </w:tcPr>
          <w:p w14:paraId="7AE15E47"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nil"/>
              <w:left w:val="single" w:sz="4" w:space="0" w:color="auto"/>
              <w:bottom w:val="single" w:sz="4" w:space="0" w:color="auto"/>
              <w:right w:val="single" w:sz="4" w:space="0" w:color="auto"/>
            </w:tcBorders>
            <w:shd w:val="clear" w:color="auto" w:fill="C6EFCE"/>
            <w:noWrap/>
          </w:tcPr>
          <w:p w14:paraId="32EABE15" w14:textId="77777777" w:rsidR="003F46B9" w:rsidRDefault="0065662E">
            <w:pPr>
              <w:pStyle w:val="P68B1DB1-Normal5"/>
              <w:spacing w:after="0" w:line="240" w:lineRule="auto"/>
              <w:jc w:val="center"/>
              <w:rPr>
                <w:rFonts w:cs="Times New Roman"/>
                <w:noProof/>
              </w:rPr>
            </w:pPr>
            <w:r>
              <w:rPr>
                <w:noProof/>
              </w:rPr>
              <w:t>2025</w:t>
            </w:r>
          </w:p>
        </w:tc>
        <w:tc>
          <w:tcPr>
            <w:tcW w:w="3760" w:type="dxa"/>
            <w:tcBorders>
              <w:top w:val="nil"/>
              <w:left w:val="single" w:sz="4" w:space="0" w:color="auto"/>
              <w:bottom w:val="single" w:sz="4" w:space="0" w:color="auto"/>
              <w:right w:val="single" w:sz="4" w:space="0" w:color="auto"/>
            </w:tcBorders>
            <w:shd w:val="clear" w:color="auto" w:fill="C6EFCE"/>
            <w:noWrap/>
          </w:tcPr>
          <w:p w14:paraId="728B01DE" w14:textId="77777777" w:rsidR="003F46B9" w:rsidRDefault="0065662E">
            <w:pPr>
              <w:pStyle w:val="P68B1DB1-Normal5"/>
              <w:spacing w:after="0" w:line="240" w:lineRule="auto"/>
              <w:jc w:val="both"/>
              <w:rPr>
                <w:rFonts w:cs="Times New Roman"/>
                <w:noProof/>
              </w:rPr>
            </w:pPr>
            <w:r>
              <w:rPr>
                <w:noProof/>
              </w:rPr>
              <w:t>Broj ugovora o financiranju koje je administrator potpore potpisao s poduzećima, što omogućuje uvrštenje na burzu u Bukureštu, u skladu s Tehničkim smjernicama o nenan</w:t>
            </w:r>
            <w:r>
              <w:rPr>
                <w:noProof/>
              </w:rPr>
              <w:t>ošenju bitne štete (2021/C58/01) i zahtjevima utvrđenima u ključnoj etapi 264. Ta potpora izravno utječe na motivaciju poduzeća za pristup tržištu kapitala i potiče stvaranje likvidnosti na tržištu.</w:t>
            </w:r>
          </w:p>
        </w:tc>
      </w:tr>
      <w:tr w:rsidR="003F46B9" w14:paraId="60F17A47"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759957E" w14:textId="77777777" w:rsidR="003F46B9" w:rsidRDefault="0065662E">
            <w:pPr>
              <w:pStyle w:val="P68B1DB1-Normal5"/>
              <w:spacing w:after="0" w:line="240" w:lineRule="auto"/>
              <w:jc w:val="center"/>
              <w:rPr>
                <w:rFonts w:cs="Times New Roman"/>
                <w:noProof/>
              </w:rPr>
            </w:pPr>
            <w:r>
              <w:rPr>
                <w:noProof/>
              </w:rPr>
              <w:t>266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2C8CCF4" w14:textId="77777777" w:rsidR="003F46B9" w:rsidRDefault="0065662E">
            <w:pPr>
              <w:pStyle w:val="P68B1DB1-Normal5"/>
              <w:spacing w:after="0" w:line="240" w:lineRule="auto"/>
              <w:jc w:val="both"/>
              <w:rPr>
                <w:rFonts w:cs="Times New Roman"/>
                <w:noProof/>
              </w:rPr>
            </w:pPr>
            <w:r>
              <w:rPr>
                <w:noProof/>
              </w:rPr>
              <w:t>Ulaganje 4. Prekogranična</w:t>
            </w:r>
          </w:p>
          <w:p w14:paraId="5C6B7FBC" w14:textId="77777777" w:rsidR="003F46B9" w:rsidRDefault="0065662E">
            <w:pPr>
              <w:pStyle w:val="P68B1DB1-Normal5"/>
              <w:spacing w:after="0" w:line="240" w:lineRule="auto"/>
              <w:jc w:val="both"/>
              <w:rPr>
                <w:rFonts w:cs="Times New Roman"/>
                <w:noProof/>
              </w:rPr>
            </w:pPr>
            <w:r>
              <w:rPr>
                <w:noProof/>
              </w:rPr>
              <w:t>i više zemalja</w:t>
            </w:r>
          </w:p>
          <w:p w14:paraId="231039FF" w14:textId="77777777" w:rsidR="003F46B9" w:rsidRDefault="0065662E">
            <w:pPr>
              <w:pStyle w:val="P68B1DB1-Normal5"/>
              <w:spacing w:after="0" w:line="240" w:lineRule="auto"/>
              <w:jc w:val="both"/>
              <w:rPr>
                <w:rFonts w:cs="Times New Roman"/>
                <w:noProof/>
              </w:rPr>
            </w:pPr>
            <w:r>
              <w:rPr>
                <w:noProof/>
              </w:rPr>
              <w:t xml:space="preserve">projekti – </w:t>
            </w:r>
            <w:r>
              <w:rPr>
                <w:noProof/>
              </w:rPr>
              <w:t>procesori niske potrošnje energije</w:t>
            </w:r>
          </w:p>
          <w:p w14:paraId="408DB84A" w14:textId="77777777" w:rsidR="003F46B9" w:rsidRDefault="0065662E">
            <w:pPr>
              <w:pStyle w:val="P68B1DB1-Normal5"/>
              <w:spacing w:after="0" w:line="240" w:lineRule="auto"/>
              <w:jc w:val="both"/>
              <w:rPr>
                <w:rFonts w:cs="Times New Roman"/>
                <w:noProof/>
              </w:rPr>
            </w:pPr>
            <w:r>
              <w:rPr>
                <w:noProof/>
              </w:rPr>
              <w:t>and</w:t>
            </w:r>
          </w:p>
          <w:p w14:paraId="17E3C1C2" w14:textId="77777777" w:rsidR="003F46B9" w:rsidRDefault="0065662E">
            <w:pPr>
              <w:pStyle w:val="P68B1DB1-Normal5"/>
              <w:spacing w:after="0" w:line="240" w:lineRule="auto"/>
              <w:jc w:val="both"/>
              <w:rPr>
                <w:rFonts w:cs="Times New Roman"/>
                <w:noProof/>
              </w:rPr>
            </w:pPr>
            <w:r>
              <w:rPr>
                <w:noProof/>
              </w:rPr>
              <w:t>Poluvodič</w:t>
            </w:r>
          </w:p>
          <w:p w14:paraId="178CDEE9" w14:textId="77777777" w:rsidR="003F46B9" w:rsidRDefault="0065662E">
            <w:pPr>
              <w:pStyle w:val="P68B1DB1-Normal5"/>
              <w:spacing w:after="0" w:line="240" w:lineRule="auto"/>
              <w:jc w:val="both"/>
              <w:rPr>
                <w:rFonts w:cs="Times New Roman"/>
                <w:noProof/>
              </w:rPr>
            </w:pPr>
            <w:r>
              <w:rPr>
                <w:noProof/>
              </w:rPr>
              <w:t xml:space="preserve">Čips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250434D"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C328C5C" w14:textId="77777777" w:rsidR="003F46B9" w:rsidRDefault="0065662E">
            <w:pPr>
              <w:pStyle w:val="P68B1DB1-Normal5"/>
              <w:spacing w:after="0" w:line="240" w:lineRule="auto"/>
              <w:jc w:val="both"/>
              <w:rPr>
                <w:rFonts w:cs="Times New Roman"/>
                <w:noProof/>
              </w:rPr>
            </w:pPr>
            <w:r>
              <w:rPr>
                <w:noProof/>
              </w:rPr>
              <w:t xml:space="preserve">Stupanje na snagu Odluke Vlade o dodjeli potrebnih sredstava u iznosu od 500 milijuna EUR za pružanje potpore povećanju nacionalnih kapaciteta do prvog industrijskog razvoja i sudjelovanju </w:t>
            </w:r>
            <w:r>
              <w:rPr>
                <w:noProof/>
              </w:rPr>
              <w:t>ili pridruživanju u višedržavnom projektu</w:t>
            </w:r>
          </w:p>
          <w:p w14:paraId="2A3F5F6B" w14:textId="77777777" w:rsidR="003F46B9" w:rsidRDefault="003F46B9">
            <w:pPr>
              <w:spacing w:after="0" w:line="240" w:lineRule="auto"/>
              <w:jc w:val="both"/>
              <w:rPr>
                <w:rFonts w:ascii="Times New Roman" w:hAnsi="Times New Roman" w:cs="Times New Roman"/>
                <w:noProof/>
                <w:sz w:val="24"/>
              </w:rPr>
            </w:pP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3C55F9" w14:textId="77777777" w:rsidR="003F46B9" w:rsidRDefault="0065662E">
            <w:pPr>
              <w:pStyle w:val="P68B1DB1-Normal5"/>
              <w:spacing w:after="0" w:line="240" w:lineRule="auto"/>
              <w:jc w:val="both"/>
              <w:rPr>
                <w:rFonts w:cs="Times New Roman"/>
                <w:noProof/>
              </w:rPr>
            </w:pPr>
            <w:r>
              <w:rPr>
                <w:noProof/>
              </w:rPr>
              <w:t>Zakonska odredba o stupanju na snagu</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BB23F3"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EE9BB" w14:textId="77777777" w:rsidR="003F46B9" w:rsidRDefault="003F46B9">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399D92" w14:textId="77777777" w:rsidR="003F46B9" w:rsidRDefault="003F46B9">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5EE6CB"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FC8E439"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8E81688" w14:textId="77777777" w:rsidR="003F46B9" w:rsidRDefault="0065662E">
            <w:pPr>
              <w:pStyle w:val="P68B1DB1-Normal5"/>
              <w:spacing w:after="0" w:line="240" w:lineRule="auto"/>
              <w:jc w:val="both"/>
              <w:rPr>
                <w:rFonts w:cs="Times New Roman"/>
                <w:noProof/>
              </w:rPr>
            </w:pPr>
            <w:r>
              <w:rPr>
                <w:noProof/>
              </w:rPr>
              <w:t>Odlukom Vlade utvrđuje se regulatorni okvir u kojem se navode postupci i rokovi za podnošenje projekata, kao i kriteriji prihvatljivosti i zahtjevi za poten</w:t>
            </w:r>
            <w:r>
              <w:rPr>
                <w:noProof/>
              </w:rPr>
              <w:t>cijalne korisnike te se utvrđuje i dodjela proračunskih sredstava u iznosu od 500 milijuna EUR.</w:t>
            </w:r>
          </w:p>
          <w:p w14:paraId="6AB51F3E" w14:textId="77777777" w:rsidR="003F46B9" w:rsidRDefault="0065662E">
            <w:pPr>
              <w:pStyle w:val="P68B1DB1-Normal5"/>
              <w:spacing w:after="0" w:line="240" w:lineRule="auto"/>
              <w:jc w:val="both"/>
              <w:rPr>
                <w:rFonts w:cs="Times New Roman"/>
                <w:noProof/>
              </w:rPr>
            </w:pPr>
            <w:r>
              <w:rPr>
                <w:noProof/>
              </w:rPr>
              <w:t>Dodatne informacije utvrđuju se u skladu s ostalim državama članicama sudionicama tih projekata.</w:t>
            </w:r>
          </w:p>
          <w:p w14:paraId="417C846F" w14:textId="77777777" w:rsidR="003F46B9" w:rsidRDefault="0065662E">
            <w:pPr>
              <w:pStyle w:val="P68B1DB1-Normal5"/>
              <w:spacing w:after="0" w:line="240" w:lineRule="auto"/>
              <w:jc w:val="both"/>
              <w:rPr>
                <w:rFonts w:cs="Times New Roman"/>
                <w:noProof/>
              </w:rPr>
            </w:pPr>
            <w:r>
              <w:rPr>
                <w:noProof/>
              </w:rPr>
              <w:t>Očekuje se da će se višedržavni projekt za procesore male snage</w:t>
            </w:r>
            <w:r>
              <w:rPr>
                <w:noProof/>
              </w:rPr>
              <w:t xml:space="preserve"> i poluvodičke čipove provesti uglavnom sudjelovanjem ili pridruživanjem planiranom važnom projektu od zajedničkog europskog interesa.</w:t>
            </w:r>
          </w:p>
        </w:tc>
      </w:tr>
      <w:tr w:rsidR="003F46B9" w14:paraId="0FBCFEE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AECDB79" w14:textId="77777777" w:rsidR="003F46B9" w:rsidRDefault="0065662E">
            <w:pPr>
              <w:pStyle w:val="P68B1DB1-Normal5"/>
              <w:spacing w:after="0" w:line="240" w:lineRule="auto"/>
              <w:jc w:val="center"/>
              <w:rPr>
                <w:rFonts w:cs="Times New Roman"/>
                <w:noProof/>
              </w:rPr>
            </w:pPr>
            <w:r>
              <w:rPr>
                <w:noProof/>
              </w:rPr>
              <w:t>267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BAC7717" w14:textId="77777777" w:rsidR="003F46B9" w:rsidRDefault="0065662E">
            <w:pPr>
              <w:pStyle w:val="P68B1DB1-Normal5"/>
              <w:spacing w:after="0" w:line="240" w:lineRule="auto"/>
              <w:jc w:val="both"/>
              <w:rPr>
                <w:rFonts w:cs="Times New Roman"/>
                <w:noProof/>
              </w:rPr>
            </w:pPr>
            <w:r>
              <w:rPr>
                <w:noProof/>
              </w:rPr>
              <w:t>Ulaganje 4. Prekogranična</w:t>
            </w:r>
          </w:p>
          <w:p w14:paraId="026187CC" w14:textId="77777777" w:rsidR="003F46B9" w:rsidRDefault="0065662E">
            <w:pPr>
              <w:pStyle w:val="P68B1DB1-Normal5"/>
              <w:spacing w:after="0" w:line="240" w:lineRule="auto"/>
              <w:jc w:val="both"/>
              <w:rPr>
                <w:rFonts w:cs="Times New Roman"/>
                <w:noProof/>
              </w:rPr>
            </w:pPr>
            <w:r>
              <w:rPr>
                <w:noProof/>
              </w:rPr>
              <w:t>i više zemalja</w:t>
            </w:r>
          </w:p>
          <w:p w14:paraId="72A359CC" w14:textId="77777777" w:rsidR="003F46B9" w:rsidRDefault="0065662E">
            <w:pPr>
              <w:pStyle w:val="P68B1DB1-Normal5"/>
              <w:spacing w:after="0" w:line="240" w:lineRule="auto"/>
              <w:jc w:val="both"/>
              <w:rPr>
                <w:rFonts w:cs="Times New Roman"/>
                <w:noProof/>
              </w:rPr>
            </w:pPr>
            <w:r>
              <w:rPr>
                <w:noProof/>
              </w:rPr>
              <w:t>projekti – procesori niske potrošnje energije</w:t>
            </w:r>
          </w:p>
          <w:p w14:paraId="7FB8EC41" w14:textId="77777777" w:rsidR="003F46B9" w:rsidRDefault="0065662E">
            <w:pPr>
              <w:pStyle w:val="P68B1DB1-Normal5"/>
              <w:spacing w:after="0" w:line="240" w:lineRule="auto"/>
              <w:jc w:val="both"/>
              <w:rPr>
                <w:rFonts w:cs="Times New Roman"/>
                <w:noProof/>
              </w:rPr>
            </w:pPr>
            <w:r>
              <w:rPr>
                <w:noProof/>
              </w:rPr>
              <w:t>and</w:t>
            </w:r>
          </w:p>
          <w:p w14:paraId="744C8833" w14:textId="77777777" w:rsidR="003F46B9" w:rsidRDefault="0065662E">
            <w:pPr>
              <w:pStyle w:val="P68B1DB1-Normal5"/>
              <w:spacing w:after="0" w:line="240" w:lineRule="auto"/>
              <w:jc w:val="both"/>
              <w:rPr>
                <w:rFonts w:cs="Times New Roman"/>
                <w:noProof/>
              </w:rPr>
            </w:pPr>
            <w:r>
              <w:rPr>
                <w:noProof/>
              </w:rPr>
              <w:t>Poluvodič</w:t>
            </w:r>
          </w:p>
          <w:p w14:paraId="3711FFD8" w14:textId="77777777" w:rsidR="003F46B9" w:rsidRDefault="0065662E">
            <w:pPr>
              <w:pStyle w:val="P68B1DB1-Normal5"/>
              <w:spacing w:after="0" w:line="240" w:lineRule="auto"/>
              <w:jc w:val="both"/>
              <w:rPr>
                <w:rFonts w:cs="Times New Roman"/>
                <w:noProof/>
              </w:rPr>
            </w:pPr>
            <w:r>
              <w:rPr>
                <w:noProof/>
              </w:rPr>
              <w:t xml:space="preserve">Čips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90C9ED"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59F555F" w14:textId="77777777" w:rsidR="003F46B9" w:rsidRDefault="0065662E">
            <w:pPr>
              <w:pStyle w:val="P68B1DB1-Normal5"/>
              <w:spacing w:after="0" w:line="240" w:lineRule="auto"/>
              <w:jc w:val="both"/>
              <w:rPr>
                <w:rFonts w:cs="Times New Roman"/>
                <w:noProof/>
              </w:rPr>
            </w:pPr>
            <w:r>
              <w:rPr>
                <w:noProof/>
              </w:rPr>
              <w:t>Subjekti odabrani za sudjelovanje ili udruživanje u projektu</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C9B1A44"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4B8D2D" w14:textId="77777777" w:rsidR="003F46B9" w:rsidRDefault="0065662E">
            <w:pPr>
              <w:pStyle w:val="P68B1DB1-Normal5"/>
              <w:spacing w:after="0" w:line="240" w:lineRule="auto"/>
              <w:jc w:val="both"/>
              <w:rPr>
                <w:rFonts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E73D589"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CD3A89B" w14:textId="77777777" w:rsidR="003F46B9" w:rsidRDefault="0065662E">
            <w:pPr>
              <w:pStyle w:val="P68B1DB1-Normal5"/>
              <w:spacing w:after="0" w:line="240" w:lineRule="auto"/>
              <w:jc w:val="both"/>
              <w:rPr>
                <w:rFonts w:cs="Times New Roman"/>
                <w:noProof/>
              </w:rPr>
            </w:pPr>
            <w:r>
              <w:rPr>
                <w:noProof/>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EF83938"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3B7FD4C" w14:textId="52C35D7B"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47D3249" w14:textId="77777777" w:rsidR="003F46B9" w:rsidRDefault="0065662E">
            <w:pPr>
              <w:pStyle w:val="P68B1DB1-Normal5"/>
              <w:spacing w:after="0" w:line="240" w:lineRule="auto"/>
              <w:jc w:val="both"/>
              <w:rPr>
                <w:rFonts w:cs="Times New Roman"/>
                <w:noProof/>
              </w:rPr>
            </w:pPr>
            <w:r>
              <w:rPr>
                <w:noProof/>
              </w:rPr>
              <w:t>Najmanje deset subjekata odabire se za sudjelovanje ili pridruživanje višedržavnom projektu procesora male snage i poluvodičkih čipova.</w:t>
            </w:r>
          </w:p>
          <w:p w14:paraId="61FF0704" w14:textId="77777777" w:rsidR="003F46B9" w:rsidRDefault="0065662E">
            <w:pPr>
              <w:pStyle w:val="P68B1DB1-Normal5"/>
              <w:spacing w:after="0" w:line="240" w:lineRule="auto"/>
              <w:jc w:val="both"/>
              <w:rPr>
                <w:rFonts w:cs="Times New Roman"/>
                <w:noProof/>
              </w:rPr>
            </w:pPr>
            <w:r>
              <w:rPr>
                <w:noProof/>
              </w:rPr>
              <w:t>Očekuje se da će se viš</w:t>
            </w:r>
            <w:r>
              <w:rPr>
                <w:noProof/>
              </w:rPr>
              <w:t>edržavni projekt provesti uglavnom sudjelovanjem ili pridruživanjem planiranom važnom projektu od zajedničkog europskog interesa.</w:t>
            </w:r>
          </w:p>
        </w:tc>
      </w:tr>
      <w:tr w:rsidR="003F46B9" w14:paraId="264D27B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08B53E2" w14:textId="77777777" w:rsidR="003F46B9" w:rsidRDefault="0065662E">
            <w:pPr>
              <w:pStyle w:val="P68B1DB1-Normal5"/>
              <w:spacing w:after="0" w:line="240" w:lineRule="auto"/>
              <w:jc w:val="center"/>
              <w:rPr>
                <w:rFonts w:cs="Times New Roman"/>
                <w:noProof/>
              </w:rPr>
            </w:pPr>
            <w:r>
              <w:rPr>
                <w:noProof/>
              </w:rPr>
              <w:t>268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C1DE3E2" w14:textId="77777777" w:rsidR="003F46B9" w:rsidRDefault="0065662E">
            <w:pPr>
              <w:pStyle w:val="P68B1DB1-Normal5"/>
              <w:spacing w:after="0" w:line="240" w:lineRule="auto"/>
              <w:jc w:val="both"/>
              <w:rPr>
                <w:rFonts w:cs="Times New Roman"/>
                <w:noProof/>
              </w:rPr>
            </w:pPr>
            <w:r>
              <w:rPr>
                <w:noProof/>
              </w:rPr>
              <w:t>Ulaganje 4. Prekogranična</w:t>
            </w:r>
          </w:p>
          <w:p w14:paraId="01BC4CB1" w14:textId="77777777" w:rsidR="003F46B9" w:rsidRDefault="0065662E">
            <w:pPr>
              <w:pStyle w:val="P68B1DB1-Normal5"/>
              <w:spacing w:after="0" w:line="240" w:lineRule="auto"/>
              <w:jc w:val="both"/>
              <w:rPr>
                <w:rFonts w:cs="Times New Roman"/>
                <w:noProof/>
              </w:rPr>
            </w:pPr>
            <w:r>
              <w:rPr>
                <w:noProof/>
              </w:rPr>
              <w:t>i više zemalja</w:t>
            </w:r>
          </w:p>
          <w:p w14:paraId="2FD6D1E2" w14:textId="77777777" w:rsidR="003F46B9" w:rsidRDefault="0065662E">
            <w:pPr>
              <w:pStyle w:val="P68B1DB1-Normal5"/>
              <w:spacing w:after="0" w:line="240" w:lineRule="auto"/>
              <w:jc w:val="both"/>
              <w:rPr>
                <w:rFonts w:cs="Times New Roman"/>
                <w:noProof/>
              </w:rPr>
            </w:pPr>
            <w:r>
              <w:rPr>
                <w:noProof/>
              </w:rPr>
              <w:t>projekti – procesori niske potrošnje energije</w:t>
            </w:r>
          </w:p>
          <w:p w14:paraId="5F3E8BB1" w14:textId="77777777" w:rsidR="003F46B9" w:rsidRDefault="0065662E">
            <w:pPr>
              <w:pStyle w:val="P68B1DB1-Normal5"/>
              <w:spacing w:after="0" w:line="240" w:lineRule="auto"/>
              <w:jc w:val="both"/>
              <w:rPr>
                <w:rFonts w:cs="Times New Roman"/>
                <w:noProof/>
              </w:rPr>
            </w:pPr>
            <w:r>
              <w:rPr>
                <w:noProof/>
              </w:rPr>
              <w:t>and</w:t>
            </w:r>
          </w:p>
          <w:p w14:paraId="7D81E5CE" w14:textId="77777777" w:rsidR="003F46B9" w:rsidRDefault="0065662E">
            <w:pPr>
              <w:pStyle w:val="P68B1DB1-Normal5"/>
              <w:spacing w:after="0" w:line="240" w:lineRule="auto"/>
              <w:jc w:val="both"/>
              <w:rPr>
                <w:rFonts w:cs="Times New Roman"/>
                <w:noProof/>
              </w:rPr>
            </w:pPr>
            <w:r>
              <w:rPr>
                <w:noProof/>
              </w:rPr>
              <w:t>Poluvodič</w:t>
            </w:r>
          </w:p>
          <w:p w14:paraId="7B5A0E3D" w14:textId="77777777" w:rsidR="003F46B9" w:rsidRDefault="0065662E">
            <w:pPr>
              <w:pStyle w:val="P68B1DB1-Normal5"/>
              <w:spacing w:after="0" w:line="240" w:lineRule="auto"/>
              <w:jc w:val="both"/>
              <w:rPr>
                <w:rFonts w:cs="Times New Roman"/>
                <w:noProof/>
              </w:rPr>
            </w:pPr>
            <w:r>
              <w:rPr>
                <w:noProof/>
              </w:rPr>
              <w:t xml:space="preserve">Čips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8E1247C"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041794D" w14:textId="77777777" w:rsidR="003F46B9" w:rsidRDefault="0065662E">
            <w:pPr>
              <w:pStyle w:val="P68B1DB1-Normal5"/>
              <w:spacing w:after="0" w:line="240" w:lineRule="auto"/>
              <w:jc w:val="both"/>
              <w:rPr>
                <w:rFonts w:cs="Times New Roman"/>
                <w:noProof/>
              </w:rPr>
            </w:pPr>
            <w:r>
              <w:rPr>
                <w:noProof/>
              </w:rPr>
              <w:t>Subjekti u konzorcijima koji sudjeluju u pozivima na podnošenje projekata Zajedničkog poduzeća za ključne digitalne tehnologije (Zajedničko poduzeće KDT)</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AD720B0"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0DF61A" w14:textId="77777777" w:rsidR="003F46B9" w:rsidRDefault="0065662E">
            <w:pPr>
              <w:pStyle w:val="P68B1DB1-Normal5"/>
              <w:spacing w:after="0" w:line="240" w:lineRule="auto"/>
              <w:rPr>
                <w:rFonts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A7168A"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1896D4" w14:textId="77777777" w:rsidR="003F46B9" w:rsidRDefault="0065662E">
            <w:pPr>
              <w:pStyle w:val="P68B1DB1-Normal5"/>
              <w:spacing w:after="0" w:line="240" w:lineRule="auto"/>
              <w:jc w:val="both"/>
              <w:rPr>
                <w:rFonts w:cs="Times New Roman"/>
                <w:noProof/>
              </w:rPr>
            </w:pPr>
            <w:r>
              <w:rPr>
                <w:noProof/>
              </w:rPr>
              <w:t>3</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5F3608"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2A8A3DA"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AA2BEF5" w14:textId="77777777" w:rsidR="003F46B9" w:rsidRDefault="0065662E">
            <w:pPr>
              <w:pStyle w:val="P68B1DB1-Normal5"/>
              <w:spacing w:after="0" w:line="240" w:lineRule="auto"/>
              <w:jc w:val="both"/>
              <w:rPr>
                <w:rFonts w:cs="Times New Roman"/>
                <w:noProof/>
              </w:rPr>
            </w:pPr>
            <w:r>
              <w:rPr>
                <w:noProof/>
              </w:rPr>
              <w:t>Najmanje tri subjekta u konzorcijima sudjeluju u pozivima na podnoš</w:t>
            </w:r>
            <w:r>
              <w:rPr>
                <w:noProof/>
              </w:rPr>
              <w:t>enje projekata Zajedničkog poduzeća za ključne digitalne tehnologije (Zajedničko poduzeće KDT).</w:t>
            </w:r>
          </w:p>
          <w:p w14:paraId="308491E6" w14:textId="77777777" w:rsidR="003F46B9" w:rsidRDefault="0065662E">
            <w:pPr>
              <w:pStyle w:val="P68B1DB1-Normal5"/>
              <w:spacing w:after="0" w:line="240" w:lineRule="auto"/>
              <w:jc w:val="both"/>
              <w:rPr>
                <w:rFonts w:cs="Times New Roman"/>
                <w:noProof/>
              </w:rPr>
            </w:pPr>
            <w:r>
              <w:rPr>
                <w:noProof/>
              </w:rPr>
              <w:t>Sudionici višedržavnog projekta o procesorima male snage i</w:t>
            </w:r>
          </w:p>
          <w:p w14:paraId="68DDF6AD" w14:textId="77777777" w:rsidR="003F46B9" w:rsidRDefault="0065662E">
            <w:pPr>
              <w:pStyle w:val="P68B1DB1-Normal5"/>
              <w:spacing w:after="0" w:line="240" w:lineRule="auto"/>
              <w:jc w:val="both"/>
              <w:rPr>
                <w:rFonts w:cs="Times New Roman"/>
                <w:noProof/>
              </w:rPr>
            </w:pPr>
            <w:r>
              <w:rPr>
                <w:noProof/>
              </w:rPr>
              <w:t>Poluvodički čipovi doprinose, u multinacionalnom kontekstu, uspostavi kapaciteta u području u kojem Z</w:t>
            </w:r>
            <w:r>
              <w:rPr>
                <w:noProof/>
              </w:rPr>
              <w:t>ajedničko poduzeće za ključne digitalne tehnologije objavljuje pozive na podnošenje projektnih prijedloga. Aktivnosti tih dvaju mehanizama međusobno se nadopunjuju.</w:t>
            </w:r>
          </w:p>
        </w:tc>
      </w:tr>
      <w:tr w:rsidR="003F46B9" w14:paraId="5A89F303"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8406F" w14:textId="77777777" w:rsidR="003F46B9" w:rsidRDefault="0065662E">
            <w:pPr>
              <w:pStyle w:val="P68B1DB1-Normal5"/>
              <w:spacing w:after="0" w:line="240" w:lineRule="auto"/>
              <w:jc w:val="center"/>
              <w:rPr>
                <w:rFonts w:cs="Times New Roman"/>
                <w:noProof/>
              </w:rPr>
            </w:pPr>
            <w:r>
              <w:rPr>
                <w:noProof/>
              </w:rPr>
              <w:t>269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6CCD6B0" w14:textId="77777777" w:rsidR="003F46B9" w:rsidRDefault="0065662E">
            <w:pPr>
              <w:pStyle w:val="P68B1DB1-Normal5"/>
              <w:spacing w:after="0" w:line="240" w:lineRule="auto"/>
              <w:jc w:val="both"/>
              <w:rPr>
                <w:rFonts w:cs="Times New Roman"/>
                <w:noProof/>
              </w:rPr>
            </w:pPr>
            <w:r>
              <w:rPr>
                <w:noProof/>
              </w:rPr>
              <w:t>Ulaganje 4. Prekogranična</w:t>
            </w:r>
          </w:p>
          <w:p w14:paraId="5B54FB39" w14:textId="77777777" w:rsidR="003F46B9" w:rsidRDefault="0065662E">
            <w:pPr>
              <w:pStyle w:val="P68B1DB1-Normal5"/>
              <w:spacing w:after="0" w:line="240" w:lineRule="auto"/>
              <w:jc w:val="both"/>
              <w:rPr>
                <w:rFonts w:cs="Times New Roman"/>
                <w:noProof/>
              </w:rPr>
            </w:pPr>
            <w:r>
              <w:rPr>
                <w:noProof/>
              </w:rPr>
              <w:t>i više zemalja</w:t>
            </w:r>
          </w:p>
          <w:p w14:paraId="66369904" w14:textId="77777777" w:rsidR="003F46B9" w:rsidRDefault="0065662E">
            <w:pPr>
              <w:pStyle w:val="P68B1DB1-Normal5"/>
              <w:spacing w:after="0" w:line="240" w:lineRule="auto"/>
              <w:jc w:val="both"/>
              <w:rPr>
                <w:rFonts w:cs="Times New Roman"/>
                <w:noProof/>
              </w:rPr>
            </w:pPr>
            <w:r>
              <w:rPr>
                <w:noProof/>
              </w:rPr>
              <w:t>projekti – procesori niske potrošnje energije</w:t>
            </w:r>
          </w:p>
          <w:p w14:paraId="57990A17" w14:textId="77777777" w:rsidR="003F46B9" w:rsidRDefault="0065662E">
            <w:pPr>
              <w:pStyle w:val="P68B1DB1-Normal5"/>
              <w:spacing w:after="0" w:line="240" w:lineRule="auto"/>
              <w:jc w:val="both"/>
              <w:rPr>
                <w:rFonts w:cs="Times New Roman"/>
                <w:noProof/>
              </w:rPr>
            </w:pPr>
            <w:r>
              <w:rPr>
                <w:noProof/>
              </w:rPr>
              <w:t>and</w:t>
            </w:r>
          </w:p>
          <w:p w14:paraId="2524F3D1" w14:textId="77777777" w:rsidR="003F46B9" w:rsidRDefault="0065662E">
            <w:pPr>
              <w:pStyle w:val="P68B1DB1-Normal5"/>
              <w:spacing w:after="0" w:line="240" w:lineRule="auto"/>
              <w:jc w:val="both"/>
              <w:rPr>
                <w:rFonts w:cs="Times New Roman"/>
                <w:noProof/>
              </w:rPr>
            </w:pPr>
            <w:r>
              <w:rPr>
                <w:noProof/>
              </w:rPr>
              <w:t>Poluvodič</w:t>
            </w:r>
          </w:p>
          <w:p w14:paraId="15AA5C24" w14:textId="77777777" w:rsidR="003F46B9" w:rsidRDefault="0065662E">
            <w:pPr>
              <w:pStyle w:val="P68B1DB1-Normal5"/>
              <w:spacing w:after="0" w:line="240" w:lineRule="auto"/>
              <w:jc w:val="both"/>
              <w:rPr>
                <w:rFonts w:cs="Times New Roman"/>
                <w:noProof/>
              </w:rPr>
            </w:pPr>
            <w:r>
              <w:rPr>
                <w:noProof/>
              </w:rPr>
              <w:t xml:space="preserve">Čips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439D81EE"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C8E71CA" w14:textId="344F3273" w:rsidR="003F46B9" w:rsidRDefault="0065662E">
            <w:pPr>
              <w:pStyle w:val="P68B1DB1-Normal5"/>
              <w:spacing w:after="0" w:line="240" w:lineRule="auto"/>
              <w:jc w:val="both"/>
              <w:rPr>
                <w:rFonts w:cs="Times New Roman"/>
                <w:noProof/>
              </w:rPr>
            </w:pPr>
            <w:r>
              <w:rPr>
                <w:noProof/>
              </w:rPr>
              <w:t>Sredstva dodijeljena odabranim subjektima</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FAFFC31"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50536B6" w14:textId="77777777" w:rsidR="003F46B9" w:rsidRDefault="0065662E">
            <w:pPr>
              <w:pStyle w:val="P68B1DB1-Normal5"/>
              <w:spacing w:after="0" w:line="240" w:lineRule="auto"/>
              <w:jc w:val="both"/>
              <w:rPr>
                <w:rFonts w:cs="Times New Roman"/>
                <w:noProof/>
              </w:rPr>
            </w:pPr>
            <w:r>
              <w:rPr>
                <w:noProof/>
              </w:rPr>
              <w:t>Milijuna EUR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10CEBD" w14:textId="3FE474A3" w:rsidR="003F46B9" w:rsidRDefault="0065662E">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3D814C7" w14:textId="60186A67" w:rsidR="003F46B9" w:rsidRDefault="0065662E">
            <w:pPr>
              <w:pStyle w:val="P68B1DB1-Normal5"/>
              <w:spacing w:after="0" w:line="240" w:lineRule="auto"/>
              <w:jc w:val="both"/>
              <w:rPr>
                <w:rFonts w:cs="Times New Roman"/>
                <w:noProof/>
              </w:rPr>
            </w:pPr>
            <w:r>
              <w:rPr>
                <w:noProof/>
              </w:rPr>
              <w:t>360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3A21A9E" w14:textId="23B6DF6A"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CE3F0D9" w14:textId="24A52249" w:rsidR="003F46B9" w:rsidRDefault="0065662E">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F9B7952" w14:textId="58134BDB" w:rsidR="003F46B9" w:rsidRDefault="0065662E">
            <w:pPr>
              <w:pStyle w:val="P68B1DB1-Normal5"/>
              <w:spacing w:after="0" w:line="240" w:lineRule="auto"/>
              <w:jc w:val="both"/>
              <w:rPr>
                <w:rFonts w:cs="Times New Roman"/>
                <w:noProof/>
              </w:rPr>
            </w:pPr>
            <w:r>
              <w:rPr>
                <w:noProof/>
              </w:rPr>
              <w:t>Najmanje 360 milijuna EUR dodijeljenih sredstava preuzima se potpisivanjem ugovora s odabranim subjektima.</w:t>
            </w:r>
          </w:p>
        </w:tc>
      </w:tr>
      <w:tr w:rsidR="003F46B9" w14:paraId="6A33C178"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93CAB14" w14:textId="77777777" w:rsidR="003F46B9" w:rsidRDefault="0065662E">
            <w:pPr>
              <w:pStyle w:val="P68B1DB1-Normal5"/>
              <w:spacing w:after="0" w:line="240" w:lineRule="auto"/>
              <w:jc w:val="center"/>
              <w:rPr>
                <w:rFonts w:cs="Times New Roman"/>
                <w:noProof/>
              </w:rPr>
            </w:pPr>
            <w:r>
              <w:rPr>
                <w:noProof/>
              </w:rPr>
              <w:t>270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77C1B2C" w14:textId="77777777" w:rsidR="003F46B9" w:rsidRDefault="0065662E">
            <w:pPr>
              <w:pStyle w:val="P68B1DB1-Normal5"/>
              <w:spacing w:after="0" w:line="240" w:lineRule="auto"/>
              <w:jc w:val="both"/>
              <w:rPr>
                <w:rFonts w:cs="Times New Roman"/>
                <w:noProof/>
              </w:rPr>
            </w:pPr>
            <w:r>
              <w:rPr>
                <w:noProof/>
              </w:rPr>
              <w:t xml:space="preserve">Reforma 2. Pojednostavnjenje upravljanja istraživanjem, razvojem i inovacijama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F2B3907"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1837BDC7" w14:textId="77777777" w:rsidR="003F46B9" w:rsidRDefault="0065662E">
            <w:pPr>
              <w:pStyle w:val="P68B1DB1-Normal5"/>
              <w:spacing w:after="0" w:line="240" w:lineRule="auto"/>
              <w:jc w:val="both"/>
              <w:rPr>
                <w:rFonts w:cs="Times New Roman"/>
                <w:noProof/>
              </w:rPr>
            </w:pPr>
            <w:r>
              <w:rPr>
                <w:noProof/>
              </w:rPr>
              <w:t xml:space="preserve">Osnovan i operativan Odjel za potporu politikama (PSF) za provedbu reformi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D7834EA" w14:textId="77777777" w:rsidR="003F46B9" w:rsidRDefault="0065662E">
            <w:pPr>
              <w:pStyle w:val="P68B1DB1-Normal5"/>
              <w:spacing w:after="0" w:line="240" w:lineRule="auto"/>
              <w:jc w:val="both"/>
              <w:rPr>
                <w:rFonts w:cs="Times New Roman"/>
                <w:noProof/>
              </w:rPr>
            </w:pPr>
            <w:r>
              <w:rPr>
                <w:noProof/>
              </w:rPr>
              <w:t xml:space="preserve">Donošenje normativnog akta za Odjel za provedbu reformi Instrumenta za potporu operacionalizaciji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792C2A1"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441A195" w14:textId="77777777" w:rsidR="003F46B9" w:rsidRDefault="003F46B9">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4E0BE26" w14:textId="77777777" w:rsidR="003F46B9" w:rsidRDefault="003F46B9">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CEB9CA8"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5E5C5C1" w14:textId="77777777" w:rsidR="003F46B9" w:rsidRDefault="0065662E">
            <w:pPr>
              <w:pStyle w:val="P68B1DB1-Normal5"/>
              <w:spacing w:after="0" w:line="240" w:lineRule="auto"/>
              <w:jc w:val="center"/>
              <w:rPr>
                <w:rFonts w:cs="Times New Roman"/>
                <w:noProof/>
              </w:rPr>
            </w:pPr>
            <w:r>
              <w:rPr>
                <w:noProof/>
              </w:rPr>
              <w:t>2021</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AE0462A" w14:textId="77777777" w:rsidR="003F46B9" w:rsidRDefault="0065662E">
            <w:pPr>
              <w:pStyle w:val="P68B1DB1-Normal5"/>
              <w:spacing w:after="0" w:line="240" w:lineRule="auto"/>
              <w:jc w:val="both"/>
              <w:rPr>
                <w:rFonts w:cs="Times New Roman"/>
                <w:noProof/>
              </w:rPr>
            </w:pPr>
            <w:r>
              <w:rPr>
                <w:noProof/>
              </w:rPr>
              <w:t>Operacionalizacija Odjela za reformu instrumenta za privremenu političku potporu s mandatom za provedbu i praćenje preporuka iz I</w:t>
            </w:r>
            <w:r>
              <w:rPr>
                <w:noProof/>
              </w:rPr>
              <w:t>nstrumenta za političku potporu koje se prenose u reforme nacionalnog istraživačkog, razvojnog i inovacijskog ekosustava.</w:t>
            </w:r>
          </w:p>
          <w:p w14:paraId="08F0BD49" w14:textId="77777777" w:rsidR="003F46B9" w:rsidRDefault="0065662E">
            <w:pPr>
              <w:pStyle w:val="P68B1DB1-Normal5"/>
              <w:spacing w:after="0" w:line="240" w:lineRule="auto"/>
              <w:jc w:val="both"/>
              <w:rPr>
                <w:rFonts w:cs="Times New Roman"/>
                <w:noProof/>
              </w:rPr>
            </w:pPr>
            <w:r>
              <w:rPr>
                <w:noProof/>
              </w:rPr>
              <w:t>Nova jedinica, uz potporu instrumenta za političku podršku, u suradnji s relevantnim javnim tijelima preoblikuje arhitekturu i funkcij</w:t>
            </w:r>
            <w:r>
              <w:rPr>
                <w:noProof/>
              </w:rPr>
              <w:t xml:space="preserve">e sustava istraživanja, razvoja i inovacija kako bi se poboljšala kvaliteta ulaganja u istraživanje i inovacije za otporan i učinkovit sustav. U tu svrhu mandat Odjela usmjeren je, među ostalim, na pet prioriteta: </w:t>
            </w:r>
          </w:p>
          <w:p w14:paraId="169A4F19" w14:textId="77777777" w:rsidR="003F46B9" w:rsidRDefault="0065662E">
            <w:pPr>
              <w:pStyle w:val="P68B1DB1-ListParagraph13"/>
              <w:numPr>
                <w:ilvl w:val="0"/>
                <w:numId w:val="78"/>
              </w:numPr>
              <w:spacing w:after="0" w:line="240" w:lineRule="auto"/>
              <w:jc w:val="both"/>
              <w:rPr>
                <w:rFonts w:cs="Times New Roman"/>
                <w:noProof/>
              </w:rPr>
            </w:pPr>
            <w:r>
              <w:rPr>
                <w:noProof/>
              </w:rPr>
              <w:t>upravljanje istraživačkim, razvojnim i in</w:t>
            </w:r>
            <w:r>
              <w:rPr>
                <w:noProof/>
              </w:rPr>
              <w:t xml:space="preserve">ovacijskim sustavom; </w:t>
            </w:r>
          </w:p>
          <w:p w14:paraId="38D920B0" w14:textId="77777777" w:rsidR="003F46B9" w:rsidRDefault="0065662E">
            <w:pPr>
              <w:pStyle w:val="P68B1DB1-ListParagraph13"/>
              <w:numPr>
                <w:ilvl w:val="0"/>
                <w:numId w:val="78"/>
              </w:numPr>
              <w:spacing w:after="0" w:line="240" w:lineRule="auto"/>
              <w:jc w:val="both"/>
              <w:rPr>
                <w:rFonts w:cs="Times New Roman"/>
                <w:noProof/>
              </w:rPr>
            </w:pPr>
            <w:r>
              <w:rPr>
                <w:noProof/>
              </w:rPr>
              <w:t xml:space="preserve">okvirni uvjeti za javno istraživanje, ljudske resurse za istraživanje i inovacije; </w:t>
            </w:r>
          </w:p>
          <w:p w14:paraId="7CC7D906" w14:textId="4C7CCC11" w:rsidR="003F46B9" w:rsidRDefault="0065662E">
            <w:pPr>
              <w:pStyle w:val="P68B1DB1-ListParagraph13"/>
              <w:numPr>
                <w:ilvl w:val="0"/>
                <w:numId w:val="78"/>
              </w:numPr>
              <w:spacing w:after="0" w:line="240" w:lineRule="auto"/>
              <w:jc w:val="both"/>
              <w:rPr>
                <w:rFonts w:cs="Times New Roman"/>
                <w:noProof/>
              </w:rPr>
            </w:pPr>
            <w:r>
              <w:rPr>
                <w:noProof/>
              </w:rPr>
              <w:t xml:space="preserve">Internacionalizacija organizacija za istraživanje, razvoj i inovacije; </w:t>
            </w:r>
          </w:p>
          <w:p w14:paraId="19DDBA43" w14:textId="77777777" w:rsidR="003F46B9" w:rsidRDefault="0065662E">
            <w:pPr>
              <w:pStyle w:val="P68B1DB1-ListParagraph13"/>
              <w:numPr>
                <w:ilvl w:val="0"/>
                <w:numId w:val="78"/>
              </w:numPr>
              <w:spacing w:after="0" w:line="240" w:lineRule="auto"/>
              <w:jc w:val="both"/>
              <w:rPr>
                <w:rFonts w:cs="Times New Roman"/>
                <w:noProof/>
              </w:rPr>
            </w:pPr>
            <w:r>
              <w:rPr>
                <w:noProof/>
              </w:rPr>
              <w:t xml:space="preserve">javno-privatna partnerstva u području istraživanja, razvoja i inovacija; </w:t>
            </w:r>
          </w:p>
          <w:p w14:paraId="6A3F5236" w14:textId="77777777" w:rsidR="003F46B9" w:rsidRDefault="0065662E">
            <w:pPr>
              <w:pStyle w:val="P68B1DB1-ListParagraph13"/>
              <w:numPr>
                <w:ilvl w:val="0"/>
                <w:numId w:val="78"/>
              </w:numPr>
              <w:spacing w:after="0" w:line="240" w:lineRule="auto"/>
              <w:jc w:val="both"/>
              <w:rPr>
                <w:rFonts w:cs="Times New Roman"/>
                <w:noProof/>
              </w:rPr>
            </w:pPr>
            <w:r>
              <w:rPr>
                <w:noProof/>
              </w:rPr>
              <w:t>učin</w:t>
            </w:r>
            <w:r>
              <w:rPr>
                <w:noProof/>
              </w:rPr>
              <w:t xml:space="preserve">ak strukturnih fondova na sustav istraživanja, razvoja i inovacija. </w:t>
            </w:r>
          </w:p>
          <w:p w14:paraId="1A41D276" w14:textId="77777777" w:rsidR="003F46B9" w:rsidRDefault="0065662E">
            <w:pPr>
              <w:pStyle w:val="P68B1DB1-Normal5"/>
              <w:spacing w:after="0" w:line="240" w:lineRule="auto"/>
              <w:jc w:val="both"/>
              <w:rPr>
                <w:rFonts w:cs="Times New Roman"/>
                <w:noProof/>
              </w:rPr>
            </w:pPr>
            <w:r>
              <w:rPr>
                <w:noProof/>
              </w:rPr>
              <w:t>Odjel je operativan u razdoblju 2021. – 2026. i sastoji se od 17 zaposlenika u ekvivalentu punog radnog vremena.</w:t>
            </w:r>
          </w:p>
        </w:tc>
      </w:tr>
      <w:tr w:rsidR="003F46B9" w14:paraId="4E4112B9"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E92192B" w14:textId="77777777" w:rsidR="003F46B9" w:rsidRDefault="0065662E">
            <w:pPr>
              <w:pStyle w:val="P68B1DB1-Normal5"/>
              <w:spacing w:after="0" w:line="240" w:lineRule="auto"/>
              <w:jc w:val="center"/>
              <w:rPr>
                <w:rFonts w:cs="Times New Roman"/>
                <w:noProof/>
              </w:rPr>
            </w:pPr>
            <w:r>
              <w:rPr>
                <w:noProof/>
              </w:rPr>
              <w:t>271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5DC7B23" w14:textId="77777777" w:rsidR="003F46B9" w:rsidRDefault="0065662E">
            <w:pPr>
              <w:pStyle w:val="P68B1DB1-Normal5"/>
              <w:spacing w:after="0" w:line="240" w:lineRule="auto"/>
              <w:jc w:val="both"/>
              <w:rPr>
                <w:rFonts w:cs="Times New Roman"/>
                <w:noProof/>
              </w:rPr>
            </w:pPr>
            <w:r>
              <w:rPr>
                <w:noProof/>
              </w:rPr>
              <w:t xml:space="preserve">Reforma 2. Pojednostavnjenje upravljanja istraživanjem, razvojem i </w:t>
            </w:r>
            <w:r>
              <w:rPr>
                <w:noProof/>
              </w:rPr>
              <w:t>inovacijama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166CB280"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308A899" w14:textId="77777777" w:rsidR="003F46B9" w:rsidRDefault="0065662E">
            <w:pPr>
              <w:pStyle w:val="P68B1DB1-Normal5"/>
              <w:spacing w:after="0" w:line="240" w:lineRule="auto"/>
              <w:jc w:val="both"/>
              <w:rPr>
                <w:rFonts w:cs="Times New Roman"/>
                <w:noProof/>
              </w:rPr>
            </w:pPr>
            <w:r>
              <w:rPr>
                <w:noProof/>
              </w:rPr>
              <w:t>Udio preporuka u okviru instrumenta za političku potporu donesenih do kraja 2026.</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E38D617"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7A0865" w14:textId="77777777" w:rsidR="003F46B9" w:rsidRDefault="0065662E">
            <w:pPr>
              <w:pStyle w:val="P68B1DB1-Normal5"/>
              <w:spacing w:after="0" w:line="240" w:lineRule="auto"/>
              <w:rPr>
                <w:rFonts w:eastAsia="Times New Roman" w:cs="Times New Roman"/>
                <w:noProof/>
              </w:rPr>
            </w:pPr>
            <w:r>
              <w:rPr>
                <w:noProof/>
              </w:rPr>
              <w:t>Postotak (%)</w:t>
            </w:r>
          </w:p>
          <w:p w14:paraId="75A0F4F0"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AE18AC2"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994F9C8" w14:textId="77777777" w:rsidR="003F46B9" w:rsidRDefault="0065662E">
            <w:pPr>
              <w:pStyle w:val="P68B1DB1-Normal5"/>
              <w:spacing w:after="0" w:line="240" w:lineRule="auto"/>
              <w:jc w:val="both"/>
              <w:rPr>
                <w:rFonts w:cs="Times New Roman"/>
                <w:noProof/>
              </w:rPr>
            </w:pPr>
            <w:r>
              <w:rPr>
                <w:noProof/>
              </w:rPr>
              <w:t>80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33F6E88"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1380416F"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A5AF3A0" w14:textId="77777777" w:rsidR="003F46B9" w:rsidRDefault="0065662E">
            <w:pPr>
              <w:pStyle w:val="P68B1DB1-Normal5"/>
              <w:spacing w:after="0" w:line="240" w:lineRule="auto"/>
              <w:jc w:val="both"/>
              <w:rPr>
                <w:rFonts w:cs="Times New Roman"/>
                <w:noProof/>
              </w:rPr>
            </w:pPr>
            <w:r>
              <w:rPr>
                <w:noProof/>
              </w:rPr>
              <w:t xml:space="preserve">Rumunjska provodi preporuke detaljno opisane u predstojećem stručnom pregledu instrumenta za političku potporu, </w:t>
            </w:r>
            <w:r>
              <w:rPr>
                <w:noProof/>
              </w:rPr>
              <w:t>poštujući redoslijed i određivanje prioriteta koji će se predložiti u okviru instrumenta za političku potporu uspostavljenog u skladu s ključnim etapama 270.</w:t>
            </w:r>
          </w:p>
        </w:tc>
      </w:tr>
      <w:tr w:rsidR="003F46B9" w14:paraId="49E0C76F"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317815A1" w14:textId="77777777" w:rsidR="003F46B9" w:rsidRDefault="0065662E">
            <w:pPr>
              <w:pStyle w:val="P68B1DB1-Normal5"/>
              <w:spacing w:after="0" w:line="240" w:lineRule="auto"/>
              <w:jc w:val="center"/>
              <w:rPr>
                <w:rFonts w:cs="Times New Roman"/>
                <w:noProof/>
              </w:rPr>
            </w:pPr>
            <w:r>
              <w:rPr>
                <w:noProof/>
              </w:rPr>
              <w:t>272</w:t>
            </w:r>
          </w:p>
          <w:p w14:paraId="66E293D5" w14:textId="77777777" w:rsidR="003F46B9" w:rsidRDefault="003F46B9">
            <w:pPr>
              <w:spacing w:after="0" w:line="240" w:lineRule="auto"/>
              <w:jc w:val="center"/>
              <w:rPr>
                <w:rFonts w:ascii="Times New Roman" w:hAnsi="Times New Roman" w:cs="Times New Roman"/>
                <w:noProof/>
                <w:sz w:val="24"/>
              </w:rPr>
            </w:pP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1D4E441F" w14:textId="77777777" w:rsidR="003F46B9" w:rsidRDefault="0065662E">
            <w:pPr>
              <w:pStyle w:val="P68B1DB1-Normal5"/>
              <w:spacing w:after="0" w:line="240" w:lineRule="auto"/>
              <w:jc w:val="both"/>
              <w:rPr>
                <w:rFonts w:cs="Times New Roman"/>
                <w:noProof/>
              </w:rPr>
            </w:pPr>
            <w:r>
              <w:rPr>
                <w:noProof/>
              </w:rPr>
              <w:t>Reforma 2. Pojednostavnjenje upravljanja istraživanjem, razvojem i inovacijama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E9828C2"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E608FF8" w14:textId="77777777" w:rsidR="003F46B9" w:rsidRDefault="0065662E">
            <w:pPr>
              <w:pStyle w:val="P68B1DB1-Normal5"/>
              <w:spacing w:after="0" w:line="240" w:lineRule="auto"/>
              <w:jc w:val="both"/>
              <w:rPr>
                <w:rFonts w:cs="Times New Roman"/>
                <w:noProof/>
              </w:rPr>
            </w:pPr>
            <w:r>
              <w:rPr>
                <w:noProof/>
              </w:rPr>
              <w:t>Stupanje na snagu trajnog sustava za oblikovanje, provedbu, praćenje i evaluaciju politike istraživanja, razvoja i inovacija</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297FC961" w14:textId="77777777" w:rsidR="003F46B9" w:rsidRDefault="0065662E">
            <w:pPr>
              <w:pStyle w:val="P68B1DB1-Normal5"/>
              <w:spacing w:after="0" w:line="240" w:lineRule="auto"/>
              <w:jc w:val="both"/>
              <w:rPr>
                <w:rFonts w:cs="Times New Roman"/>
                <w:noProof/>
              </w:rPr>
            </w:pPr>
            <w:r>
              <w:rPr>
                <w:noProof/>
              </w:rPr>
              <w:t>Zakonodavni akt u kojem se navodi stupanje na snagu trajnog sustava kojim se osmišljava, provodi, prati i ocjenjuje politika istraž</w:t>
            </w:r>
            <w:r>
              <w:rPr>
                <w:noProof/>
              </w:rPr>
              <w:t>ivanja, razvoja i inovacija</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65D4F21"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4B16400" w14:textId="77777777" w:rsidR="003F46B9" w:rsidRDefault="003F46B9">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4564AFD" w14:textId="77777777" w:rsidR="003F46B9" w:rsidRDefault="003F46B9">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D879077"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4BE2D26"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1ED6F7D4" w14:textId="77777777" w:rsidR="003F46B9" w:rsidRDefault="0065662E">
            <w:pPr>
              <w:pStyle w:val="P68B1DB1-Normal5"/>
              <w:spacing w:after="0" w:line="240" w:lineRule="auto"/>
              <w:jc w:val="both"/>
              <w:rPr>
                <w:rFonts w:cs="Times New Roman"/>
                <w:noProof/>
              </w:rPr>
            </w:pPr>
            <w:r>
              <w:rPr>
                <w:noProof/>
              </w:rPr>
              <w:t>Rumunjska uspostavlja trajni sustav kojim se osigurava usklađeno osmišljavanje i provedba, praćenje i evaluacija politike istraživanja, razvoja i inovacija u ministarstvima i agencijama izvan vremenskog okvir</w:t>
            </w:r>
            <w:r>
              <w:rPr>
                <w:noProof/>
              </w:rPr>
              <w:t>a Mehanizma za oporavak i otpornost, na temelju preporuka iz Instrumenta za političku potporu za razdoblje 2021. 2022.</w:t>
            </w:r>
          </w:p>
          <w:p w14:paraId="37EE3E82" w14:textId="77777777" w:rsidR="003F46B9" w:rsidRDefault="003F46B9">
            <w:pPr>
              <w:spacing w:after="0" w:line="240" w:lineRule="auto"/>
              <w:jc w:val="both"/>
              <w:rPr>
                <w:rFonts w:ascii="Times New Roman" w:hAnsi="Times New Roman" w:cs="Times New Roman"/>
                <w:noProof/>
                <w:sz w:val="24"/>
              </w:rPr>
            </w:pPr>
          </w:p>
        </w:tc>
      </w:tr>
      <w:tr w:rsidR="003F46B9" w14:paraId="266A3E5C"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F4FCEBB" w14:textId="77777777" w:rsidR="003F46B9" w:rsidRDefault="0065662E">
            <w:pPr>
              <w:pStyle w:val="P68B1DB1-Normal5"/>
              <w:spacing w:after="0" w:line="240" w:lineRule="auto"/>
              <w:jc w:val="center"/>
              <w:rPr>
                <w:rFonts w:cs="Times New Roman"/>
                <w:noProof/>
              </w:rPr>
            </w:pPr>
            <w:r>
              <w:rPr>
                <w:noProof/>
              </w:rPr>
              <w:t>273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BABADE" w14:textId="77777777" w:rsidR="003F46B9" w:rsidRDefault="0065662E">
            <w:pPr>
              <w:pStyle w:val="P68B1DB1-Normal5"/>
              <w:spacing w:after="0" w:line="240" w:lineRule="auto"/>
              <w:jc w:val="both"/>
              <w:rPr>
                <w:rFonts w:cs="Times New Roman"/>
                <w:noProof/>
              </w:rPr>
            </w:pPr>
            <w:r>
              <w:rPr>
                <w:noProof/>
              </w:rPr>
              <w:t>Reforma 2. Pojednostavnjenje upravljanja istraživanjem, razvojem i inovacijama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D9FB5CE"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0E93E7" w14:textId="1C7BAF79" w:rsidR="003F46B9" w:rsidRDefault="0065662E">
            <w:pPr>
              <w:pStyle w:val="P68B1DB1-Normal5"/>
              <w:spacing w:after="0" w:line="240" w:lineRule="auto"/>
              <w:jc w:val="both"/>
              <w:rPr>
                <w:rFonts w:cs="Times New Roman"/>
                <w:noProof/>
              </w:rPr>
            </w:pPr>
            <w:r>
              <w:rPr>
                <w:noProof/>
              </w:rPr>
              <w:t>Stupanje na snagu vladinog pravilnika o osnivanju jedinstvenog tijela koje obuhvaća postojeća vijeća, osigurava koordinaciju među ministarstvima i dopire do privatnog sektora</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14CC656" w14:textId="4A96D575" w:rsidR="003F46B9" w:rsidRDefault="0065662E">
            <w:pPr>
              <w:pStyle w:val="P68B1DB1-Normal5"/>
              <w:spacing w:after="0" w:line="240" w:lineRule="auto"/>
              <w:jc w:val="both"/>
              <w:rPr>
                <w:rFonts w:cs="Times New Roman"/>
                <w:noProof/>
              </w:rPr>
            </w:pPr>
            <w:r>
              <w:rPr>
                <w:noProof/>
              </w:rPr>
              <w:t>Odredba vladinog pravilnika u kojoj se navodi stupanje na snagu zakonodavstva o o</w:t>
            </w:r>
            <w:r>
              <w:rPr>
                <w:noProof/>
              </w:rPr>
              <w:t xml:space="preserve">snivanju jedinstvenog tijela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7961744E"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AB7D4D7" w14:textId="77777777" w:rsidR="003F46B9" w:rsidRDefault="003F46B9">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696D0EE6" w14:textId="77777777" w:rsidR="003F46B9" w:rsidRDefault="003F46B9">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7E182BF"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1619029"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6E44644" w14:textId="77777777" w:rsidR="003F46B9" w:rsidRDefault="0065662E">
            <w:pPr>
              <w:pStyle w:val="P68B1DB1-Normal5"/>
              <w:spacing w:after="0" w:line="240" w:lineRule="auto"/>
              <w:jc w:val="both"/>
              <w:rPr>
                <w:rFonts w:cs="Times New Roman"/>
                <w:noProof/>
              </w:rPr>
            </w:pPr>
            <w:r>
              <w:rPr>
                <w:noProof/>
              </w:rPr>
              <w:t>Regulatornim izmjenama (tj. u Vladinoj uredbi br. 57/2002) omogućuje se osnivanje novog tijela s ulogom odlučivanja usmjerenom na politike istraživanja, razvoja i inovacija te pametne specijalizacije, na dr</w:t>
            </w:r>
            <w:r>
              <w:rPr>
                <w:noProof/>
              </w:rPr>
              <w:t xml:space="preserve">žavnoj razini s nadležnim ministarstvima. </w:t>
            </w:r>
          </w:p>
          <w:p w14:paraId="0E688296" w14:textId="77777777" w:rsidR="003F46B9" w:rsidRDefault="0065662E">
            <w:pPr>
              <w:pStyle w:val="P68B1DB1-Normal5"/>
              <w:spacing w:after="0" w:line="240" w:lineRule="auto"/>
              <w:jc w:val="both"/>
              <w:rPr>
                <w:rFonts w:cs="Times New Roman"/>
                <w:noProof/>
              </w:rPr>
            </w:pPr>
            <w:r>
              <w:rPr>
                <w:noProof/>
              </w:rPr>
              <w:t>To tijelo obuhvaća koordinaciju istraživačkih, razvojnih i inovacijskih aktivnosti (uključujući inovacije i poduzetništvo potaknute istraživanjem) na nacionalnoj razini i osmišljeno je u skladu s preporukama Instr</w:t>
            </w:r>
            <w:r>
              <w:rPr>
                <w:noProof/>
              </w:rPr>
              <w:t xml:space="preserve">umenta za političku podršku za istraživanje, razvoj i inovacije za razdoblje 2021. 2022. </w:t>
            </w:r>
          </w:p>
          <w:p w14:paraId="5A666CD6" w14:textId="77777777" w:rsidR="003F46B9" w:rsidRDefault="0065662E">
            <w:pPr>
              <w:pStyle w:val="P68B1DB1-Normal5"/>
              <w:spacing w:after="0" w:line="240" w:lineRule="auto"/>
              <w:jc w:val="both"/>
              <w:rPr>
                <w:rFonts w:cs="Times New Roman"/>
                <w:noProof/>
              </w:rPr>
            </w:pPr>
            <w:r>
              <w:rPr>
                <w:noProof/>
              </w:rPr>
              <w:t xml:space="preserve">Tajništvo tog tijela osigurava Ministarstvo istraživanja, inovacija i digitalizacije. </w:t>
            </w:r>
          </w:p>
        </w:tc>
      </w:tr>
      <w:tr w:rsidR="003F46B9" w14:paraId="17B971FD"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4E7297C" w14:textId="77777777" w:rsidR="003F46B9" w:rsidRDefault="0065662E">
            <w:pPr>
              <w:pStyle w:val="P68B1DB1-Normal5"/>
              <w:spacing w:after="0" w:line="240" w:lineRule="auto"/>
              <w:jc w:val="center"/>
              <w:rPr>
                <w:rFonts w:cs="Times New Roman"/>
                <w:noProof/>
              </w:rPr>
            </w:pPr>
            <w:r>
              <w:rPr>
                <w:noProof/>
              </w:rPr>
              <w:t>274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32F60A0" w14:textId="77777777" w:rsidR="003F46B9" w:rsidRDefault="0065662E">
            <w:pPr>
              <w:pStyle w:val="P68B1DB1-Normal5"/>
              <w:spacing w:after="0" w:line="240" w:lineRule="auto"/>
              <w:jc w:val="both"/>
              <w:rPr>
                <w:rFonts w:cs="Times New Roman"/>
                <w:noProof/>
              </w:rPr>
            </w:pPr>
            <w:r>
              <w:rPr>
                <w:noProof/>
              </w:rPr>
              <w:t>Reforma 3. Reforma istraživačke karijere</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B9AA728"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470B5284" w14:textId="77777777" w:rsidR="003F46B9" w:rsidRDefault="0065662E">
            <w:pPr>
              <w:pStyle w:val="P68B1DB1-Normal5"/>
              <w:spacing w:after="0" w:line="240" w:lineRule="auto"/>
              <w:jc w:val="both"/>
              <w:rPr>
                <w:rFonts w:cs="Times New Roman"/>
                <w:noProof/>
              </w:rPr>
            </w:pPr>
            <w:r>
              <w:rPr>
                <w:noProof/>
              </w:rPr>
              <w:t xml:space="preserve">Stupanje na snagu zakonodavstva o karijeri i statusu istraživača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8697982" w14:textId="77777777" w:rsidR="003F46B9" w:rsidRDefault="0065662E">
            <w:pPr>
              <w:pStyle w:val="P68B1DB1-Normal5"/>
              <w:spacing w:after="0" w:line="240" w:lineRule="auto"/>
              <w:jc w:val="both"/>
              <w:rPr>
                <w:rFonts w:cs="Times New Roman"/>
                <w:noProof/>
              </w:rPr>
            </w:pPr>
            <w:r>
              <w:rPr>
                <w:noProof/>
              </w:rPr>
              <w:t>Zakonska odredba o stupanju na snagu zakonodavstva o karijeri i statusu istraživača</w:t>
            </w:r>
          </w:p>
          <w:p w14:paraId="216724C1" w14:textId="77777777" w:rsidR="003F46B9" w:rsidRDefault="003F46B9">
            <w:pPr>
              <w:spacing w:after="0" w:line="240" w:lineRule="auto"/>
              <w:jc w:val="both"/>
              <w:rPr>
                <w:rFonts w:ascii="Times New Roman" w:hAnsi="Times New Roman" w:cs="Times New Roman"/>
                <w:noProof/>
                <w:sz w:val="24"/>
              </w:rPr>
            </w:pPr>
          </w:p>
          <w:p w14:paraId="0CF9C041"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45143AB" w14:textId="77777777" w:rsidR="003F46B9" w:rsidRDefault="0065662E">
            <w:pPr>
              <w:pStyle w:val="P68B1DB1-Normal5"/>
              <w:spacing w:after="0" w:line="240" w:lineRule="auto"/>
              <w:jc w:val="both"/>
              <w:rPr>
                <w:rFonts w:cs="Times New Roman"/>
                <w:noProof/>
              </w:rPr>
            </w:pPr>
            <w:r>
              <w:rPr>
                <w:noProof/>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C9DF0F5" w14:textId="77777777" w:rsidR="003F46B9" w:rsidRDefault="0065662E">
            <w:pPr>
              <w:pStyle w:val="P68B1DB1-Normal5"/>
              <w:spacing w:after="0" w:line="240" w:lineRule="auto"/>
              <w:jc w:val="both"/>
              <w:rPr>
                <w:rFonts w:cs="Times New Roman"/>
                <w:noProof/>
              </w:rPr>
            </w:pPr>
            <w:r>
              <w:rPr>
                <w:noProof/>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231A7D0" w14:textId="77777777" w:rsidR="003F46B9" w:rsidRDefault="0065662E">
            <w:pPr>
              <w:pStyle w:val="P68B1DB1-Normal5"/>
              <w:spacing w:after="0" w:line="240" w:lineRule="auto"/>
              <w:jc w:val="both"/>
              <w:rPr>
                <w:rFonts w:cs="Times New Roman"/>
                <w:noProof/>
              </w:rPr>
            </w:pPr>
            <w:r>
              <w:rPr>
                <w:noProof/>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5FFDB55"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8E46FC"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4461C2C" w14:textId="77777777" w:rsidR="003F46B9" w:rsidRDefault="0065662E">
            <w:pPr>
              <w:pStyle w:val="P68B1DB1-Normal5"/>
              <w:spacing w:after="0" w:line="240" w:lineRule="auto"/>
              <w:jc w:val="both"/>
              <w:rPr>
                <w:rFonts w:cs="Times New Roman"/>
                <w:noProof/>
              </w:rPr>
            </w:pPr>
            <w:r>
              <w:rPr>
                <w:noProof/>
              </w:rPr>
              <w:t>U izmijenjenom Zakonu 319/2003 detaljno se navode ključni pokazatelji usp</w:t>
            </w:r>
            <w:r>
              <w:rPr>
                <w:noProof/>
              </w:rPr>
              <w:t>ješnosti (na temelju međunarodnih istraživačkih standarda) koji će se upotrebljavati za evaluaciju uspješnosti istraživača, a u izmijenjenom Zakonu 206/204 detaljno se navode standardi za „dobrog provođenja znanstvenih istraživanja”, a time i pristup finan</w:t>
            </w:r>
            <w:r>
              <w:rPr>
                <w:noProof/>
              </w:rPr>
              <w:t>ciranju i stipendijama.</w:t>
            </w:r>
          </w:p>
          <w:p w14:paraId="00B389BF" w14:textId="77777777" w:rsidR="003F46B9" w:rsidRDefault="0065662E">
            <w:pPr>
              <w:pStyle w:val="P68B1DB1-Normal5"/>
              <w:spacing w:after="0" w:line="240" w:lineRule="auto"/>
              <w:jc w:val="both"/>
              <w:rPr>
                <w:rFonts w:cs="Times New Roman"/>
                <w:noProof/>
              </w:rPr>
            </w:pPr>
            <w:r>
              <w:rPr>
                <w:noProof/>
              </w:rPr>
              <w:t xml:space="preserve">Cilj je novog zakonodavstva usklađivanje s najboljim europskim praksama, uključujući: </w:t>
            </w:r>
          </w:p>
          <w:p w14:paraId="02B81BFD" w14:textId="77777777" w:rsidR="003F46B9" w:rsidRDefault="0065662E">
            <w:pPr>
              <w:pStyle w:val="P68B1DB1-ListParagraph13"/>
              <w:numPr>
                <w:ilvl w:val="0"/>
                <w:numId w:val="79"/>
              </w:numPr>
              <w:spacing w:after="0" w:line="240" w:lineRule="auto"/>
              <w:jc w:val="both"/>
              <w:rPr>
                <w:rFonts w:cs="Times New Roman"/>
                <w:noProof/>
              </w:rPr>
            </w:pPr>
            <w:r>
              <w:rPr>
                <w:noProof/>
              </w:rPr>
              <w:t xml:space="preserve">promaknuće u istraživačkoj karijeri na temelju načela koja se temelje na zaslugama, </w:t>
            </w:r>
          </w:p>
          <w:p w14:paraId="6C1663D8" w14:textId="77777777" w:rsidR="003F46B9" w:rsidRDefault="0065662E">
            <w:pPr>
              <w:pStyle w:val="P68B1DB1-ListParagraph13"/>
              <w:numPr>
                <w:ilvl w:val="0"/>
                <w:numId w:val="79"/>
              </w:numPr>
              <w:spacing w:after="0" w:line="240" w:lineRule="auto"/>
              <w:jc w:val="both"/>
              <w:rPr>
                <w:rFonts w:cs="Times New Roman"/>
                <w:noProof/>
              </w:rPr>
            </w:pPr>
            <w:r>
              <w:rPr>
                <w:noProof/>
              </w:rPr>
              <w:t>zapošljavanje na temelju transparentnih, otvorenih i natjeca</w:t>
            </w:r>
            <w:r>
              <w:rPr>
                <w:noProof/>
              </w:rPr>
              <w:t xml:space="preserve">teljskih postupaka </w:t>
            </w:r>
          </w:p>
          <w:p w14:paraId="32013DE1" w14:textId="77777777" w:rsidR="003F46B9" w:rsidRDefault="0065662E">
            <w:pPr>
              <w:pStyle w:val="P68B1DB1-ListParagraph13"/>
              <w:numPr>
                <w:ilvl w:val="0"/>
                <w:numId w:val="79"/>
              </w:numPr>
              <w:spacing w:after="0" w:line="240" w:lineRule="auto"/>
              <w:jc w:val="both"/>
              <w:rPr>
                <w:rFonts w:cs="Times New Roman"/>
                <w:noProof/>
              </w:rPr>
            </w:pPr>
            <w:r>
              <w:rPr>
                <w:noProof/>
              </w:rPr>
              <w:t>dobre prakse u području etike i integriteta u znanstvenim istraživanjima.</w:t>
            </w:r>
          </w:p>
          <w:p w14:paraId="74AFBB53" w14:textId="77777777" w:rsidR="003F46B9" w:rsidRDefault="0065662E">
            <w:pPr>
              <w:pStyle w:val="P68B1DB1-Normal5"/>
              <w:spacing w:after="0" w:line="240" w:lineRule="auto"/>
              <w:jc w:val="both"/>
              <w:rPr>
                <w:rFonts w:cs="Times New Roman"/>
                <w:noProof/>
              </w:rPr>
            </w:pPr>
            <w:r>
              <w:rPr>
                <w:noProof/>
              </w:rPr>
              <w:t xml:space="preserve">Novo zakonodavstvo također uključuje okvir financijskih i nefinancijskih poticaja za poticanje provedbe Europske povelje za istraživače i Kodeksa o zapošljavanju </w:t>
            </w:r>
            <w:r>
              <w:rPr>
                <w:noProof/>
              </w:rPr>
              <w:t>istraživača u istraživačkim ustanovama. To se provodi posebno u kontekstu uvjeta prihvatljivosti za konkurentne pozive, kriterija ocjenjivanja organizacija, institucionalnog financiranja i u vezi s ključnim etapama 280 i 283.</w:t>
            </w:r>
          </w:p>
          <w:p w14:paraId="14B25026" w14:textId="77777777" w:rsidR="003F46B9" w:rsidRDefault="0065662E">
            <w:pPr>
              <w:pStyle w:val="P68B1DB1-Normal5"/>
              <w:spacing w:after="0" w:line="240" w:lineRule="auto"/>
              <w:jc w:val="both"/>
              <w:rPr>
                <w:rFonts w:cs="Times New Roman"/>
                <w:noProof/>
              </w:rPr>
            </w:pPr>
            <w:r>
              <w:rPr>
                <w:noProof/>
              </w:rPr>
              <w:t>U tim novim zakonodavnim postu</w:t>
            </w:r>
            <w:r>
              <w:rPr>
                <w:noProof/>
              </w:rPr>
              <w:t>pcima uzimaju se u obzir i preporuke iz PSF-a za program Obzor Europa za razdoblje 2021. – 2022.</w:t>
            </w:r>
          </w:p>
        </w:tc>
      </w:tr>
      <w:tr w:rsidR="003F46B9" w14:paraId="2FC4DAD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56A285" w14:textId="77777777" w:rsidR="003F46B9" w:rsidRDefault="0065662E">
            <w:pPr>
              <w:pStyle w:val="P68B1DB1-Normal5"/>
              <w:spacing w:after="0" w:line="240" w:lineRule="auto"/>
              <w:jc w:val="center"/>
              <w:rPr>
                <w:rFonts w:cs="Times New Roman"/>
                <w:noProof/>
              </w:rPr>
            </w:pPr>
            <w:r>
              <w:rPr>
                <w:noProof/>
              </w:rPr>
              <w:t>275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56A59737" w14:textId="77777777" w:rsidR="003F46B9" w:rsidRDefault="0065662E">
            <w:pPr>
              <w:pStyle w:val="P68B1DB1-Normal5"/>
              <w:spacing w:after="0" w:line="240" w:lineRule="auto"/>
              <w:jc w:val="both"/>
              <w:rPr>
                <w:rFonts w:cs="Times New Roman"/>
                <w:noProof/>
              </w:rPr>
            </w:pPr>
            <w:r>
              <w:rPr>
                <w:noProof/>
              </w:rPr>
              <w:t>Reforma 3. Reforma istraživačke karijere</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29A6FD16"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648023F" w14:textId="77777777" w:rsidR="003F46B9" w:rsidRDefault="0065662E">
            <w:pPr>
              <w:pStyle w:val="P68B1DB1-Normal5"/>
              <w:spacing w:after="0" w:line="240" w:lineRule="auto"/>
              <w:jc w:val="both"/>
              <w:rPr>
                <w:rFonts w:cs="Times New Roman"/>
                <w:noProof/>
              </w:rPr>
            </w:pPr>
            <w:r>
              <w:rPr>
                <w:noProof/>
              </w:rPr>
              <w:t xml:space="preserve">Institucije koje su se pridržavale Europske povelje za istraživače i Kodeksa o zapošljavanju istraživača pokrenule su postupak izrade, provedbe i procjene akcijskih planova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38AE8C8"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310F57B" w14:textId="77777777" w:rsidR="003F46B9" w:rsidRDefault="0065662E">
            <w:pPr>
              <w:pStyle w:val="P68B1DB1-Normal5"/>
              <w:spacing w:after="0" w:line="240" w:lineRule="auto"/>
              <w:jc w:val="both"/>
              <w:rPr>
                <w:rFonts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CA64BB2" w14:textId="77777777" w:rsidR="003F46B9" w:rsidRDefault="0065662E">
            <w:pPr>
              <w:pStyle w:val="P68B1DB1-Normal5"/>
              <w:spacing w:after="0" w:line="240" w:lineRule="auto"/>
              <w:jc w:val="both"/>
              <w:rPr>
                <w:rFonts w:cs="Times New Roman"/>
                <w:noProof/>
              </w:rPr>
            </w:pPr>
            <w:r>
              <w:rPr>
                <w:noProof/>
              </w:rPr>
              <w:t>5</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2B2C79A" w14:textId="77777777" w:rsidR="003F46B9" w:rsidRDefault="0065662E">
            <w:pPr>
              <w:pStyle w:val="P68B1DB1-Normal5"/>
              <w:spacing w:after="0" w:line="240" w:lineRule="auto"/>
              <w:jc w:val="both"/>
              <w:rPr>
                <w:rFonts w:cs="Times New Roman"/>
                <w:noProof/>
              </w:rPr>
            </w:pPr>
            <w:r>
              <w:rPr>
                <w:noProof/>
              </w:rPr>
              <w:t>16</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3FA033EA"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FF47118" w14:textId="77777777" w:rsidR="003F46B9" w:rsidRDefault="0065662E">
            <w:pPr>
              <w:pStyle w:val="P68B1DB1-Normal5"/>
              <w:spacing w:after="0" w:line="240" w:lineRule="auto"/>
              <w:jc w:val="center"/>
              <w:rPr>
                <w:rFonts w:cs="Times New Roman"/>
                <w:noProof/>
              </w:rPr>
            </w:pPr>
            <w:r>
              <w:rPr>
                <w:noProof/>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A3A4CC" w14:textId="77777777" w:rsidR="003F46B9" w:rsidRDefault="0065662E">
            <w:pPr>
              <w:pStyle w:val="P68B1DB1-Normal5"/>
              <w:spacing w:after="0" w:line="240" w:lineRule="auto"/>
              <w:jc w:val="both"/>
              <w:rPr>
                <w:rFonts w:cs="Times New Roman"/>
                <w:noProof/>
              </w:rPr>
            </w:pPr>
            <w:r>
              <w:rPr>
                <w:noProof/>
              </w:rPr>
              <w:t xml:space="preserve">Uz već pet postojećih institucija, devet </w:t>
            </w:r>
            <w:r>
              <w:rPr>
                <w:noProof/>
              </w:rPr>
              <w:t>drugih institucija koje su se pridržavale Europske povelje za istraživače i Kodeksa o zapošljavanju istraživača pokreće postupak osmišljavanja, provedbe i procjene akcijskih planova na temelju alata Europske komisije „Strategija ljudskih resursa za istraži</w:t>
            </w:r>
            <w:r>
              <w:rPr>
                <w:noProof/>
              </w:rPr>
              <w:t>vače” (HRS4R) kojim se poslodavcima i ulagačima pomaže u provedbi načela Povelje i Kodeksa u njihovim institucijama.</w:t>
            </w:r>
          </w:p>
          <w:p w14:paraId="23F60259" w14:textId="77777777" w:rsidR="003F46B9" w:rsidRDefault="0065662E">
            <w:pPr>
              <w:pStyle w:val="P68B1DB1-Normal5"/>
              <w:spacing w:after="0" w:line="240" w:lineRule="auto"/>
              <w:jc w:val="both"/>
              <w:rPr>
                <w:rFonts w:cs="Times New Roman"/>
                <w:noProof/>
              </w:rPr>
            </w:pPr>
            <w:r>
              <w:rPr>
                <w:noProof/>
              </w:rPr>
              <w:t xml:space="preserve">Do rujna 2021. 16 rumunjskih institucija pridržavalo se Europske povelje za istraživače i Kodeksa zapošljavanja istraživača, a samo je pet </w:t>
            </w:r>
            <w:r>
              <w:rPr>
                <w:noProof/>
              </w:rPr>
              <w:t xml:space="preserve">institucija pokrenulo postupak izrade, provedbe i procjene akcijskih planova. </w:t>
            </w:r>
          </w:p>
        </w:tc>
      </w:tr>
      <w:tr w:rsidR="003F46B9" w14:paraId="57DD6ACA"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E0B262B" w14:textId="77777777" w:rsidR="003F46B9" w:rsidRDefault="0065662E">
            <w:pPr>
              <w:pStyle w:val="P68B1DB1-Normal5"/>
              <w:spacing w:after="0" w:line="240" w:lineRule="auto"/>
              <w:jc w:val="center"/>
              <w:rPr>
                <w:rFonts w:cs="Times New Roman"/>
                <w:noProof/>
              </w:rPr>
            </w:pPr>
            <w:r>
              <w:rPr>
                <w:noProof/>
              </w:rPr>
              <w:t>276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CC419D5" w14:textId="77777777" w:rsidR="003F46B9" w:rsidRDefault="0065662E">
            <w:pPr>
              <w:pStyle w:val="P68B1DB1-Normal5"/>
              <w:spacing w:after="0" w:line="240" w:lineRule="auto"/>
              <w:jc w:val="both"/>
              <w:rPr>
                <w:rFonts w:cs="Times New Roman"/>
                <w:noProof/>
              </w:rPr>
            </w:pPr>
            <w:r>
              <w:rPr>
                <w:noProof/>
              </w:rPr>
              <w:t xml:space="preserve">Reforma 4. Jačanje suradnje između poduzeća i istraživanja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A1FF4E5"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702BA0E" w14:textId="77777777" w:rsidR="003F46B9" w:rsidRDefault="0065662E">
            <w:pPr>
              <w:pStyle w:val="P68B1DB1-Normal5"/>
              <w:spacing w:after="0" w:line="240" w:lineRule="auto"/>
              <w:jc w:val="both"/>
              <w:rPr>
                <w:rFonts w:cs="Times New Roman"/>
                <w:noProof/>
              </w:rPr>
            </w:pPr>
            <w:r>
              <w:rPr>
                <w:noProof/>
              </w:rPr>
              <w:t xml:space="preserve">Stupanje na snagu zakonodavnih izmjena za povoljno okruženje za javna i privatna ulaganja u </w:t>
            </w:r>
            <w:r>
              <w:rPr>
                <w:noProof/>
              </w:rPr>
              <w:t>istraživanje, razvoj i inovacije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EA85BCB" w14:textId="77777777" w:rsidR="003F46B9" w:rsidRDefault="0065662E">
            <w:pPr>
              <w:pStyle w:val="P68B1DB1-Normal5"/>
              <w:spacing w:after="0" w:line="240" w:lineRule="auto"/>
              <w:jc w:val="both"/>
              <w:rPr>
                <w:rFonts w:cs="Times New Roman"/>
                <w:noProof/>
              </w:rPr>
            </w:pPr>
            <w:r>
              <w:rPr>
                <w:noProof/>
              </w:rPr>
              <w:t>Odredba u zakonu u kojoj se navodi stupanje na snagu izmjena za pojednostavnjenje ulaganja u istraživanje, razvoj i inovacije</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BD630C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1319CDFC"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FFFFCE9"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A96519B"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3C594C7" w14:textId="77777777" w:rsidR="003F46B9" w:rsidRDefault="0065662E">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DE97EAA" w14:textId="77777777" w:rsidR="003F46B9" w:rsidRDefault="0065662E">
            <w:pPr>
              <w:pStyle w:val="P68B1DB1-Normal5"/>
              <w:spacing w:after="0" w:line="240" w:lineRule="auto"/>
              <w:jc w:val="both"/>
              <w:rPr>
                <w:rFonts w:cs="Times New Roman"/>
                <w:noProof/>
              </w:rPr>
            </w:pPr>
            <w:r>
              <w:rPr>
                <w:noProof/>
              </w:rPr>
              <w:t>Stupanje na snagu zakonodavnih izmjena kako bi se stvorilo povoljno okruže</w:t>
            </w:r>
            <w:r>
              <w:rPr>
                <w:noProof/>
              </w:rPr>
              <w:t xml:space="preserve">nje za javna i privatna ulaganja u istraživanje, razvoj i inovacije. Izmjenama se: </w:t>
            </w:r>
          </w:p>
          <w:p w14:paraId="01AD4103" w14:textId="4E3B5A31" w:rsidR="003F46B9" w:rsidRDefault="0065662E">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pojednostavniti i racionalizirati nacionalno zakonodavstvo povezano s ugovaranjem, financiranjem, praćenjem i evaluacijom programa u projektima istraživanja, razvoja i inov</w:t>
            </w:r>
            <w:r>
              <w:rPr>
                <w:noProof/>
              </w:rPr>
              <w:t>acija</w:t>
            </w:r>
          </w:p>
          <w:p w14:paraId="6EA3D04D" w14:textId="566509E2" w:rsidR="003F46B9" w:rsidRDefault="0065662E">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osigurati digitalizaciju svih postupaka povezanih s ugovaranjem, financiranjem, praćenjem i evaluacijom programa u području istraživanja, razvoja i inovacija</w:t>
            </w:r>
          </w:p>
          <w:p w14:paraId="1D7B0D5E" w14:textId="12854A99" w:rsidR="003F46B9" w:rsidRDefault="0065662E">
            <w:pPr>
              <w:pStyle w:val="P68B1DB1-Normal5"/>
              <w:numPr>
                <w:ilvl w:val="0"/>
                <w:numId w:val="70"/>
              </w:numPr>
              <w:spacing w:before="120" w:after="0" w:line="240" w:lineRule="auto"/>
              <w:ind w:left="315" w:hanging="300"/>
              <w:contextualSpacing/>
              <w:jc w:val="both"/>
              <w:rPr>
                <w:rFonts w:cs="Times New Roman"/>
                <w:noProof/>
              </w:rPr>
            </w:pPr>
            <w:r>
              <w:rPr>
                <w:noProof/>
              </w:rPr>
              <w:t>osigurati potpunu objavu svih rezultata projekata financiranih javnim sredstvima, osim proje</w:t>
            </w:r>
            <w:r>
              <w:rPr>
                <w:noProof/>
              </w:rPr>
              <w:t xml:space="preserve">kata povezanih sa sigurnošću i obranom </w:t>
            </w:r>
          </w:p>
          <w:p w14:paraId="14BC8F37" w14:textId="77777777" w:rsidR="003F46B9" w:rsidRDefault="0065662E">
            <w:pPr>
              <w:pStyle w:val="P68B1DB1-Normal5"/>
              <w:numPr>
                <w:ilvl w:val="0"/>
                <w:numId w:val="70"/>
              </w:numPr>
              <w:spacing w:before="120" w:after="0" w:line="240" w:lineRule="auto"/>
              <w:ind w:left="315" w:hanging="300"/>
              <w:contextualSpacing/>
              <w:jc w:val="both"/>
              <w:rPr>
                <w:rFonts w:cs="Times New Roman"/>
                <w:noProof/>
              </w:rPr>
            </w:pPr>
            <w:r>
              <w:rPr>
                <w:noProof/>
              </w:rPr>
              <w:t>osigurati da sve istraživačke i razvojne i inovacijske projekte vrijednosti veće od 500 000 EUR koji su javno financirani evaluiraju međunarodno priznati istraživači prije nego što ih odobri javni naručitelj, čime se</w:t>
            </w:r>
            <w:r>
              <w:rPr>
                <w:noProof/>
              </w:rPr>
              <w:t xml:space="preserve"> osigurava izbjegavanje sukoba interesa.</w:t>
            </w:r>
          </w:p>
          <w:p w14:paraId="20CEF013" w14:textId="77777777" w:rsidR="003F46B9" w:rsidRDefault="0065662E">
            <w:pPr>
              <w:pStyle w:val="P68B1DB1-Normal5"/>
              <w:numPr>
                <w:ilvl w:val="0"/>
                <w:numId w:val="70"/>
              </w:numPr>
              <w:spacing w:before="120" w:after="0" w:line="240" w:lineRule="auto"/>
              <w:ind w:left="315" w:hanging="300"/>
              <w:contextualSpacing/>
              <w:jc w:val="both"/>
              <w:rPr>
                <w:rFonts w:eastAsia="Times New Roman" w:cs="Times New Roman"/>
                <w:noProof/>
              </w:rPr>
            </w:pPr>
            <w:r>
              <w:rPr>
                <w:noProof/>
              </w:rPr>
              <w:t>osigurati da međunarodno priznati istraživači (kao dio upravljačkih odbora projekata) prije odobrenja javnog naručitelja kritički pregledaju rezultate odabranih istraživačkih projekata vrijednosti veće od 500 000 EU</w:t>
            </w:r>
            <w:r>
              <w:rPr>
                <w:noProof/>
              </w:rPr>
              <w:t>R, čime se osigurava izbjegavanje sukoba interesa. Javna saslušanja organiziraju se za srednjoročnu evaluaciju istraživačkih, razvojnih i inovacijskih projekata. Pregledi evaluacije šalju se konzorciju projekata u skladu s praksama programa Obzor Europa.</w:t>
            </w:r>
          </w:p>
          <w:p w14:paraId="3DDCBA21" w14:textId="77777777" w:rsidR="003F46B9" w:rsidRDefault="0065662E">
            <w:pPr>
              <w:pStyle w:val="P68B1DB1-Normal5"/>
              <w:numPr>
                <w:ilvl w:val="0"/>
                <w:numId w:val="70"/>
              </w:numPr>
              <w:spacing w:before="120" w:after="0" w:line="240" w:lineRule="auto"/>
              <w:ind w:left="315" w:hanging="300"/>
              <w:contextualSpacing/>
              <w:jc w:val="both"/>
              <w:rPr>
                <w:rFonts w:cs="Times New Roman"/>
                <w:noProof/>
              </w:rPr>
            </w:pPr>
            <w:r>
              <w:rPr>
                <w:noProof/>
              </w:rPr>
              <w:t>N</w:t>
            </w:r>
            <w:r>
              <w:rPr>
                <w:noProof/>
              </w:rPr>
              <w:t xml:space="preserve">ovom strategijom za istraživanje, inovacije i pametnu specijalizaciju osigurava se veće sudjelovanje poduzeća u projektima istraživanja, razvoja i inovacija koji se financiraju javnim sredstvima kako bi se poduprla integracija rumunjskog poslovnog sektora </w:t>
            </w:r>
            <w:r>
              <w:rPr>
                <w:noProof/>
              </w:rPr>
              <w:t>u strateške europske lance vrijednosti davanjem prednosti uključivanju MSP-ova i novoosnovanih poduzeća u tim područjima i kako je navedeno u „Rumunjskoj poduzetničkoj strategiji” (koju donosi Ministarstvo gospodarstva).</w:t>
            </w:r>
          </w:p>
        </w:tc>
      </w:tr>
      <w:tr w:rsidR="003F46B9" w14:paraId="5CD8109B"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56A950" w14:textId="77777777" w:rsidR="003F46B9" w:rsidRDefault="0065662E">
            <w:pPr>
              <w:pStyle w:val="P68B1DB1-Normal5"/>
              <w:spacing w:after="0" w:line="240" w:lineRule="auto"/>
              <w:jc w:val="center"/>
              <w:rPr>
                <w:rFonts w:cs="Times New Roman"/>
                <w:noProof/>
              </w:rPr>
            </w:pPr>
            <w:r>
              <w:rPr>
                <w:noProof/>
              </w:rPr>
              <w:t>277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BAA4B69" w14:textId="77777777" w:rsidR="003F46B9" w:rsidRDefault="0065662E">
            <w:pPr>
              <w:pStyle w:val="P68B1DB1-Normal5"/>
              <w:spacing w:after="0" w:line="240" w:lineRule="auto"/>
              <w:jc w:val="both"/>
              <w:rPr>
                <w:rFonts w:cs="Times New Roman"/>
                <w:noProof/>
              </w:rPr>
            </w:pPr>
            <w:r>
              <w:rPr>
                <w:noProof/>
              </w:rPr>
              <w:t xml:space="preserve">Reforma 4. Jačanje suradnje </w:t>
            </w:r>
            <w:r>
              <w:rPr>
                <w:noProof/>
              </w:rPr>
              <w:t>između poduzeća i istraživanja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F1BE3D1"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FFBFAF" w14:textId="6CA50049" w:rsidR="003F46B9" w:rsidRDefault="0065662E">
            <w:pPr>
              <w:pStyle w:val="P68B1DB1-Normal5"/>
              <w:spacing w:after="0" w:line="240" w:lineRule="auto"/>
              <w:jc w:val="both"/>
              <w:rPr>
                <w:rFonts w:cs="Times New Roman"/>
                <w:noProof/>
              </w:rPr>
            </w:pPr>
            <w:r>
              <w:rPr>
                <w:noProof/>
              </w:rPr>
              <w:t xml:space="preserve">40 % javno financiranih istraživačkih, razvojnih i inovacijskih projekata ima najmanje jedan poslovni subjekt uključen kao partner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D699908" w14:textId="77777777" w:rsidR="003F46B9" w:rsidRDefault="0065662E">
            <w:pPr>
              <w:pStyle w:val="P68B1DB1-Normal5"/>
              <w:spacing w:after="0" w:line="240" w:lineRule="auto"/>
              <w:jc w:val="both"/>
              <w:rPr>
                <w:rFonts w:cs="Times New Roman"/>
                <w:noProof/>
              </w:rPr>
            </w:pPr>
            <w:r>
              <w:rPr>
                <w:noProof/>
              </w:rPr>
              <w:t xml:space="preserve">Postotak projekata s najmanje jednim partnerom iz poslovnog sektora koje financiraju Ministarstvo istraživanja, digitalizacije i inovacija i njegove agencije.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7209681" w14:textId="77777777" w:rsidR="003F46B9" w:rsidRDefault="0065662E">
            <w:pPr>
              <w:pStyle w:val="P68B1DB1-Normal5"/>
              <w:spacing w:after="0" w:line="240" w:lineRule="auto"/>
              <w:rPr>
                <w:rFonts w:eastAsia="Times New Roman" w:cs="Times New Roman"/>
                <w:noProof/>
              </w:rPr>
            </w:pPr>
            <w:r>
              <w:rPr>
                <w:noProof/>
              </w:rPr>
              <w:t>Postotak (%)</w:t>
            </w:r>
          </w:p>
          <w:p w14:paraId="683AC175"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11C833E"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DE39DEB"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2E0349"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40C2DD"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F806CBA" w14:textId="77777777" w:rsidR="003F46B9" w:rsidRDefault="0065662E">
            <w:pPr>
              <w:pStyle w:val="P68B1DB1-Normal5"/>
              <w:spacing w:after="0" w:line="240" w:lineRule="auto"/>
              <w:jc w:val="both"/>
              <w:rPr>
                <w:rFonts w:cs="Times New Roman"/>
                <w:noProof/>
              </w:rPr>
            </w:pPr>
            <w:r>
              <w:rPr>
                <w:noProof/>
              </w:rPr>
              <w:t>40 % javno financiranih istraživačkih, razvojnih i inovacijskih</w:t>
            </w:r>
            <w:r>
              <w:rPr>
                <w:noProof/>
              </w:rPr>
              <w:t xml:space="preserve"> projekata ima najmanje jedan poslovni subjekt koji je aktivan, uključujući MSP-ove i novoosnovana poduzeća, kao partner u projektima koje financiraju Ministarstvo istraživanja, digitalizacije i inovacija i njegove agencije. </w:t>
            </w:r>
          </w:p>
        </w:tc>
      </w:tr>
      <w:tr w:rsidR="003F46B9" w14:paraId="10FD691E"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801FFDE" w14:textId="77777777" w:rsidR="003F46B9" w:rsidRDefault="0065662E">
            <w:pPr>
              <w:pStyle w:val="P68B1DB1-Normal5"/>
              <w:spacing w:after="0" w:line="240" w:lineRule="auto"/>
              <w:jc w:val="center"/>
              <w:rPr>
                <w:rFonts w:cs="Times New Roman"/>
                <w:noProof/>
              </w:rPr>
            </w:pPr>
            <w:r>
              <w:rPr>
                <w:noProof/>
              </w:rPr>
              <w:t>278</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FC1E7A1" w14:textId="77777777" w:rsidR="003F46B9" w:rsidRDefault="0065662E">
            <w:pPr>
              <w:pStyle w:val="P68B1DB1-Normal5"/>
              <w:spacing w:after="0" w:line="240" w:lineRule="auto"/>
              <w:jc w:val="both"/>
              <w:rPr>
                <w:rFonts w:cs="Times New Roman"/>
                <w:noProof/>
              </w:rPr>
            </w:pPr>
            <w:r>
              <w:rPr>
                <w:noProof/>
              </w:rPr>
              <w:t>Reforma 5. Potpora integraciji organizacija za istraživanje, razvoj i inovacije u Rumunjskoj u europski istraživački prostor</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CDFC841"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0124B5D" w14:textId="77777777" w:rsidR="003F46B9" w:rsidRDefault="0065662E">
            <w:pPr>
              <w:pStyle w:val="P68B1DB1-Normal5"/>
              <w:spacing w:after="0" w:line="240" w:lineRule="auto"/>
              <w:jc w:val="both"/>
              <w:rPr>
                <w:rFonts w:cs="Times New Roman"/>
                <w:noProof/>
              </w:rPr>
            </w:pPr>
            <w:r>
              <w:rPr>
                <w:noProof/>
              </w:rPr>
              <w:t xml:space="preserve">Stupanje na snagu zakona potiče, olakšava i uređuje dobrovoljnu i funkcionalnu integraciju i spajanje istraživačkih </w:t>
            </w:r>
            <w:r>
              <w:rPr>
                <w:noProof/>
              </w:rPr>
              <w:t>ustanova u Rumunjskoj</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E22241" w14:textId="77777777" w:rsidR="003F46B9" w:rsidRDefault="0065662E">
            <w:pPr>
              <w:pStyle w:val="P68B1DB1-Normal5"/>
              <w:spacing w:after="0" w:line="240" w:lineRule="auto"/>
              <w:jc w:val="both"/>
              <w:rPr>
                <w:rFonts w:cs="Times New Roman"/>
                <w:noProof/>
              </w:rPr>
            </w:pPr>
            <w:r>
              <w:rPr>
                <w:noProof/>
              </w:rPr>
              <w:t>Odredba u zakonu u kojoj se navodi stupanje na snagu zakona za</w:t>
            </w:r>
          </w:p>
          <w:p w14:paraId="6648C7A4" w14:textId="77777777" w:rsidR="003F46B9" w:rsidRDefault="0065662E">
            <w:pPr>
              <w:pStyle w:val="P68B1DB1-Normal5"/>
              <w:spacing w:after="0" w:line="240" w:lineRule="auto"/>
              <w:jc w:val="both"/>
              <w:rPr>
                <w:rFonts w:cs="Times New Roman"/>
                <w:noProof/>
              </w:rPr>
            </w:pPr>
            <w:r>
              <w:rPr>
                <w:noProof/>
              </w:rPr>
              <w:t xml:space="preserve">poticanje, olakšavanje i reguliranje dobrovoljne i funkcionalne integracije i spajanja istraživačkih institucija u Rumunjskoj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111FC8FB"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B6DF5F7"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481C1BA"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0F1AA80"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226D799"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72A0664" w14:textId="77777777" w:rsidR="003F46B9" w:rsidRDefault="0065662E">
            <w:pPr>
              <w:pStyle w:val="P68B1DB1-Normal5"/>
              <w:spacing w:after="0" w:line="240" w:lineRule="auto"/>
              <w:jc w:val="both"/>
              <w:rPr>
                <w:rFonts w:cs="Times New Roman"/>
                <w:noProof/>
              </w:rPr>
            </w:pPr>
            <w:r>
              <w:rPr>
                <w:noProof/>
              </w:rPr>
              <w:t>Zakon stupa na s</w:t>
            </w:r>
            <w:r>
              <w:rPr>
                <w:noProof/>
              </w:rPr>
              <w:t xml:space="preserve">nagu kako bi se riješio problem velike rascjepkanosti istraživačkog sustava u Rumunjskoj. Time se potiče, olakšava i uređuje integracija istraživačkih institucija. Zakonodavnim okvirom uzimaju se u obzir preporuke instrumenta za političku potporu programu </w:t>
            </w:r>
            <w:r>
              <w:rPr>
                <w:noProof/>
              </w:rPr>
              <w:t>Obzor Europa za razdoblje 2021. – 2022. i utvrđuju se barem sljedeće:</w:t>
            </w:r>
          </w:p>
          <w:p w14:paraId="7243DCD4"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periodičnu vanjsku evaluaciju (tj. svakih pet godina) svih istraživačkih i razvojnih instituta u Rumunjskoj, uključujući one na sveučilišnoj razini, na temelju međunarodnih standarda koj</w:t>
            </w:r>
            <w:r>
              <w:rPr>
                <w:noProof/>
              </w:rPr>
              <w:t>i pogoduju znanstvenoj izvrsnosti i društveno-gospodarskom učinku, s ciljem rješavanja problema velike rascjepkanosti sustava istraživanja i razvoja i njihove integracije u europski istraživački prostor. Jedan od kriterija koje treba uključiti u evaluaciju</w:t>
            </w:r>
            <w:r>
              <w:rPr>
                <w:noProof/>
              </w:rPr>
              <w:t xml:space="preserve"> je mjera u kojoj istraživačke organizacije dijele istraživačke ustanove.</w:t>
            </w:r>
          </w:p>
          <w:p w14:paraId="307B9B31" w14:textId="1E78016C" w:rsidR="003F46B9" w:rsidRDefault="0065662E">
            <w:pPr>
              <w:pStyle w:val="P68B1DB1-ListParagraph13"/>
              <w:numPr>
                <w:ilvl w:val="0"/>
                <w:numId w:val="75"/>
              </w:numPr>
              <w:spacing w:after="0" w:line="240" w:lineRule="auto"/>
              <w:ind w:left="299" w:hanging="284"/>
              <w:jc w:val="both"/>
              <w:rPr>
                <w:rFonts w:cs="Times New Roman"/>
                <w:noProof/>
              </w:rPr>
            </w:pPr>
            <w:r>
              <w:rPr>
                <w:noProof/>
              </w:rPr>
              <w:t xml:space="preserve">pristup financijskoj i nefinancijskoj potpori za istraživačke organizacije u korelaciji s rezultatima prethodno navedene periodične evaluacije. </w:t>
            </w:r>
          </w:p>
        </w:tc>
      </w:tr>
      <w:tr w:rsidR="003F46B9" w14:paraId="1B61872C"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64B64DDB" w14:textId="77777777" w:rsidR="003F46B9" w:rsidRDefault="0065662E">
            <w:pPr>
              <w:pStyle w:val="P68B1DB1-Normal5"/>
              <w:spacing w:after="0" w:line="240" w:lineRule="auto"/>
              <w:jc w:val="center"/>
              <w:rPr>
                <w:rFonts w:cs="Times New Roman"/>
                <w:noProof/>
              </w:rPr>
            </w:pPr>
            <w:r>
              <w:rPr>
                <w:noProof/>
              </w:rPr>
              <w:t xml:space="preserve"> 279</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0D5BFF9" w14:textId="77777777" w:rsidR="003F46B9" w:rsidRDefault="0065662E">
            <w:pPr>
              <w:pStyle w:val="P68B1DB1-Normal5"/>
              <w:spacing w:after="0" w:line="240" w:lineRule="auto"/>
              <w:jc w:val="both"/>
              <w:rPr>
                <w:rFonts w:cs="Times New Roman"/>
                <w:noProof/>
              </w:rPr>
            </w:pPr>
            <w:r>
              <w:rPr>
                <w:noProof/>
              </w:rPr>
              <w:t xml:space="preserve">Reforma 5. Potpora integraciji </w:t>
            </w:r>
            <w:r>
              <w:rPr>
                <w:noProof/>
              </w:rPr>
              <w:t>organizacija za istraživanje, razvoj i inovacije u Rumunjskoj u europski istraživački prostor</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3327F22"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234426BA" w14:textId="77777777" w:rsidR="003F46B9" w:rsidRDefault="0065662E">
            <w:pPr>
              <w:pStyle w:val="P68B1DB1-Normal5"/>
              <w:spacing w:after="0" w:line="240" w:lineRule="auto"/>
              <w:jc w:val="both"/>
              <w:rPr>
                <w:rFonts w:cs="Times New Roman"/>
                <w:noProof/>
              </w:rPr>
            </w:pPr>
            <w:r>
              <w:rPr>
                <w:noProof/>
              </w:rPr>
              <w:t>Postotak istraživačkih organizacija koje dijele istraživačku infrastrukturu i objekte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88E6C37"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5ADA27C3" w14:textId="77777777" w:rsidR="003F46B9" w:rsidRDefault="0065662E">
            <w:pPr>
              <w:pStyle w:val="P68B1DB1-Normal5"/>
              <w:spacing w:after="0" w:line="240" w:lineRule="auto"/>
              <w:rPr>
                <w:rFonts w:eastAsia="Times New Roman" w:cs="Times New Roman"/>
                <w:noProof/>
              </w:rPr>
            </w:pPr>
            <w:r>
              <w:rPr>
                <w:noProof/>
              </w:rPr>
              <w:t>Postotak (%)</w:t>
            </w:r>
          </w:p>
          <w:p w14:paraId="7E343D00"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5152F0C" w14:textId="77777777" w:rsidR="003F46B9" w:rsidRDefault="0065662E">
            <w:pPr>
              <w:pStyle w:val="P68B1DB1-Normal5"/>
              <w:spacing w:after="0" w:line="240" w:lineRule="auto"/>
              <w:jc w:val="both"/>
              <w:rPr>
                <w:rFonts w:eastAsia="Times New Roman" w:cs="Times New Roman"/>
                <w:noProof/>
              </w:rPr>
            </w:pPr>
            <w:r>
              <w:rPr>
                <w:noProof/>
              </w:rPr>
              <w:t xml:space="preserve"> 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8BAB78E" w14:textId="77777777" w:rsidR="003F46B9" w:rsidRDefault="0065662E">
            <w:pPr>
              <w:pStyle w:val="P68B1DB1-Normal5"/>
              <w:spacing w:after="0" w:line="240" w:lineRule="auto"/>
              <w:jc w:val="both"/>
              <w:rPr>
                <w:rFonts w:eastAsia="Times New Roman" w:cs="Times New Roman"/>
                <w:noProof/>
              </w:rPr>
            </w:pPr>
            <w:r>
              <w:rPr>
                <w:noProof/>
              </w:rPr>
              <w:t>25 %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7E206E0A"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3D2A8353"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22FCCD36" w14:textId="77777777" w:rsidR="003F46B9" w:rsidRDefault="0065662E">
            <w:pPr>
              <w:pStyle w:val="P68B1DB1-Normal5"/>
              <w:spacing w:after="0" w:line="240" w:lineRule="auto"/>
              <w:jc w:val="both"/>
              <w:rPr>
                <w:rFonts w:cs="Times New Roman"/>
                <w:noProof/>
              </w:rPr>
            </w:pPr>
            <w:r>
              <w:rPr>
                <w:noProof/>
              </w:rPr>
              <w:t xml:space="preserve">25 % istraživačkih </w:t>
            </w:r>
            <w:r>
              <w:rPr>
                <w:noProof/>
              </w:rPr>
              <w:t>organizacija dijeli istraživačku infrastrukturu i objekte.</w:t>
            </w:r>
          </w:p>
          <w:p w14:paraId="57596416" w14:textId="77777777" w:rsidR="003F46B9" w:rsidRDefault="0065662E">
            <w:pPr>
              <w:pStyle w:val="P68B1DB1-Normal5"/>
              <w:spacing w:after="0" w:line="240" w:lineRule="auto"/>
              <w:jc w:val="both"/>
              <w:rPr>
                <w:rFonts w:cs="Times New Roman"/>
                <w:noProof/>
              </w:rPr>
            </w:pPr>
            <w:r>
              <w:rPr>
                <w:noProof/>
              </w:rPr>
              <w:t>Rumunjska svake godine izvješćuje o udjelu svih istraživačkih organizacija (kako su navedene u sustavu europske istraživačke infrastrukture) koje dijele istraživačku infrastrukturu i objekte.</w:t>
            </w:r>
          </w:p>
        </w:tc>
      </w:tr>
      <w:tr w:rsidR="003F46B9" w14:paraId="33278C9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78B5B09" w14:textId="77777777" w:rsidR="003F46B9" w:rsidRDefault="0065662E">
            <w:pPr>
              <w:pStyle w:val="P68B1DB1-Normal5"/>
              <w:spacing w:after="0" w:line="240" w:lineRule="auto"/>
              <w:jc w:val="center"/>
              <w:rPr>
                <w:rFonts w:cs="Times New Roman"/>
                <w:noProof/>
              </w:rPr>
            </w:pPr>
            <w:r>
              <w:rPr>
                <w:noProof/>
              </w:rPr>
              <w:t>280</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083016A7" w14:textId="77777777" w:rsidR="003F46B9" w:rsidRDefault="0065662E">
            <w:pPr>
              <w:pStyle w:val="P68B1DB1-Normal5"/>
              <w:spacing w:after="0" w:line="240" w:lineRule="auto"/>
              <w:jc w:val="both"/>
              <w:rPr>
                <w:rFonts w:cs="Times New Roman"/>
                <w:noProof/>
              </w:rPr>
            </w:pPr>
            <w:r>
              <w:rPr>
                <w:noProof/>
              </w:rPr>
              <w:t xml:space="preserve">Ulaganje 5. Osnivanje i operacionalizacija centara za stručnost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7E1C8DB"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6BE33845" w14:textId="77777777" w:rsidR="003F46B9" w:rsidRDefault="0065662E">
            <w:pPr>
              <w:pStyle w:val="P68B1DB1-Normal5"/>
              <w:spacing w:after="0" w:line="240" w:lineRule="auto"/>
              <w:jc w:val="both"/>
              <w:rPr>
                <w:rFonts w:cs="Times New Roman"/>
                <w:noProof/>
              </w:rPr>
            </w:pPr>
            <w:r>
              <w:rPr>
                <w:noProof/>
              </w:rPr>
              <w:t>Osnivanje 5 centara za stručnost</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6F2B08C" w14:textId="77777777" w:rsidR="003F46B9" w:rsidRDefault="0065662E">
            <w:pPr>
              <w:pStyle w:val="P68B1DB1-Normal5"/>
              <w:spacing w:after="0" w:line="240" w:lineRule="auto"/>
              <w:jc w:val="both"/>
              <w:rPr>
                <w:rFonts w:cs="Times New Roman"/>
                <w:noProof/>
              </w:rPr>
            </w:pPr>
            <w:r>
              <w:rPr>
                <w:noProof/>
              </w:rPr>
              <w:t>Osnovano je pet centara za stručnost</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76B998B"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65EE2330" w14:textId="77777777" w:rsidR="003F46B9" w:rsidRDefault="003F46B9">
            <w:pPr>
              <w:spacing w:after="0" w:line="240" w:lineRule="auto"/>
              <w:jc w:val="both"/>
              <w:rPr>
                <w:rFonts w:ascii="Times New Roman" w:eastAsia="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BC8E364" w14:textId="77777777" w:rsidR="003F46B9" w:rsidRDefault="003F46B9">
            <w:pPr>
              <w:spacing w:after="0" w:line="240" w:lineRule="auto"/>
              <w:jc w:val="both"/>
              <w:rPr>
                <w:rFonts w:ascii="Times New Roman" w:eastAsia="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4C8764D"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796F554A" w14:textId="77777777" w:rsidR="003F46B9" w:rsidRDefault="0065662E">
            <w:pPr>
              <w:pStyle w:val="P68B1DB1-Normal5"/>
              <w:spacing w:after="0" w:line="240" w:lineRule="auto"/>
              <w:jc w:val="center"/>
              <w:rPr>
                <w:rFonts w:cs="Times New Roman"/>
                <w:noProof/>
              </w:rPr>
            </w:pPr>
            <w:r>
              <w:rPr>
                <w:noProof/>
              </w:rPr>
              <w:t>2022</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F27F89C" w14:textId="77777777" w:rsidR="003F46B9" w:rsidRDefault="0065662E">
            <w:pPr>
              <w:pStyle w:val="P68B1DB1-Normal5"/>
              <w:spacing w:after="0" w:line="240" w:lineRule="auto"/>
              <w:jc w:val="both"/>
              <w:rPr>
                <w:rFonts w:cs="Times New Roman"/>
                <w:noProof/>
              </w:rPr>
            </w:pPr>
            <w:r>
              <w:rPr>
                <w:noProof/>
              </w:rPr>
              <w:t>Kako bi se riješio problem tematske rascjepkanosti istraživačkih, razvojnih i inovacijskih organizacija, organizira se natjecateljski poziv za odabir pet složenih istraživačkih, razvojnih i inovacijskih projekata. Program financiranja naziva se „Centar kom</w:t>
            </w:r>
            <w:r>
              <w:rPr>
                <w:noProof/>
              </w:rPr>
              <w:t xml:space="preserve">petencija”. </w:t>
            </w:r>
          </w:p>
          <w:p w14:paraId="7B7954E8" w14:textId="77777777" w:rsidR="003F46B9" w:rsidRDefault="0065662E">
            <w:pPr>
              <w:pStyle w:val="P68B1DB1-Normal5"/>
              <w:spacing w:after="0" w:line="240" w:lineRule="auto"/>
              <w:jc w:val="both"/>
              <w:rPr>
                <w:rFonts w:cs="Times New Roman"/>
                <w:noProof/>
              </w:rPr>
            </w:pPr>
            <w:r>
              <w:rPr>
                <w:noProof/>
              </w:rPr>
              <w:t>Na temelju podnesenih prijedloga projekata, kao rezultat konkurentnog, otvorenog i transparentnog poziva koji organizira Ministarstvo istraživanja, digitalizacije i inovacija, osniva se pet centara stručnosti, po jedan za svaku misiju u okviru</w:t>
            </w:r>
            <w:r>
              <w:rPr>
                <w:noProof/>
              </w:rPr>
              <w:t xml:space="preserve"> programa Obzor. Svrha je koordinirane provedbe misija Obzora Europa na nacionalnoj razini i rješavanja problema tematske rascjepkanosti. </w:t>
            </w:r>
          </w:p>
          <w:p w14:paraId="78BB391F" w14:textId="77777777" w:rsidR="003F46B9" w:rsidRDefault="0065662E">
            <w:pPr>
              <w:pStyle w:val="P68B1DB1-Normal5"/>
              <w:spacing w:after="0" w:line="240" w:lineRule="auto"/>
              <w:jc w:val="both"/>
              <w:rPr>
                <w:rFonts w:cs="Times New Roman"/>
                <w:noProof/>
              </w:rPr>
            </w:pPr>
            <w:r>
              <w:rPr>
                <w:noProof/>
              </w:rPr>
              <w:t>Centri stručnosti odabiru se na temelju:</w:t>
            </w:r>
          </w:p>
          <w:p w14:paraId="418B4961" w14:textId="054436F8" w:rsidR="003F46B9" w:rsidRDefault="0065662E">
            <w:pPr>
              <w:pStyle w:val="P68B1DB1-ListParagraph13"/>
              <w:numPr>
                <w:ilvl w:val="0"/>
                <w:numId w:val="75"/>
              </w:numPr>
              <w:spacing w:after="0" w:line="240" w:lineRule="auto"/>
              <w:ind w:left="299" w:hanging="284"/>
              <w:jc w:val="both"/>
              <w:rPr>
                <w:rFonts w:cs="Times New Roman"/>
                <w:noProof/>
              </w:rPr>
            </w:pPr>
            <w:r>
              <w:rPr>
                <w:noProof/>
              </w:rPr>
              <w:t>složeni i aplikativni projekti istraživanja, razvoja i inovacija koje predla</w:t>
            </w:r>
            <w:r>
              <w:rPr>
                <w:noProof/>
              </w:rPr>
              <w:t>žu konzorciji javnih i privatnih istraživačkih, razvojnih i inovacijskih organizacija, uključujući mala i srednja poduzeća, koji zajedno provode strateški program za istraživanja i inovacije u okviru odgovarajuće misije iz programa Obzor Europa i pružaju r</w:t>
            </w:r>
            <w:r>
              <w:rPr>
                <w:noProof/>
              </w:rPr>
              <w:t xml:space="preserve">ješenja za istraživanja, razvoj i inovacije za lokalne zajednice. </w:t>
            </w:r>
          </w:p>
          <w:p w14:paraId="178AF677"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Znanstvena vrijednost projekta, njegova razina izvrsnosti i usklađenost predloženog istraživačkog programa s programom strateških istraživanja misija programa Obzor Europa glavni su evaluac</w:t>
            </w:r>
            <w:r>
              <w:rPr>
                <w:noProof/>
              </w:rPr>
              <w:t xml:space="preserve">ijski kriteriji za odabir financiranih prijedloga – po jedan za svaku misiju u okviru programa Obzor Europa. </w:t>
            </w:r>
          </w:p>
          <w:p w14:paraId="491E001B"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Administrativni kapacitet, iskustvo i kvaliteta plana upravljanja za projekt također se ocjenjuju tijekom postupka evaluacije projekta koji se pro</w:t>
            </w:r>
            <w:r>
              <w:rPr>
                <w:noProof/>
              </w:rPr>
              <w:t>vodi s međunarodnim stručnjacima. Komplementarnost među članovima konzorcija i dosadašnje iskustvo u zajedničkom radu također su kriteriji koje treba primjenjivati u postupku odabira.</w:t>
            </w:r>
          </w:p>
          <w:p w14:paraId="1EF6F396"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Prihvatljive aktivnosti su istraživačke i inovacijske aktivnosti, pobolj</w:t>
            </w:r>
            <w:r>
              <w:rPr>
                <w:noProof/>
              </w:rPr>
              <w:t>šana istraživačka oprema, aktivnosti širenja informacija i pomoćne aktivnosti (studije o provedbi svake misije u Rumunjskoj), troškovi povezani s pravima intelektualnog vlasništva.</w:t>
            </w:r>
          </w:p>
          <w:p w14:paraId="02EB8AED"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mapiranje resursa za istraživanje, razvoj i inovacije, uključujući opremu i</w:t>
            </w:r>
            <w:r>
              <w:rPr>
                <w:noProof/>
              </w:rPr>
              <w:t xml:space="preserve"> infrastrukturu, povezanih s tematskim područjima misija, koje podnositelji zahtjeva trebaju nadograditi i upotrebljavati na zajednički način. </w:t>
            </w:r>
          </w:p>
          <w:p w14:paraId="213D59E0"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Prihvatljivi proračun u iznosu od najviše 5 milijuna EUR po projektu s najmanje pet partnera (5 javnih organizac</w:t>
            </w:r>
            <w:r>
              <w:rPr>
                <w:noProof/>
              </w:rPr>
              <w:t>ija za istraživanje, razvoj i inovacije + 5 privatnih organizacija za istraživanje, razvoj i inovacije). Maksimalni proračun za MSP-ove iznosi 200 000 EUR, a najveći proračun za javnu organizaciju istraživanja, razvoja i inovacija iznosi 500 000 EUR. MSP-o</w:t>
            </w:r>
            <w:r>
              <w:rPr>
                <w:noProof/>
              </w:rPr>
              <w:t>vi sufinanciraju istraživačke i inovacijske aktivnosti s 25 %.</w:t>
            </w:r>
          </w:p>
          <w:p w14:paraId="49ADAD8F" w14:textId="77777777" w:rsidR="003F46B9" w:rsidRDefault="0065662E">
            <w:pPr>
              <w:pStyle w:val="P68B1DB1-ListParagraph13"/>
              <w:numPr>
                <w:ilvl w:val="0"/>
                <w:numId w:val="75"/>
              </w:numPr>
              <w:spacing w:after="0" w:line="240" w:lineRule="auto"/>
              <w:ind w:left="299" w:hanging="284"/>
              <w:jc w:val="both"/>
              <w:rPr>
                <w:rFonts w:cs="Times New Roman"/>
                <w:noProof/>
              </w:rPr>
            </w:pPr>
            <w:r>
              <w:rPr>
                <w:noProof/>
              </w:rPr>
              <w:t>Suradnja s javnim tijelima na različitim razinama upravljanja i civilnim društvom radi provedbe rješenja za istraživanje, razvoj i inovacije povezanih s misijama programa Obzor Europa. Javna ti</w:t>
            </w:r>
            <w:r>
              <w:rPr>
                <w:noProof/>
              </w:rPr>
              <w:t>jela stoga su uključena kao treće strane, a nisu izravno povezana s istraživačkim konzorcijem centra stručnosti te su među primateljima nekih proizvoda/usluga/rješenja koje je utvrdio istraživač iz centara za stručnost.</w:t>
            </w:r>
          </w:p>
          <w:p w14:paraId="26E826DC" w14:textId="77777777" w:rsidR="003F46B9" w:rsidRDefault="0065662E">
            <w:pPr>
              <w:pStyle w:val="P68B1DB1-Normal5"/>
              <w:spacing w:before="120" w:after="0" w:line="240" w:lineRule="auto"/>
              <w:jc w:val="both"/>
              <w:rPr>
                <w:rFonts w:cs="Times New Roman"/>
                <w:noProof/>
              </w:rPr>
            </w:pPr>
            <w:r>
              <w:rPr>
                <w:noProof/>
              </w:rPr>
              <w:t xml:space="preserve">Cilj je svakog odabranog centra </w:t>
            </w:r>
            <w:r>
              <w:rPr>
                <w:noProof/>
              </w:rPr>
              <w:t>kompetencija poduprijeti najmanje tri prijave iznad praga za Obzor Europa do 2026.</w:t>
            </w:r>
          </w:p>
        </w:tc>
      </w:tr>
      <w:tr w:rsidR="003F46B9" w14:paraId="31A3EE7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F48EE9F" w14:textId="77777777" w:rsidR="003F46B9" w:rsidRDefault="0065662E">
            <w:pPr>
              <w:pStyle w:val="P68B1DB1-Normal5"/>
              <w:spacing w:after="0" w:line="240" w:lineRule="auto"/>
              <w:jc w:val="center"/>
              <w:rPr>
                <w:rFonts w:cs="Times New Roman"/>
                <w:noProof/>
              </w:rPr>
            </w:pPr>
            <w:r>
              <w:rPr>
                <w:noProof/>
              </w:rPr>
              <w:t>281</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F70FF7" w14:textId="77777777" w:rsidR="003F46B9" w:rsidRDefault="0065662E">
            <w:pPr>
              <w:pStyle w:val="P68B1DB1-Normal5"/>
              <w:spacing w:after="0" w:line="240" w:lineRule="auto"/>
              <w:jc w:val="both"/>
              <w:rPr>
                <w:rFonts w:cs="Times New Roman"/>
                <w:noProof/>
              </w:rPr>
            </w:pPr>
            <w:r>
              <w:rPr>
                <w:noProof/>
              </w:rPr>
              <w:t>Ulaganje 5. Osnivanje i operacionalizacija centara za stručnost</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C7E80"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5FDD36F" w14:textId="77777777" w:rsidR="003F46B9" w:rsidRDefault="0065662E">
            <w:pPr>
              <w:pStyle w:val="P68B1DB1-Normal5"/>
              <w:spacing w:after="0" w:line="240" w:lineRule="auto"/>
              <w:jc w:val="both"/>
              <w:rPr>
                <w:rFonts w:cs="Times New Roman"/>
                <w:noProof/>
              </w:rPr>
            </w:pPr>
            <w:r>
              <w:rPr>
                <w:noProof/>
              </w:rPr>
              <w:t xml:space="preserve">Proračun koji privuku centri stručnosti iz istraživačkih, razvojnih i inovacijskih projekata u privatnom sektoru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05A5287D"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2C0EEAC0" w14:textId="77777777" w:rsidR="003F46B9" w:rsidRDefault="0065662E">
            <w:pPr>
              <w:pStyle w:val="P68B1DB1-Normal5"/>
              <w:spacing w:after="0" w:line="240" w:lineRule="auto"/>
              <w:jc w:val="both"/>
              <w:rPr>
                <w:rFonts w:eastAsia="Times New Roman" w:cs="Times New Roman"/>
                <w:noProof/>
              </w:rPr>
            </w:pPr>
            <w:r>
              <w:rPr>
                <w:noProof/>
              </w:rPr>
              <w:t>U milijunima EUR</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3508916"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53A7F9D1" w14:textId="2CD35231" w:rsidR="003F46B9" w:rsidRDefault="0065662E">
            <w:pPr>
              <w:pStyle w:val="P68B1DB1-Normal5"/>
              <w:spacing w:after="0" w:line="240" w:lineRule="auto"/>
              <w:jc w:val="both"/>
              <w:rPr>
                <w:rFonts w:eastAsia="Times New Roman" w:cs="Times New Roman"/>
                <w:noProof/>
              </w:rPr>
            </w:pPr>
            <w:r>
              <w:rPr>
                <w:noProof/>
              </w:rPr>
              <w:t xml:space="preserve">1,25 </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6E27A52F" w14:textId="77777777" w:rsidR="003F46B9" w:rsidRDefault="003F46B9">
            <w:pPr>
              <w:spacing w:after="0" w:line="240" w:lineRule="auto"/>
              <w:jc w:val="center"/>
              <w:rPr>
                <w:rFonts w:ascii="Times New Roman" w:hAnsi="Times New Roman" w:cs="Times New Roman"/>
                <w:noProof/>
                <w:sz w:val="24"/>
              </w:rPr>
            </w:pPr>
          </w:p>
          <w:p w14:paraId="01F8E940"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4518E263" w14:textId="77777777" w:rsidR="003F46B9" w:rsidRDefault="003F46B9">
            <w:pPr>
              <w:spacing w:after="0" w:line="240" w:lineRule="auto"/>
              <w:jc w:val="center"/>
              <w:rPr>
                <w:rFonts w:ascii="Times New Roman" w:hAnsi="Times New Roman" w:cs="Times New Roman"/>
                <w:noProof/>
                <w:sz w:val="24"/>
              </w:rPr>
            </w:pPr>
          </w:p>
          <w:p w14:paraId="66B1DB43" w14:textId="77777777" w:rsidR="003F46B9" w:rsidRDefault="0065662E">
            <w:pPr>
              <w:pStyle w:val="P68B1DB1-Normal5"/>
              <w:spacing w:after="0" w:line="240" w:lineRule="auto"/>
              <w:jc w:val="center"/>
              <w:rPr>
                <w:rFonts w:cs="Times New Roman"/>
                <w:noProof/>
              </w:rPr>
            </w:pPr>
            <w:r>
              <w:rPr>
                <w:noProof/>
              </w:rPr>
              <w:t>2025</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50358E61" w14:textId="77777777" w:rsidR="003F46B9" w:rsidRDefault="0065662E">
            <w:pPr>
              <w:pStyle w:val="P68B1DB1-Normal5"/>
              <w:spacing w:after="0" w:line="240" w:lineRule="auto"/>
              <w:jc w:val="both"/>
              <w:rPr>
                <w:rFonts w:cs="Times New Roman"/>
                <w:noProof/>
              </w:rPr>
            </w:pPr>
            <w:r>
              <w:rPr>
                <w:noProof/>
              </w:rPr>
              <w:t>1,25 milijuna EUR privlači se iz privatnog sektora za sufinanciranje aktivnosti istraživa</w:t>
            </w:r>
            <w:r>
              <w:rPr>
                <w:noProof/>
              </w:rPr>
              <w:t>nja, razvoja i inovacija putem centara kompetentnosti (svaka mala i srednja poduzeća ulažu 25 % primljenog proračuna u okviru vlastitog doprinosa); Velika poduzeća također ispunjavaju uvjete za sudjelovanje u centrima za stručnost.</w:t>
            </w:r>
          </w:p>
        </w:tc>
      </w:tr>
      <w:tr w:rsidR="003F46B9" w14:paraId="3D5F588D"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78FF184C" w14:textId="77777777" w:rsidR="003F46B9" w:rsidRDefault="0065662E">
            <w:pPr>
              <w:pStyle w:val="P68B1DB1-Normal5"/>
              <w:spacing w:after="0" w:line="240" w:lineRule="auto"/>
              <w:jc w:val="center"/>
              <w:rPr>
                <w:rFonts w:cs="Times New Roman"/>
                <w:noProof/>
              </w:rPr>
            </w:pPr>
            <w:r>
              <w:rPr>
                <w:noProof/>
              </w:rPr>
              <w:t>282</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6D54251A" w14:textId="77777777" w:rsidR="003F46B9" w:rsidRDefault="0065662E">
            <w:pPr>
              <w:pStyle w:val="P68B1DB1-Normal5"/>
              <w:spacing w:after="0" w:line="240" w:lineRule="auto"/>
              <w:jc w:val="both"/>
              <w:rPr>
                <w:rFonts w:cs="Times New Roman"/>
                <w:noProof/>
              </w:rPr>
            </w:pPr>
            <w:r>
              <w:rPr>
                <w:noProof/>
              </w:rPr>
              <w:t xml:space="preserve">Ulaganje 6. Razvoj </w:t>
            </w:r>
            <w:r>
              <w:rPr>
                <w:noProof/>
              </w:rPr>
              <w:t>programa mentorstva Obzor Europa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50203C46"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FB51D92" w14:textId="77777777" w:rsidR="003F46B9" w:rsidRDefault="0065662E">
            <w:pPr>
              <w:pStyle w:val="P68B1DB1-Normal5"/>
              <w:spacing w:after="0" w:line="240" w:lineRule="auto"/>
              <w:jc w:val="both"/>
              <w:rPr>
                <w:rFonts w:cs="Times New Roman"/>
                <w:noProof/>
              </w:rPr>
            </w:pPr>
            <w:r>
              <w:rPr>
                <w:noProof/>
              </w:rPr>
              <w:t xml:space="preserve">Vaučeri dodijeljeni u okviru programa mentorstva u okviru programa Obzor Europa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623C6991"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2AABF82" w14:textId="77777777" w:rsidR="003F46B9" w:rsidRDefault="0065662E">
            <w:pPr>
              <w:pStyle w:val="P68B1DB1-Normal5"/>
              <w:spacing w:after="0" w:line="240" w:lineRule="auto"/>
              <w:jc w:val="both"/>
              <w:rPr>
                <w:rFonts w:eastAsia="Times New Roman"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2B81C448"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2C53C0C5" w14:textId="77777777" w:rsidR="003F46B9" w:rsidRDefault="0065662E">
            <w:pPr>
              <w:pStyle w:val="P68B1DB1-Normal5"/>
              <w:spacing w:after="0" w:line="240" w:lineRule="auto"/>
              <w:jc w:val="both"/>
              <w:rPr>
                <w:rFonts w:eastAsia="Times New Roman" w:cs="Times New Roman"/>
                <w:noProof/>
              </w:rPr>
            </w:pPr>
            <w:r>
              <w:rPr>
                <w:noProof/>
              </w:rPr>
              <w:t>500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4170B67"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31D2CFC"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31538CB9" w14:textId="77777777" w:rsidR="003F46B9" w:rsidRDefault="0065662E">
            <w:pPr>
              <w:pStyle w:val="P68B1DB1-Normal5"/>
              <w:spacing w:after="0" w:line="240" w:lineRule="auto"/>
              <w:jc w:val="both"/>
              <w:rPr>
                <w:rFonts w:cs="Times New Roman"/>
                <w:noProof/>
              </w:rPr>
            </w:pPr>
            <w:r>
              <w:rPr>
                <w:noProof/>
              </w:rPr>
              <w:t>Ministarstvo istraživanja, digitalizacije i inovacija odobrava 500 vaučera podnositeljima zahtjeva koji podnose projektni prijedlog u pozivima na podnošenje prijava u okviru programa Obzor Europa i koji su prošli fazu prihvatljivosti (i iznad praga za jeda</w:t>
            </w:r>
            <w:r>
              <w:rPr>
                <w:noProof/>
              </w:rPr>
              <w:t>n evaluacijski kriterij za 10 000 EUR) za:</w:t>
            </w:r>
          </w:p>
          <w:p w14:paraId="6D4A727E" w14:textId="77777777" w:rsidR="003F46B9" w:rsidRDefault="0065662E">
            <w:pPr>
              <w:pStyle w:val="P68B1DB1-Normal5"/>
              <w:numPr>
                <w:ilvl w:val="0"/>
                <w:numId w:val="71"/>
              </w:numPr>
              <w:spacing w:before="120" w:line="240" w:lineRule="auto"/>
              <w:ind w:left="157" w:hanging="157"/>
              <w:contextualSpacing/>
              <w:jc w:val="both"/>
              <w:rPr>
                <w:rFonts w:cs="Times New Roman"/>
                <w:noProof/>
              </w:rPr>
            </w:pPr>
            <w:r>
              <w:rPr>
                <w:noProof/>
              </w:rPr>
              <w:t>pisanje projektnih prijedloga,</w:t>
            </w:r>
          </w:p>
          <w:p w14:paraId="5C172B15" w14:textId="77777777" w:rsidR="003F46B9" w:rsidRDefault="0065662E">
            <w:pPr>
              <w:pStyle w:val="P68B1DB1-Normal5"/>
              <w:numPr>
                <w:ilvl w:val="0"/>
                <w:numId w:val="71"/>
              </w:numPr>
              <w:spacing w:before="120" w:line="240" w:lineRule="auto"/>
              <w:ind w:left="157" w:hanging="157"/>
              <w:contextualSpacing/>
              <w:jc w:val="both"/>
              <w:rPr>
                <w:rFonts w:cs="Times New Roman"/>
                <w:noProof/>
              </w:rPr>
            </w:pPr>
            <w:r>
              <w:rPr>
                <w:noProof/>
              </w:rPr>
              <w:t>razmjena osoblja</w:t>
            </w:r>
          </w:p>
          <w:p w14:paraId="7FDCA043" w14:textId="77777777" w:rsidR="003F46B9" w:rsidRDefault="0065662E">
            <w:pPr>
              <w:pStyle w:val="P68B1DB1-Normal5"/>
              <w:numPr>
                <w:ilvl w:val="0"/>
                <w:numId w:val="71"/>
              </w:numPr>
              <w:spacing w:before="120" w:line="240" w:lineRule="auto"/>
              <w:ind w:left="157" w:hanging="157"/>
              <w:contextualSpacing/>
              <w:jc w:val="both"/>
              <w:rPr>
                <w:rFonts w:cs="Times New Roman"/>
                <w:noProof/>
              </w:rPr>
            </w:pPr>
            <w:r>
              <w:rPr>
                <w:noProof/>
              </w:rPr>
              <w:t xml:space="preserve">sudjelovanje u brokerskim događanjima </w:t>
            </w:r>
          </w:p>
          <w:p w14:paraId="4DFD3029" w14:textId="77777777" w:rsidR="003F46B9" w:rsidRDefault="0065662E">
            <w:pPr>
              <w:pStyle w:val="P68B1DB1-Normal5"/>
              <w:numPr>
                <w:ilvl w:val="0"/>
                <w:numId w:val="71"/>
              </w:numPr>
              <w:spacing w:before="120" w:line="240" w:lineRule="auto"/>
              <w:ind w:left="157" w:hanging="157"/>
              <w:contextualSpacing/>
              <w:jc w:val="both"/>
              <w:rPr>
                <w:rFonts w:cs="Times New Roman"/>
                <w:noProof/>
              </w:rPr>
            </w:pPr>
            <w:r>
              <w:rPr>
                <w:noProof/>
              </w:rPr>
              <w:t xml:space="preserve">korištenje ekstremne svjetlosne infrastrukture – nuklearna fizika </w:t>
            </w:r>
          </w:p>
          <w:p w14:paraId="052D7E9F" w14:textId="77777777" w:rsidR="003F46B9" w:rsidRDefault="0065662E">
            <w:pPr>
              <w:pStyle w:val="P68B1DB1-Normal5"/>
              <w:spacing w:after="0" w:line="240" w:lineRule="auto"/>
              <w:jc w:val="both"/>
              <w:rPr>
                <w:rFonts w:cs="Times New Roman"/>
                <w:noProof/>
              </w:rPr>
            </w:pPr>
            <w:r>
              <w:rPr>
                <w:noProof/>
              </w:rPr>
              <w:t xml:space="preserve">Kako bi se osigurala usklađenost s tehničkim smjernicama o </w:t>
            </w:r>
            <w:r>
              <w:rPr>
                <w:noProof/>
              </w:rPr>
              <w:t xml:space="preserve">nenanošenju bitne štete (2021/C58/01), istraživačke aktivnosti povezane s aktivnostima/imovinom s popisa za isključenje nisu prihvatljive. </w:t>
            </w:r>
          </w:p>
        </w:tc>
      </w:tr>
      <w:tr w:rsidR="003F46B9" w14:paraId="1B24400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DD4FB4F" w14:textId="77777777" w:rsidR="003F46B9" w:rsidRDefault="0065662E">
            <w:pPr>
              <w:pStyle w:val="P68B1DB1-Normal5"/>
              <w:spacing w:after="0" w:line="240" w:lineRule="auto"/>
              <w:jc w:val="center"/>
              <w:rPr>
                <w:rFonts w:cs="Times New Roman"/>
                <w:noProof/>
              </w:rPr>
            </w:pPr>
            <w:r>
              <w:rPr>
                <w:noProof/>
              </w:rPr>
              <w:t>283</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3EB9B042" w14:textId="77777777" w:rsidR="003F46B9" w:rsidRDefault="0065662E">
            <w:pPr>
              <w:pStyle w:val="P68B1DB1-Normal5"/>
              <w:spacing w:after="0" w:line="240" w:lineRule="auto"/>
              <w:jc w:val="both"/>
              <w:rPr>
                <w:rFonts w:cs="Times New Roman"/>
                <w:noProof/>
              </w:rPr>
            </w:pPr>
            <w:r>
              <w:rPr>
                <w:noProof/>
              </w:rPr>
              <w:t xml:space="preserve">Ulaganje 7. Jačanje izvrsnosti i podupiranje sudjelovanja Rumunjske u partnerstvima i misijama u okviru programa Obzor Europa </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4ABB468"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A34F137" w14:textId="77777777" w:rsidR="003F46B9" w:rsidRDefault="0065662E">
            <w:pPr>
              <w:pStyle w:val="P68B1DB1-Normal5"/>
              <w:spacing w:after="0" w:line="240" w:lineRule="auto"/>
              <w:jc w:val="both"/>
              <w:rPr>
                <w:rFonts w:cs="Times New Roman"/>
                <w:noProof/>
              </w:rPr>
            </w:pPr>
            <w:r>
              <w:rPr>
                <w:noProof/>
              </w:rPr>
              <w:t>Broj potpisanih ugovora o financiranju istraživanja</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5C16B980" w14:textId="77777777" w:rsidR="003F46B9" w:rsidRDefault="003F46B9">
            <w:pPr>
              <w:spacing w:after="0" w:line="240" w:lineRule="auto"/>
              <w:jc w:val="both"/>
              <w:rPr>
                <w:rFonts w:ascii="Times New Roman" w:hAnsi="Times New Roman" w:cs="Times New Roman"/>
                <w:noProof/>
                <w:sz w:val="24"/>
              </w:rPr>
            </w:pP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ED73A57" w14:textId="77777777" w:rsidR="003F46B9" w:rsidRDefault="0065662E">
            <w:pPr>
              <w:pStyle w:val="P68B1DB1-Normal5"/>
              <w:spacing w:after="0" w:line="240" w:lineRule="auto"/>
              <w:jc w:val="both"/>
              <w:rPr>
                <w:rFonts w:eastAsia="Times New Roman"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51E60973"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10565B6" w14:textId="77777777" w:rsidR="003F46B9" w:rsidRDefault="0065662E">
            <w:pPr>
              <w:pStyle w:val="P68B1DB1-Normal5"/>
              <w:spacing w:after="0" w:line="240" w:lineRule="auto"/>
              <w:jc w:val="both"/>
              <w:rPr>
                <w:rFonts w:eastAsia="Times New Roman" w:cs="Times New Roman"/>
                <w:noProof/>
              </w:rPr>
            </w:pPr>
            <w:r>
              <w:rPr>
                <w:noProof/>
              </w:rPr>
              <w:t>55</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471B9DEE" w14:textId="610FC08C"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098690C0" w14:textId="345A9FCA" w:rsidR="003F46B9" w:rsidRDefault="0065662E">
            <w:pPr>
              <w:pStyle w:val="P68B1DB1-Normal5"/>
              <w:spacing w:after="0" w:line="240" w:lineRule="auto"/>
              <w:jc w:val="center"/>
              <w:rPr>
                <w:rFonts w:cs="Times New Roman"/>
                <w:noProof/>
              </w:rPr>
            </w:pPr>
            <w:r>
              <w:rPr>
                <w:noProof/>
              </w:rPr>
              <w:t>2024</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A6BDA2A" w14:textId="3A33D7E0" w:rsidR="003F46B9" w:rsidRDefault="0065662E">
            <w:pPr>
              <w:pStyle w:val="P68B1DB1-Normal5"/>
              <w:spacing w:after="0" w:line="240" w:lineRule="auto"/>
              <w:jc w:val="both"/>
              <w:rPr>
                <w:rFonts w:cs="Times New Roman"/>
                <w:noProof/>
              </w:rPr>
            </w:pPr>
            <w:r>
              <w:rPr>
                <w:noProof/>
              </w:rPr>
              <w:t xml:space="preserve">Potpisano je najmanje 55 ugovora o financiranju istraživanja kako slijedi: </w:t>
            </w:r>
          </w:p>
          <w:p w14:paraId="669D2A83" w14:textId="43F405B6" w:rsidR="003F46B9" w:rsidRDefault="0065662E">
            <w:pPr>
              <w:pStyle w:val="P68B1DB1-ListParagraph13"/>
              <w:numPr>
                <w:ilvl w:val="5"/>
                <w:numId w:val="77"/>
              </w:numPr>
              <w:spacing w:after="0" w:line="240" w:lineRule="auto"/>
              <w:ind w:left="439"/>
              <w:jc w:val="both"/>
              <w:rPr>
                <w:rFonts w:cs="Times New Roman"/>
                <w:noProof/>
              </w:rPr>
            </w:pPr>
            <w:r>
              <w:rPr>
                <w:noProof/>
              </w:rPr>
              <w:t xml:space="preserve">najmanje 35 ugovora kojima se sufinanciraju istraživački projekti preporučeni za financiranje u okviru europskih partnerstava i misija EU-a, s proračunom od najviše 300 000 EUR za </w:t>
            </w:r>
            <w:r>
              <w:rPr>
                <w:noProof/>
              </w:rPr>
              <w:t>svakog rumunjskog partnera;</w:t>
            </w:r>
          </w:p>
          <w:p w14:paraId="3674D8B4" w14:textId="6F0C6496" w:rsidR="003F46B9" w:rsidRDefault="0065662E">
            <w:pPr>
              <w:pStyle w:val="P68B1DB1-ListParagraph13"/>
              <w:numPr>
                <w:ilvl w:val="5"/>
                <w:numId w:val="77"/>
              </w:numPr>
              <w:spacing w:after="0" w:line="240" w:lineRule="auto"/>
              <w:ind w:left="439"/>
              <w:jc w:val="both"/>
              <w:rPr>
                <w:rFonts w:cs="Times New Roman"/>
                <w:noProof/>
              </w:rPr>
            </w:pPr>
            <w:r>
              <w:rPr>
                <w:noProof/>
              </w:rPr>
              <w:t xml:space="preserve"> do 10 ugovora kojima se financiraju komplementarni projekti u svrhu povećanja učinka već financiranih projekata u okviru programa Obzor Europa i Obzor 2020., s proračunom od najviše 1 000 000 EUR po projektu; and</w:t>
            </w:r>
          </w:p>
          <w:p w14:paraId="3BAA478F" w14:textId="17E107C8" w:rsidR="003F46B9" w:rsidRDefault="0065662E">
            <w:pPr>
              <w:pStyle w:val="P68B1DB1-ListParagraph13"/>
              <w:numPr>
                <w:ilvl w:val="5"/>
                <w:numId w:val="77"/>
              </w:numPr>
              <w:spacing w:after="0" w:line="240" w:lineRule="auto"/>
              <w:ind w:left="439"/>
              <w:jc w:val="both"/>
              <w:rPr>
                <w:rFonts w:cs="Times New Roman"/>
                <w:noProof/>
              </w:rPr>
            </w:pPr>
            <w:r>
              <w:rPr>
                <w:noProof/>
              </w:rPr>
              <w:t xml:space="preserve"> do 10 ugovora</w:t>
            </w:r>
            <w:r>
              <w:rPr>
                <w:noProof/>
              </w:rPr>
              <w:t xml:space="preserve"> kojima se financiraju projekti izgradnje kapaciteta ljudskih resursa u sinergiji s nacionalnim programima/POCIDIF-om, s proračunom od najviše 500 000 EUR po projektu.</w:t>
            </w:r>
          </w:p>
          <w:p w14:paraId="149EE88F" w14:textId="41F1EFF1" w:rsidR="003F46B9" w:rsidRDefault="0065662E">
            <w:pPr>
              <w:pStyle w:val="P68B1DB1-Normal5"/>
              <w:spacing w:after="0" w:line="240" w:lineRule="auto"/>
              <w:jc w:val="both"/>
              <w:rPr>
                <w:rFonts w:cs="Times New Roman"/>
                <w:noProof/>
              </w:rPr>
            </w:pPr>
            <w:r>
              <w:rPr>
                <w:noProof/>
              </w:rPr>
              <w:t>Svim se ugovorima dodjeljuju dodatna sredstva za projekte istraživanja, razvoja i inovac</w:t>
            </w:r>
            <w:r>
              <w:rPr>
                <w:noProof/>
              </w:rPr>
              <w:t>ija u kontekstu projekata istraživanja, razvoja i inovacija koji su preporučeni za financiranje u okviru europskih partnerstava i misija EU-a i ocijenjeni su na globalnoj razini na europskoj razini na temelju pravila programa Obzor 2020. i Obzor Europa, pr</w:t>
            </w:r>
            <w:r>
              <w:rPr>
                <w:noProof/>
              </w:rPr>
              <w:t xml:space="preserve">i čemu se prednost daje zelenim ili digitalnim. </w:t>
            </w:r>
          </w:p>
          <w:p w14:paraId="7E9F7503" w14:textId="70182E49" w:rsidR="003F46B9" w:rsidRDefault="0065662E">
            <w:pPr>
              <w:pStyle w:val="P68B1DB1-Normal5"/>
              <w:spacing w:after="0" w:line="240" w:lineRule="auto"/>
              <w:jc w:val="both"/>
              <w:rPr>
                <w:rFonts w:cs="Times New Roman"/>
                <w:noProof/>
              </w:rPr>
            </w:pPr>
            <w:r>
              <w:rPr>
                <w:noProof/>
              </w:rPr>
              <w:t>Ugovori o financiranju istraživanja potpisuju se zasebno sa svakim rumunjskim partnerom uključenim u konzorcije partnerstava EU-a ili misiju EU-a u cilju povećanja uspješnog sudjelovanja u partnerstvima za i</w:t>
            </w:r>
            <w:r>
              <w:rPr>
                <w:noProof/>
              </w:rPr>
              <w:t xml:space="preserve">straživanje, razvoj i inovacije u okviru programa Obzor Europa. </w:t>
            </w:r>
          </w:p>
          <w:p w14:paraId="5AA6F556" w14:textId="77777777" w:rsidR="003F46B9" w:rsidRDefault="0065662E">
            <w:pPr>
              <w:pStyle w:val="P68B1DB1-Normal5"/>
              <w:spacing w:after="0" w:line="240" w:lineRule="auto"/>
              <w:ind w:right="30"/>
              <w:jc w:val="both"/>
              <w:rPr>
                <w:rFonts w:cs="Times New Roman"/>
                <w:noProof/>
              </w:rPr>
            </w:pPr>
            <w:r>
              <w:rPr>
                <w:noProof/>
              </w:rPr>
              <w:t xml:space="preserve">Vrste prihvatljivih aktivnosti koje će se financirati za sve vrste projekata su: </w:t>
            </w:r>
          </w:p>
          <w:p w14:paraId="521EDD7A" w14:textId="242D2017" w:rsidR="003F46B9" w:rsidRDefault="0065662E">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Temeljna istraživanja; </w:t>
            </w:r>
          </w:p>
          <w:p w14:paraId="0523671E" w14:textId="77777777" w:rsidR="003F46B9" w:rsidRDefault="0065662E">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Industrijsko istraživanje; </w:t>
            </w:r>
          </w:p>
          <w:p w14:paraId="3A379C8D" w14:textId="77777777" w:rsidR="003F46B9" w:rsidRDefault="0065662E">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Eksperimentalni razvoj; </w:t>
            </w:r>
          </w:p>
          <w:p w14:paraId="027D9EF9" w14:textId="77777777" w:rsidR="003F46B9" w:rsidRDefault="0065662E">
            <w:pPr>
              <w:pStyle w:val="P68B1DB1-Normal5"/>
              <w:numPr>
                <w:ilvl w:val="0"/>
                <w:numId w:val="76"/>
              </w:numPr>
              <w:spacing w:before="120" w:after="0" w:line="240" w:lineRule="auto"/>
              <w:ind w:left="299" w:right="30" w:hanging="218"/>
              <w:contextualSpacing/>
              <w:jc w:val="both"/>
              <w:rPr>
                <w:rFonts w:cs="Times New Roman"/>
                <w:noProof/>
              </w:rPr>
            </w:pPr>
            <w:r>
              <w:rPr>
                <w:noProof/>
              </w:rPr>
              <w:t xml:space="preserve">Studije izvedivosti; </w:t>
            </w:r>
          </w:p>
          <w:p w14:paraId="28487074" w14:textId="77777777" w:rsidR="003F46B9" w:rsidRDefault="0065662E">
            <w:pPr>
              <w:pStyle w:val="P68B1DB1-Normal5"/>
              <w:numPr>
                <w:ilvl w:val="0"/>
                <w:numId w:val="76"/>
              </w:numPr>
              <w:spacing w:before="120" w:after="0" w:line="240" w:lineRule="auto"/>
              <w:ind w:left="299" w:right="30" w:hanging="218"/>
              <w:contextualSpacing/>
              <w:jc w:val="both"/>
              <w:rPr>
                <w:rFonts w:cs="Times New Roman"/>
                <w:noProof/>
              </w:rPr>
            </w:pPr>
            <w:r>
              <w:rPr>
                <w:noProof/>
              </w:rPr>
              <w:t>Inovacijske aktivnosti;</w:t>
            </w:r>
          </w:p>
          <w:p w14:paraId="7E0EDC3E" w14:textId="77777777" w:rsidR="003F46B9" w:rsidRDefault="0065662E">
            <w:pPr>
              <w:pStyle w:val="P68B1DB1-Normal5"/>
              <w:spacing w:after="0" w:line="240" w:lineRule="auto"/>
              <w:jc w:val="both"/>
              <w:rPr>
                <w:rFonts w:cs="Times New Roman"/>
                <w:noProof/>
              </w:rPr>
            </w:pPr>
            <w:r>
              <w:rPr>
                <w:noProof/>
              </w:rPr>
              <w:t>Kako bi se osigurala usklađenost s tehničkim smjernicama o nenanošenju bitne štete (2021/C58/01), aktivnosti istraživanja, razvoja i inovacija koje se odnose na aktivnosti/imovinu s popisa za isključenje isključuju se iz prihvatljiv</w:t>
            </w:r>
            <w:r>
              <w:rPr>
                <w:noProof/>
              </w:rPr>
              <w:t>osti.</w:t>
            </w:r>
          </w:p>
        </w:tc>
      </w:tr>
      <w:tr w:rsidR="003F46B9" w14:paraId="34ABDFE0"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58B8BF48" w14:textId="77777777" w:rsidR="003F46B9" w:rsidRDefault="0065662E">
            <w:pPr>
              <w:pStyle w:val="P68B1DB1-Normal5"/>
              <w:spacing w:after="0" w:line="240" w:lineRule="auto"/>
              <w:jc w:val="center"/>
              <w:rPr>
                <w:rFonts w:cs="Times New Roman"/>
                <w:noProof/>
              </w:rPr>
            </w:pPr>
            <w:r>
              <w:rPr>
                <w:noProof/>
              </w:rPr>
              <w:t>284</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428F013A" w14:textId="77777777" w:rsidR="003F46B9" w:rsidRDefault="0065662E">
            <w:pPr>
              <w:pStyle w:val="P68B1DB1-Normal5"/>
              <w:spacing w:after="0" w:line="240" w:lineRule="auto"/>
              <w:jc w:val="both"/>
              <w:rPr>
                <w:rFonts w:cs="Times New Roman"/>
                <w:noProof/>
              </w:rPr>
            </w:pPr>
            <w:r>
              <w:rPr>
                <w:noProof/>
              </w:rPr>
              <w:t>Ulaganje 8. Razvoj programa za privlačenje visokospecijaliziranih ljudskih resursa iz inozemstva u aktivnostima istraživanja, razvoja i inovacija</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032EE045"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385E7482" w14:textId="77777777" w:rsidR="003F46B9" w:rsidRDefault="0065662E">
            <w:pPr>
              <w:pStyle w:val="P68B1DB1-Normal5"/>
              <w:spacing w:after="0" w:line="240" w:lineRule="auto"/>
              <w:jc w:val="both"/>
              <w:rPr>
                <w:rFonts w:cs="Times New Roman"/>
                <w:noProof/>
              </w:rPr>
            </w:pPr>
            <w:r>
              <w:rPr>
                <w:noProof/>
              </w:rPr>
              <w:t xml:space="preserve">Projekti koje vode međunarodni istraživači </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1AA876F9"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BE8ED79" w14:textId="77777777" w:rsidR="003F46B9" w:rsidRDefault="003F46B9">
            <w:pPr>
              <w:spacing w:after="0" w:line="240" w:lineRule="auto"/>
              <w:jc w:val="both"/>
              <w:rPr>
                <w:rFonts w:ascii="Times New Roman" w:eastAsia="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1EB0B95"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712817B0" w14:textId="77777777" w:rsidR="003F46B9" w:rsidRDefault="0065662E">
            <w:pPr>
              <w:pStyle w:val="P68B1DB1-Normal5"/>
              <w:spacing w:after="0" w:line="240" w:lineRule="auto"/>
              <w:jc w:val="both"/>
              <w:rPr>
                <w:rFonts w:eastAsia="Times New Roman" w:cs="Times New Roman"/>
                <w:noProof/>
              </w:rPr>
            </w:pPr>
            <w:r>
              <w:rPr>
                <w:noProof/>
              </w:rPr>
              <w:t>100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2A219C7F"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667D7ACB"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6DCA299" w14:textId="77777777" w:rsidR="003F46B9" w:rsidRDefault="0065662E">
            <w:pPr>
              <w:pStyle w:val="P68B1DB1-Normal5"/>
              <w:spacing w:after="0" w:line="240" w:lineRule="auto"/>
              <w:jc w:val="both"/>
              <w:rPr>
                <w:rFonts w:cs="Times New Roman"/>
                <w:noProof/>
              </w:rPr>
            </w:pPr>
            <w:r>
              <w:rPr>
                <w:noProof/>
              </w:rPr>
              <w:t xml:space="preserve">100 projekata </w:t>
            </w:r>
            <w:r>
              <w:rPr>
                <w:noProof/>
              </w:rPr>
              <w:t>koje vode vrhunski međunarodni istraživači financirat će se iz programa financiranja. Javni otvoreni poziv za kandidature objavljuje se 2022., a kandidati se odabiru na temelju niza kriterija kvalitete. Odabrani istraživači povećavaju istraživački kapacite</w:t>
            </w:r>
            <w:r>
              <w:rPr>
                <w:noProof/>
              </w:rPr>
              <w:t>t organizacije za istraživanje, razvoj i inovacije te povećavaju institucijsku uspješnost organizacije domaćina.</w:t>
            </w:r>
          </w:p>
          <w:p w14:paraId="0956B428" w14:textId="77777777" w:rsidR="003F46B9" w:rsidRDefault="0065662E">
            <w:pPr>
              <w:pStyle w:val="P68B1DB1-Normal5"/>
              <w:spacing w:after="0" w:line="240" w:lineRule="auto"/>
              <w:jc w:val="both"/>
              <w:rPr>
                <w:rFonts w:cs="Times New Roman"/>
                <w:noProof/>
              </w:rPr>
            </w:pPr>
            <w:r>
              <w:rPr>
                <w:noProof/>
              </w:rPr>
              <w:t xml:space="preserve">Kriteriji za odabir istraživačkih projekata uključuju: </w:t>
            </w:r>
          </w:p>
          <w:p w14:paraId="5E4A1DA6" w14:textId="77777777" w:rsidR="003F46B9" w:rsidRDefault="0065662E">
            <w:pPr>
              <w:pStyle w:val="P68B1DB1-ListParagraph13"/>
              <w:numPr>
                <w:ilvl w:val="0"/>
                <w:numId w:val="80"/>
              </w:numPr>
              <w:spacing w:after="0" w:line="240" w:lineRule="auto"/>
              <w:jc w:val="both"/>
              <w:rPr>
                <w:rFonts w:cs="Times New Roman"/>
                <w:noProof/>
              </w:rPr>
            </w:pPr>
            <w:r>
              <w:rPr>
                <w:noProof/>
              </w:rPr>
              <w:t>istraživač sa sjedištem izvan Rumunjske koji je barem posljednje tri godine provodio is</w:t>
            </w:r>
            <w:r>
              <w:rPr>
                <w:noProof/>
              </w:rPr>
              <w:t xml:space="preserve">traživanja izvan Rumunjske; </w:t>
            </w:r>
          </w:p>
          <w:p w14:paraId="5C604F35" w14:textId="77777777" w:rsidR="003F46B9" w:rsidRDefault="0065662E">
            <w:pPr>
              <w:pStyle w:val="P68B1DB1-ListParagraph13"/>
              <w:numPr>
                <w:ilvl w:val="0"/>
                <w:numId w:val="80"/>
              </w:numPr>
              <w:spacing w:after="0" w:line="240" w:lineRule="auto"/>
              <w:jc w:val="both"/>
              <w:rPr>
                <w:rFonts w:cs="Times New Roman"/>
                <w:noProof/>
              </w:rPr>
            </w:pPr>
            <w:r>
              <w:rPr>
                <w:noProof/>
              </w:rPr>
              <w:t xml:space="preserve">doktorski studij najmanje tri godine prije datuma podnošenja zahtjeva za dodjelu bespovratnih sredstava; </w:t>
            </w:r>
          </w:p>
          <w:p w14:paraId="75CB7F4A" w14:textId="77777777" w:rsidR="003F46B9" w:rsidRDefault="0065662E">
            <w:pPr>
              <w:pStyle w:val="P68B1DB1-ListParagraph13"/>
              <w:numPr>
                <w:ilvl w:val="0"/>
                <w:numId w:val="80"/>
              </w:numPr>
              <w:spacing w:after="0" w:line="240" w:lineRule="auto"/>
              <w:jc w:val="both"/>
              <w:rPr>
                <w:rFonts w:cs="Times New Roman"/>
                <w:noProof/>
              </w:rPr>
            </w:pPr>
            <w:r>
              <w:rPr>
                <w:noProof/>
              </w:rPr>
              <w:t>ima dokazanu sposobnost da neovisno privuče konkurentno financiranje od svojih koordinacijskih istraživačkih timova, uklj</w:t>
            </w:r>
            <w:r>
              <w:rPr>
                <w:noProof/>
              </w:rPr>
              <w:t>učujući doktorske studente (posebni uvjeti prihvatljivosti kao vrhunskog istraživača navode se u informacijskom paketu);</w:t>
            </w:r>
          </w:p>
          <w:p w14:paraId="1ADF2E53" w14:textId="77777777" w:rsidR="003F46B9" w:rsidRDefault="0065662E">
            <w:pPr>
              <w:pStyle w:val="P68B1DB1-ListParagraph13"/>
              <w:numPr>
                <w:ilvl w:val="0"/>
                <w:numId w:val="80"/>
              </w:numPr>
              <w:spacing w:after="0" w:line="240" w:lineRule="auto"/>
              <w:jc w:val="both"/>
              <w:rPr>
                <w:rFonts w:cs="Times New Roman"/>
                <w:noProof/>
              </w:rPr>
            </w:pPr>
            <w:r>
              <w:rPr>
                <w:noProof/>
              </w:rPr>
              <w:t>koordinira bespovratna sredstva i sredstva za projekt te donosi odluke o dodjeli sredstava; Neovisno objavljuje kao prvi autor i/ili au</w:t>
            </w:r>
            <w:r>
              <w:rPr>
                <w:noProof/>
              </w:rPr>
              <w:t xml:space="preserve">tor korespondenta; </w:t>
            </w:r>
          </w:p>
          <w:p w14:paraId="7F00E41D" w14:textId="77777777" w:rsidR="003F46B9" w:rsidRDefault="0065662E">
            <w:pPr>
              <w:pStyle w:val="P68B1DB1-ListParagraph13"/>
              <w:numPr>
                <w:ilvl w:val="0"/>
                <w:numId w:val="80"/>
              </w:numPr>
              <w:spacing w:after="0" w:line="240" w:lineRule="auto"/>
              <w:jc w:val="both"/>
              <w:rPr>
                <w:rFonts w:cs="Times New Roman"/>
                <w:noProof/>
              </w:rPr>
            </w:pPr>
            <w:r>
              <w:rPr>
                <w:noProof/>
              </w:rPr>
              <w:t xml:space="preserve">graditi i nadzirati rad tima, uključujući doktorske kandidate i postdoktorske istraživače; </w:t>
            </w:r>
          </w:p>
          <w:p w14:paraId="603C350E" w14:textId="77777777" w:rsidR="003F46B9" w:rsidRDefault="0065662E">
            <w:pPr>
              <w:pStyle w:val="P68B1DB1-ListParagraph13"/>
              <w:numPr>
                <w:ilvl w:val="0"/>
                <w:numId w:val="80"/>
              </w:numPr>
              <w:spacing w:after="0" w:line="240" w:lineRule="auto"/>
              <w:jc w:val="both"/>
              <w:rPr>
                <w:rFonts w:cs="Times New Roman"/>
                <w:noProof/>
              </w:rPr>
            </w:pPr>
            <w:r>
              <w:rPr>
                <w:noProof/>
              </w:rPr>
              <w:t>ima pristup drugim područjima i objektima za provođenje istraživanja. Glavni istraživač aktivan je u ustanovi domaćinu najmanje 75 % razdoblja o</w:t>
            </w:r>
            <w:r>
              <w:rPr>
                <w:noProof/>
              </w:rPr>
              <w:t>buhvaćenog stipendijom i zaposlen je u ustanovi domaćinu tijekom trajanja projekta.”</w:t>
            </w:r>
          </w:p>
          <w:p w14:paraId="00CC3222" w14:textId="77777777" w:rsidR="003F46B9" w:rsidRDefault="0065662E">
            <w:pPr>
              <w:pStyle w:val="P68B1DB1-Normal5"/>
              <w:spacing w:after="0" w:line="240" w:lineRule="auto"/>
              <w:jc w:val="both"/>
              <w:rPr>
                <w:rFonts w:cs="Times New Roman"/>
                <w:noProof/>
              </w:rPr>
            </w:pPr>
            <w:r>
              <w:rPr>
                <w:noProof/>
              </w:rPr>
              <w:t>Kako bi se osigurala usklađenost s tehničkim smjernicama „ne nanosi bitnu štetu” (2021/C58/01), aktivnosti istraživanja, razvoja i inovacija koje se odnose na djelatnosti/</w:t>
            </w:r>
            <w:r>
              <w:rPr>
                <w:noProof/>
              </w:rPr>
              <w:t>imovinu s popisa za isključenje isključuju se iz prihvatljivosti.</w:t>
            </w:r>
          </w:p>
        </w:tc>
      </w:tr>
      <w:tr w:rsidR="003F46B9" w14:paraId="60688786"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40B85D95" w14:textId="77777777" w:rsidR="003F46B9" w:rsidRDefault="0065662E">
            <w:pPr>
              <w:pStyle w:val="P68B1DB1-Normal5"/>
              <w:spacing w:after="0" w:line="240" w:lineRule="auto"/>
              <w:jc w:val="center"/>
              <w:rPr>
                <w:rFonts w:cs="Times New Roman"/>
                <w:noProof/>
              </w:rPr>
            </w:pPr>
            <w:r>
              <w:rPr>
                <w:noProof/>
              </w:rPr>
              <w:t>285</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BEAEDDC" w14:textId="76366D27" w:rsidR="003F46B9" w:rsidRDefault="0065662E">
            <w:pPr>
              <w:pStyle w:val="P68B1DB1-Normal5"/>
              <w:spacing w:after="0" w:line="240" w:lineRule="auto"/>
              <w:jc w:val="both"/>
              <w:rPr>
                <w:rFonts w:cs="Times New Roman"/>
                <w:noProof/>
              </w:rPr>
            </w:pPr>
            <w:r>
              <w:rPr>
                <w:noProof/>
              </w:rPr>
              <w:t>Ulaganje 9. Potpora nositeljima svjedodžbi o izvrsnosti primljenih u okviru Nagrade za individualnu stipendiju Marie Sklodowska Curie</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7EB41970"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5E40DC17" w14:textId="77777777" w:rsidR="003F46B9" w:rsidRDefault="0065662E">
            <w:pPr>
              <w:pStyle w:val="P68B1DB1-Normal5"/>
              <w:spacing w:after="0" w:line="240" w:lineRule="auto"/>
              <w:jc w:val="both"/>
              <w:rPr>
                <w:rFonts w:cs="Times New Roman"/>
                <w:noProof/>
              </w:rPr>
            </w:pPr>
            <w:r>
              <w:rPr>
                <w:noProof/>
              </w:rPr>
              <w:t xml:space="preserve">Primatelji pečata izvrsnosti Marie </w:t>
            </w:r>
            <w:r>
              <w:rPr>
                <w:noProof/>
              </w:rPr>
              <w:t>Sklodowska Curie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794848AD"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65190B62" w14:textId="77777777" w:rsidR="003F46B9" w:rsidRDefault="0065662E">
            <w:pPr>
              <w:pStyle w:val="P68B1DB1-Normal5"/>
              <w:spacing w:after="0" w:line="240" w:lineRule="auto"/>
              <w:jc w:val="both"/>
              <w:rPr>
                <w:rFonts w:eastAsia="Times New Roman"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0CD6963B" w14:textId="77777777" w:rsidR="003F46B9" w:rsidRDefault="0065662E">
            <w:pPr>
              <w:pStyle w:val="P68B1DB1-Normal5"/>
              <w:spacing w:after="0" w:line="240" w:lineRule="auto"/>
              <w:jc w:val="both"/>
              <w:rPr>
                <w:rFonts w:eastAsia="Times New Roman"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1F4E10EE" w14:textId="7234DEDB" w:rsidR="003F46B9" w:rsidRDefault="0065662E">
            <w:pPr>
              <w:pStyle w:val="P68B1DB1-Normal5"/>
              <w:spacing w:after="0" w:line="240" w:lineRule="auto"/>
              <w:jc w:val="both"/>
              <w:rPr>
                <w:rFonts w:eastAsia="Times New Roman" w:cs="Times New Roman"/>
                <w:noProof/>
              </w:rPr>
            </w:pPr>
            <w:r>
              <w:rPr>
                <w:noProof/>
              </w:rPr>
              <w:t>10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EC367B" w14:textId="77777777" w:rsidR="003F46B9" w:rsidRDefault="0065662E">
            <w:pPr>
              <w:pStyle w:val="P68B1DB1-Normal5"/>
              <w:spacing w:after="0" w:line="240" w:lineRule="auto"/>
              <w:jc w:val="center"/>
              <w:rPr>
                <w:rFonts w:cs="Times New Roman"/>
                <w:noProof/>
              </w:rPr>
            </w:pPr>
            <w:r>
              <w:rPr>
                <w:noProof/>
              </w:rPr>
              <w:t>ČETVRTO 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0F2D31E"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E99F5DA" w14:textId="1A1B4999" w:rsidR="003F46B9" w:rsidRDefault="0065662E">
            <w:pPr>
              <w:pStyle w:val="P68B1DB1-Normal5"/>
              <w:spacing w:after="0" w:line="240" w:lineRule="auto"/>
              <w:jc w:val="both"/>
              <w:rPr>
                <w:rFonts w:cs="Times New Roman"/>
                <w:noProof/>
              </w:rPr>
            </w:pPr>
            <w:r>
              <w:rPr>
                <w:noProof/>
              </w:rPr>
              <w:t>Najmanje 10 korisnika pečata izvrsnosti Marie Sklodowska za izvrsne pojedinačne stipendije prima bespovratna sredstva za provedbu istraživačkih projekata u okviru programa Obzor 2020. i Obzor Europa.</w:t>
            </w:r>
          </w:p>
          <w:p w14:paraId="43795867" w14:textId="0D103418" w:rsidR="003F46B9" w:rsidRDefault="0065662E">
            <w:pPr>
              <w:pStyle w:val="P68B1DB1-Normal5"/>
              <w:spacing w:after="0" w:line="240" w:lineRule="auto"/>
              <w:jc w:val="both"/>
              <w:rPr>
                <w:rFonts w:cs="Times New Roman"/>
                <w:noProof/>
              </w:rPr>
            </w:pPr>
            <w:r>
              <w:rPr>
                <w:noProof/>
              </w:rPr>
              <w:t>Bu</w:t>
            </w:r>
            <w:r>
              <w:rPr>
                <w:noProof/>
              </w:rPr>
              <w:t xml:space="preserve">dući da su projekti već evaluirani i dobili potvrdu o pečatu izvrsnosti (što je kriterij prihvatljivosti), bespovratna sredstva odabiru se prema redoslijedu prijave, nakon otvorenog i transparentnog poziva na iskaz interesa. </w:t>
            </w:r>
          </w:p>
          <w:p w14:paraId="214147B4" w14:textId="77777777" w:rsidR="003F46B9" w:rsidRDefault="0065662E">
            <w:pPr>
              <w:pStyle w:val="P68B1DB1-Normal5"/>
              <w:spacing w:after="0" w:line="240" w:lineRule="auto"/>
              <w:jc w:val="both"/>
              <w:rPr>
                <w:rFonts w:cs="Times New Roman"/>
                <w:noProof/>
              </w:rPr>
            </w:pPr>
            <w:r>
              <w:rPr>
                <w:noProof/>
              </w:rPr>
              <w:t>Kako bi se osigurala usklađeno</w:t>
            </w:r>
            <w:r>
              <w:rPr>
                <w:noProof/>
              </w:rPr>
              <w:t>st s tehničkim smjernicama „ne nanosi bitnu štetu” (2021/C58/01), aktivnosti istraživanja, razvoja i inovacija koje se odnose na djelatnosti/imovinu s popisa za isključenje isključuju se iz prihvatljivosti.</w:t>
            </w:r>
          </w:p>
        </w:tc>
      </w:tr>
      <w:tr w:rsidR="003F46B9" w14:paraId="31618D25"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2524164B" w14:textId="77777777" w:rsidR="003F46B9" w:rsidRDefault="0065662E">
            <w:pPr>
              <w:pStyle w:val="P68B1DB1-Normal5"/>
              <w:spacing w:after="0" w:line="240" w:lineRule="auto"/>
              <w:jc w:val="center"/>
              <w:rPr>
                <w:rFonts w:cs="Times New Roman"/>
                <w:noProof/>
              </w:rPr>
            </w:pPr>
            <w:r>
              <w:rPr>
                <w:noProof/>
              </w:rPr>
              <w:t>286</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74780353" w14:textId="77777777" w:rsidR="003F46B9" w:rsidRDefault="0065662E">
            <w:pPr>
              <w:pStyle w:val="P68B1DB1-Normal5"/>
              <w:spacing w:after="0" w:line="240" w:lineRule="auto"/>
              <w:jc w:val="both"/>
              <w:rPr>
                <w:rFonts w:cs="Times New Roman"/>
                <w:noProof/>
              </w:rPr>
            </w:pPr>
            <w:r>
              <w:rPr>
                <w:noProof/>
              </w:rPr>
              <w:t>Ulaganje 10. Uspostava i financijska potpora</w:t>
            </w:r>
            <w:r>
              <w:rPr>
                <w:noProof/>
              </w:rPr>
              <w:t xml:space="preserve"> nacionalne mreže osam regionalnih centara za profesionalno usmjeravanje u okviru Platforme europskog istraživačkog prostora za talente</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3B247D51" w14:textId="77777777" w:rsidR="003F46B9" w:rsidRDefault="0065662E">
            <w:pPr>
              <w:pStyle w:val="P68B1DB1-Normal5"/>
              <w:spacing w:after="0" w:line="240" w:lineRule="auto"/>
              <w:jc w:val="center"/>
              <w:rPr>
                <w:rFonts w:cs="Times New Roman"/>
                <w:noProof/>
              </w:rPr>
            </w:pPr>
            <w:r>
              <w:rPr>
                <w:noProof/>
              </w:rPr>
              <w:t>Prekretnica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01E85124" w14:textId="5E36ED6A" w:rsidR="003F46B9" w:rsidRDefault="0065662E">
            <w:pPr>
              <w:pStyle w:val="P68B1DB1-Normal5"/>
              <w:spacing w:after="0" w:line="240" w:lineRule="auto"/>
              <w:jc w:val="both"/>
              <w:rPr>
                <w:rFonts w:cs="Times New Roman"/>
                <w:noProof/>
              </w:rPr>
            </w:pPr>
            <w:r>
              <w:rPr>
                <w:noProof/>
              </w:rPr>
              <w:t>Mreža javnih sveučilišta koja su domaćini i operativni osam centara za istraživačku karijeru</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487D74D8" w14:textId="77777777" w:rsidR="003F46B9" w:rsidRDefault="0065662E">
            <w:pPr>
              <w:pStyle w:val="P68B1DB1-Normal5"/>
              <w:spacing w:after="0" w:line="240" w:lineRule="auto"/>
              <w:jc w:val="both"/>
              <w:rPr>
                <w:rFonts w:cs="Times New Roman"/>
                <w:noProof/>
              </w:rPr>
            </w:pPr>
            <w:r>
              <w:rPr>
                <w:noProof/>
              </w:rPr>
              <w:t> Ugovor o dodjeli ugovora za javna sveučilišta koja su zainteresirana za udomljavanje i operacionalizaciju 8 centara za istraživačku karijeru</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0FF8671A" w14:textId="77777777" w:rsidR="003F46B9" w:rsidRDefault="003F46B9">
            <w:pPr>
              <w:spacing w:after="0" w:line="240" w:lineRule="auto"/>
              <w:jc w:val="both"/>
              <w:rPr>
                <w:rFonts w:ascii="Times New Roman" w:hAnsi="Times New Roman" w:cs="Times New Roman"/>
                <w:noProof/>
                <w:sz w:val="24"/>
              </w:rPr>
            </w:pP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479818C0" w14:textId="77777777" w:rsidR="003F46B9" w:rsidRDefault="003F46B9">
            <w:pPr>
              <w:spacing w:after="0" w:line="240" w:lineRule="auto"/>
              <w:jc w:val="both"/>
              <w:rPr>
                <w:rFonts w:ascii="Times New Roman" w:hAnsi="Times New Roman" w:cs="Times New Roman"/>
                <w:noProof/>
                <w:sz w:val="24"/>
              </w:rPr>
            </w:pP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30FA6274" w14:textId="77777777" w:rsidR="003F46B9" w:rsidRDefault="003F46B9">
            <w:pPr>
              <w:spacing w:after="0" w:line="240" w:lineRule="auto"/>
              <w:jc w:val="both"/>
              <w:rPr>
                <w:rFonts w:ascii="Times New Roman" w:hAnsi="Times New Roman" w:cs="Times New Roman"/>
                <w:noProof/>
                <w:sz w:val="24"/>
              </w:rPr>
            </w:pP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109FDAC7"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5F98C794" w14:textId="77777777" w:rsidR="003F46B9" w:rsidRDefault="0065662E">
            <w:pPr>
              <w:pStyle w:val="P68B1DB1-Normal5"/>
              <w:spacing w:after="0" w:line="240" w:lineRule="auto"/>
              <w:jc w:val="center"/>
              <w:rPr>
                <w:rFonts w:cs="Times New Roman"/>
                <w:noProof/>
              </w:rPr>
            </w:pPr>
            <w:r>
              <w:rPr>
                <w:noProof/>
              </w:rPr>
              <w:t>2023</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032D56F4" w14:textId="77777777" w:rsidR="003F46B9" w:rsidRDefault="0065662E">
            <w:pPr>
              <w:pStyle w:val="P68B1DB1-Normal5"/>
              <w:spacing w:after="0" w:line="240" w:lineRule="auto"/>
              <w:jc w:val="both"/>
              <w:rPr>
                <w:rFonts w:cs="Times New Roman"/>
                <w:noProof/>
              </w:rPr>
            </w:pPr>
            <w:r>
              <w:rPr>
                <w:noProof/>
              </w:rPr>
              <w:t>Ministarstvo istraživanja, digitalizacije i inovacija objavit će natjecateljski poziv za odabi</w:t>
            </w:r>
            <w:r>
              <w:rPr>
                <w:noProof/>
              </w:rPr>
              <w:t xml:space="preserve">r mreže od osam javnih sveučilišta zainteresiranih za udomljavanje i operacionalizaciju 8 centara za istraživačku karijeru. Centri će se baviti potrebama znanstvene zajednice iz svih regija Rumunjske (u centrima su domaćini sveučilišta, ali usluge se nude </w:t>
            </w:r>
            <w:r>
              <w:rPr>
                <w:noProof/>
              </w:rPr>
              <w:t>regionalnim zajednicama).</w:t>
            </w:r>
          </w:p>
          <w:p w14:paraId="7D6D8E7A" w14:textId="77777777" w:rsidR="003F46B9" w:rsidRDefault="0065662E">
            <w:pPr>
              <w:pStyle w:val="P68B1DB1-Normal5"/>
              <w:spacing w:after="0" w:line="240" w:lineRule="auto"/>
              <w:jc w:val="both"/>
              <w:rPr>
                <w:rFonts w:cs="Times New Roman"/>
                <w:noProof/>
              </w:rPr>
            </w:pPr>
            <w:r>
              <w:rPr>
                <w:noProof/>
              </w:rPr>
              <w:t>Regionalni centri za orijentaciju pružatelja istraživačke skrbi imaju sljedeće uloge:</w:t>
            </w:r>
          </w:p>
          <w:p w14:paraId="67A43364" w14:textId="77777777" w:rsidR="003F46B9" w:rsidRDefault="0065662E">
            <w:pPr>
              <w:pStyle w:val="P68B1DB1-Normal5"/>
              <w:numPr>
                <w:ilvl w:val="0"/>
                <w:numId w:val="71"/>
              </w:numPr>
              <w:spacing w:before="120"/>
              <w:ind w:left="157" w:hanging="157"/>
              <w:contextualSpacing/>
              <w:jc w:val="both"/>
              <w:rPr>
                <w:rFonts w:cs="Times New Roman"/>
                <w:noProof/>
              </w:rPr>
            </w:pPr>
            <w:r>
              <w:rPr>
                <w:noProof/>
              </w:rPr>
              <w:t>Pružanje profesionalnog usmjeravanja istraživačima, a 90 % primatelja takvih usluga zadovoljno je primljenim uslugama;</w:t>
            </w:r>
          </w:p>
          <w:p w14:paraId="21546004" w14:textId="77777777" w:rsidR="003F46B9" w:rsidRDefault="0065662E">
            <w:pPr>
              <w:pStyle w:val="P68B1DB1-Normal5"/>
              <w:numPr>
                <w:ilvl w:val="0"/>
                <w:numId w:val="71"/>
              </w:numPr>
              <w:spacing w:before="120"/>
              <w:ind w:left="157" w:hanging="157"/>
              <w:contextualSpacing/>
              <w:jc w:val="both"/>
              <w:rPr>
                <w:rFonts w:cs="Times New Roman"/>
                <w:noProof/>
              </w:rPr>
            </w:pPr>
            <w:r>
              <w:rPr>
                <w:noProof/>
              </w:rPr>
              <w:t>rad na promicanju naciona</w:t>
            </w:r>
            <w:r>
              <w:rPr>
                <w:noProof/>
              </w:rPr>
              <w:t xml:space="preserve">lnog sustava istraživanja, razvoja i inovacija, među ostalim stvaranjem izravnih sinergija s ulaganjem 4.4. i 100 bespovratnih sredstava koja će financirati i predvoditi vrhunski međunarodni istraživači </w:t>
            </w:r>
          </w:p>
          <w:p w14:paraId="3CF44761" w14:textId="1315574A" w:rsidR="003F46B9" w:rsidRDefault="0065662E">
            <w:pPr>
              <w:pStyle w:val="P68B1DB1-Normal5"/>
              <w:numPr>
                <w:ilvl w:val="0"/>
                <w:numId w:val="71"/>
              </w:numPr>
              <w:spacing w:before="120"/>
              <w:ind w:left="157" w:hanging="157"/>
              <w:contextualSpacing/>
              <w:jc w:val="both"/>
              <w:rPr>
                <w:rFonts w:cs="Times New Roman"/>
                <w:noProof/>
              </w:rPr>
            </w:pPr>
            <w:r>
              <w:rPr>
                <w:noProof/>
              </w:rPr>
              <w:t>djelovati kao mreža i postati jedinstvena ulazna toč</w:t>
            </w:r>
            <w:r>
              <w:rPr>
                <w:noProof/>
              </w:rPr>
              <w:t xml:space="preserve">ka za karijeru u području istraživanja. To je instrument za provedbu reformi karijere u području istraživanja (npr. praćenje broja organizacija za istraživanje, razvoj i inovacije koje su podržale Povelju i Kodeks istraživača te pomažu organizacijama koje </w:t>
            </w:r>
            <w:r>
              <w:rPr>
                <w:noProof/>
              </w:rPr>
              <w:t xml:space="preserve">su voljne pokrenuti postupak za HRS4R). </w:t>
            </w:r>
          </w:p>
          <w:p w14:paraId="02632A7C" w14:textId="77777777" w:rsidR="003F46B9" w:rsidRDefault="0065662E">
            <w:pPr>
              <w:pStyle w:val="P68B1DB1-Normal5"/>
              <w:numPr>
                <w:ilvl w:val="0"/>
                <w:numId w:val="71"/>
              </w:numPr>
              <w:spacing w:before="120"/>
              <w:ind w:left="157" w:hanging="157"/>
              <w:contextualSpacing/>
              <w:jc w:val="both"/>
              <w:rPr>
                <w:rFonts w:cs="Times New Roman"/>
                <w:noProof/>
              </w:rPr>
            </w:pPr>
            <w:r>
              <w:rPr>
                <w:noProof/>
              </w:rPr>
              <w:t>Rad na integriranom paketu s velikim programom usmjeren je na znanost s društvom i za društvo (8 sastavnica usredotočeno je na različite ciljne skupine, od mladih učenika do studenata i lokalnih zajednica), što je p</w:t>
            </w:r>
            <w:r>
              <w:rPr>
                <w:noProof/>
              </w:rPr>
              <w:t xml:space="preserve">ovezano s usmjerenošću na karijeru u području istraživanja, uz istodobno promicanje rumunjskih rezultata istraživanja u društvu, podizanje svijesti o prednostima znanosti i privlačenje mladih ljudi na istraživačke karijere. </w:t>
            </w:r>
          </w:p>
        </w:tc>
      </w:tr>
      <w:tr w:rsidR="003F46B9" w14:paraId="6530EBE1" w14:textId="77777777">
        <w:trPr>
          <w:trHeight w:val="309"/>
          <w:jc w:val="center"/>
        </w:trPr>
        <w:tc>
          <w:tcPr>
            <w:tcW w:w="606" w:type="dxa"/>
            <w:tcBorders>
              <w:top w:val="single" w:sz="4" w:space="0" w:color="auto"/>
              <w:left w:val="single" w:sz="4" w:space="0" w:color="auto"/>
              <w:bottom w:val="single" w:sz="4" w:space="0" w:color="auto"/>
              <w:right w:val="single" w:sz="4" w:space="0" w:color="auto"/>
            </w:tcBorders>
            <w:shd w:val="clear" w:color="auto" w:fill="C6EFCE"/>
            <w:noWrap/>
          </w:tcPr>
          <w:p w14:paraId="0670A3D5" w14:textId="77777777" w:rsidR="003F46B9" w:rsidRDefault="0065662E">
            <w:pPr>
              <w:pStyle w:val="P68B1DB1-Normal5"/>
              <w:spacing w:after="0" w:line="240" w:lineRule="auto"/>
              <w:jc w:val="center"/>
              <w:rPr>
                <w:rFonts w:cs="Times New Roman"/>
                <w:noProof/>
              </w:rPr>
            </w:pPr>
            <w:r>
              <w:rPr>
                <w:noProof/>
              </w:rPr>
              <w:t>287</w:t>
            </w:r>
          </w:p>
        </w:tc>
        <w:tc>
          <w:tcPr>
            <w:tcW w:w="1844" w:type="dxa"/>
            <w:tcBorders>
              <w:top w:val="single" w:sz="4" w:space="0" w:color="auto"/>
              <w:left w:val="single" w:sz="4" w:space="0" w:color="auto"/>
              <w:bottom w:val="single" w:sz="4" w:space="0" w:color="auto"/>
              <w:right w:val="single" w:sz="4" w:space="0" w:color="auto"/>
            </w:tcBorders>
            <w:shd w:val="clear" w:color="auto" w:fill="C6EFCE"/>
            <w:noWrap/>
          </w:tcPr>
          <w:p w14:paraId="2A49CF43" w14:textId="77777777" w:rsidR="003F46B9" w:rsidRDefault="0065662E">
            <w:pPr>
              <w:pStyle w:val="P68B1DB1-Normal5"/>
              <w:spacing w:after="0" w:line="240" w:lineRule="auto"/>
              <w:jc w:val="both"/>
              <w:rPr>
                <w:rFonts w:cs="Times New Roman"/>
                <w:noProof/>
              </w:rPr>
            </w:pPr>
            <w:r>
              <w:rPr>
                <w:noProof/>
              </w:rPr>
              <w:t xml:space="preserve">Ulaganje 10. Uspostava i </w:t>
            </w:r>
            <w:r>
              <w:rPr>
                <w:noProof/>
              </w:rPr>
              <w:t>financijska potpora nacionalne mreže osam regionalnih centara za profesionalno usmjeravanje u okviru Platforme europskog istraživačkog prostora za talente</w:t>
            </w:r>
          </w:p>
        </w:tc>
        <w:tc>
          <w:tcPr>
            <w:tcW w:w="1089" w:type="dxa"/>
            <w:tcBorders>
              <w:top w:val="single" w:sz="4" w:space="0" w:color="auto"/>
              <w:left w:val="single" w:sz="4" w:space="0" w:color="auto"/>
              <w:bottom w:val="single" w:sz="4" w:space="0" w:color="auto"/>
              <w:right w:val="single" w:sz="4" w:space="0" w:color="auto"/>
            </w:tcBorders>
            <w:shd w:val="clear" w:color="auto" w:fill="C6EFCE"/>
            <w:noWrap/>
          </w:tcPr>
          <w:p w14:paraId="6CA10F9C" w14:textId="77777777" w:rsidR="003F46B9" w:rsidRDefault="0065662E">
            <w:pPr>
              <w:pStyle w:val="P68B1DB1-Normal5"/>
              <w:spacing w:after="0" w:line="240" w:lineRule="auto"/>
              <w:jc w:val="center"/>
              <w:rPr>
                <w:rFonts w:cs="Times New Roman"/>
                <w:noProof/>
              </w:rPr>
            </w:pPr>
            <w:r>
              <w:rPr>
                <w:noProof/>
              </w:rPr>
              <w:t>Ciljna</w:t>
            </w:r>
          </w:p>
        </w:tc>
        <w:tc>
          <w:tcPr>
            <w:tcW w:w="1496" w:type="dxa"/>
            <w:tcBorders>
              <w:top w:val="single" w:sz="4" w:space="0" w:color="auto"/>
              <w:left w:val="single" w:sz="4" w:space="0" w:color="auto"/>
              <w:bottom w:val="single" w:sz="4" w:space="0" w:color="auto"/>
              <w:right w:val="single" w:sz="4" w:space="0" w:color="auto"/>
            </w:tcBorders>
            <w:shd w:val="clear" w:color="auto" w:fill="C6EFCE"/>
            <w:noWrap/>
          </w:tcPr>
          <w:p w14:paraId="79E0BE71" w14:textId="77777777" w:rsidR="003F46B9" w:rsidRDefault="0065662E">
            <w:pPr>
              <w:pStyle w:val="P68B1DB1-Normal5"/>
              <w:spacing w:after="0" w:line="240" w:lineRule="auto"/>
              <w:jc w:val="both"/>
              <w:rPr>
                <w:rFonts w:cs="Times New Roman"/>
                <w:noProof/>
              </w:rPr>
            </w:pPr>
            <w:r>
              <w:rPr>
                <w:noProof/>
              </w:rPr>
              <w:t>Istraživači koji su se koristili uslugama centara za profesionalno usmjeravanje</w:t>
            </w:r>
          </w:p>
        </w:tc>
        <w:tc>
          <w:tcPr>
            <w:tcW w:w="1766" w:type="dxa"/>
            <w:tcBorders>
              <w:top w:val="single" w:sz="4" w:space="0" w:color="auto"/>
              <w:left w:val="single" w:sz="4" w:space="0" w:color="auto"/>
              <w:bottom w:val="single" w:sz="4" w:space="0" w:color="auto"/>
              <w:right w:val="single" w:sz="4" w:space="0" w:color="auto"/>
            </w:tcBorders>
            <w:shd w:val="clear" w:color="auto" w:fill="C6EFCE"/>
            <w:noWrap/>
          </w:tcPr>
          <w:p w14:paraId="3DF6EF1C" w14:textId="77777777" w:rsidR="003F46B9" w:rsidRDefault="0065662E">
            <w:pPr>
              <w:pStyle w:val="P68B1DB1-Normal5"/>
              <w:spacing w:after="0" w:line="240" w:lineRule="auto"/>
              <w:jc w:val="both"/>
              <w:rPr>
                <w:rFonts w:cs="Times New Roman"/>
                <w:noProof/>
              </w:rPr>
            </w:pPr>
            <w:r>
              <w:rPr>
                <w:noProof/>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C6EFCE"/>
            <w:noWrap/>
          </w:tcPr>
          <w:p w14:paraId="453FDAF7" w14:textId="77777777" w:rsidR="003F46B9" w:rsidRDefault="0065662E">
            <w:pPr>
              <w:pStyle w:val="P68B1DB1-Normal5"/>
              <w:spacing w:after="0" w:line="240" w:lineRule="auto"/>
              <w:jc w:val="both"/>
              <w:rPr>
                <w:rFonts w:cs="Times New Roman"/>
                <w:noProof/>
              </w:rPr>
            </w:pPr>
            <w:r>
              <w:rPr>
                <w:noProof/>
              </w:rPr>
              <w:t>Broj</w:t>
            </w:r>
          </w:p>
        </w:tc>
        <w:tc>
          <w:tcPr>
            <w:tcW w:w="1299" w:type="dxa"/>
            <w:tcBorders>
              <w:top w:val="single" w:sz="4" w:space="0" w:color="auto"/>
              <w:left w:val="single" w:sz="4" w:space="0" w:color="auto"/>
              <w:bottom w:val="single" w:sz="4" w:space="0" w:color="auto"/>
              <w:right w:val="single" w:sz="4" w:space="0" w:color="auto"/>
            </w:tcBorders>
            <w:shd w:val="clear" w:color="auto" w:fill="C6EFCE"/>
            <w:noWrap/>
          </w:tcPr>
          <w:p w14:paraId="3DC00EBF" w14:textId="77777777" w:rsidR="003F46B9" w:rsidRDefault="0065662E">
            <w:pPr>
              <w:pStyle w:val="P68B1DB1-Normal5"/>
              <w:spacing w:after="0" w:line="240" w:lineRule="auto"/>
              <w:jc w:val="both"/>
              <w:rPr>
                <w:rFonts w:cs="Times New Roman"/>
                <w:noProof/>
              </w:rPr>
            </w:pPr>
            <w:r>
              <w:rPr>
                <w:noProof/>
              </w:rPr>
              <w:t>0</w:t>
            </w:r>
          </w:p>
        </w:tc>
        <w:tc>
          <w:tcPr>
            <w:tcW w:w="675" w:type="dxa"/>
            <w:tcBorders>
              <w:top w:val="single" w:sz="4" w:space="0" w:color="auto"/>
              <w:left w:val="single" w:sz="4" w:space="0" w:color="auto"/>
              <w:bottom w:val="single" w:sz="4" w:space="0" w:color="auto"/>
              <w:right w:val="single" w:sz="4" w:space="0" w:color="auto"/>
            </w:tcBorders>
            <w:shd w:val="clear" w:color="auto" w:fill="C6EFCE"/>
            <w:noWrap/>
          </w:tcPr>
          <w:p w14:paraId="0C028723" w14:textId="77777777" w:rsidR="003F46B9" w:rsidRDefault="0065662E">
            <w:pPr>
              <w:pStyle w:val="P68B1DB1-Normal5"/>
              <w:spacing w:after="0" w:line="240" w:lineRule="auto"/>
              <w:jc w:val="both"/>
              <w:rPr>
                <w:rFonts w:cs="Times New Roman"/>
                <w:noProof/>
              </w:rPr>
            </w:pPr>
            <w:r>
              <w:rPr>
                <w:noProof/>
              </w:rPr>
              <w:t>450</w:t>
            </w:r>
          </w:p>
        </w:tc>
        <w:tc>
          <w:tcPr>
            <w:tcW w:w="943" w:type="dxa"/>
            <w:tcBorders>
              <w:top w:val="single" w:sz="4" w:space="0" w:color="auto"/>
              <w:left w:val="single" w:sz="4" w:space="0" w:color="auto"/>
              <w:bottom w:val="single" w:sz="4" w:space="0" w:color="auto"/>
              <w:right w:val="single" w:sz="4" w:space="0" w:color="auto"/>
            </w:tcBorders>
            <w:shd w:val="clear" w:color="auto" w:fill="C6EFCE"/>
            <w:noWrap/>
          </w:tcPr>
          <w:p w14:paraId="580703B5" w14:textId="77777777" w:rsidR="003F46B9" w:rsidRDefault="0065662E">
            <w:pPr>
              <w:pStyle w:val="P68B1DB1-Normal5"/>
              <w:spacing w:after="0" w:line="240" w:lineRule="auto"/>
              <w:jc w:val="center"/>
              <w:rPr>
                <w:rFonts w:cs="Times New Roman"/>
                <w:noProof/>
              </w:rPr>
            </w:pPr>
            <w:r>
              <w:rPr>
                <w:noProof/>
              </w:rPr>
              <w:t>TROMJESEČJE</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14:paraId="20262739" w14:textId="77777777" w:rsidR="003F46B9" w:rsidRDefault="0065662E">
            <w:pPr>
              <w:pStyle w:val="P68B1DB1-Normal5"/>
              <w:spacing w:after="0" w:line="240" w:lineRule="auto"/>
              <w:jc w:val="center"/>
              <w:rPr>
                <w:rFonts w:cs="Times New Roman"/>
                <w:noProof/>
              </w:rPr>
            </w:pPr>
            <w:r>
              <w:rPr>
                <w:noProof/>
              </w:rPr>
              <w:t>2026</w:t>
            </w:r>
          </w:p>
        </w:tc>
        <w:tc>
          <w:tcPr>
            <w:tcW w:w="3760" w:type="dxa"/>
            <w:tcBorders>
              <w:top w:val="single" w:sz="4" w:space="0" w:color="auto"/>
              <w:left w:val="single" w:sz="4" w:space="0" w:color="auto"/>
              <w:bottom w:val="single" w:sz="4" w:space="0" w:color="auto"/>
              <w:right w:val="single" w:sz="4" w:space="0" w:color="auto"/>
            </w:tcBorders>
            <w:shd w:val="clear" w:color="auto" w:fill="C6EFCE"/>
            <w:noWrap/>
          </w:tcPr>
          <w:p w14:paraId="72BB81D5" w14:textId="77777777" w:rsidR="003F46B9" w:rsidRDefault="0065662E">
            <w:pPr>
              <w:pStyle w:val="P68B1DB1-Normal5"/>
              <w:spacing w:after="0" w:line="240" w:lineRule="auto"/>
              <w:jc w:val="both"/>
              <w:rPr>
                <w:rFonts w:cs="Times New Roman"/>
                <w:noProof/>
              </w:rPr>
            </w:pPr>
            <w:r>
              <w:rPr>
                <w:noProof/>
              </w:rPr>
              <w:t>450 istraživača koristi usluge centara za profesionalno usmjeravanje.</w:t>
            </w:r>
          </w:p>
          <w:p w14:paraId="1E70B733" w14:textId="77777777" w:rsidR="003F46B9" w:rsidRDefault="0065662E">
            <w:pPr>
              <w:pStyle w:val="P68B1DB1-Normal5"/>
              <w:spacing w:after="0" w:line="240" w:lineRule="auto"/>
              <w:jc w:val="both"/>
              <w:rPr>
                <w:rFonts w:cs="Times New Roman"/>
                <w:noProof/>
              </w:rPr>
            </w:pPr>
            <w:r>
              <w:rPr>
                <w:noProof/>
              </w:rPr>
              <w:t>Ministarstvo istraživanja, digitalizacije i inovacija objavit će natjecateljski poziv za odabir mreže od osam javnih sveučilišta zainteresiranih za udomljavanje i operac</w:t>
            </w:r>
            <w:r>
              <w:rPr>
                <w:noProof/>
              </w:rPr>
              <w:t xml:space="preserve">ionalizaciju 8 centara za istraživačku karijeru. </w:t>
            </w:r>
          </w:p>
        </w:tc>
      </w:tr>
    </w:tbl>
    <w:p w14:paraId="20D5F41A" w14:textId="77777777" w:rsidR="003F46B9" w:rsidRDefault="003F46B9">
      <w:pPr>
        <w:spacing w:before="120" w:after="120" w:line="240" w:lineRule="auto"/>
        <w:jc w:val="both"/>
        <w:rPr>
          <w:rFonts w:ascii="Times New Roman" w:hAnsi="Times New Roman" w:cs="Times New Roman"/>
          <w:noProof/>
        </w:rPr>
      </w:pPr>
    </w:p>
    <w:p w14:paraId="4B02495C" w14:textId="77777777" w:rsidR="003F46B9" w:rsidRDefault="003F46B9">
      <w:pPr>
        <w:spacing w:before="120" w:after="120" w:line="240" w:lineRule="auto"/>
        <w:jc w:val="both"/>
        <w:rPr>
          <w:rFonts w:ascii="Times New Roman" w:hAnsi="Times New Roman" w:cs="Times New Roman"/>
          <w:noProof/>
        </w:rPr>
        <w:sectPr w:rsidR="003F46B9">
          <w:headerReference w:type="even" r:id="rId204"/>
          <w:headerReference w:type="default" r:id="rId205"/>
          <w:footerReference w:type="even" r:id="rId206"/>
          <w:footerReference w:type="default" r:id="rId207"/>
          <w:headerReference w:type="first" r:id="rId208"/>
          <w:footerReference w:type="first" r:id="rId209"/>
          <w:pgSz w:w="16839" w:h="11907" w:orient="landscape"/>
          <w:pgMar w:top="1418" w:right="1134" w:bottom="1418" w:left="1134" w:header="709" w:footer="709" w:gutter="0"/>
          <w:cols w:space="720"/>
          <w:docGrid w:linePitch="360"/>
        </w:sectPr>
      </w:pPr>
    </w:p>
    <w:p w14:paraId="30151F64"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 DIO 10.: Lokalni fond </w:t>
      </w:r>
    </w:p>
    <w:p w14:paraId="35621905" w14:textId="77777777" w:rsidR="003F46B9" w:rsidRDefault="0065662E">
      <w:pPr>
        <w:pStyle w:val="P68B1DB1-Normal5"/>
        <w:spacing w:before="120" w:after="120" w:line="240" w:lineRule="auto"/>
        <w:jc w:val="both"/>
        <w:rPr>
          <w:rFonts w:cs="Times New Roman"/>
          <w:noProof/>
        </w:rPr>
      </w:pPr>
      <w:r>
        <w:rPr>
          <w:noProof/>
        </w:rPr>
        <w:t xml:space="preserve">Ta komponenta plana za oporavak i otpornost bavi se izazovima povezanima s teritorijalnim i socijalnim razlikama u urbanim i ruralnim područjima te gradskom mobilnošću. </w:t>
      </w:r>
    </w:p>
    <w:p w14:paraId="0F66988E" w14:textId="2249B9FD" w:rsidR="003F46B9" w:rsidRDefault="0065662E">
      <w:pPr>
        <w:pStyle w:val="P68B1DB1-Normal5"/>
        <w:spacing w:before="120" w:after="120" w:line="240" w:lineRule="auto"/>
        <w:jc w:val="both"/>
        <w:rPr>
          <w:rFonts w:cs="Times New Roman"/>
          <w:noProof/>
        </w:rPr>
      </w:pPr>
      <w:r>
        <w:rPr>
          <w:noProof/>
        </w:rPr>
        <w:t>Cilj je ove komponente poduprijeti urbanu i ruralnu preobrazbu primjenom zelenih i dig</w:t>
      </w:r>
      <w:r>
        <w:rPr>
          <w:noProof/>
        </w:rPr>
        <w:t xml:space="preserve">italnih rješenja. Reforme kojima se podupiru ulaganja uključuju regulatorne promjene za potporu funkcionalnom pristupu u urbanim i ruralnim područjima provedbom velegradskih područja i administrativnih konzorcija kako bi se povećao pristup lokalnim javnim </w:t>
      </w:r>
      <w:r>
        <w:rPr>
          <w:noProof/>
        </w:rPr>
        <w:t>socijalnim uslugama, obrazovanju, zdravstvenoj skrbi, stanovanju i boljem teritorijalnom planiranju. Komponenta uključuje i reforme za održivu gradsku mobilnost te bi je trebalo promatrati u vezi s komponentom „Održivi promet”. Ulaganja koja se podupiru ti</w:t>
      </w:r>
      <w:r>
        <w:rPr>
          <w:noProof/>
        </w:rPr>
        <w:t>m reformama odnose se na izgradnju stambenih objekata za ranjive mlade, zdravstvene i obrazovne djelatnike, obnovu voznih parkova javnog prijevoza, infrastrukturu za zeleni i sigurniji prijevoz, modernizaciju lokalnih javnih zgrada te pripremu/ažuriranje d</w:t>
      </w:r>
      <w:r>
        <w:rPr>
          <w:noProof/>
        </w:rPr>
        <w:t xml:space="preserve">okumenata prostornog planiranja i urbanističkog planiranja u digitalnom obliku.  </w:t>
      </w:r>
    </w:p>
    <w:p w14:paraId="6DF73ADA" w14:textId="77777777" w:rsidR="003F46B9" w:rsidRDefault="0065662E">
      <w:pPr>
        <w:pStyle w:val="P68B1DB1-Normal5"/>
        <w:spacing w:before="120" w:after="120" w:line="240" w:lineRule="auto"/>
        <w:jc w:val="both"/>
        <w:rPr>
          <w:rFonts w:cs="Times New Roman"/>
          <w:noProof/>
        </w:rPr>
      </w:pPr>
      <w:r>
        <w:rPr>
          <w:noProof/>
        </w:rPr>
        <w:t>Reformama i ulaganjima pridonosi se ispunjavanju preporuka za Rumunjsku (preporuke za pojedinu zemlju) koje su 2019. i 2020. dostavljene Rumunjskoj, a odnose se na potrebu da</w:t>
      </w:r>
      <w:r>
        <w:rPr>
          <w:noProof/>
        </w:rPr>
        <w:t>: (i) „usmjere ulaganja u zelenu i digitalnu tranziciju, posebno u održivi promet, infrastrukturu digitalnih usluga” (3. preporuka za pojedinu zemlju), uzimajući pritom u obzir regionalne razlike (4. preporuka za pojedinu zemlju br. 4, 2019.); ii. „pružati</w:t>
      </w:r>
      <w:r>
        <w:rPr>
          <w:noProof/>
        </w:rPr>
        <w:t xml:space="preserve"> odgovarajuća rješenja za zamjenu dohotka i proširiti mjere socijalne zaštite i pristup osnovnim uslugama za sve” (2. preporuka za pojedinu zemlju iz 2020.) i „povećati pokrivenost i kvalitetu socijalnih usluga (3. preporuka za pojedinu zemlju iz 2019.); i</w:t>
      </w:r>
      <w:r>
        <w:rPr>
          <w:noProof/>
        </w:rPr>
        <w:t>ii. „poboljšati kvalitetu i učinkovitost javne uprave i predvidljivost donošenja odluka” (4. preporuka za pojedinu zemlju iz 2020.).</w:t>
      </w:r>
    </w:p>
    <w:p w14:paraId="4099B109"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okolišnim ciljevima u smislu članka 17. Uredbe (E</w:t>
      </w:r>
      <w:r>
        <w:rPr>
          <w:noProof/>
        </w:rPr>
        <w:t>U) 2020/852, uzimajući u obzir opis mjera i korake ublažavanja utvrđene u planu za oporavak i otpornost u skladu s Tehničkim smjernicama DNSH-a (2021/C58/01).</w:t>
      </w:r>
    </w:p>
    <w:p w14:paraId="63297937"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J.1. </w:t>
      </w:r>
      <w:r>
        <w:rPr>
          <w:noProof/>
        </w:rPr>
        <w:tab/>
      </w:r>
      <w:r>
        <w:rPr>
          <w:rFonts w:ascii="Times New Roman" w:hAnsi="Times New Roman"/>
          <w:b/>
          <w:noProof/>
          <w:sz w:val="24"/>
        </w:rPr>
        <w:t>Opis reformi i ulaganja za programe bespovratne financijske potpore</w:t>
      </w:r>
    </w:p>
    <w:p w14:paraId="491C0FBE"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 Stvaranje ok</w:t>
      </w:r>
      <w:r>
        <w:rPr>
          <w:noProof/>
        </w:rPr>
        <w:t xml:space="preserve">vira za održivu gradsku mobilnost </w:t>
      </w:r>
    </w:p>
    <w:p w14:paraId="5494C0EB" w14:textId="77777777" w:rsidR="003F46B9" w:rsidRDefault="0065662E">
      <w:pPr>
        <w:pStyle w:val="P68B1DB1-Normal5"/>
        <w:spacing w:before="120" w:after="120" w:line="240" w:lineRule="auto"/>
        <w:jc w:val="both"/>
        <w:rPr>
          <w:rFonts w:cs="Times New Roman"/>
          <w:noProof/>
        </w:rPr>
      </w:pPr>
      <w:r>
        <w:rPr>
          <w:noProof/>
        </w:rPr>
        <w:t>Cilj je reforme poboljšati uvjete mobilnosti u urbanim i ruralnim područjima, smanjiti emisije stakleničkih plinova iz prometa i povećati sigurnost na cestama u urbanim područjima s pomoću digitalnih i zelenih prometnih r</w:t>
      </w:r>
      <w:r>
        <w:rPr>
          <w:noProof/>
        </w:rPr>
        <w:t xml:space="preserve">ješenja. </w:t>
      </w:r>
    </w:p>
    <w:p w14:paraId="69B9C97E" w14:textId="77777777" w:rsidR="003F46B9" w:rsidRDefault="0065662E">
      <w:pPr>
        <w:pStyle w:val="P68B1DB1-Normal5"/>
        <w:spacing w:before="120" w:after="120" w:line="240" w:lineRule="auto"/>
        <w:jc w:val="both"/>
        <w:rPr>
          <w:rFonts w:cs="Times New Roman"/>
          <w:b/>
          <w:noProof/>
        </w:rPr>
      </w:pPr>
      <w:r>
        <w:rPr>
          <w:noProof/>
        </w:rPr>
        <w:t>Reforma se provodi stupanjem na snagu zakonodavstva o održivoj gradskoj mobilnosti i provedbom planova održive gradske mobilnosti na podnacionalnoj razini. Zakonodavstvo uključuje mjere za poticanje obnove voznog parka javnog prijevoza čistim voz</w:t>
      </w:r>
      <w:r>
        <w:rPr>
          <w:noProof/>
        </w:rPr>
        <w:t>ilima, povećanje sigurnosti na cestama i osiguravanje minimalnih nacionalnih standarda kvalitete. Njime se gradske općine obvezuje na rješavanje problema onečišćenja zraka na razini grada i funkcionalnih područja donošenjem niza prometnih politika, kao što</w:t>
      </w:r>
      <w:r>
        <w:rPr>
          <w:noProof/>
        </w:rPr>
        <w:t xml:space="preserve"> su uspostava zona s niskim emisijama i poticaji za upotrebu alternativnih prijevoznih sredstava. Naposljetku, u njemu se utvrđuju smjernice koje gradske općine moraju slijediti pri izradi planova održive gradske mobilnosti te se, prema potrebi, nalaže ad </w:t>
      </w:r>
      <w:r>
        <w:rPr>
          <w:noProof/>
        </w:rPr>
        <w:t>hoc nacionalno tijelo u okviru Ministarstva razvoja, lokalnih radova i uprave.</w:t>
      </w:r>
    </w:p>
    <w:p w14:paraId="1773C39D"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Zakonodavstvo i nacionalno tijelo koje podupire izradu planova održive gradske mobilnosti stupaju na snagu do 31. prosinc</w:t>
      </w:r>
      <w:r>
        <w:rPr>
          <w:noProof/>
        </w:rPr>
        <w:t xml:space="preserve">a 2022. </w:t>
      </w:r>
    </w:p>
    <w:p w14:paraId="4F241389"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 Održiva gradska mobilnost </w:t>
      </w:r>
    </w:p>
    <w:p w14:paraId="360E3CC5" w14:textId="77777777" w:rsidR="003F46B9" w:rsidRDefault="0065662E">
      <w:pPr>
        <w:pStyle w:val="P68B1DB1-Normal5"/>
        <w:spacing w:before="120" w:after="120" w:line="240" w:lineRule="auto"/>
        <w:jc w:val="both"/>
        <w:rPr>
          <w:rFonts w:cs="Times New Roman"/>
          <w:noProof/>
        </w:rPr>
      </w:pPr>
      <w:r>
        <w:rPr>
          <w:noProof/>
        </w:rPr>
        <w:t xml:space="preserve">Cilj je tog ulaganja povećati pristup održivim i sigurnim rješenjima za mobilnost u urbanim i ruralnim područjima. </w:t>
      </w:r>
    </w:p>
    <w:p w14:paraId="5B3E2EC7" w14:textId="5AB3B7A3" w:rsidR="003F46B9" w:rsidRDefault="0065662E">
      <w:pPr>
        <w:pStyle w:val="P68B1DB1-Normal5"/>
        <w:spacing w:before="120" w:after="120" w:line="240" w:lineRule="auto"/>
        <w:jc w:val="both"/>
        <w:rPr>
          <w:rFonts w:cs="Times New Roman"/>
          <w:noProof/>
        </w:rPr>
      </w:pPr>
      <w:r>
        <w:rPr>
          <w:noProof/>
        </w:rPr>
        <w:t xml:space="preserve">Ulaganjem će se unaprijediti prometna infrastruktura, osigurati njezina okolišna održivost s </w:t>
      </w:r>
      <w:r>
        <w:rPr>
          <w:noProof/>
        </w:rPr>
        <w:t>pomoću novih vozila javnog prijevoza s nultom stopom emisija, izgraditi dodatnih 5600 mjesta za punjenje električnih vozila na lokalnoj/velegradskoj razini. Ulaganja se jednako tako sastoje od inteligentnih prometnih sustava i druge infrastrukture IKT-a ka</w:t>
      </w:r>
      <w:r>
        <w:rPr>
          <w:noProof/>
        </w:rPr>
        <w:t>ko bi se povećala sigurnost na cestama, smanjilo vrijeme putovanja i prometna zagušenja. Ulaganjima se doprinosi povećanju udjela putovanja lokalnim javnim prijevozom vozilima s nultim emisijama (autobusi, trolejbusi s motorom s nultim emisijama ili bateri</w:t>
      </w:r>
      <w:r>
        <w:rPr>
          <w:noProof/>
        </w:rPr>
        <w:t>jom, tramvaji) na 60 % u 2025. u usporedbi s 45,4 % u 2019. Isto tako, nakon provedbe ulaganja u mjesta za punjenje električnih vozila Rumunjska bi imala ukupno najmanje 22415 mjesta za punjenje, koja bi se financirala iz različitih izvora, uključujući Nac</w:t>
      </w:r>
      <w:r>
        <w:rPr>
          <w:noProof/>
        </w:rPr>
        <w:t>ionalni plan za oporavak i otpornost. Ulaganja se jednako temelje na obveznom usklađivanju s Planom održive gradske mobilnosti/integriranim održivim razvojem/Općim urbanim planom koji je odobren ili je u izradi, osiguravajući pokrivenost uslugama mobilnost</w:t>
      </w:r>
      <w:r>
        <w:rPr>
          <w:noProof/>
        </w:rPr>
        <w:t>i u funkcionalnom i prigradskom području, određivanju prioriteta i promicanju javnog prijevoza u lokalnom prometu planiranjem povlaštenih linija i autobusnih trakova na najučestalijim/zakrčenim arterijama te sklapanjem ugovora o javnim uslugama s gospodars</w:t>
      </w:r>
      <w:r>
        <w:rPr>
          <w:noProof/>
        </w:rPr>
        <w:t>kim subjektima u skladu s odredbama Uredbe (EZ) br. 1370/2007.</w:t>
      </w:r>
    </w:p>
    <w:p w14:paraId="7B9560A1"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2CA9069D" w14:textId="77777777" w:rsidR="003F46B9" w:rsidRDefault="0065662E">
      <w:pPr>
        <w:rPr>
          <w:rFonts w:ascii="Times New Roman" w:hAnsi="Times New Roman" w:cs="Times New Roman"/>
          <w:noProof/>
          <w:sz w:val="24"/>
        </w:rPr>
      </w:pPr>
      <w:r>
        <w:rPr>
          <w:noProof/>
        </w:rPr>
        <w:br w:type="page"/>
      </w:r>
    </w:p>
    <w:p w14:paraId="6B6F6DE7"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210"/>
          <w:headerReference w:type="default" r:id="rId211"/>
          <w:footerReference w:type="even" r:id="rId212"/>
          <w:footerReference w:type="default" r:id="rId213"/>
          <w:headerReference w:type="first" r:id="rId214"/>
          <w:footerReference w:type="first" r:id="rId215"/>
          <w:pgSz w:w="11906" w:h="16838"/>
          <w:pgMar w:top="1440" w:right="1440" w:bottom="1440" w:left="1440" w:header="708" w:footer="708" w:gutter="0"/>
          <w:cols w:space="708"/>
          <w:docGrid w:linePitch="360"/>
        </w:sectPr>
      </w:pPr>
    </w:p>
    <w:p w14:paraId="2CD831F4" w14:textId="77777777" w:rsidR="003F46B9" w:rsidRDefault="0065662E">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J.2. </w:t>
      </w:r>
      <w:r>
        <w:rPr>
          <w:noProof/>
        </w:rPr>
        <w:tab/>
      </w:r>
      <w:r>
        <w:rPr>
          <w:rFonts w:ascii="Times New Roman" w:hAnsi="Times New Roman"/>
          <w:b/>
          <w:noProof/>
          <w:sz w:val="24"/>
        </w:rPr>
        <w:t xml:space="preserve">Ključne etape, ciljne vrijednosti i vremenski raspored za praćenje i </w:t>
      </w:r>
      <w:r>
        <w:rPr>
          <w:rFonts w:ascii="Times New Roman" w:hAnsi="Times New Roman"/>
          <w:b/>
          <w:noProof/>
          <w:sz w:val="24"/>
        </w:rPr>
        <w:t>provedbu programa bespovratne financijske potpore</w:t>
      </w:r>
    </w:p>
    <w:tbl>
      <w:tblPr>
        <w:tblW w:w="15451" w:type="dxa"/>
        <w:jc w:val="center"/>
        <w:tblLayout w:type="fixed"/>
        <w:tblLook w:val="04A0" w:firstRow="1" w:lastRow="0" w:firstColumn="1" w:lastColumn="0" w:noHBand="0" w:noVBand="1"/>
      </w:tblPr>
      <w:tblGrid>
        <w:gridCol w:w="795"/>
        <w:gridCol w:w="1569"/>
        <w:gridCol w:w="1182"/>
        <w:gridCol w:w="1411"/>
        <w:gridCol w:w="1701"/>
        <w:gridCol w:w="1275"/>
        <w:gridCol w:w="1276"/>
        <w:gridCol w:w="1276"/>
        <w:gridCol w:w="1134"/>
        <w:gridCol w:w="845"/>
        <w:gridCol w:w="2987"/>
      </w:tblGrid>
      <w:tr w:rsidR="003F46B9" w14:paraId="1AEA649A" w14:textId="77777777">
        <w:trPr>
          <w:trHeight w:val="774"/>
          <w:tblHeader/>
          <w:jc w:val="center"/>
        </w:trPr>
        <w:tc>
          <w:tcPr>
            <w:tcW w:w="7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D011B01"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5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75EC80"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FEBD24"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4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AB1BB1" w14:textId="77777777" w:rsidR="003F46B9" w:rsidRDefault="0065662E">
            <w:pPr>
              <w:pStyle w:val="P68B1DB1-Normal1"/>
              <w:spacing w:after="0" w:line="240" w:lineRule="auto"/>
              <w:jc w:val="center"/>
              <w:rPr>
                <w:rFonts w:eastAsia="Times New Roman" w:cs="Times New Roman"/>
                <w:noProof/>
              </w:rPr>
            </w:pPr>
            <w:r>
              <w:rPr>
                <w:noProof/>
              </w:rPr>
              <w:t>Ime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6523AD4" w14:textId="65B8F2C8"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82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7BA7B592" w14:textId="5037FD8B"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79" w:type="dxa"/>
            <w:gridSpan w:val="2"/>
            <w:tcBorders>
              <w:top w:val="single" w:sz="4" w:space="0" w:color="auto"/>
              <w:left w:val="nil"/>
              <w:bottom w:val="single" w:sz="4" w:space="0" w:color="auto"/>
              <w:right w:val="single" w:sz="4" w:space="0" w:color="auto"/>
            </w:tcBorders>
            <w:shd w:val="clear" w:color="auto" w:fill="BDD7EE"/>
            <w:vAlign w:val="center"/>
            <w:hideMark/>
          </w:tcPr>
          <w:p w14:paraId="6BEDAB15"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w:t>
            </w:r>
            <w:r>
              <w:rPr>
                <w:noProof/>
              </w:rPr>
              <w:t xml:space="preserve">k </w:t>
            </w:r>
          </w:p>
        </w:tc>
        <w:tc>
          <w:tcPr>
            <w:tcW w:w="298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C92703"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27782D7F" w14:textId="77777777">
        <w:trPr>
          <w:trHeight w:val="502"/>
          <w:tblHeader/>
          <w:jc w:val="center"/>
        </w:trPr>
        <w:tc>
          <w:tcPr>
            <w:tcW w:w="795" w:type="dxa"/>
            <w:vMerge/>
            <w:tcBorders>
              <w:top w:val="single" w:sz="4" w:space="0" w:color="auto"/>
              <w:left w:val="single" w:sz="4" w:space="0" w:color="auto"/>
              <w:bottom w:val="single" w:sz="4" w:space="0" w:color="auto"/>
              <w:right w:val="single" w:sz="4" w:space="0" w:color="auto"/>
            </w:tcBorders>
            <w:hideMark/>
          </w:tcPr>
          <w:p w14:paraId="2D221880" w14:textId="77777777" w:rsidR="003F46B9" w:rsidRDefault="003F46B9">
            <w:pPr>
              <w:spacing w:after="0" w:line="240" w:lineRule="auto"/>
              <w:jc w:val="center"/>
              <w:rPr>
                <w:rFonts w:ascii="Times New Roman" w:eastAsia="Times New Roman" w:hAnsi="Times New Roman" w:cs="Times New Roman"/>
                <w:b/>
                <w:noProof/>
                <w:sz w:val="24"/>
              </w:rPr>
            </w:pPr>
          </w:p>
        </w:tc>
        <w:tc>
          <w:tcPr>
            <w:tcW w:w="1569" w:type="dxa"/>
            <w:vMerge/>
            <w:tcBorders>
              <w:top w:val="single" w:sz="4" w:space="0" w:color="auto"/>
              <w:left w:val="single" w:sz="4" w:space="0" w:color="auto"/>
              <w:bottom w:val="single" w:sz="4" w:space="0" w:color="auto"/>
              <w:right w:val="single" w:sz="4" w:space="0" w:color="auto"/>
            </w:tcBorders>
            <w:hideMark/>
          </w:tcPr>
          <w:p w14:paraId="1012B4F4" w14:textId="77777777" w:rsidR="003F46B9" w:rsidRDefault="003F46B9">
            <w:pPr>
              <w:spacing w:after="0" w:line="240" w:lineRule="auto"/>
              <w:rPr>
                <w:rFonts w:ascii="Times New Roman" w:eastAsia="Times New Roman" w:hAnsi="Times New Roman" w:cs="Times New Roman"/>
                <w:b/>
                <w:noProof/>
                <w:sz w:val="24"/>
              </w:rPr>
            </w:pPr>
          </w:p>
        </w:tc>
        <w:tc>
          <w:tcPr>
            <w:tcW w:w="1182" w:type="dxa"/>
            <w:vMerge/>
            <w:tcBorders>
              <w:top w:val="single" w:sz="4" w:space="0" w:color="auto"/>
              <w:left w:val="single" w:sz="4" w:space="0" w:color="auto"/>
              <w:bottom w:val="single" w:sz="4" w:space="0" w:color="auto"/>
              <w:right w:val="single" w:sz="4" w:space="0" w:color="auto"/>
            </w:tcBorders>
            <w:hideMark/>
          </w:tcPr>
          <w:p w14:paraId="38B4AEF0" w14:textId="77777777" w:rsidR="003F46B9" w:rsidRDefault="003F46B9">
            <w:pPr>
              <w:spacing w:after="0" w:line="240" w:lineRule="auto"/>
              <w:jc w:val="center"/>
              <w:rPr>
                <w:rFonts w:ascii="Times New Roman" w:eastAsia="Times New Roman" w:hAnsi="Times New Roman" w:cs="Times New Roman"/>
                <w:b/>
                <w:noProof/>
                <w:sz w:val="24"/>
              </w:rPr>
            </w:pPr>
          </w:p>
        </w:tc>
        <w:tc>
          <w:tcPr>
            <w:tcW w:w="1411" w:type="dxa"/>
            <w:vMerge/>
            <w:tcBorders>
              <w:top w:val="single" w:sz="4" w:space="0" w:color="auto"/>
              <w:left w:val="single" w:sz="4" w:space="0" w:color="auto"/>
              <w:bottom w:val="single" w:sz="4" w:space="0" w:color="auto"/>
              <w:right w:val="single" w:sz="4" w:space="0" w:color="auto"/>
            </w:tcBorders>
            <w:hideMark/>
          </w:tcPr>
          <w:p w14:paraId="06A7ECCE" w14:textId="77777777" w:rsidR="003F46B9" w:rsidRDefault="003F46B9">
            <w:pPr>
              <w:spacing w:after="0" w:line="240" w:lineRule="auto"/>
              <w:rPr>
                <w:rFonts w:ascii="Times New Roman" w:eastAsia="Times New Roman" w:hAnsi="Times New Roman" w:cs="Times New Roman"/>
                <w:b/>
                <w:noProof/>
                <w:sz w:val="24"/>
              </w:rPr>
            </w:pPr>
          </w:p>
        </w:tc>
        <w:tc>
          <w:tcPr>
            <w:tcW w:w="1701" w:type="dxa"/>
            <w:vMerge/>
            <w:tcBorders>
              <w:left w:val="single" w:sz="4" w:space="0" w:color="auto"/>
            </w:tcBorders>
            <w:hideMark/>
          </w:tcPr>
          <w:p w14:paraId="7334567A" w14:textId="77777777" w:rsidR="003F46B9" w:rsidRDefault="003F46B9">
            <w:pPr>
              <w:spacing w:after="0" w:line="240" w:lineRule="auto"/>
              <w:rPr>
                <w:rFonts w:ascii="Times New Roman" w:eastAsia="Times New Roman" w:hAnsi="Times New Roman" w:cs="Times New Roman"/>
                <w:b/>
                <w:noProof/>
                <w:sz w:val="24"/>
              </w:rPr>
            </w:pP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9E676A3"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9622FD8" w14:textId="77777777"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6D24923"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C4C8B1E"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4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F820212"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2987" w:type="dxa"/>
            <w:vMerge/>
            <w:tcBorders>
              <w:top w:val="single" w:sz="4" w:space="0" w:color="auto"/>
              <w:bottom w:val="single" w:sz="4" w:space="0" w:color="auto"/>
              <w:right w:val="single" w:sz="4" w:space="0" w:color="auto"/>
            </w:tcBorders>
            <w:hideMark/>
          </w:tcPr>
          <w:p w14:paraId="49965643" w14:textId="77777777" w:rsidR="003F46B9" w:rsidRDefault="003F46B9">
            <w:pPr>
              <w:spacing w:after="0" w:line="240" w:lineRule="auto"/>
              <w:rPr>
                <w:rFonts w:ascii="Times New Roman" w:eastAsia="Times New Roman" w:hAnsi="Times New Roman" w:cs="Times New Roman"/>
                <w:b/>
                <w:noProof/>
                <w:sz w:val="24"/>
              </w:rPr>
            </w:pPr>
          </w:p>
        </w:tc>
      </w:tr>
      <w:tr w:rsidR="003F46B9" w14:paraId="1592FC37" w14:textId="77777777">
        <w:trPr>
          <w:trHeight w:val="309"/>
          <w:jc w:val="center"/>
        </w:trPr>
        <w:tc>
          <w:tcPr>
            <w:tcW w:w="795" w:type="dxa"/>
            <w:tcBorders>
              <w:top w:val="single" w:sz="4" w:space="0" w:color="auto"/>
              <w:left w:val="single" w:sz="4" w:space="0" w:color="auto"/>
              <w:bottom w:val="single" w:sz="4" w:space="0" w:color="auto"/>
              <w:right w:val="single" w:sz="4" w:space="0" w:color="auto"/>
            </w:tcBorders>
            <w:shd w:val="clear" w:color="auto" w:fill="C6EFCE"/>
            <w:noWrap/>
          </w:tcPr>
          <w:p w14:paraId="48761CDB" w14:textId="77777777" w:rsidR="003F46B9" w:rsidRDefault="0065662E">
            <w:pPr>
              <w:pStyle w:val="P68B1DB1-Normal5"/>
              <w:spacing w:after="0" w:line="240" w:lineRule="auto"/>
              <w:jc w:val="center"/>
              <w:rPr>
                <w:rFonts w:cs="Times New Roman"/>
                <w:noProof/>
              </w:rPr>
            </w:pPr>
            <w:r>
              <w:rPr>
                <w:noProof/>
              </w:rPr>
              <w:t>288</w:t>
            </w:r>
          </w:p>
        </w:tc>
        <w:tc>
          <w:tcPr>
            <w:tcW w:w="1569" w:type="dxa"/>
            <w:tcBorders>
              <w:top w:val="single" w:sz="4" w:space="0" w:color="auto"/>
              <w:left w:val="nil"/>
              <w:bottom w:val="single" w:sz="4" w:space="0" w:color="auto"/>
              <w:right w:val="single" w:sz="4" w:space="0" w:color="auto"/>
            </w:tcBorders>
            <w:shd w:val="clear" w:color="auto" w:fill="C6EFCE"/>
            <w:noWrap/>
          </w:tcPr>
          <w:p w14:paraId="763DCE7A" w14:textId="77777777" w:rsidR="003F46B9" w:rsidRDefault="0065662E">
            <w:pPr>
              <w:pStyle w:val="P68B1DB1-Normal5"/>
              <w:spacing w:after="0" w:line="240" w:lineRule="auto"/>
              <w:rPr>
                <w:rFonts w:cs="Times New Roman"/>
                <w:noProof/>
              </w:rPr>
            </w:pPr>
            <w:r>
              <w:rPr>
                <w:noProof/>
              </w:rPr>
              <w:t xml:space="preserve">Reforma 1. Stvaranje okvira za održivu gradsku mobilnost </w:t>
            </w:r>
          </w:p>
        </w:tc>
        <w:tc>
          <w:tcPr>
            <w:tcW w:w="1182" w:type="dxa"/>
            <w:tcBorders>
              <w:top w:val="single" w:sz="4" w:space="0" w:color="auto"/>
              <w:left w:val="nil"/>
              <w:bottom w:val="single" w:sz="4" w:space="0" w:color="auto"/>
              <w:right w:val="single" w:sz="4" w:space="0" w:color="auto"/>
            </w:tcBorders>
            <w:shd w:val="clear" w:color="auto" w:fill="C6EFCE"/>
            <w:noWrap/>
          </w:tcPr>
          <w:p w14:paraId="3C27251E"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single" w:sz="4" w:space="0" w:color="auto"/>
              <w:left w:val="nil"/>
              <w:bottom w:val="single" w:sz="4" w:space="0" w:color="auto"/>
              <w:right w:val="single" w:sz="4" w:space="0" w:color="auto"/>
            </w:tcBorders>
            <w:shd w:val="clear" w:color="auto" w:fill="C6EFCE"/>
            <w:noWrap/>
          </w:tcPr>
          <w:p w14:paraId="44C7C10C" w14:textId="77777777" w:rsidR="003F46B9" w:rsidRDefault="0065662E">
            <w:pPr>
              <w:pStyle w:val="P68B1DB1-Normal5"/>
              <w:spacing w:after="0" w:line="240" w:lineRule="auto"/>
              <w:rPr>
                <w:rFonts w:cs="Times New Roman"/>
                <w:noProof/>
              </w:rPr>
            </w:pPr>
            <w:r>
              <w:rPr>
                <w:noProof/>
              </w:rPr>
              <w:t xml:space="preserve">Stupanje na snagu zakonodavstva u području održive gradske mobilnosti </w:t>
            </w:r>
          </w:p>
        </w:tc>
        <w:tc>
          <w:tcPr>
            <w:tcW w:w="1701" w:type="dxa"/>
            <w:tcBorders>
              <w:top w:val="single" w:sz="4" w:space="0" w:color="auto"/>
              <w:left w:val="nil"/>
              <w:bottom w:val="single" w:sz="4" w:space="0" w:color="auto"/>
              <w:right w:val="single" w:sz="4" w:space="0" w:color="auto"/>
            </w:tcBorders>
            <w:shd w:val="clear" w:color="auto" w:fill="C6EFCE"/>
            <w:noWrap/>
          </w:tcPr>
          <w:p w14:paraId="3E45B856" w14:textId="77777777" w:rsidR="003F46B9" w:rsidRDefault="0065662E">
            <w:pPr>
              <w:pStyle w:val="P68B1DB1-Normal5"/>
              <w:spacing w:after="0" w:line="240" w:lineRule="auto"/>
              <w:rPr>
                <w:rFonts w:cs="Times New Roman"/>
                <w:noProof/>
              </w:rPr>
            </w:pPr>
            <w:r>
              <w:rPr>
                <w:noProof/>
              </w:rPr>
              <w:t>Zakonska odredba o stupanju na snagu zakonodavnog akta o održivoj gradskoj mobilnosti</w:t>
            </w:r>
          </w:p>
        </w:tc>
        <w:tc>
          <w:tcPr>
            <w:tcW w:w="1275" w:type="dxa"/>
            <w:tcBorders>
              <w:top w:val="single" w:sz="4" w:space="0" w:color="auto"/>
              <w:left w:val="nil"/>
              <w:bottom w:val="single" w:sz="4" w:space="0" w:color="auto"/>
              <w:right w:val="single" w:sz="4" w:space="0" w:color="auto"/>
            </w:tcBorders>
            <w:shd w:val="clear" w:color="auto" w:fill="C6EFCE"/>
            <w:noWrap/>
          </w:tcPr>
          <w:p w14:paraId="13BD7FF4"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7E27CC5"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6D97631" w14:textId="77777777" w:rsidR="003F46B9" w:rsidRDefault="0065662E">
            <w:pPr>
              <w:pStyle w:val="P68B1DB1-Normal5"/>
              <w:spacing w:after="0" w:line="240" w:lineRule="auto"/>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F9833D5" w14:textId="77777777" w:rsidR="003F46B9" w:rsidRDefault="0065662E">
            <w:pPr>
              <w:pStyle w:val="P68B1DB1-Normal5"/>
              <w:spacing w:after="0" w:line="240" w:lineRule="auto"/>
              <w:jc w:val="center"/>
              <w:rPr>
                <w:rFonts w:cs="Times New Roman"/>
                <w:noProof/>
              </w:rPr>
            </w:pPr>
            <w:r>
              <w:rPr>
                <w:noProof/>
              </w:rPr>
              <w:t>ČETVRTO TROMJESEČJE</w:t>
            </w:r>
          </w:p>
        </w:tc>
        <w:tc>
          <w:tcPr>
            <w:tcW w:w="845" w:type="dxa"/>
            <w:tcBorders>
              <w:top w:val="nil"/>
              <w:left w:val="nil"/>
              <w:bottom w:val="single" w:sz="4" w:space="0" w:color="auto"/>
              <w:right w:val="single" w:sz="4" w:space="0" w:color="auto"/>
            </w:tcBorders>
            <w:shd w:val="clear" w:color="auto" w:fill="C6EFCE"/>
            <w:noWrap/>
          </w:tcPr>
          <w:p w14:paraId="5D0939EF" w14:textId="77777777" w:rsidR="003F46B9" w:rsidRDefault="0065662E">
            <w:pPr>
              <w:pStyle w:val="P68B1DB1-Normal5"/>
              <w:spacing w:after="0" w:line="240" w:lineRule="auto"/>
              <w:jc w:val="center"/>
              <w:rPr>
                <w:rFonts w:cs="Times New Roman"/>
                <w:noProof/>
              </w:rPr>
            </w:pPr>
            <w:r>
              <w:rPr>
                <w:noProof/>
              </w:rPr>
              <w:t>2022</w:t>
            </w:r>
          </w:p>
        </w:tc>
        <w:tc>
          <w:tcPr>
            <w:tcW w:w="2987" w:type="dxa"/>
            <w:tcBorders>
              <w:top w:val="single" w:sz="4" w:space="0" w:color="auto"/>
              <w:left w:val="nil"/>
              <w:bottom w:val="single" w:sz="4" w:space="0" w:color="auto"/>
              <w:right w:val="single" w:sz="4" w:space="0" w:color="auto"/>
            </w:tcBorders>
            <w:shd w:val="clear" w:color="auto" w:fill="C6EFCE"/>
            <w:noWrap/>
          </w:tcPr>
          <w:p w14:paraId="46007192" w14:textId="77777777" w:rsidR="003F46B9" w:rsidRDefault="0065662E">
            <w:pPr>
              <w:pStyle w:val="P68B1DB1-Normal5"/>
              <w:spacing w:after="0" w:line="240" w:lineRule="auto"/>
              <w:jc w:val="both"/>
              <w:rPr>
                <w:rFonts w:cs="Times New Roman"/>
                <w:noProof/>
              </w:rPr>
            </w:pPr>
            <w:r>
              <w:rPr>
                <w:noProof/>
              </w:rPr>
              <w:t>Zakonodavstvo o održivoj gradskoj mobilnosti uključuje:</w:t>
            </w:r>
          </w:p>
          <w:p w14:paraId="1A11CF86" w14:textId="09D1D3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mjere za </w:t>
            </w:r>
            <w:r>
              <w:rPr>
                <w:noProof/>
              </w:rPr>
              <w:t>poticanje obnove voznog parka javnog prijevoza čistim vozilima i osiguravanje minimalnih nacionalnih standarda kvalitete i pristupa javnom prijevozu;</w:t>
            </w:r>
          </w:p>
          <w:p w14:paraId="38530738"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uspostava Vodiča za razvoj planova održive gradske mobilnosti u skladu sa Strategijom za održivu i pametnu</w:t>
            </w:r>
            <w:r>
              <w:rPr>
                <w:noProof/>
              </w:rPr>
              <w:t xml:space="preserve"> mobilnost C(2020) 789/2020 (Komunikacija Komisije) te procjena i provjera kvalitete planova održive gradske mobilnosti</w:t>
            </w:r>
          </w:p>
          <w:p w14:paraId="6448CA61"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odredbe kojima se gradske općine obvezuje na uspostavu zona s niskim emisijama, povlaštenih linija (uključujući autobusne trakove) za či</w:t>
            </w:r>
            <w:r>
              <w:rPr>
                <w:noProof/>
              </w:rPr>
              <w:t>sti javni prijevoz;</w:t>
            </w:r>
          </w:p>
          <w:p w14:paraId="5788DFAD"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mjere za smanjenje rizika za sigurnost na cestama na gradskoj razini i mjere kojima se omogućuje ograničavanje prostora za osobne automobile te provedba i praćenje politika parkiranja na lokalnoj razini;</w:t>
            </w:r>
          </w:p>
          <w:p w14:paraId="38F9D407"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mjere kojima se omogućuje razvoj</w:t>
            </w:r>
            <w:r>
              <w:rPr>
                <w:noProof/>
              </w:rPr>
              <w:t xml:space="preserve"> infrastrukture kako bi se potaknula sigurna i zaštićena upotreba javnog prijevoza, bicikala i hodanja;</w:t>
            </w:r>
          </w:p>
          <w:p w14:paraId="6347E4C3"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mjere kojima se omogućuje uvođenje intermodalnih čvorova kako bi se olakšao prijevoz u funkcionalnom gradskom području/metropolitanskom području.</w:t>
            </w:r>
          </w:p>
          <w:p w14:paraId="5BD2E805" w14:textId="77777777" w:rsidR="003F46B9" w:rsidRDefault="0065662E">
            <w:pPr>
              <w:pStyle w:val="P68B1DB1-Normal5"/>
              <w:spacing w:after="0" w:line="240" w:lineRule="auto"/>
              <w:jc w:val="both"/>
              <w:rPr>
                <w:rFonts w:cs="Times New Roman"/>
                <w:noProof/>
              </w:rPr>
            </w:pPr>
            <w:r>
              <w:rPr>
                <w:noProof/>
              </w:rPr>
              <w:t>Zakono</w:t>
            </w:r>
            <w:r>
              <w:rPr>
                <w:noProof/>
              </w:rPr>
              <w:t xml:space="preserve">davstvo se izrađuje u skladu s: </w:t>
            </w:r>
          </w:p>
          <w:p w14:paraId="451BE04F"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odredbe Europske uredbe br. 1370/2007, Uredbe o općoj sigurnosti (2019/2144), koja stupa na snagu 6. srpnja 2022.;</w:t>
            </w:r>
          </w:p>
          <w:p w14:paraId="5978FE08"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Urbana politika Rumunjske koja uključuje odredbe o gustoći naseljenosti (osiguravajući učinkovitost usluge j</w:t>
            </w:r>
            <w:r>
              <w:rPr>
                <w:noProof/>
              </w:rPr>
              <w:t xml:space="preserve">avnog prijevoza) i o pristupačnosti stanovništva uslugama prijevoza (postotak stanovništva koji je udaljen manje od 0,5 km od linije javnog prijevoza s najvećom učestalošću od 20 minuta); </w:t>
            </w:r>
          </w:p>
          <w:p w14:paraId="11B64FC0"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minimalni standardi usluga za kolektivni javni prijevoz postižu se </w:t>
            </w:r>
            <w:r>
              <w:rPr>
                <w:noProof/>
              </w:rPr>
              <w:t>izmjenama/dodacima Zakona br. 92/2007 o uslugama javnog prijevoza putnika u upravnim i teritorijalnim jedinicama;</w:t>
            </w:r>
          </w:p>
          <w:p w14:paraId="1A1E403C"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reforme sigurnosti na cestama te regionalne i gradske mobilnosti uspostavljene u okviru komponente održivog prometa (ključne etape 65 – 68).</w:t>
            </w:r>
          </w:p>
        </w:tc>
      </w:tr>
      <w:tr w:rsidR="003F46B9" w14:paraId="0493270C"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E28938" w14:textId="77777777" w:rsidR="003F46B9" w:rsidRDefault="0065662E">
            <w:pPr>
              <w:pStyle w:val="P68B1DB1-Normal5"/>
              <w:spacing w:after="0" w:line="240" w:lineRule="auto"/>
              <w:jc w:val="center"/>
              <w:rPr>
                <w:rFonts w:cs="Times New Roman"/>
                <w:noProof/>
              </w:rPr>
            </w:pPr>
            <w:r>
              <w:rPr>
                <w:noProof/>
              </w:rPr>
              <w:t>289</w:t>
            </w:r>
          </w:p>
        </w:tc>
        <w:tc>
          <w:tcPr>
            <w:tcW w:w="1569" w:type="dxa"/>
            <w:tcBorders>
              <w:top w:val="nil"/>
              <w:left w:val="nil"/>
              <w:bottom w:val="single" w:sz="4" w:space="0" w:color="auto"/>
              <w:right w:val="single" w:sz="4" w:space="0" w:color="auto"/>
            </w:tcBorders>
            <w:shd w:val="clear" w:color="auto" w:fill="C6EFCE"/>
            <w:noWrap/>
          </w:tcPr>
          <w:p w14:paraId="07B70EE0" w14:textId="77777777" w:rsidR="003F46B9" w:rsidRDefault="0065662E">
            <w:pPr>
              <w:pStyle w:val="P68B1DB1-Normal5"/>
              <w:spacing w:after="0" w:line="240" w:lineRule="auto"/>
              <w:rPr>
                <w:rFonts w:cs="Times New Roman"/>
                <w:noProof/>
              </w:rPr>
            </w:pPr>
            <w:r>
              <w:rPr>
                <w:noProof/>
              </w:rPr>
              <w:t>Reforma 1. Stvaranje okvira za održivu gradsku mobilnost</w:t>
            </w:r>
          </w:p>
        </w:tc>
        <w:tc>
          <w:tcPr>
            <w:tcW w:w="1182" w:type="dxa"/>
            <w:tcBorders>
              <w:top w:val="nil"/>
              <w:left w:val="nil"/>
              <w:bottom w:val="single" w:sz="4" w:space="0" w:color="auto"/>
              <w:right w:val="single" w:sz="4" w:space="0" w:color="auto"/>
            </w:tcBorders>
            <w:shd w:val="clear" w:color="auto" w:fill="C6EFCE"/>
            <w:noWrap/>
          </w:tcPr>
          <w:p w14:paraId="14C25F93"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nil"/>
              <w:left w:val="nil"/>
              <w:bottom w:val="single" w:sz="4" w:space="0" w:color="auto"/>
              <w:right w:val="single" w:sz="4" w:space="0" w:color="auto"/>
            </w:tcBorders>
            <w:shd w:val="clear" w:color="auto" w:fill="C6EFCE"/>
            <w:noWrap/>
          </w:tcPr>
          <w:p w14:paraId="7FD946B7" w14:textId="77777777" w:rsidR="003F46B9" w:rsidRDefault="0065662E">
            <w:pPr>
              <w:pStyle w:val="P68B1DB1-Normal5"/>
              <w:spacing w:after="0" w:line="240" w:lineRule="auto"/>
              <w:rPr>
                <w:rFonts w:cs="Times New Roman"/>
                <w:noProof/>
              </w:rPr>
            </w:pPr>
            <w:r>
              <w:rPr>
                <w:noProof/>
              </w:rPr>
              <w:t>Stupanje na snagu ministarske odluke o uspostavi strukture za pružanje tehničke pomoći za razvoj utvrđenih i operativnih planova održive gradske mobilnosti</w:t>
            </w:r>
          </w:p>
        </w:tc>
        <w:tc>
          <w:tcPr>
            <w:tcW w:w="1701" w:type="dxa"/>
            <w:tcBorders>
              <w:top w:val="single" w:sz="4" w:space="0" w:color="auto"/>
              <w:left w:val="nil"/>
              <w:bottom w:val="single" w:sz="4" w:space="0" w:color="auto"/>
              <w:right w:val="single" w:sz="4" w:space="0" w:color="auto"/>
            </w:tcBorders>
            <w:shd w:val="clear" w:color="auto" w:fill="C6EFCE"/>
            <w:noWrap/>
          </w:tcPr>
          <w:p w14:paraId="4D7AE326" w14:textId="77777777" w:rsidR="003F46B9" w:rsidRDefault="0065662E">
            <w:pPr>
              <w:pStyle w:val="P68B1DB1-Normal5"/>
              <w:spacing w:after="0" w:line="240" w:lineRule="auto"/>
              <w:jc w:val="both"/>
              <w:rPr>
                <w:rFonts w:cs="Times New Roman"/>
                <w:noProof/>
              </w:rPr>
            </w:pPr>
            <w:r>
              <w:rPr>
                <w:noProof/>
              </w:rPr>
              <w:t xml:space="preserve">Odredba iz ministarske </w:t>
            </w:r>
            <w:r>
              <w:rPr>
                <w:noProof/>
              </w:rPr>
              <w:t>odluke o stupanju na snagu</w:t>
            </w:r>
          </w:p>
          <w:p w14:paraId="7E690EA1" w14:textId="77777777" w:rsidR="003F46B9" w:rsidRDefault="0065662E">
            <w:pPr>
              <w:pStyle w:val="P68B1DB1-Normal5"/>
              <w:spacing w:after="0" w:line="240" w:lineRule="auto"/>
              <w:jc w:val="both"/>
              <w:rPr>
                <w:rFonts w:cs="Times New Roman"/>
                <w:noProof/>
              </w:rPr>
            </w:pPr>
            <w:r>
              <w:rPr>
                <w:noProof/>
              </w:rPr>
              <w:t xml:space="preserve">struktura za pružanje tehničke pomoći za razvoj planova održive gradske mobilnosti </w:t>
            </w:r>
          </w:p>
          <w:p w14:paraId="1F6330EC" w14:textId="77777777" w:rsidR="003F46B9" w:rsidRDefault="003F46B9">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3B58A015"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52021102"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453493A" w14:textId="77777777" w:rsidR="003F46B9" w:rsidRDefault="0065662E">
            <w:pPr>
              <w:pStyle w:val="P68B1DB1-Normal5"/>
              <w:spacing w:after="0" w:line="240" w:lineRule="auto"/>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7A2D0531" w14:textId="77777777" w:rsidR="003F46B9" w:rsidRDefault="0065662E">
            <w:pPr>
              <w:pStyle w:val="P68B1DB1-Normal5"/>
              <w:spacing w:after="0" w:line="240" w:lineRule="auto"/>
              <w:jc w:val="center"/>
              <w:rPr>
                <w:rFonts w:cs="Times New Roman"/>
                <w:noProof/>
              </w:rPr>
            </w:pPr>
            <w:r>
              <w:rPr>
                <w:noProof/>
              </w:rPr>
              <w:t>ČETVRTO TROMJESEČJE</w:t>
            </w:r>
          </w:p>
        </w:tc>
        <w:tc>
          <w:tcPr>
            <w:tcW w:w="845" w:type="dxa"/>
            <w:tcBorders>
              <w:top w:val="nil"/>
              <w:left w:val="nil"/>
              <w:bottom w:val="single" w:sz="4" w:space="0" w:color="auto"/>
              <w:right w:val="single" w:sz="4" w:space="0" w:color="auto"/>
            </w:tcBorders>
            <w:shd w:val="clear" w:color="auto" w:fill="C6EFCE"/>
            <w:noWrap/>
          </w:tcPr>
          <w:p w14:paraId="2C2D21D0" w14:textId="77777777" w:rsidR="003F46B9" w:rsidRDefault="0065662E">
            <w:pPr>
              <w:pStyle w:val="P68B1DB1-Normal5"/>
              <w:spacing w:after="0" w:line="240" w:lineRule="auto"/>
              <w:jc w:val="center"/>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5A76E986"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Pod nadzorom Ministarstva razvoja, javnih radova i uprave osniva se nacionalno tijelo u koordinaciji s resornim m</w:t>
            </w:r>
            <w:r>
              <w:rPr>
                <w:rFonts w:ascii="Times New Roman" w:hAnsi="Times New Roman"/>
                <w:noProof/>
                <w:sz w:val="24"/>
              </w:rPr>
              <w:t>inistarstvima kao što su Ministarstvo prometa i Ministarstvo okoliša te je odgovorno za pružanje potpore gradovima u izradi planova održive gradske mobilnosti te procjeni i provjeri kvalitete planova održive gradske mobilnosti.</w:t>
            </w:r>
            <w:r>
              <w:rPr>
                <w:noProof/>
              </w:rPr>
              <w:t xml:space="preserve"> </w:t>
            </w:r>
            <w:r>
              <w:rPr>
                <w:noProof/>
              </w:rPr>
              <w:br/>
            </w:r>
            <w:r>
              <w:rPr>
                <w:rFonts w:ascii="Times New Roman" w:hAnsi="Times New Roman"/>
                <w:noProof/>
                <w:sz w:val="24"/>
              </w:rPr>
              <w:t>Središnja javna uprava podu</w:t>
            </w:r>
            <w:r>
              <w:rPr>
                <w:rFonts w:ascii="Times New Roman" w:hAnsi="Times New Roman"/>
                <w:noProof/>
                <w:sz w:val="24"/>
              </w:rPr>
              <w:t>pire gradove u razvoju/ažuriranju planova održive gradske mobilnosti organiziranjem redovitih sastanaka nacionalne skupine za optimizaciju planova održive gradske mobilnosti u Rumunjskoj, koje organizira Ministarstvo razvoja, javnih radova i uprave, a koje</w:t>
            </w:r>
            <w:r>
              <w:rPr>
                <w:rFonts w:ascii="Times New Roman" w:hAnsi="Times New Roman"/>
                <w:noProof/>
                <w:sz w:val="24"/>
              </w:rPr>
              <w:t xml:space="preserve"> okuplja relevantne aktere (predstavnike središnje, lokalne javne uprave, akademske zajednice, privatnog okoliša, nevladinih organizacija).</w:t>
            </w:r>
          </w:p>
          <w:p w14:paraId="1EE9A607" w14:textId="77777777" w:rsidR="003F46B9" w:rsidRDefault="0065662E">
            <w:pPr>
              <w:pStyle w:val="P68B1DB1-Normal5"/>
              <w:spacing w:after="0" w:line="240" w:lineRule="auto"/>
              <w:jc w:val="both"/>
              <w:rPr>
                <w:rFonts w:cs="Times New Roman"/>
                <w:noProof/>
              </w:rPr>
            </w:pPr>
            <w:r>
              <w:rPr>
                <w:noProof/>
              </w:rPr>
              <w:t xml:space="preserve">Tajništvo nacionalne skupine osigurava Ministarstvo razvoja, javnih radova i uprave. </w:t>
            </w:r>
          </w:p>
        </w:tc>
      </w:tr>
      <w:tr w:rsidR="003F46B9" w14:paraId="42E414CD"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C4DBC4C" w14:textId="77777777" w:rsidR="003F46B9" w:rsidRDefault="0065662E">
            <w:pPr>
              <w:pStyle w:val="P68B1DB1-Normal5"/>
              <w:spacing w:after="0" w:line="240" w:lineRule="auto"/>
              <w:jc w:val="center"/>
              <w:rPr>
                <w:rFonts w:cs="Times New Roman"/>
                <w:noProof/>
              </w:rPr>
            </w:pPr>
            <w:r>
              <w:rPr>
                <w:noProof/>
              </w:rPr>
              <w:t>290</w:t>
            </w:r>
          </w:p>
        </w:tc>
        <w:tc>
          <w:tcPr>
            <w:tcW w:w="1569" w:type="dxa"/>
            <w:tcBorders>
              <w:top w:val="nil"/>
              <w:left w:val="nil"/>
              <w:bottom w:val="single" w:sz="4" w:space="0" w:color="auto"/>
              <w:right w:val="single" w:sz="4" w:space="0" w:color="auto"/>
            </w:tcBorders>
            <w:shd w:val="clear" w:color="auto" w:fill="C6EFCE"/>
            <w:noWrap/>
          </w:tcPr>
          <w:p w14:paraId="6D3D6747" w14:textId="77777777" w:rsidR="003F46B9" w:rsidRDefault="0065662E">
            <w:pPr>
              <w:pStyle w:val="P68B1DB1-Normal5"/>
              <w:spacing w:after="0" w:line="240" w:lineRule="auto"/>
              <w:rPr>
                <w:rFonts w:cs="Times New Roman"/>
                <w:noProof/>
              </w:rPr>
            </w:pPr>
            <w:r>
              <w:rPr>
                <w:noProof/>
              </w:rPr>
              <w:t xml:space="preserve">Reforma 1. Stvaranje okvira za održivu gradsku mobilnost </w:t>
            </w:r>
          </w:p>
        </w:tc>
        <w:tc>
          <w:tcPr>
            <w:tcW w:w="1182" w:type="dxa"/>
            <w:tcBorders>
              <w:top w:val="nil"/>
              <w:left w:val="nil"/>
              <w:bottom w:val="single" w:sz="4" w:space="0" w:color="auto"/>
              <w:right w:val="single" w:sz="4" w:space="0" w:color="auto"/>
            </w:tcBorders>
            <w:shd w:val="clear" w:color="auto" w:fill="C6EFCE"/>
            <w:noWrap/>
          </w:tcPr>
          <w:p w14:paraId="67B00D6B"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nil"/>
              <w:left w:val="nil"/>
              <w:bottom w:val="single" w:sz="4" w:space="0" w:color="auto"/>
              <w:right w:val="single" w:sz="4" w:space="0" w:color="auto"/>
            </w:tcBorders>
            <w:shd w:val="clear" w:color="auto" w:fill="C6EFCE"/>
            <w:noWrap/>
          </w:tcPr>
          <w:p w14:paraId="67FFC12C" w14:textId="77777777" w:rsidR="003F46B9" w:rsidRDefault="0065662E">
            <w:pPr>
              <w:pStyle w:val="P68B1DB1-Normal5"/>
              <w:spacing w:after="0" w:line="240" w:lineRule="auto"/>
              <w:rPr>
                <w:rFonts w:cs="Times New Roman"/>
                <w:noProof/>
              </w:rPr>
            </w:pPr>
            <w:r>
              <w:rPr>
                <w:noProof/>
              </w:rPr>
              <w:t xml:space="preserve">Potpisivanje svih ugovora o javnim uslugama prijevoza koji istječu u razdoblju od 2021. do 2026. za 40 županija </w:t>
            </w:r>
          </w:p>
        </w:tc>
        <w:tc>
          <w:tcPr>
            <w:tcW w:w="1701" w:type="dxa"/>
            <w:tcBorders>
              <w:top w:val="single" w:sz="4" w:space="0" w:color="auto"/>
              <w:left w:val="nil"/>
              <w:bottom w:val="single" w:sz="4" w:space="0" w:color="auto"/>
              <w:right w:val="single" w:sz="4" w:space="0" w:color="auto"/>
            </w:tcBorders>
            <w:shd w:val="clear" w:color="auto" w:fill="C6EFCE"/>
            <w:noWrap/>
          </w:tcPr>
          <w:p w14:paraId="59A2A620" w14:textId="77777777" w:rsidR="003F46B9" w:rsidRDefault="0065662E">
            <w:pPr>
              <w:pStyle w:val="P68B1DB1-Normal5"/>
              <w:spacing w:after="0" w:line="240" w:lineRule="auto"/>
              <w:jc w:val="both"/>
              <w:rPr>
                <w:rFonts w:cs="Times New Roman"/>
                <w:noProof/>
              </w:rPr>
            </w:pPr>
            <w:r>
              <w:rPr>
                <w:noProof/>
              </w:rPr>
              <w:t>Potpisivanje ugovora</w:t>
            </w:r>
          </w:p>
        </w:tc>
        <w:tc>
          <w:tcPr>
            <w:tcW w:w="1275" w:type="dxa"/>
            <w:tcBorders>
              <w:top w:val="nil"/>
              <w:left w:val="nil"/>
              <w:bottom w:val="single" w:sz="4" w:space="0" w:color="auto"/>
              <w:right w:val="single" w:sz="4" w:space="0" w:color="auto"/>
            </w:tcBorders>
            <w:shd w:val="clear" w:color="auto" w:fill="C6EFCE"/>
            <w:noWrap/>
          </w:tcPr>
          <w:p w14:paraId="4FCBFE1A"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FE01B89"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338D4CC8" w14:textId="77777777" w:rsidR="003F46B9" w:rsidRDefault="003F46B9">
            <w:pPr>
              <w:spacing w:after="0" w:line="240" w:lineRule="auto"/>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4EC771B7" w14:textId="77777777" w:rsidR="003F46B9" w:rsidRDefault="0065662E">
            <w:pPr>
              <w:pStyle w:val="P68B1DB1-Normal5"/>
              <w:spacing w:after="0" w:line="240" w:lineRule="auto"/>
              <w:jc w:val="center"/>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54626A3F" w14:textId="77777777" w:rsidR="003F46B9" w:rsidRDefault="0065662E">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E92DAE3" w14:textId="77777777" w:rsidR="003F46B9" w:rsidRDefault="0065662E">
            <w:pPr>
              <w:pStyle w:val="P68B1DB1-Normal5"/>
              <w:spacing w:after="0" w:line="240" w:lineRule="auto"/>
              <w:jc w:val="both"/>
              <w:rPr>
                <w:rFonts w:cs="Times New Roman"/>
                <w:noProof/>
              </w:rPr>
            </w:pPr>
            <w:r>
              <w:rPr>
                <w:noProof/>
              </w:rPr>
              <w:t>Potpisivanje svih ugovora o javn</w:t>
            </w:r>
            <w:r>
              <w:rPr>
                <w:noProof/>
              </w:rPr>
              <w:t>im uslugama prijevoza koji istječu u razdoblju 2021. – 2026. nakon otvorenog natječaja na razini županijskih rezidencija, uz poštovanje minimalnih standarda usluga za kolektivni javni prijevoz na nacionalnoj razini, tako da će u drugom tromjesečju 2026. sv</w:t>
            </w:r>
            <w:r>
              <w:rPr>
                <w:noProof/>
              </w:rPr>
              <w:t>ih 40 glavnih gradova županija i dalje imati ugovore o javnom prijevozu.</w:t>
            </w:r>
          </w:p>
        </w:tc>
      </w:tr>
      <w:tr w:rsidR="003F46B9" w14:paraId="3EA4122A"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42FECA40" w14:textId="77777777" w:rsidR="003F46B9" w:rsidRDefault="0065662E">
            <w:pPr>
              <w:pStyle w:val="P68B1DB1-Normal5"/>
              <w:spacing w:after="0" w:line="240" w:lineRule="auto"/>
              <w:jc w:val="center"/>
              <w:rPr>
                <w:rFonts w:cs="Times New Roman"/>
                <w:noProof/>
              </w:rPr>
            </w:pPr>
            <w:r>
              <w:rPr>
                <w:noProof/>
              </w:rPr>
              <w:t>291</w:t>
            </w:r>
          </w:p>
        </w:tc>
        <w:tc>
          <w:tcPr>
            <w:tcW w:w="1569" w:type="dxa"/>
            <w:tcBorders>
              <w:top w:val="nil"/>
              <w:left w:val="nil"/>
              <w:bottom w:val="single" w:sz="4" w:space="0" w:color="auto"/>
              <w:right w:val="single" w:sz="4" w:space="0" w:color="auto"/>
            </w:tcBorders>
            <w:shd w:val="clear" w:color="auto" w:fill="C6EFCE"/>
            <w:noWrap/>
          </w:tcPr>
          <w:p w14:paraId="43A1C18E" w14:textId="77777777" w:rsidR="003F46B9" w:rsidRDefault="0065662E">
            <w:pPr>
              <w:pStyle w:val="P68B1DB1-Normal5"/>
              <w:spacing w:after="0" w:line="240" w:lineRule="auto"/>
              <w:rPr>
                <w:rFonts w:cs="Times New Roman"/>
                <w:noProof/>
              </w:rPr>
            </w:pPr>
            <w:r>
              <w:rPr>
                <w:noProof/>
              </w:rPr>
              <w:t xml:space="preserve">Reforma 1. Stvaranje okvira za održivu gradsku mobilnost </w:t>
            </w:r>
          </w:p>
        </w:tc>
        <w:tc>
          <w:tcPr>
            <w:tcW w:w="1182" w:type="dxa"/>
            <w:tcBorders>
              <w:top w:val="nil"/>
              <w:left w:val="nil"/>
              <w:bottom w:val="single" w:sz="4" w:space="0" w:color="auto"/>
              <w:right w:val="single" w:sz="4" w:space="0" w:color="auto"/>
            </w:tcBorders>
            <w:shd w:val="clear" w:color="auto" w:fill="C6EFCE"/>
            <w:noWrap/>
          </w:tcPr>
          <w:p w14:paraId="2F8B494A"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0D877A85" w14:textId="77777777" w:rsidR="003F46B9" w:rsidRDefault="0065662E">
            <w:pPr>
              <w:pStyle w:val="P68B1DB1-Normal5"/>
              <w:spacing w:after="0" w:line="240" w:lineRule="auto"/>
              <w:rPr>
                <w:rFonts w:cs="Times New Roman"/>
                <w:noProof/>
              </w:rPr>
            </w:pPr>
            <w:r>
              <w:rPr>
                <w:noProof/>
              </w:rPr>
              <w:t>Smanjenje emisija onečišćujućih tvari u zrak</w:t>
            </w:r>
          </w:p>
        </w:tc>
        <w:tc>
          <w:tcPr>
            <w:tcW w:w="1701" w:type="dxa"/>
            <w:tcBorders>
              <w:top w:val="single" w:sz="4" w:space="0" w:color="auto"/>
              <w:left w:val="nil"/>
              <w:bottom w:val="single" w:sz="4" w:space="0" w:color="auto"/>
              <w:right w:val="single" w:sz="4" w:space="0" w:color="auto"/>
            </w:tcBorders>
            <w:shd w:val="clear" w:color="auto" w:fill="C6EFCE"/>
            <w:noWrap/>
          </w:tcPr>
          <w:p w14:paraId="2174039B" w14:textId="77777777" w:rsidR="003F46B9" w:rsidRDefault="003F46B9">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7ABB0920" w14:textId="77777777" w:rsidR="003F46B9" w:rsidRDefault="0065662E">
            <w:pPr>
              <w:pStyle w:val="P68B1DB1-Normal5"/>
              <w:spacing w:after="0" w:line="240" w:lineRule="auto"/>
              <w:rPr>
                <w:rFonts w:cs="Times New Roman"/>
                <w:noProof/>
              </w:rPr>
            </w:pPr>
            <w:r>
              <w:rPr>
                <w:noProof/>
              </w:rPr>
              <w:t>kt CO</w:t>
            </w:r>
            <w:r>
              <w:rPr>
                <w:noProof/>
                <w:vertAlign w:val="subscript"/>
              </w:rPr>
              <w:t>2</w:t>
            </w:r>
            <w:r>
              <w:rPr>
                <w:noProof/>
              </w:rPr>
              <w:t xml:space="preserve"> eq (osnovna godina 1990.)</w:t>
            </w:r>
          </w:p>
        </w:tc>
        <w:tc>
          <w:tcPr>
            <w:tcW w:w="1276" w:type="dxa"/>
            <w:tcBorders>
              <w:top w:val="nil"/>
              <w:left w:val="nil"/>
              <w:bottom w:val="single" w:sz="4" w:space="0" w:color="auto"/>
              <w:right w:val="single" w:sz="4" w:space="0" w:color="auto"/>
            </w:tcBorders>
            <w:shd w:val="clear" w:color="auto" w:fill="C6EFCE"/>
            <w:noWrap/>
          </w:tcPr>
          <w:p w14:paraId="745A1D30" w14:textId="77777777" w:rsidR="003F46B9" w:rsidRDefault="0065662E">
            <w:pPr>
              <w:pStyle w:val="P68B1DB1-Normal5"/>
              <w:spacing w:after="0" w:line="240" w:lineRule="auto"/>
              <w:rPr>
                <w:rFonts w:cs="Times New Roman"/>
                <w:noProof/>
              </w:rPr>
            </w:pPr>
            <w:r>
              <w:rPr>
                <w:noProof/>
              </w:rPr>
              <w:t>266 371</w:t>
            </w:r>
          </w:p>
        </w:tc>
        <w:tc>
          <w:tcPr>
            <w:tcW w:w="1276" w:type="dxa"/>
            <w:tcBorders>
              <w:top w:val="nil"/>
              <w:left w:val="nil"/>
              <w:bottom w:val="single" w:sz="4" w:space="0" w:color="auto"/>
              <w:right w:val="single" w:sz="4" w:space="0" w:color="auto"/>
            </w:tcBorders>
            <w:shd w:val="clear" w:color="auto" w:fill="C6EFCE"/>
            <w:noWrap/>
          </w:tcPr>
          <w:p w14:paraId="401EB159" w14:textId="77777777" w:rsidR="003F46B9" w:rsidRDefault="0065662E">
            <w:pPr>
              <w:pStyle w:val="P68B1DB1-Normal5"/>
              <w:spacing w:after="0" w:line="240" w:lineRule="auto"/>
              <w:rPr>
                <w:rFonts w:cs="Times New Roman"/>
                <w:noProof/>
              </w:rPr>
            </w:pPr>
            <w:r>
              <w:rPr>
                <w:noProof/>
              </w:rPr>
              <w:t>159 823</w:t>
            </w:r>
          </w:p>
        </w:tc>
        <w:tc>
          <w:tcPr>
            <w:tcW w:w="1134" w:type="dxa"/>
            <w:tcBorders>
              <w:top w:val="nil"/>
              <w:left w:val="nil"/>
              <w:bottom w:val="single" w:sz="4" w:space="0" w:color="auto"/>
              <w:right w:val="single" w:sz="4" w:space="0" w:color="auto"/>
            </w:tcBorders>
            <w:shd w:val="clear" w:color="auto" w:fill="C6EFCE"/>
            <w:noWrap/>
          </w:tcPr>
          <w:p w14:paraId="7486875C" w14:textId="77777777" w:rsidR="003F46B9" w:rsidRDefault="0065662E">
            <w:pPr>
              <w:pStyle w:val="P68B1DB1-Normal5"/>
              <w:spacing w:after="0" w:line="240" w:lineRule="auto"/>
              <w:jc w:val="center"/>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6803C111" w14:textId="77777777" w:rsidR="003F46B9" w:rsidRDefault="0065662E">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731291B3" w14:textId="77777777" w:rsidR="003F46B9" w:rsidRDefault="0065662E">
            <w:pPr>
              <w:pStyle w:val="P68B1DB1-Normal5"/>
              <w:spacing w:after="0" w:line="240" w:lineRule="auto"/>
              <w:jc w:val="both"/>
              <w:rPr>
                <w:rFonts w:cs="Times New Roman"/>
                <w:noProof/>
              </w:rPr>
            </w:pPr>
            <w:r>
              <w:rPr>
                <w:noProof/>
              </w:rPr>
              <w:t>Cilj je kvantificirati smanjenje onečišćujućih tvari u zraku kako je planirano u nacionalnom programu kontrole onečišćenja zraka. Na razini Nacionalne agencije za zaštitu okoliša (NEPA) nacionalnim inventarom emisija stakleničkih plinova upravlja se kao sa</w:t>
            </w:r>
            <w:r>
              <w:rPr>
                <w:noProof/>
              </w:rPr>
              <w:t>stavnim dijelom mehanizma EU-a za praćenje emisija stakleničkih plinova. Parametar u pogledu povijesne razine emisija stakleničkih plinova koji se upotrebljava jesu emisije stakleničkih plinova iz cestovnog prometa. Predloženi cilj smanjenja emisija stakle</w:t>
            </w:r>
            <w:r>
              <w:rPr>
                <w:noProof/>
              </w:rPr>
              <w:t>ničkih plinova nacionalni je cilj smanjenja emisija za 2030. odnosno smanjenje ukupnih emisija stakleničkih plinova za 40 %. Udio domaćeg prometa u ukupnim nacionalnim emisijama stakleničkih plinova na razini iz 2019. iznosio je oko 17 %.</w:t>
            </w:r>
          </w:p>
          <w:p w14:paraId="2A6C68C7" w14:textId="77777777" w:rsidR="003F46B9" w:rsidRDefault="0065662E">
            <w:pPr>
              <w:pStyle w:val="P68B1DB1-Normal5"/>
              <w:spacing w:after="0" w:line="240" w:lineRule="auto"/>
              <w:jc w:val="both"/>
              <w:rPr>
                <w:rFonts w:cs="Times New Roman"/>
                <w:noProof/>
              </w:rPr>
            </w:pPr>
            <w:r>
              <w:rPr>
                <w:noProof/>
              </w:rPr>
              <w:t xml:space="preserve">Cilj se utvrđuje </w:t>
            </w:r>
            <w:r>
              <w:rPr>
                <w:noProof/>
              </w:rPr>
              <w:t xml:space="preserve">i na temelju mreže fiksnih točaka za praćenje kvalitete zraka u gradovima koju je razvilo Ministarstvo okoliša. </w:t>
            </w:r>
          </w:p>
          <w:p w14:paraId="1BFC71BD" w14:textId="77777777" w:rsidR="003F46B9" w:rsidRDefault="003F46B9">
            <w:pPr>
              <w:spacing w:after="0" w:line="240" w:lineRule="auto"/>
              <w:jc w:val="both"/>
              <w:rPr>
                <w:rFonts w:ascii="Times New Roman" w:hAnsi="Times New Roman" w:cs="Times New Roman"/>
                <w:noProof/>
                <w:sz w:val="24"/>
              </w:rPr>
            </w:pPr>
          </w:p>
        </w:tc>
      </w:tr>
      <w:tr w:rsidR="003F46B9" w14:paraId="57527429"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7599912" w14:textId="77777777" w:rsidR="003F46B9" w:rsidRDefault="0065662E">
            <w:pPr>
              <w:pStyle w:val="P68B1DB1-Normal5"/>
              <w:spacing w:after="0" w:line="240" w:lineRule="auto"/>
              <w:jc w:val="center"/>
              <w:rPr>
                <w:rFonts w:cs="Times New Roman"/>
                <w:noProof/>
              </w:rPr>
            </w:pPr>
            <w:r>
              <w:rPr>
                <w:noProof/>
              </w:rPr>
              <w:t>292</w:t>
            </w:r>
          </w:p>
        </w:tc>
        <w:tc>
          <w:tcPr>
            <w:tcW w:w="1569" w:type="dxa"/>
            <w:tcBorders>
              <w:top w:val="nil"/>
              <w:left w:val="nil"/>
              <w:bottom w:val="single" w:sz="4" w:space="0" w:color="auto"/>
              <w:right w:val="single" w:sz="4" w:space="0" w:color="auto"/>
            </w:tcBorders>
            <w:shd w:val="clear" w:color="auto" w:fill="C6EFCE"/>
            <w:noWrap/>
          </w:tcPr>
          <w:p w14:paraId="035209C8" w14:textId="77777777" w:rsidR="003F46B9" w:rsidRDefault="0065662E">
            <w:pPr>
              <w:pStyle w:val="P68B1DB1-Normal5"/>
              <w:spacing w:after="0" w:line="240" w:lineRule="auto"/>
              <w:rPr>
                <w:rFonts w:cs="Times New Roman"/>
                <w:noProof/>
              </w:rPr>
            </w:pPr>
            <w:r>
              <w:rPr>
                <w:noProof/>
              </w:rPr>
              <w:t>Reforma 1. Stvaranje okvira za održivu gradsku mobilnost</w:t>
            </w:r>
          </w:p>
        </w:tc>
        <w:tc>
          <w:tcPr>
            <w:tcW w:w="1182" w:type="dxa"/>
            <w:tcBorders>
              <w:top w:val="nil"/>
              <w:left w:val="nil"/>
              <w:bottom w:val="single" w:sz="4" w:space="0" w:color="auto"/>
              <w:right w:val="single" w:sz="4" w:space="0" w:color="auto"/>
            </w:tcBorders>
            <w:shd w:val="clear" w:color="auto" w:fill="C6EFCE"/>
            <w:noWrap/>
          </w:tcPr>
          <w:p w14:paraId="7D4DE0A5"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2FB0137B" w14:textId="77777777" w:rsidR="003F46B9" w:rsidRDefault="0065662E">
            <w:pPr>
              <w:pStyle w:val="P68B1DB1-Normal5"/>
              <w:spacing w:after="0" w:line="240" w:lineRule="auto"/>
              <w:rPr>
                <w:rFonts w:cs="Times New Roman"/>
                <w:noProof/>
              </w:rPr>
            </w:pPr>
            <w:r>
              <w:rPr>
                <w:noProof/>
              </w:rPr>
              <w:t>Smanjenje broja poginulih ili teško ozlijeđenih osoba u gradskim općinama</w:t>
            </w:r>
            <w:r>
              <w:rPr>
                <w:noProof/>
              </w:rPr>
              <w:t xml:space="preserve"> za 25 % u usporedbi s referentnom godinom 2019.</w:t>
            </w:r>
          </w:p>
        </w:tc>
        <w:tc>
          <w:tcPr>
            <w:tcW w:w="1701" w:type="dxa"/>
            <w:tcBorders>
              <w:top w:val="nil"/>
              <w:left w:val="nil"/>
              <w:bottom w:val="single" w:sz="4" w:space="0" w:color="auto"/>
              <w:right w:val="single" w:sz="4" w:space="0" w:color="auto"/>
            </w:tcBorders>
            <w:shd w:val="clear" w:color="auto" w:fill="C6EFCE"/>
            <w:noWrap/>
          </w:tcPr>
          <w:p w14:paraId="10E811B4"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31FBECD3" w14:textId="77777777" w:rsidR="003F46B9" w:rsidRDefault="0065662E">
            <w:pPr>
              <w:pStyle w:val="P68B1DB1-Normal5"/>
              <w:spacing w:after="0" w:line="240" w:lineRule="auto"/>
              <w:rPr>
                <w:rFonts w:eastAsia="Times New Roman" w:cs="Times New Roman"/>
                <w:noProof/>
              </w:rPr>
            </w:pPr>
            <w:r>
              <w:rPr>
                <w:noProof/>
              </w:rPr>
              <w:t>Postotak (%)</w:t>
            </w:r>
          </w:p>
          <w:p w14:paraId="28B92A9A"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62A42884" w14:textId="77777777" w:rsidR="003F46B9" w:rsidRDefault="0065662E">
            <w:pPr>
              <w:pStyle w:val="P68B1DB1-Normal5"/>
              <w:spacing w:after="0" w:line="240" w:lineRule="auto"/>
              <w:rPr>
                <w:rFonts w:cs="Times New Roman"/>
                <w:noProof/>
              </w:rPr>
            </w:pPr>
            <w:r>
              <w:rPr>
                <w:noProof/>
              </w:rPr>
              <w:t xml:space="preserve">100 % </w:t>
            </w:r>
          </w:p>
        </w:tc>
        <w:tc>
          <w:tcPr>
            <w:tcW w:w="1276" w:type="dxa"/>
            <w:tcBorders>
              <w:top w:val="nil"/>
              <w:left w:val="nil"/>
              <w:bottom w:val="single" w:sz="4" w:space="0" w:color="auto"/>
              <w:right w:val="single" w:sz="4" w:space="0" w:color="auto"/>
            </w:tcBorders>
            <w:shd w:val="clear" w:color="auto" w:fill="C6EFCE"/>
            <w:noWrap/>
          </w:tcPr>
          <w:p w14:paraId="4EB3303C" w14:textId="77777777" w:rsidR="003F46B9" w:rsidRDefault="0065662E">
            <w:pPr>
              <w:pStyle w:val="P68B1DB1-Normal5"/>
              <w:spacing w:after="0" w:line="240" w:lineRule="auto"/>
              <w:rPr>
                <w:rFonts w:cs="Times New Roman"/>
                <w:noProof/>
              </w:rPr>
            </w:pPr>
            <w:r>
              <w:rPr>
                <w:noProof/>
              </w:rPr>
              <w:t>75 %</w:t>
            </w:r>
          </w:p>
        </w:tc>
        <w:tc>
          <w:tcPr>
            <w:tcW w:w="1134" w:type="dxa"/>
            <w:tcBorders>
              <w:top w:val="nil"/>
              <w:left w:val="nil"/>
              <w:bottom w:val="single" w:sz="4" w:space="0" w:color="auto"/>
              <w:right w:val="single" w:sz="4" w:space="0" w:color="auto"/>
            </w:tcBorders>
            <w:shd w:val="clear" w:color="auto" w:fill="C6EFCE"/>
            <w:noWrap/>
          </w:tcPr>
          <w:p w14:paraId="4B4E574C" w14:textId="77777777" w:rsidR="003F46B9" w:rsidRDefault="0065662E">
            <w:pPr>
              <w:pStyle w:val="P68B1DB1-Normal5"/>
              <w:spacing w:after="0" w:line="240" w:lineRule="auto"/>
              <w:jc w:val="center"/>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1777CEDC" w14:textId="77777777" w:rsidR="003F46B9" w:rsidRDefault="0065662E">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6A479600" w14:textId="77777777" w:rsidR="003F46B9" w:rsidRDefault="0065662E">
            <w:pPr>
              <w:pStyle w:val="P68B1DB1-Normal5"/>
              <w:spacing w:after="0" w:line="240" w:lineRule="auto"/>
              <w:jc w:val="both"/>
              <w:rPr>
                <w:rFonts w:cs="Times New Roman"/>
                <w:noProof/>
              </w:rPr>
            </w:pPr>
            <w:r>
              <w:rPr>
                <w:noProof/>
              </w:rPr>
              <w:t>Cilj je kvantificirati mjere za poboljšanje sigurnosti prometa u gradskom okruženju. Cilj je smanjiti za 25 % broj poginulih ili teško ozlijeđenih u prometnim nes</w:t>
            </w:r>
            <w:r>
              <w:rPr>
                <w:noProof/>
              </w:rPr>
              <w:t>rećama u gradskim općinama 2025. u odnosu na polaznu vrijednost 2019. Cilj je u skladu s onim utvrđenim u nacrtu ažuriranja Nacionalne strategije za sigurnost cestovnog prometa, kojom se predviđa smanjenje broja teško ozlijeđenih ili poginulih osoba koje s</w:t>
            </w:r>
            <w:r>
              <w:rPr>
                <w:noProof/>
              </w:rPr>
              <w:t>u teško ozlijeđene ili poginule zbog prometnih nesreća do 2030.</w:t>
            </w:r>
          </w:p>
        </w:tc>
      </w:tr>
      <w:tr w:rsidR="003F46B9" w14:paraId="3CDBC029"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113F33E5" w14:textId="77777777" w:rsidR="003F46B9" w:rsidRDefault="0065662E">
            <w:pPr>
              <w:pStyle w:val="P68B1DB1-Normal5"/>
              <w:spacing w:after="0" w:line="240" w:lineRule="auto"/>
              <w:jc w:val="center"/>
              <w:rPr>
                <w:rFonts w:cs="Times New Roman"/>
                <w:noProof/>
              </w:rPr>
            </w:pPr>
            <w:r>
              <w:rPr>
                <w:noProof/>
              </w:rPr>
              <w:t>293</w:t>
            </w:r>
          </w:p>
        </w:tc>
        <w:tc>
          <w:tcPr>
            <w:tcW w:w="1569" w:type="dxa"/>
            <w:tcBorders>
              <w:top w:val="nil"/>
              <w:left w:val="nil"/>
              <w:bottom w:val="single" w:sz="4" w:space="0" w:color="auto"/>
              <w:right w:val="single" w:sz="4" w:space="0" w:color="auto"/>
            </w:tcBorders>
            <w:shd w:val="clear" w:color="auto" w:fill="C6EFCE"/>
            <w:noWrap/>
          </w:tcPr>
          <w:p w14:paraId="40B69A5A" w14:textId="77777777" w:rsidR="003F46B9" w:rsidRDefault="0065662E">
            <w:pPr>
              <w:pStyle w:val="P68B1DB1-Normal5"/>
              <w:spacing w:after="0" w:line="240" w:lineRule="auto"/>
              <w:rPr>
                <w:rFonts w:cs="Times New Roman"/>
                <w:noProof/>
              </w:rPr>
            </w:pPr>
            <w:r>
              <w:rPr>
                <w:noProof/>
              </w:rPr>
              <w:t>Reforma 1. Stvaranje okvira za održivu gradsku mobilnost</w:t>
            </w:r>
          </w:p>
        </w:tc>
        <w:tc>
          <w:tcPr>
            <w:tcW w:w="1182" w:type="dxa"/>
            <w:tcBorders>
              <w:top w:val="nil"/>
              <w:left w:val="nil"/>
              <w:bottom w:val="single" w:sz="4" w:space="0" w:color="auto"/>
              <w:right w:val="single" w:sz="4" w:space="0" w:color="auto"/>
            </w:tcBorders>
            <w:shd w:val="clear" w:color="auto" w:fill="C6EFCE"/>
            <w:noWrap/>
          </w:tcPr>
          <w:p w14:paraId="384C5772"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63C387B4" w14:textId="77777777" w:rsidR="003F46B9" w:rsidRDefault="0065662E">
            <w:pPr>
              <w:pStyle w:val="P68B1DB1-Normal5"/>
              <w:spacing w:after="0" w:line="240" w:lineRule="auto"/>
              <w:rPr>
                <w:rFonts w:cs="Times New Roman"/>
                <w:noProof/>
              </w:rPr>
            </w:pPr>
            <w:r>
              <w:rPr>
                <w:noProof/>
              </w:rPr>
              <w:t>Povećanje od 20 % u ukupnom godišnjem broju putnika koji se koriste lokalnim javnim prijevozom 2026. u odnosu na 2019.</w:t>
            </w:r>
          </w:p>
        </w:tc>
        <w:tc>
          <w:tcPr>
            <w:tcW w:w="1701" w:type="dxa"/>
            <w:tcBorders>
              <w:top w:val="nil"/>
              <w:left w:val="nil"/>
              <w:bottom w:val="single" w:sz="4" w:space="0" w:color="auto"/>
              <w:right w:val="single" w:sz="4" w:space="0" w:color="auto"/>
            </w:tcBorders>
            <w:shd w:val="clear" w:color="auto" w:fill="C6EFCE"/>
            <w:noWrap/>
          </w:tcPr>
          <w:p w14:paraId="5F39F5AE"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4D9306A0" w14:textId="77777777" w:rsidR="003F46B9" w:rsidRDefault="0065662E">
            <w:pPr>
              <w:pStyle w:val="P68B1DB1-Normal5"/>
              <w:spacing w:after="0" w:line="240" w:lineRule="auto"/>
              <w:rPr>
                <w:rFonts w:cs="Times New Roman"/>
                <w:noProof/>
              </w:rPr>
            </w:pPr>
            <w:r>
              <w:rPr>
                <w:noProof/>
              </w:rPr>
              <w:t>Broj putnika koji koriste lokalni javni prijevoz</w:t>
            </w:r>
          </w:p>
        </w:tc>
        <w:tc>
          <w:tcPr>
            <w:tcW w:w="1276" w:type="dxa"/>
            <w:tcBorders>
              <w:top w:val="nil"/>
              <w:left w:val="nil"/>
              <w:bottom w:val="single" w:sz="4" w:space="0" w:color="auto"/>
              <w:right w:val="single" w:sz="4" w:space="0" w:color="auto"/>
            </w:tcBorders>
            <w:shd w:val="clear" w:color="auto" w:fill="C6EFCE"/>
            <w:noWrap/>
          </w:tcPr>
          <w:p w14:paraId="1C720FFA" w14:textId="77777777" w:rsidR="003F46B9" w:rsidRDefault="0065662E">
            <w:pPr>
              <w:pStyle w:val="P68B1DB1-Normal5"/>
              <w:spacing w:after="0" w:line="240" w:lineRule="auto"/>
              <w:jc w:val="both"/>
              <w:rPr>
                <w:rFonts w:cs="Times New Roman"/>
                <w:noProof/>
              </w:rPr>
            </w:pPr>
            <w:r>
              <w:rPr>
                <w:noProof/>
              </w:rPr>
              <w:t>1 763 000 000</w:t>
            </w:r>
          </w:p>
          <w:p w14:paraId="5EDBBA38" w14:textId="77777777" w:rsidR="003F46B9" w:rsidRDefault="003F46B9">
            <w:pPr>
              <w:spacing w:after="0" w:line="240" w:lineRule="auto"/>
              <w:jc w:val="both"/>
              <w:rPr>
                <w:rFonts w:ascii="Times New Roman" w:hAnsi="Times New Roman" w:cs="Times New Roman"/>
                <w:noProof/>
                <w:sz w:val="24"/>
              </w:rPr>
            </w:pPr>
          </w:p>
          <w:p w14:paraId="2E83CC5D"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1143D358" w14:textId="77777777" w:rsidR="003F46B9" w:rsidRDefault="0065662E">
            <w:pPr>
              <w:pStyle w:val="P68B1DB1-Normal5"/>
              <w:spacing w:after="0" w:line="240" w:lineRule="auto"/>
              <w:rPr>
                <w:rFonts w:cs="Times New Roman"/>
                <w:noProof/>
              </w:rPr>
            </w:pPr>
            <w:r>
              <w:rPr>
                <w:noProof/>
              </w:rPr>
              <w:t>2 115 600</w:t>
            </w:r>
          </w:p>
        </w:tc>
        <w:tc>
          <w:tcPr>
            <w:tcW w:w="1134" w:type="dxa"/>
            <w:tcBorders>
              <w:top w:val="nil"/>
              <w:left w:val="nil"/>
              <w:bottom w:val="single" w:sz="4" w:space="0" w:color="auto"/>
              <w:right w:val="single" w:sz="4" w:space="0" w:color="auto"/>
            </w:tcBorders>
            <w:shd w:val="clear" w:color="auto" w:fill="C6EFCE"/>
            <w:noWrap/>
          </w:tcPr>
          <w:p w14:paraId="720F9C5A" w14:textId="77777777" w:rsidR="003F46B9" w:rsidRDefault="0065662E">
            <w:pPr>
              <w:pStyle w:val="P68B1DB1-Normal5"/>
              <w:spacing w:after="0" w:line="240" w:lineRule="auto"/>
              <w:jc w:val="center"/>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5BEE0A2D" w14:textId="77777777" w:rsidR="003F46B9" w:rsidRDefault="0065662E">
            <w:pPr>
              <w:pStyle w:val="P68B1DB1-Normal5"/>
              <w:spacing w:after="0" w:line="240" w:lineRule="auto"/>
              <w:jc w:val="center"/>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6094653" w14:textId="77777777" w:rsidR="003F46B9" w:rsidRDefault="0065662E">
            <w:pPr>
              <w:pStyle w:val="P68B1DB1-Normal5"/>
              <w:spacing w:after="0" w:line="240" w:lineRule="auto"/>
              <w:jc w:val="both"/>
              <w:rPr>
                <w:rFonts w:cs="Times New Roman"/>
                <w:noProof/>
              </w:rPr>
            </w:pPr>
            <w:r>
              <w:rPr>
                <w:noProof/>
              </w:rPr>
              <w:t>Cilj se odnosi na povećanje broja putnika lokalnim javnim prijevozom za 20 % u 2025. u odnosu na 2019. To bi bilo posljedica povećanja broja vozila namijenjenih jav</w:t>
            </w:r>
            <w:r>
              <w:rPr>
                <w:noProof/>
              </w:rPr>
              <w:t>nom prijevozu na lokalnoj razini, zajedno s mjerama za odvraćanje od upotrebe privatnih vozila,</w:t>
            </w:r>
          </w:p>
        </w:tc>
      </w:tr>
      <w:tr w:rsidR="003F46B9" w14:paraId="0302E76B"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567AED9" w14:textId="77777777" w:rsidR="003F46B9" w:rsidRDefault="0065662E">
            <w:pPr>
              <w:pStyle w:val="P68B1DB1-Normal5"/>
              <w:spacing w:after="0" w:line="240" w:lineRule="auto"/>
              <w:jc w:val="center"/>
              <w:rPr>
                <w:rFonts w:cs="Times New Roman"/>
                <w:noProof/>
              </w:rPr>
            </w:pPr>
            <w:r>
              <w:rPr>
                <w:noProof/>
              </w:rPr>
              <w:t>294</w:t>
            </w:r>
          </w:p>
        </w:tc>
        <w:tc>
          <w:tcPr>
            <w:tcW w:w="1569" w:type="dxa"/>
            <w:tcBorders>
              <w:top w:val="nil"/>
              <w:left w:val="nil"/>
              <w:bottom w:val="single" w:sz="4" w:space="0" w:color="auto"/>
              <w:right w:val="single" w:sz="4" w:space="0" w:color="auto"/>
            </w:tcBorders>
            <w:shd w:val="clear" w:color="auto" w:fill="C6EFCE"/>
            <w:noWrap/>
          </w:tcPr>
          <w:p w14:paraId="05AB9F64" w14:textId="77777777" w:rsidR="003F46B9" w:rsidRDefault="0065662E">
            <w:pPr>
              <w:pStyle w:val="P68B1DB1-Normal5"/>
              <w:spacing w:after="0" w:line="240" w:lineRule="auto"/>
              <w:rPr>
                <w:rFonts w:cs="Times New Roman"/>
                <w:noProof/>
              </w:rPr>
            </w:pPr>
            <w:r>
              <w:rPr>
                <w:noProof/>
              </w:rPr>
              <w:t xml:space="preserve">Ulaganje 1. Održiva gradska mobilnost </w:t>
            </w:r>
          </w:p>
        </w:tc>
        <w:tc>
          <w:tcPr>
            <w:tcW w:w="1182" w:type="dxa"/>
            <w:tcBorders>
              <w:top w:val="nil"/>
              <w:left w:val="nil"/>
              <w:bottom w:val="single" w:sz="4" w:space="0" w:color="auto"/>
              <w:right w:val="single" w:sz="4" w:space="0" w:color="auto"/>
            </w:tcBorders>
            <w:shd w:val="clear" w:color="auto" w:fill="C6EFCE"/>
            <w:noWrap/>
          </w:tcPr>
          <w:p w14:paraId="240E69AA"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nil"/>
              <w:left w:val="nil"/>
              <w:bottom w:val="single" w:sz="4" w:space="0" w:color="auto"/>
              <w:right w:val="single" w:sz="4" w:space="0" w:color="auto"/>
            </w:tcBorders>
            <w:shd w:val="clear" w:color="auto" w:fill="C6EFCE"/>
            <w:noWrap/>
          </w:tcPr>
          <w:p w14:paraId="57F86A49" w14:textId="77777777" w:rsidR="003F46B9" w:rsidRDefault="0065662E">
            <w:pPr>
              <w:pStyle w:val="P68B1DB1-Normal5"/>
              <w:spacing w:after="0" w:line="240" w:lineRule="auto"/>
              <w:jc w:val="both"/>
              <w:rPr>
                <w:rFonts w:cs="Times New Roman"/>
                <w:noProof/>
              </w:rPr>
            </w:pPr>
            <w:r>
              <w:rPr>
                <w:noProof/>
              </w:rPr>
              <w:t>Potpisivanje ugovora za obnovu voznog parka javnog prijevoza (nabava čistih vozila)</w:t>
            </w:r>
          </w:p>
        </w:tc>
        <w:tc>
          <w:tcPr>
            <w:tcW w:w="1701" w:type="dxa"/>
            <w:tcBorders>
              <w:top w:val="nil"/>
              <w:left w:val="nil"/>
              <w:bottom w:val="single" w:sz="4" w:space="0" w:color="auto"/>
              <w:right w:val="single" w:sz="4" w:space="0" w:color="auto"/>
            </w:tcBorders>
            <w:shd w:val="clear" w:color="auto" w:fill="C6EFCE"/>
            <w:noWrap/>
          </w:tcPr>
          <w:p w14:paraId="70124FF4" w14:textId="77777777" w:rsidR="003F46B9" w:rsidRDefault="0065662E">
            <w:pPr>
              <w:pStyle w:val="P68B1DB1-Normal5"/>
              <w:spacing w:after="0" w:line="240" w:lineRule="auto"/>
              <w:jc w:val="both"/>
              <w:rPr>
                <w:rFonts w:cs="Times New Roman"/>
                <w:noProof/>
              </w:rPr>
            </w:pPr>
            <w:r>
              <w:rPr>
                <w:noProof/>
              </w:rPr>
              <w:t>Potpisivanje ugovora</w:t>
            </w:r>
          </w:p>
        </w:tc>
        <w:tc>
          <w:tcPr>
            <w:tcW w:w="1275" w:type="dxa"/>
            <w:tcBorders>
              <w:top w:val="nil"/>
              <w:left w:val="nil"/>
              <w:bottom w:val="single" w:sz="4" w:space="0" w:color="auto"/>
              <w:right w:val="single" w:sz="4" w:space="0" w:color="auto"/>
            </w:tcBorders>
            <w:shd w:val="clear" w:color="auto" w:fill="C6EFCE"/>
            <w:noWrap/>
          </w:tcPr>
          <w:p w14:paraId="099230E4"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486A4802"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05962DF"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7032DF4C" w14:textId="77777777" w:rsidR="003F46B9" w:rsidRDefault="0065662E">
            <w:pPr>
              <w:pStyle w:val="P68B1DB1-Normal5"/>
              <w:spacing w:after="0" w:line="240" w:lineRule="auto"/>
              <w:jc w:val="both"/>
              <w:rPr>
                <w:rFonts w:cs="Times New Roman"/>
                <w:noProof/>
              </w:rPr>
            </w:pPr>
            <w:r>
              <w:rPr>
                <w:noProof/>
              </w:rPr>
              <w:t>ČETVRTO TROMJESEČJE</w:t>
            </w:r>
          </w:p>
          <w:p w14:paraId="6AAD6217" w14:textId="77777777" w:rsidR="003F46B9" w:rsidRDefault="003F46B9">
            <w:pPr>
              <w:spacing w:after="0" w:line="240" w:lineRule="auto"/>
              <w:jc w:val="both"/>
              <w:rPr>
                <w:rFonts w:ascii="Times New Roman" w:hAnsi="Times New Roman" w:cs="Times New Roman"/>
                <w:noProof/>
                <w:sz w:val="24"/>
              </w:rPr>
            </w:pPr>
          </w:p>
          <w:p w14:paraId="1898F362" w14:textId="77777777" w:rsidR="003F46B9" w:rsidRDefault="003F46B9">
            <w:pPr>
              <w:spacing w:after="0" w:line="240" w:lineRule="auto"/>
              <w:jc w:val="both"/>
              <w:rPr>
                <w:rFonts w:ascii="Times New Roman" w:hAnsi="Times New Roman" w:cs="Times New Roman"/>
                <w:noProof/>
                <w:sz w:val="24"/>
              </w:rPr>
            </w:pPr>
          </w:p>
          <w:p w14:paraId="3EBDC713" w14:textId="77777777" w:rsidR="003F46B9" w:rsidRDefault="003F46B9">
            <w:pPr>
              <w:spacing w:after="0" w:line="240" w:lineRule="auto"/>
              <w:jc w:val="both"/>
              <w:rPr>
                <w:rFonts w:ascii="Times New Roman" w:hAnsi="Times New Roman" w:cs="Times New Roman"/>
                <w:noProof/>
                <w:sz w:val="24"/>
              </w:rPr>
            </w:pPr>
          </w:p>
          <w:p w14:paraId="118B00E4" w14:textId="77777777" w:rsidR="003F46B9" w:rsidRDefault="003F46B9">
            <w:pPr>
              <w:spacing w:after="0" w:line="240" w:lineRule="auto"/>
              <w:jc w:val="center"/>
              <w:rPr>
                <w:rFonts w:ascii="Times New Roman" w:hAnsi="Times New Roman" w:cs="Times New Roman"/>
                <w:noProof/>
                <w:sz w:val="24"/>
              </w:rPr>
            </w:pPr>
          </w:p>
        </w:tc>
        <w:tc>
          <w:tcPr>
            <w:tcW w:w="845" w:type="dxa"/>
            <w:tcBorders>
              <w:top w:val="nil"/>
              <w:left w:val="nil"/>
              <w:bottom w:val="single" w:sz="4" w:space="0" w:color="auto"/>
              <w:right w:val="single" w:sz="4" w:space="0" w:color="auto"/>
            </w:tcBorders>
            <w:shd w:val="clear" w:color="auto" w:fill="C6EFCE"/>
            <w:noWrap/>
          </w:tcPr>
          <w:p w14:paraId="1CADEE44" w14:textId="77777777" w:rsidR="003F46B9" w:rsidRDefault="0065662E">
            <w:pPr>
              <w:pStyle w:val="P68B1DB1-Normal5"/>
              <w:spacing w:after="0" w:line="240" w:lineRule="auto"/>
              <w:jc w:val="both"/>
              <w:rPr>
                <w:rFonts w:cs="Times New Roman"/>
                <w:noProof/>
              </w:rPr>
            </w:pPr>
            <w:r>
              <w:rPr>
                <w:noProof/>
              </w:rPr>
              <w:t>2022</w:t>
            </w:r>
          </w:p>
          <w:p w14:paraId="579A6C76" w14:textId="77777777" w:rsidR="003F46B9" w:rsidRDefault="003F46B9">
            <w:pPr>
              <w:spacing w:after="0" w:line="240" w:lineRule="auto"/>
              <w:jc w:val="both"/>
              <w:rPr>
                <w:rFonts w:ascii="Times New Roman" w:hAnsi="Times New Roman" w:cs="Times New Roman"/>
                <w:noProof/>
                <w:sz w:val="24"/>
              </w:rPr>
            </w:pPr>
          </w:p>
          <w:p w14:paraId="5A3FC8D3" w14:textId="77777777" w:rsidR="003F46B9" w:rsidRDefault="003F46B9">
            <w:pPr>
              <w:spacing w:after="0" w:line="240" w:lineRule="auto"/>
              <w:jc w:val="both"/>
              <w:rPr>
                <w:rFonts w:ascii="Times New Roman" w:hAnsi="Times New Roman" w:cs="Times New Roman"/>
                <w:noProof/>
                <w:sz w:val="24"/>
              </w:rPr>
            </w:pPr>
          </w:p>
          <w:p w14:paraId="5C083E50" w14:textId="77777777" w:rsidR="003F46B9" w:rsidRDefault="003F46B9">
            <w:pPr>
              <w:spacing w:after="0" w:line="240" w:lineRule="auto"/>
              <w:jc w:val="both"/>
              <w:rPr>
                <w:rFonts w:ascii="Times New Roman" w:hAnsi="Times New Roman" w:cs="Times New Roman"/>
                <w:noProof/>
                <w:sz w:val="24"/>
              </w:rPr>
            </w:pPr>
          </w:p>
          <w:p w14:paraId="434B5FF9" w14:textId="77777777" w:rsidR="003F46B9" w:rsidRDefault="003F46B9">
            <w:pPr>
              <w:spacing w:after="0" w:line="240" w:lineRule="auto"/>
              <w:jc w:val="center"/>
              <w:rPr>
                <w:rFonts w:ascii="Times New Roman" w:hAnsi="Times New Roman" w:cs="Times New Roman"/>
                <w:noProof/>
                <w:sz w:val="24"/>
              </w:rPr>
            </w:pPr>
          </w:p>
        </w:tc>
        <w:tc>
          <w:tcPr>
            <w:tcW w:w="2987" w:type="dxa"/>
            <w:tcBorders>
              <w:top w:val="nil"/>
              <w:left w:val="nil"/>
              <w:bottom w:val="single" w:sz="4" w:space="0" w:color="auto"/>
              <w:right w:val="single" w:sz="4" w:space="0" w:color="auto"/>
            </w:tcBorders>
            <w:shd w:val="clear" w:color="auto" w:fill="C6EFCE"/>
            <w:noWrap/>
          </w:tcPr>
          <w:p w14:paraId="3DADB64A" w14:textId="77777777" w:rsidR="003F46B9" w:rsidRDefault="0065662E">
            <w:pPr>
              <w:pStyle w:val="P68B1DB1-Normal5"/>
              <w:spacing w:after="0" w:line="240" w:lineRule="auto"/>
              <w:jc w:val="both"/>
              <w:rPr>
                <w:rFonts w:cs="Times New Roman"/>
                <w:noProof/>
              </w:rPr>
            </w:pPr>
            <w:r>
              <w:rPr>
                <w:noProof/>
              </w:rPr>
              <w:t xml:space="preserve">Programom financiranja utvrđuju se kriteriji i uvjeti koji se moraju ispuniti za financiranje korisnika koji se odabiru putem otvorenog i transparentnog poziva na podnošenje prijedloga, koji, među ostalim, uključuje </w:t>
            </w:r>
            <w:r>
              <w:rPr>
                <w:noProof/>
              </w:rPr>
              <w:t>sljedeće specifikacije:</w:t>
            </w:r>
          </w:p>
          <w:p w14:paraId="4C36FEC3"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Obvezno usklađivanje ulaganja s planom održive gradske mobilnosti/integriranim održivim razvojem/općim urbanističkim planom koji je odobren ili je u izradi; </w:t>
            </w:r>
          </w:p>
          <w:p w14:paraId="74D85C6C"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Osiguravanje pokrivenosti uslugama mobilnosti u funkcionalnom i </w:t>
            </w:r>
            <w:r>
              <w:rPr>
                <w:noProof/>
              </w:rPr>
              <w:t>prigradskom području. Osigurati određivanje prioriteta i promicanje javnog prijevoza u lokalnom prometu planiranjem povlaštenih linija i autobusnih trakova na najugroženijim/zakrčenim arterijama;</w:t>
            </w:r>
          </w:p>
          <w:p w14:paraId="2B5E966B" w14:textId="09F1F90C"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Sklapanje ugovora o javnim uslugama s gospodarskim subjektima u skladu s odredbama Uredbe (EZ) br. 1370/2007; </w:t>
            </w:r>
          </w:p>
          <w:p w14:paraId="66BD5206"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Obvezna klasifikacija kupljenih vozila u skladu s odredbama Uredbe o općoj sigurnosti (GSR) (2019/2144), koja stupa na snagu 6. srpnja 2022.</w:t>
            </w:r>
          </w:p>
          <w:p w14:paraId="08009124"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Krit</w:t>
            </w:r>
            <w:r>
              <w:rPr>
                <w:noProof/>
              </w:rPr>
              <w:t xml:space="preserve">eriji za financiranje isključivo vozila s nultim emisijama: autobusi, trolejbusi s motorom ili baterijom s nultim emisijama, tramvaji i minibusi. </w:t>
            </w:r>
          </w:p>
          <w:p w14:paraId="18CCC734" w14:textId="77777777" w:rsidR="003F46B9" w:rsidRDefault="0065662E">
            <w:pPr>
              <w:pStyle w:val="P68B1DB1-Normal5"/>
              <w:spacing w:after="0" w:line="240" w:lineRule="auto"/>
              <w:jc w:val="both"/>
              <w:rPr>
                <w:rFonts w:cs="Times New Roman"/>
                <w:noProof/>
              </w:rPr>
            </w:pPr>
            <w:r>
              <w:rPr>
                <w:noProof/>
              </w:rPr>
              <w:t xml:space="preserve">Prednost se daje ulaganjima koja se provode u funkcionalnim urbanim ili ruralnim područjima. </w:t>
            </w:r>
          </w:p>
        </w:tc>
      </w:tr>
      <w:tr w:rsidR="003F46B9" w14:paraId="07DFC257"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615CDF2" w14:textId="77777777" w:rsidR="003F46B9" w:rsidRDefault="0065662E">
            <w:pPr>
              <w:pStyle w:val="P68B1DB1-Normal5"/>
              <w:spacing w:after="0" w:line="240" w:lineRule="auto"/>
              <w:jc w:val="center"/>
              <w:rPr>
                <w:rFonts w:cs="Times New Roman"/>
                <w:noProof/>
              </w:rPr>
            </w:pPr>
            <w:r>
              <w:rPr>
                <w:noProof/>
              </w:rPr>
              <w:t>296</w:t>
            </w:r>
          </w:p>
        </w:tc>
        <w:tc>
          <w:tcPr>
            <w:tcW w:w="1569" w:type="dxa"/>
            <w:tcBorders>
              <w:top w:val="nil"/>
              <w:left w:val="nil"/>
              <w:bottom w:val="single" w:sz="4" w:space="0" w:color="auto"/>
              <w:right w:val="single" w:sz="4" w:space="0" w:color="auto"/>
            </w:tcBorders>
            <w:shd w:val="clear" w:color="auto" w:fill="C6EFCE"/>
            <w:noWrap/>
          </w:tcPr>
          <w:p w14:paraId="6D8AA00B" w14:textId="77777777" w:rsidR="003F46B9" w:rsidRDefault="0065662E">
            <w:pPr>
              <w:pStyle w:val="P68B1DB1-Normal5"/>
              <w:spacing w:after="0" w:line="240" w:lineRule="auto"/>
              <w:rPr>
                <w:rFonts w:cs="Times New Roman"/>
                <w:noProof/>
              </w:rPr>
            </w:pPr>
            <w:r>
              <w:rPr>
                <w:noProof/>
              </w:rPr>
              <w:t xml:space="preserve">Ulaganje </w:t>
            </w:r>
            <w:r>
              <w:rPr>
                <w:noProof/>
              </w:rPr>
              <w:t>1. Održiva gradska mobilnost</w:t>
            </w:r>
          </w:p>
        </w:tc>
        <w:tc>
          <w:tcPr>
            <w:tcW w:w="1182" w:type="dxa"/>
            <w:tcBorders>
              <w:top w:val="nil"/>
              <w:left w:val="nil"/>
              <w:bottom w:val="single" w:sz="4" w:space="0" w:color="auto"/>
              <w:right w:val="single" w:sz="4" w:space="0" w:color="auto"/>
            </w:tcBorders>
            <w:shd w:val="clear" w:color="auto" w:fill="C6EFCE"/>
            <w:noWrap/>
          </w:tcPr>
          <w:p w14:paraId="7A2AABBF"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520BB200" w14:textId="77777777" w:rsidR="003F46B9" w:rsidRDefault="0065662E">
            <w:pPr>
              <w:pStyle w:val="P68B1DB1-Normal5"/>
              <w:spacing w:after="0" w:line="240" w:lineRule="auto"/>
              <w:jc w:val="both"/>
              <w:rPr>
                <w:rFonts w:cs="Times New Roman"/>
                <w:noProof/>
              </w:rPr>
            </w:pPr>
            <w:r>
              <w:rPr>
                <w:noProof/>
              </w:rPr>
              <w:t>Dodatna vozila s nultim emisijama (autobusi, trolejbusi s motorom s nultim emisijama ili baterijom, tramvaji i minibusi) (broj vozila)</w:t>
            </w:r>
          </w:p>
        </w:tc>
        <w:tc>
          <w:tcPr>
            <w:tcW w:w="1701" w:type="dxa"/>
            <w:tcBorders>
              <w:top w:val="single" w:sz="4" w:space="0" w:color="auto"/>
              <w:left w:val="nil"/>
              <w:bottom w:val="single" w:sz="4" w:space="0" w:color="auto"/>
              <w:right w:val="single" w:sz="4" w:space="0" w:color="auto"/>
            </w:tcBorders>
            <w:shd w:val="clear" w:color="auto" w:fill="C6EFCE"/>
            <w:noWrap/>
          </w:tcPr>
          <w:p w14:paraId="25B88E55"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34390EAC" w14:textId="77777777" w:rsidR="003F46B9" w:rsidRDefault="0065662E">
            <w:pPr>
              <w:pStyle w:val="P68B1DB1-Normal5"/>
              <w:spacing w:after="0" w:line="240" w:lineRule="auto"/>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0BF4B461" w14:textId="08602AC8" w:rsidR="003F46B9" w:rsidRDefault="0065662E">
            <w:pPr>
              <w:pStyle w:val="P68B1DB1-Normal5"/>
              <w:spacing w:after="0" w:line="240" w:lineRule="auto"/>
              <w:jc w:val="both"/>
              <w:rPr>
                <w:rFonts w:cs="Times New Roman"/>
                <w:noProof/>
              </w:rPr>
            </w:pPr>
            <w:r>
              <w:rPr>
                <w:noProof/>
              </w:rPr>
              <w:t>1 618</w:t>
            </w:r>
          </w:p>
          <w:p w14:paraId="45B8A330" w14:textId="77777777" w:rsidR="003F46B9" w:rsidRDefault="003F46B9">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75939E2" w14:textId="77777777" w:rsidR="003F46B9" w:rsidRDefault="0065662E">
            <w:pPr>
              <w:pStyle w:val="P68B1DB1-Normal5"/>
              <w:spacing w:after="0" w:line="240" w:lineRule="auto"/>
              <w:jc w:val="both"/>
              <w:rPr>
                <w:rFonts w:cs="Times New Roman"/>
                <w:noProof/>
              </w:rPr>
            </w:pPr>
            <w:r>
              <w:rPr>
                <w:noProof/>
              </w:rPr>
              <w:t>2 753</w:t>
            </w:r>
          </w:p>
        </w:tc>
        <w:tc>
          <w:tcPr>
            <w:tcW w:w="1134" w:type="dxa"/>
            <w:tcBorders>
              <w:top w:val="nil"/>
              <w:left w:val="nil"/>
              <w:bottom w:val="single" w:sz="4" w:space="0" w:color="auto"/>
              <w:right w:val="single" w:sz="4" w:space="0" w:color="auto"/>
            </w:tcBorders>
            <w:shd w:val="clear" w:color="auto" w:fill="C6EFCE"/>
            <w:noWrap/>
          </w:tcPr>
          <w:p w14:paraId="150E7DF4" w14:textId="77777777" w:rsidR="003F46B9" w:rsidRDefault="0065662E">
            <w:pPr>
              <w:pStyle w:val="P68B1DB1-Normal5"/>
              <w:spacing w:after="0" w:line="240" w:lineRule="auto"/>
              <w:jc w:val="both"/>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6802ADDD" w14:textId="77777777" w:rsidR="003F46B9" w:rsidRDefault="0065662E">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49D4E847" w14:textId="6C55E716" w:rsidR="003F46B9" w:rsidRDefault="0065662E">
            <w:pPr>
              <w:pStyle w:val="P68B1DB1-Normal5"/>
              <w:spacing w:after="0" w:line="240" w:lineRule="auto"/>
              <w:jc w:val="both"/>
              <w:rPr>
                <w:rFonts w:cs="Times New Roman"/>
                <w:noProof/>
              </w:rPr>
            </w:pPr>
            <w:r>
              <w:rPr>
                <w:noProof/>
              </w:rPr>
              <w:t xml:space="preserve">Ciljna vrijednost odnosi se na broj dodatnih vozila s nultim emisijama u uporabi u gradskim područjima (uključujući minibuse koji bi se mogli kupiti i za ruralna područja): broj autobusa, tramvaja, trolejbusa s motorom s nultim emisijama ili akumulatora i </w:t>
            </w:r>
            <w:r>
              <w:rPr>
                <w:noProof/>
              </w:rPr>
              <w:t xml:space="preserve">minibusa – 1135 novih čistih vozila s nultim emisijama ispušnih plinova (200 autobusa. Električni autobusi/vodik 12 – 18 m, 515 električnih autobusa/vodika 10 m, 50 tramova, 50 komada. Trolejbusi 12 – 18 m, 320 električnih/vodičkih minibusa). </w:t>
            </w:r>
          </w:p>
        </w:tc>
      </w:tr>
      <w:tr w:rsidR="003F46B9" w14:paraId="30259611"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E2F2F37" w14:textId="77777777" w:rsidR="003F46B9" w:rsidRDefault="0065662E">
            <w:pPr>
              <w:pStyle w:val="P68B1DB1-Normal5"/>
              <w:spacing w:after="0" w:line="240" w:lineRule="auto"/>
              <w:jc w:val="center"/>
              <w:rPr>
                <w:rFonts w:cs="Times New Roman"/>
                <w:noProof/>
              </w:rPr>
            </w:pPr>
            <w:r>
              <w:rPr>
                <w:noProof/>
              </w:rPr>
              <w:t>297</w:t>
            </w:r>
          </w:p>
        </w:tc>
        <w:tc>
          <w:tcPr>
            <w:tcW w:w="1569" w:type="dxa"/>
            <w:tcBorders>
              <w:top w:val="nil"/>
              <w:left w:val="nil"/>
              <w:bottom w:val="single" w:sz="4" w:space="0" w:color="auto"/>
              <w:right w:val="single" w:sz="4" w:space="0" w:color="auto"/>
            </w:tcBorders>
            <w:shd w:val="clear" w:color="auto" w:fill="C6EFCE"/>
            <w:noWrap/>
          </w:tcPr>
          <w:p w14:paraId="63331FE1"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3B5ADED8"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2823D1B9" w14:textId="77777777" w:rsidR="003F46B9" w:rsidRDefault="0065662E">
            <w:pPr>
              <w:pStyle w:val="P68B1DB1-Normal5"/>
              <w:spacing w:after="0" w:line="240" w:lineRule="auto"/>
              <w:jc w:val="both"/>
              <w:rPr>
                <w:rFonts w:cs="Times New Roman"/>
                <w:noProof/>
              </w:rPr>
            </w:pPr>
            <w:r>
              <w:rPr>
                <w:noProof/>
              </w:rPr>
              <w:t>Povećanje udjela putovanja u administrativnim teritorijalnim jedinicama s uslugama lokalnog javnog prijevoza vozilima s nultim emisijama (autobusi, trolejbusi s motorom ili baterijom s nultim emisijama, tramvaji</w:t>
            </w:r>
            <w:r>
              <w:rPr>
                <w:noProof/>
              </w:rPr>
              <w:t>) u odnosu na 2019.</w:t>
            </w:r>
          </w:p>
        </w:tc>
        <w:tc>
          <w:tcPr>
            <w:tcW w:w="1701" w:type="dxa"/>
            <w:tcBorders>
              <w:top w:val="nil"/>
              <w:left w:val="nil"/>
              <w:bottom w:val="single" w:sz="4" w:space="0" w:color="auto"/>
              <w:right w:val="single" w:sz="4" w:space="0" w:color="auto"/>
            </w:tcBorders>
            <w:shd w:val="clear" w:color="auto" w:fill="C6EFCE"/>
            <w:noWrap/>
          </w:tcPr>
          <w:p w14:paraId="0131641A"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5ED9EE45" w14:textId="77777777" w:rsidR="003F46B9" w:rsidRDefault="0065662E">
            <w:pPr>
              <w:pStyle w:val="P68B1DB1-Normal5"/>
              <w:spacing w:after="0" w:line="240" w:lineRule="auto"/>
              <w:rPr>
                <w:rFonts w:eastAsia="Times New Roman" w:cs="Times New Roman"/>
                <w:noProof/>
              </w:rPr>
            </w:pPr>
            <w:r>
              <w:rPr>
                <w:noProof/>
              </w:rPr>
              <w:t>Postotak (%)</w:t>
            </w:r>
          </w:p>
          <w:p w14:paraId="6996A914" w14:textId="77777777" w:rsidR="003F46B9" w:rsidRDefault="003F46B9">
            <w:pPr>
              <w:spacing w:after="0" w:line="240" w:lineRule="auto"/>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3E14BAA" w14:textId="77777777" w:rsidR="003F46B9" w:rsidRDefault="0065662E">
            <w:pPr>
              <w:pStyle w:val="P68B1DB1-Normal5"/>
              <w:spacing w:after="0" w:line="240" w:lineRule="auto"/>
              <w:jc w:val="both"/>
              <w:rPr>
                <w:rFonts w:cs="Times New Roman"/>
                <w:noProof/>
              </w:rPr>
            </w:pPr>
            <w:r>
              <w:rPr>
                <w:noProof/>
              </w:rPr>
              <w:t>45,4 % [2019.]</w:t>
            </w:r>
          </w:p>
        </w:tc>
        <w:tc>
          <w:tcPr>
            <w:tcW w:w="1276" w:type="dxa"/>
            <w:tcBorders>
              <w:top w:val="nil"/>
              <w:left w:val="nil"/>
              <w:bottom w:val="single" w:sz="4" w:space="0" w:color="auto"/>
              <w:right w:val="single" w:sz="4" w:space="0" w:color="auto"/>
            </w:tcBorders>
            <w:shd w:val="clear" w:color="auto" w:fill="C6EFCE"/>
            <w:noWrap/>
          </w:tcPr>
          <w:p w14:paraId="0520AC14" w14:textId="77777777" w:rsidR="003F46B9" w:rsidRDefault="0065662E">
            <w:pPr>
              <w:pStyle w:val="P68B1DB1-Normal5"/>
              <w:spacing w:after="0" w:line="240" w:lineRule="auto"/>
              <w:jc w:val="both"/>
              <w:rPr>
                <w:rFonts w:cs="Times New Roman"/>
                <w:noProof/>
              </w:rPr>
            </w:pPr>
            <w:r>
              <w:rPr>
                <w:noProof/>
              </w:rPr>
              <w:t>60 %</w:t>
            </w:r>
          </w:p>
        </w:tc>
        <w:tc>
          <w:tcPr>
            <w:tcW w:w="1134" w:type="dxa"/>
            <w:tcBorders>
              <w:top w:val="nil"/>
              <w:left w:val="nil"/>
              <w:bottom w:val="single" w:sz="4" w:space="0" w:color="auto"/>
              <w:right w:val="single" w:sz="4" w:space="0" w:color="auto"/>
            </w:tcBorders>
            <w:shd w:val="clear" w:color="auto" w:fill="C6EFCE"/>
            <w:noWrap/>
          </w:tcPr>
          <w:p w14:paraId="51761D48" w14:textId="77777777" w:rsidR="003F46B9" w:rsidRDefault="0065662E">
            <w:pPr>
              <w:pStyle w:val="P68B1DB1-Normal5"/>
              <w:spacing w:after="0" w:line="240" w:lineRule="auto"/>
              <w:jc w:val="both"/>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3B4E3ED4" w14:textId="77777777" w:rsidR="003F46B9" w:rsidRDefault="0065662E">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43CD2587" w14:textId="77777777" w:rsidR="003F46B9" w:rsidRDefault="0065662E">
            <w:pPr>
              <w:pStyle w:val="P68B1DB1-Normal5"/>
              <w:spacing w:after="120" w:line="240" w:lineRule="auto"/>
              <w:jc w:val="both"/>
              <w:rPr>
                <w:rFonts w:cs="Times New Roman"/>
                <w:noProof/>
              </w:rPr>
            </w:pPr>
            <w:r>
              <w:rPr>
                <w:noProof/>
              </w:rPr>
              <w:t>Cilj se odnosi na postotak putovanja s nultim emisijama javnog prijevoza na lokalnoj razini od ukupnih putovanja lokalnim javnim prijevozom (60 % u 2025. u usporedbi s 45,4 % u 2019.)</w:t>
            </w:r>
            <w:r>
              <w:rPr>
                <w:noProof/>
              </w:rPr>
              <w:t xml:space="preserve">. </w:t>
            </w:r>
          </w:p>
        </w:tc>
      </w:tr>
      <w:tr w:rsidR="003F46B9" w14:paraId="2CB66AB4"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2CFAE4D7" w14:textId="77777777" w:rsidR="003F46B9" w:rsidRDefault="0065662E">
            <w:pPr>
              <w:pStyle w:val="P68B1DB1-Normal5"/>
              <w:spacing w:after="0" w:line="240" w:lineRule="auto"/>
              <w:jc w:val="center"/>
              <w:rPr>
                <w:rFonts w:cs="Times New Roman"/>
                <w:noProof/>
              </w:rPr>
            </w:pPr>
            <w:r>
              <w:rPr>
                <w:noProof/>
              </w:rPr>
              <w:t>298</w:t>
            </w:r>
          </w:p>
        </w:tc>
        <w:tc>
          <w:tcPr>
            <w:tcW w:w="1569" w:type="dxa"/>
            <w:tcBorders>
              <w:top w:val="nil"/>
              <w:left w:val="nil"/>
              <w:bottom w:val="single" w:sz="4" w:space="0" w:color="auto"/>
              <w:right w:val="single" w:sz="4" w:space="0" w:color="auto"/>
            </w:tcBorders>
            <w:shd w:val="clear" w:color="auto" w:fill="C6EFCE"/>
            <w:noWrap/>
          </w:tcPr>
          <w:p w14:paraId="3029DDB4"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512B14D0"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nil"/>
              <w:left w:val="nil"/>
              <w:bottom w:val="single" w:sz="4" w:space="0" w:color="auto"/>
              <w:right w:val="single" w:sz="4" w:space="0" w:color="auto"/>
            </w:tcBorders>
            <w:shd w:val="clear" w:color="auto" w:fill="C6EFCE"/>
            <w:noWrap/>
          </w:tcPr>
          <w:p w14:paraId="7CCA41E8" w14:textId="77777777" w:rsidR="003F46B9" w:rsidRDefault="0065662E">
            <w:pPr>
              <w:pStyle w:val="P68B1DB1-Normal5"/>
              <w:spacing w:after="0" w:line="240" w:lineRule="auto"/>
              <w:jc w:val="both"/>
              <w:rPr>
                <w:rFonts w:cs="Times New Roman"/>
                <w:noProof/>
              </w:rPr>
            </w:pPr>
            <w:r>
              <w:rPr>
                <w:noProof/>
              </w:rPr>
              <w:t>Potpisivanje ugovora o pružanju ITS-a/ostale infrastrukture IKT-a</w:t>
            </w:r>
          </w:p>
        </w:tc>
        <w:tc>
          <w:tcPr>
            <w:tcW w:w="1701" w:type="dxa"/>
            <w:tcBorders>
              <w:top w:val="single" w:sz="4" w:space="0" w:color="auto"/>
              <w:left w:val="nil"/>
              <w:bottom w:val="single" w:sz="4" w:space="0" w:color="auto"/>
              <w:right w:val="single" w:sz="4" w:space="0" w:color="auto"/>
            </w:tcBorders>
            <w:shd w:val="clear" w:color="auto" w:fill="C6EFCE"/>
            <w:noWrap/>
          </w:tcPr>
          <w:p w14:paraId="764F5305" w14:textId="77777777" w:rsidR="003F46B9" w:rsidRDefault="0065662E">
            <w:pPr>
              <w:pStyle w:val="P68B1DB1-Normal5"/>
              <w:spacing w:after="0" w:line="240" w:lineRule="auto"/>
              <w:jc w:val="both"/>
              <w:rPr>
                <w:rFonts w:cs="Times New Roman"/>
                <w:noProof/>
              </w:rPr>
            </w:pPr>
            <w:r>
              <w:rPr>
                <w:noProof/>
              </w:rPr>
              <w:t>Potpisivanje ugovora</w:t>
            </w:r>
          </w:p>
        </w:tc>
        <w:tc>
          <w:tcPr>
            <w:tcW w:w="1275" w:type="dxa"/>
            <w:tcBorders>
              <w:top w:val="nil"/>
              <w:left w:val="nil"/>
              <w:bottom w:val="single" w:sz="4" w:space="0" w:color="auto"/>
              <w:right w:val="single" w:sz="4" w:space="0" w:color="auto"/>
            </w:tcBorders>
            <w:shd w:val="clear" w:color="auto" w:fill="C6EFCE"/>
            <w:noWrap/>
          </w:tcPr>
          <w:p w14:paraId="5C30DCD4"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59948E26"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331E3F8B"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2A787504" w14:textId="77777777" w:rsidR="003F46B9" w:rsidRDefault="0065662E">
            <w:pPr>
              <w:pStyle w:val="P68B1DB1-Normal5"/>
              <w:spacing w:after="0" w:line="240" w:lineRule="auto"/>
              <w:jc w:val="both"/>
              <w:rPr>
                <w:rFonts w:cs="Times New Roman"/>
                <w:noProof/>
              </w:rPr>
            </w:pPr>
            <w:r>
              <w:rPr>
                <w:noProof/>
              </w:rPr>
              <w:t>ČETVRTO TROMJESEČJE</w:t>
            </w:r>
          </w:p>
          <w:p w14:paraId="6A2DD2CC" w14:textId="77777777" w:rsidR="003F46B9" w:rsidRDefault="003F46B9">
            <w:pPr>
              <w:spacing w:after="0" w:line="240" w:lineRule="auto"/>
              <w:jc w:val="both"/>
              <w:rPr>
                <w:rFonts w:ascii="Times New Roman" w:hAnsi="Times New Roman" w:cs="Times New Roman"/>
                <w:noProof/>
                <w:sz w:val="24"/>
              </w:rPr>
            </w:pPr>
          </w:p>
        </w:tc>
        <w:tc>
          <w:tcPr>
            <w:tcW w:w="845" w:type="dxa"/>
            <w:tcBorders>
              <w:top w:val="nil"/>
              <w:left w:val="nil"/>
              <w:bottom w:val="single" w:sz="4" w:space="0" w:color="auto"/>
              <w:right w:val="single" w:sz="4" w:space="0" w:color="auto"/>
            </w:tcBorders>
            <w:shd w:val="clear" w:color="auto" w:fill="C6EFCE"/>
            <w:noWrap/>
          </w:tcPr>
          <w:p w14:paraId="7AFCCCB9" w14:textId="77777777" w:rsidR="003F46B9" w:rsidRDefault="0065662E">
            <w:pPr>
              <w:pStyle w:val="P68B1DB1-Normal5"/>
              <w:spacing w:after="0" w:line="240" w:lineRule="auto"/>
              <w:jc w:val="both"/>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4F46D5A2" w14:textId="77777777" w:rsidR="003F46B9" w:rsidRDefault="0065662E">
            <w:pPr>
              <w:pStyle w:val="P68B1DB1-Normal5"/>
              <w:spacing w:after="0" w:line="240" w:lineRule="auto"/>
              <w:jc w:val="both"/>
              <w:rPr>
                <w:rFonts w:eastAsia="Times New Roman" w:cs="Times New Roman"/>
                <w:noProof/>
              </w:rPr>
            </w:pPr>
            <w:r>
              <w:rPr>
                <w:noProof/>
              </w:rPr>
              <w:t xml:space="preserve">Programom se utvrđuju kriteriji i uvjeti koje treba ispuniti za financiranje </w:t>
            </w:r>
            <w:r>
              <w:rPr>
                <w:noProof/>
              </w:rPr>
              <w:t>korisnika koji se odabiru putem otvorenog i transparentnog poziva na podnošenje prijedloga, koji, među ostalim, uključuje sljedeće specifikacije:</w:t>
            </w:r>
          </w:p>
          <w:p w14:paraId="6B7E8E93"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Obvezno usklađivanje ulaganja s Planom održive gradske mobilnosti/integriranim održivim razvojem/Općim gradski</w:t>
            </w:r>
            <w:r>
              <w:rPr>
                <w:noProof/>
              </w:rPr>
              <w:t xml:space="preserve">m planom; </w:t>
            </w:r>
          </w:p>
          <w:p w14:paraId="71309EBA"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Osiguravanje pokrivenosti uslugama mobilnosti u funkcionalnom i prigradskom području. Osigurati određivanje prioriteta i promicanje javnog prijevoza u lokalnom prometu planiranjem povlaštenih linija i autobusnih trakova na najugroženijim/zakrčen</w:t>
            </w:r>
            <w:r>
              <w:rPr>
                <w:noProof/>
              </w:rPr>
              <w:t>im arterijama;</w:t>
            </w:r>
          </w:p>
          <w:p w14:paraId="71463330" w14:textId="77777777" w:rsidR="003F46B9" w:rsidRDefault="0065662E">
            <w:pPr>
              <w:pStyle w:val="P68B1DB1-Normal5"/>
              <w:spacing w:after="0"/>
              <w:jc w:val="both"/>
              <w:rPr>
                <w:rFonts w:eastAsia="Times New Roman" w:cs="Times New Roman"/>
                <w:noProof/>
              </w:rPr>
            </w:pPr>
            <w:r>
              <w:rPr>
                <w:noProof/>
              </w:rPr>
              <w:t>Sljedeće mjere prihvatljive su u okviru inteligentnih prometnih sustava (u skladu s područjem intervencije 076 – Digitalizacija gradskog prijevoza)</w:t>
            </w:r>
          </w:p>
          <w:p w14:paraId="2D26AEC0"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Pametno upravljanje prometom</w:t>
            </w:r>
          </w:p>
          <w:p w14:paraId="400ACE65"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Rješenja za punjenje</w:t>
            </w:r>
          </w:p>
          <w:p w14:paraId="799CDFF0"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Integrirana pametna rješenja za parkiranje</w:t>
            </w:r>
          </w:p>
          <w:p w14:paraId="124805EF"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Centri za kontrolu prometa </w:t>
            </w:r>
          </w:p>
          <w:p w14:paraId="70184C28"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Sustavi za upozoravanje na prilagodbu brzine</w:t>
            </w:r>
          </w:p>
          <w:p w14:paraId="6F2E8C6B"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Sigurnosni sustavi za područje rada</w:t>
            </w:r>
          </w:p>
          <w:p w14:paraId="67CDE8AB"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Međusobno povezani sustav semafora</w:t>
            </w:r>
          </w:p>
          <w:p w14:paraId="6163D571"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Praćenje vremena i brzine putovanja</w:t>
            </w:r>
          </w:p>
          <w:p w14:paraId="4E002A6A"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Sustavi za vaganje u pokretu</w:t>
            </w:r>
          </w:p>
          <w:p w14:paraId="77680097"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Prioritetni signal za upotrebu vozila za hitne </w:t>
            </w:r>
            <w:r>
              <w:rPr>
                <w:noProof/>
              </w:rPr>
              <w:t>slučajeve</w:t>
            </w:r>
          </w:p>
          <w:p w14:paraId="6BEBAA1F"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Znakovi dinamičnih poruka</w:t>
            </w:r>
          </w:p>
          <w:p w14:paraId="4AEA5E79"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Osoba zadužena za planiranje putovanja u javnom prijevozu.</w:t>
            </w:r>
          </w:p>
          <w:p w14:paraId="1C372180"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Integrirani informacijski sustavi za putnike</w:t>
            </w:r>
          </w:p>
          <w:p w14:paraId="0A0CE14D" w14:textId="77777777" w:rsidR="003F46B9" w:rsidRDefault="0065662E">
            <w:pPr>
              <w:contextualSpacing/>
              <w:jc w:val="both"/>
              <w:rPr>
                <w:rFonts w:ascii="Times New Roman" w:eastAsia="Times New Roman" w:hAnsi="Times New Roman" w:cs="Times New Roman"/>
                <w:noProof/>
                <w:sz w:val="24"/>
              </w:rPr>
            </w:pPr>
            <w:r>
              <w:rPr>
                <w:rFonts w:ascii="Times New Roman" w:hAnsi="Times New Roman"/>
                <w:noProof/>
                <w:sz w:val="24"/>
              </w:rPr>
              <w:t>Ostale vrste infrastrukture IKT-a (u gradovima i općinama) – koncept pametnih gradova/pametnih sela također su prihv</w:t>
            </w:r>
            <w:r>
              <w:rPr>
                <w:rFonts w:ascii="Times New Roman" w:hAnsi="Times New Roman"/>
                <w:noProof/>
                <w:sz w:val="24"/>
              </w:rPr>
              <w:t>atljive u vezi s tehnološkim razvojem (u skladu s područjem intervencije 021ter Razvoj visokospecijaliziranih usluga podrške i objekata za javne uprave i poduzeća), kao što su:</w:t>
            </w:r>
            <w:r>
              <w:rPr>
                <w:noProof/>
              </w:rPr>
              <w:tab/>
            </w:r>
          </w:p>
          <w:p w14:paraId="2B2C0A7C"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Upotreba bespilotnih letjelica za provjeru rizičnih područja ili situacija (pl</w:t>
            </w:r>
            <w:r>
              <w:rPr>
                <w:noProof/>
              </w:rPr>
              <w:t xml:space="preserve">aninska područja). </w:t>
            </w:r>
          </w:p>
          <w:p w14:paraId="539B03C6"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Centar za praćenje stanja u stvarnom vremenu u gradu</w:t>
            </w:r>
          </w:p>
          <w:p w14:paraId="7CEC9CC4"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Pametni sustavi upravljanja za zelene prostorne sustave. </w:t>
            </w:r>
          </w:p>
          <w:p w14:paraId="1C47033E"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Proširenje sustava WiFi na javnim mjestima. </w:t>
            </w:r>
          </w:p>
          <w:p w14:paraId="6B5414B2"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Pametni urbani namještaj. </w:t>
            </w:r>
          </w:p>
          <w:p w14:paraId="13AAF331"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Nadzor javnog prostora i sigurnosni sustav. </w:t>
            </w:r>
          </w:p>
          <w:p w14:paraId="20406277"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Vrednova</w:t>
            </w:r>
            <w:r>
              <w:rPr>
                <w:noProof/>
              </w:rPr>
              <w:t xml:space="preserve">nje ciljeva baštine putem digitalne digitalizacije ili obnove </w:t>
            </w:r>
          </w:p>
          <w:p w14:paraId="610E2387"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Jedinstvena kontaktna točka za poduzeća. </w:t>
            </w:r>
          </w:p>
          <w:p w14:paraId="7675EA00"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Platforma za privlačenje ulaganja. </w:t>
            </w:r>
          </w:p>
          <w:p w14:paraId="249EFAC9"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Platforma za komunikaciju s građanima i oblikovanje inicijativa zajednice</w:t>
            </w:r>
          </w:p>
          <w:p w14:paraId="0207C35F"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Inovacijski centri lokalne zajednice</w:t>
            </w:r>
          </w:p>
          <w:p w14:paraId="7EDEB886"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Razvoj ili modernizacija infrastrukture za strukovno obrazovanje i osposobljavanje. </w:t>
            </w:r>
          </w:p>
          <w:p w14:paraId="4159E28B"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Digitalizacija obrazovnog sustava. </w:t>
            </w:r>
          </w:p>
          <w:p w14:paraId="3054D4A0"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Velegradske baze podataka GIS-a. </w:t>
            </w:r>
          </w:p>
          <w:p w14:paraId="416DC7B4"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Platforma otvorenih podataka </w:t>
            </w:r>
          </w:p>
          <w:p w14:paraId="2B932C78"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Virtualni državni službenik. </w:t>
            </w:r>
          </w:p>
          <w:p w14:paraId="481DB689"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Usluge u oblaku </w:t>
            </w:r>
          </w:p>
          <w:p w14:paraId="36F06F6D"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Platforma digitalnih jav</w:t>
            </w:r>
            <w:r>
              <w:rPr>
                <w:noProof/>
              </w:rPr>
              <w:t xml:space="preserve">nih usluga. </w:t>
            </w:r>
          </w:p>
          <w:p w14:paraId="40EF7147"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Sustavi registracije i izdavanja dokumenata </w:t>
            </w:r>
          </w:p>
          <w:p w14:paraId="3CD991FA"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Gradski podatkovni centar i praćenje stanja grada u stvarnom vremenu. </w:t>
            </w:r>
          </w:p>
          <w:p w14:paraId="01C1EDDB"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Gradska aplikacija (zahtjev za informiranje građana i utvrđivanje problema na lokalnoj razini). </w:t>
            </w:r>
          </w:p>
          <w:p w14:paraId="07CE895C"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Plaćanje poreza putem internet</w:t>
            </w:r>
            <w:r>
              <w:rPr>
                <w:noProof/>
              </w:rPr>
              <w:t xml:space="preserve">a. </w:t>
            </w:r>
          </w:p>
          <w:p w14:paraId="197834A4"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Internetski sustav planiranja – internetska stranica koja građanima omogućuje da budu kodirani na internetu na različitim pultovima APL-a. </w:t>
            </w:r>
          </w:p>
          <w:p w14:paraId="3388341D"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Informacijski kiosci za javne usluge. </w:t>
            </w:r>
          </w:p>
          <w:p w14:paraId="0B43FE23"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Internetska platforma i/ili mobilna aplikacija za mapiranje potrošnje ene</w:t>
            </w:r>
            <w:r>
              <w:rPr>
                <w:noProof/>
              </w:rPr>
              <w:t xml:space="preserve">rgije na razini četvrti ili grada. </w:t>
            </w:r>
          </w:p>
          <w:p w14:paraId="4A794C62"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 xml:space="preserve">Pametna elektroenergetska mreža koja se može uvesti u različitim područjima zajedničkog stanovanja (pametna mreža). </w:t>
            </w:r>
          </w:p>
          <w:p w14:paraId="2A742E9F"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Automatizacija sustava navodnjavanja zelenih površina</w:t>
            </w:r>
          </w:p>
          <w:p w14:paraId="462D51D8" w14:textId="77777777" w:rsidR="003F46B9" w:rsidRDefault="0065662E">
            <w:pPr>
              <w:pStyle w:val="P68B1DB1-Normal5"/>
              <w:numPr>
                <w:ilvl w:val="0"/>
                <w:numId w:val="81"/>
              </w:numPr>
              <w:spacing w:after="0" w:line="240" w:lineRule="auto"/>
              <w:ind w:left="144" w:hanging="144"/>
              <w:jc w:val="both"/>
              <w:rPr>
                <w:rFonts w:cs="Times New Roman"/>
                <w:noProof/>
              </w:rPr>
            </w:pPr>
            <w:r>
              <w:rPr>
                <w:noProof/>
              </w:rPr>
              <w:t>„Pametna” sanitarna infrastruktura.</w:t>
            </w:r>
          </w:p>
          <w:p w14:paraId="53A99B44" w14:textId="77777777" w:rsidR="003F46B9" w:rsidRDefault="0065662E">
            <w:pPr>
              <w:pStyle w:val="P68B1DB1-Normal5"/>
              <w:numPr>
                <w:ilvl w:val="0"/>
                <w:numId w:val="81"/>
              </w:numPr>
              <w:spacing w:after="0" w:line="240" w:lineRule="auto"/>
              <w:ind w:left="144" w:hanging="144"/>
              <w:jc w:val="both"/>
              <w:rPr>
                <w:rFonts w:eastAsia="Times New Roman" w:cs="Times New Roman"/>
                <w:noProof/>
              </w:rPr>
            </w:pPr>
            <w:r>
              <w:rPr>
                <w:noProof/>
              </w:rPr>
              <w:t>Praćenje stan</w:t>
            </w:r>
            <w:r>
              <w:rPr>
                <w:noProof/>
              </w:rPr>
              <w:t>ja tehničke i općinske infrastrukture i potrošnje u stvarnom vremenu.</w:t>
            </w:r>
          </w:p>
        </w:tc>
      </w:tr>
      <w:tr w:rsidR="003F46B9" w14:paraId="04276B7C"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6D283D8D" w14:textId="77777777" w:rsidR="003F46B9" w:rsidRDefault="0065662E">
            <w:pPr>
              <w:pStyle w:val="P68B1DB1-Normal5"/>
              <w:spacing w:after="0" w:line="240" w:lineRule="auto"/>
              <w:jc w:val="center"/>
              <w:rPr>
                <w:rFonts w:cs="Times New Roman"/>
                <w:noProof/>
              </w:rPr>
            </w:pPr>
            <w:r>
              <w:rPr>
                <w:noProof/>
              </w:rPr>
              <w:t>299</w:t>
            </w:r>
          </w:p>
        </w:tc>
        <w:tc>
          <w:tcPr>
            <w:tcW w:w="1569" w:type="dxa"/>
            <w:tcBorders>
              <w:top w:val="nil"/>
              <w:left w:val="nil"/>
              <w:bottom w:val="single" w:sz="4" w:space="0" w:color="auto"/>
              <w:right w:val="single" w:sz="4" w:space="0" w:color="auto"/>
            </w:tcBorders>
            <w:shd w:val="clear" w:color="auto" w:fill="C6EFCE"/>
            <w:noWrap/>
          </w:tcPr>
          <w:p w14:paraId="3BCE32F9"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708651E5"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6C00BD6B" w14:textId="77777777" w:rsidR="003F46B9" w:rsidRDefault="0065662E">
            <w:pPr>
              <w:pStyle w:val="P68B1DB1-Normal5"/>
              <w:spacing w:after="0" w:line="240" w:lineRule="auto"/>
              <w:jc w:val="both"/>
              <w:rPr>
                <w:rFonts w:cs="Times New Roman"/>
                <w:noProof/>
              </w:rPr>
            </w:pPr>
            <w:r>
              <w:rPr>
                <w:noProof/>
              </w:rPr>
              <w:t xml:space="preserve">Operativne administrativne teritorijalne jedinice s razvijenim/proširenim sustavima – inteligentni prometni sustavi i e-karte/ostale </w:t>
            </w:r>
            <w:r>
              <w:rPr>
                <w:noProof/>
              </w:rPr>
              <w:t>infrastrukture IKT-a</w:t>
            </w:r>
          </w:p>
        </w:tc>
        <w:tc>
          <w:tcPr>
            <w:tcW w:w="1701" w:type="dxa"/>
            <w:tcBorders>
              <w:top w:val="nil"/>
              <w:left w:val="nil"/>
              <w:bottom w:val="single" w:sz="4" w:space="0" w:color="auto"/>
              <w:right w:val="single" w:sz="4" w:space="0" w:color="auto"/>
            </w:tcBorders>
            <w:shd w:val="clear" w:color="auto" w:fill="C6EFCE"/>
            <w:noWrap/>
          </w:tcPr>
          <w:p w14:paraId="736F9C31"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1BC7FA6A" w14:textId="77777777" w:rsidR="003F46B9" w:rsidRDefault="0065662E">
            <w:pPr>
              <w:pStyle w:val="P68B1DB1-Normal5"/>
              <w:spacing w:after="0" w:line="240" w:lineRule="auto"/>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61DE7CA9" w14:textId="77777777" w:rsidR="003F46B9" w:rsidRDefault="0065662E">
            <w:pPr>
              <w:pStyle w:val="P68B1DB1-Normal5"/>
              <w:spacing w:after="0" w:line="240" w:lineRule="auto"/>
              <w:jc w:val="both"/>
              <w:rPr>
                <w:rFonts w:cs="Times New Roman"/>
                <w:noProof/>
              </w:rPr>
            </w:pPr>
            <w:r>
              <w:rPr>
                <w:noProof/>
              </w:rPr>
              <w:t> 0</w:t>
            </w:r>
          </w:p>
        </w:tc>
        <w:tc>
          <w:tcPr>
            <w:tcW w:w="1276" w:type="dxa"/>
            <w:tcBorders>
              <w:top w:val="nil"/>
              <w:left w:val="nil"/>
              <w:bottom w:val="single" w:sz="4" w:space="0" w:color="auto"/>
              <w:right w:val="single" w:sz="4" w:space="0" w:color="auto"/>
            </w:tcBorders>
            <w:shd w:val="clear" w:color="auto" w:fill="C6EFCE"/>
            <w:noWrap/>
          </w:tcPr>
          <w:p w14:paraId="2F615C87" w14:textId="77777777" w:rsidR="003F46B9" w:rsidRDefault="0065662E">
            <w:pPr>
              <w:pStyle w:val="P68B1DB1-Normal5"/>
              <w:spacing w:after="0" w:line="240" w:lineRule="auto"/>
              <w:jc w:val="both"/>
              <w:rPr>
                <w:rFonts w:cs="Times New Roman"/>
                <w:noProof/>
              </w:rPr>
            </w:pPr>
            <w:r>
              <w:rPr>
                <w:noProof/>
              </w:rPr>
              <w:t>246</w:t>
            </w:r>
          </w:p>
        </w:tc>
        <w:tc>
          <w:tcPr>
            <w:tcW w:w="1134" w:type="dxa"/>
            <w:tcBorders>
              <w:top w:val="nil"/>
              <w:left w:val="nil"/>
              <w:bottom w:val="single" w:sz="4" w:space="0" w:color="auto"/>
              <w:right w:val="single" w:sz="4" w:space="0" w:color="auto"/>
            </w:tcBorders>
            <w:shd w:val="clear" w:color="auto" w:fill="C6EFCE"/>
            <w:noWrap/>
          </w:tcPr>
          <w:p w14:paraId="4527678E" w14:textId="77777777" w:rsidR="003F46B9" w:rsidRDefault="0065662E">
            <w:pPr>
              <w:pStyle w:val="P68B1DB1-Normal5"/>
              <w:spacing w:after="0" w:line="240" w:lineRule="auto"/>
              <w:jc w:val="both"/>
              <w:rPr>
                <w:rFonts w:cs="Times New Roman"/>
                <w:noProof/>
              </w:rPr>
            </w:pPr>
            <w:r>
              <w:rPr>
                <w:noProof/>
              </w:rPr>
              <w:t>ČETVRTO TROMJESEČJE</w:t>
            </w:r>
          </w:p>
        </w:tc>
        <w:tc>
          <w:tcPr>
            <w:tcW w:w="845" w:type="dxa"/>
            <w:tcBorders>
              <w:top w:val="nil"/>
              <w:left w:val="nil"/>
              <w:bottom w:val="single" w:sz="4" w:space="0" w:color="auto"/>
              <w:right w:val="single" w:sz="4" w:space="0" w:color="auto"/>
            </w:tcBorders>
            <w:shd w:val="clear" w:color="auto" w:fill="C6EFCE"/>
            <w:noWrap/>
          </w:tcPr>
          <w:p w14:paraId="13BC9B7D" w14:textId="77777777" w:rsidR="003F46B9" w:rsidRDefault="0065662E">
            <w:pPr>
              <w:pStyle w:val="P68B1DB1-Normal5"/>
              <w:spacing w:after="0" w:line="240" w:lineRule="auto"/>
              <w:jc w:val="both"/>
              <w:rPr>
                <w:rFonts w:cs="Times New Roman"/>
                <w:noProof/>
              </w:rPr>
            </w:pPr>
            <w:r>
              <w:rPr>
                <w:noProof/>
              </w:rPr>
              <w:t>2024</w:t>
            </w:r>
          </w:p>
        </w:tc>
        <w:tc>
          <w:tcPr>
            <w:tcW w:w="2987" w:type="dxa"/>
            <w:tcBorders>
              <w:top w:val="nil"/>
              <w:left w:val="nil"/>
              <w:bottom w:val="single" w:sz="4" w:space="0" w:color="auto"/>
              <w:right w:val="single" w:sz="4" w:space="0" w:color="auto"/>
            </w:tcBorders>
            <w:shd w:val="clear" w:color="auto" w:fill="C6EFCE"/>
            <w:noWrap/>
          </w:tcPr>
          <w:p w14:paraId="45A5C946" w14:textId="77777777" w:rsidR="003F46B9" w:rsidRDefault="0065662E">
            <w:pPr>
              <w:pStyle w:val="P68B1DB1-Normal5"/>
              <w:spacing w:after="0" w:line="240" w:lineRule="auto"/>
              <w:jc w:val="both"/>
              <w:rPr>
                <w:rFonts w:cs="Times New Roman"/>
                <w:noProof/>
              </w:rPr>
            </w:pPr>
            <w:r>
              <w:rPr>
                <w:noProof/>
              </w:rPr>
              <w:t>Broj administrativnih teritorijalnih jedinica s razvijenim/proširenim sustavima koji su operativni – inteligentni prometni sustavi i e-karte/druge infrastrukture IKT-a, u skladu sa zahtjevima u kl</w:t>
            </w:r>
            <w:r>
              <w:rPr>
                <w:noProof/>
              </w:rPr>
              <w:t>jučnoj etapi 298.</w:t>
            </w:r>
          </w:p>
        </w:tc>
      </w:tr>
      <w:tr w:rsidR="003F46B9" w14:paraId="670145D8"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77531A7B" w14:textId="77777777" w:rsidR="003F46B9" w:rsidRDefault="0065662E">
            <w:pPr>
              <w:pStyle w:val="P68B1DB1-Normal5"/>
              <w:spacing w:after="0" w:line="240" w:lineRule="auto"/>
              <w:jc w:val="center"/>
              <w:rPr>
                <w:rFonts w:cs="Times New Roman"/>
                <w:noProof/>
              </w:rPr>
            </w:pPr>
            <w:r>
              <w:rPr>
                <w:noProof/>
              </w:rPr>
              <w:t>300</w:t>
            </w:r>
          </w:p>
        </w:tc>
        <w:tc>
          <w:tcPr>
            <w:tcW w:w="1569" w:type="dxa"/>
            <w:tcBorders>
              <w:top w:val="nil"/>
              <w:left w:val="nil"/>
              <w:bottom w:val="single" w:sz="4" w:space="0" w:color="auto"/>
              <w:right w:val="single" w:sz="4" w:space="0" w:color="auto"/>
            </w:tcBorders>
            <w:shd w:val="clear" w:color="auto" w:fill="C6EFCE"/>
            <w:noWrap/>
          </w:tcPr>
          <w:p w14:paraId="4A2BE7DB"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116A8A1D"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3F412DF0" w14:textId="77777777" w:rsidR="003F46B9" w:rsidRDefault="0065662E">
            <w:pPr>
              <w:pStyle w:val="P68B1DB1-Normal5"/>
              <w:spacing w:after="0" w:line="240" w:lineRule="auto"/>
              <w:jc w:val="both"/>
              <w:rPr>
                <w:rFonts w:cs="Times New Roman"/>
                <w:noProof/>
              </w:rPr>
            </w:pPr>
            <w:r>
              <w:rPr>
                <w:noProof/>
              </w:rPr>
              <w:t>Administrativne teritorijalne jedinice s razvijenim/proširenim sustavima koji su operativni – inteligentni prometni sustavi i izdavanje elektroničkih karata/ostale infrastrukture IKT-a)</w:t>
            </w:r>
          </w:p>
        </w:tc>
        <w:tc>
          <w:tcPr>
            <w:tcW w:w="1701" w:type="dxa"/>
            <w:tcBorders>
              <w:top w:val="single" w:sz="4" w:space="0" w:color="auto"/>
              <w:left w:val="nil"/>
              <w:bottom w:val="single" w:sz="4" w:space="0" w:color="auto"/>
              <w:right w:val="single" w:sz="4" w:space="0" w:color="auto"/>
            </w:tcBorders>
            <w:shd w:val="clear" w:color="auto" w:fill="C6EFCE"/>
            <w:noWrap/>
          </w:tcPr>
          <w:p w14:paraId="428C1AE4" w14:textId="77777777" w:rsidR="003F46B9" w:rsidRDefault="0065662E">
            <w:pPr>
              <w:pStyle w:val="P68B1DB1-Normal5"/>
              <w:spacing w:after="0" w:line="240" w:lineRule="auto"/>
              <w:jc w:val="both"/>
              <w:rPr>
                <w:rFonts w:cs="Times New Roman"/>
                <w:noProof/>
              </w:rPr>
            </w:pPr>
            <w:r>
              <w:rPr>
                <w:noProof/>
              </w:rPr>
              <w:t xml:space="preserve"> </w:t>
            </w:r>
          </w:p>
        </w:tc>
        <w:tc>
          <w:tcPr>
            <w:tcW w:w="1275" w:type="dxa"/>
            <w:tcBorders>
              <w:top w:val="nil"/>
              <w:left w:val="nil"/>
              <w:bottom w:val="single" w:sz="4" w:space="0" w:color="auto"/>
              <w:right w:val="single" w:sz="4" w:space="0" w:color="auto"/>
            </w:tcBorders>
            <w:shd w:val="clear" w:color="auto" w:fill="C6EFCE"/>
            <w:noWrap/>
          </w:tcPr>
          <w:p w14:paraId="13F07A57" w14:textId="77777777" w:rsidR="003F46B9" w:rsidRDefault="0065662E">
            <w:pPr>
              <w:pStyle w:val="P68B1DB1-Normal5"/>
              <w:spacing w:after="0" w:line="240" w:lineRule="auto"/>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0B922976" w14:textId="77777777" w:rsidR="003F46B9" w:rsidRDefault="0065662E">
            <w:pPr>
              <w:pStyle w:val="P68B1DB1-Normal5"/>
              <w:spacing w:after="0" w:line="240" w:lineRule="auto"/>
              <w:jc w:val="both"/>
              <w:rPr>
                <w:rFonts w:cs="Times New Roman"/>
                <w:noProof/>
              </w:rPr>
            </w:pPr>
            <w:r>
              <w:rPr>
                <w:noProof/>
              </w:rPr>
              <w:t> 246</w:t>
            </w:r>
          </w:p>
        </w:tc>
        <w:tc>
          <w:tcPr>
            <w:tcW w:w="1276" w:type="dxa"/>
            <w:tcBorders>
              <w:top w:val="nil"/>
              <w:left w:val="nil"/>
              <w:bottom w:val="single" w:sz="4" w:space="0" w:color="auto"/>
              <w:right w:val="single" w:sz="4" w:space="0" w:color="auto"/>
            </w:tcBorders>
            <w:shd w:val="clear" w:color="auto" w:fill="C6EFCE"/>
            <w:noWrap/>
          </w:tcPr>
          <w:p w14:paraId="014D3CC8" w14:textId="77777777" w:rsidR="003F46B9" w:rsidRDefault="0065662E">
            <w:pPr>
              <w:pStyle w:val="P68B1DB1-Normal5"/>
              <w:spacing w:after="0" w:line="240" w:lineRule="auto"/>
              <w:jc w:val="both"/>
              <w:rPr>
                <w:rFonts w:cs="Times New Roman"/>
                <w:noProof/>
              </w:rPr>
            </w:pPr>
            <w:r>
              <w:rPr>
                <w:noProof/>
              </w:rPr>
              <w:t>491</w:t>
            </w:r>
          </w:p>
        </w:tc>
        <w:tc>
          <w:tcPr>
            <w:tcW w:w="1134" w:type="dxa"/>
            <w:tcBorders>
              <w:top w:val="nil"/>
              <w:left w:val="nil"/>
              <w:bottom w:val="single" w:sz="4" w:space="0" w:color="auto"/>
              <w:right w:val="single" w:sz="4" w:space="0" w:color="auto"/>
            </w:tcBorders>
            <w:shd w:val="clear" w:color="auto" w:fill="C6EFCE"/>
            <w:noWrap/>
          </w:tcPr>
          <w:p w14:paraId="0B217EE1" w14:textId="77777777" w:rsidR="003F46B9" w:rsidRDefault="0065662E">
            <w:pPr>
              <w:pStyle w:val="P68B1DB1-Normal5"/>
              <w:spacing w:after="0" w:line="240" w:lineRule="auto"/>
              <w:jc w:val="both"/>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1F0D3663" w14:textId="77777777" w:rsidR="003F46B9" w:rsidRDefault="0065662E">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58EC3F3B" w14:textId="77777777" w:rsidR="003F46B9" w:rsidRDefault="0065662E">
            <w:pPr>
              <w:pStyle w:val="P68B1DB1-Normal5"/>
              <w:spacing w:after="0" w:line="240" w:lineRule="auto"/>
              <w:jc w:val="both"/>
              <w:rPr>
                <w:rFonts w:cs="Times New Roman"/>
                <w:noProof/>
              </w:rPr>
            </w:pPr>
            <w:r>
              <w:rPr>
                <w:noProof/>
              </w:rPr>
              <w:t>Broj administrativnih teritorijalnih jedinica s razvijenim/proširenim sustavima koji su operativni – inteligentni prometni sustavi i e-karte/druge infrastrukture IKT-a, u skladu sa zahtjevima u ključnoj etapi 298.</w:t>
            </w:r>
          </w:p>
          <w:p w14:paraId="7A4292A9" w14:textId="77777777" w:rsidR="003F46B9" w:rsidRDefault="003F46B9">
            <w:pPr>
              <w:spacing w:after="0" w:line="240" w:lineRule="auto"/>
              <w:jc w:val="both"/>
              <w:rPr>
                <w:rFonts w:ascii="Times New Roman" w:hAnsi="Times New Roman" w:cs="Times New Roman"/>
                <w:noProof/>
                <w:sz w:val="24"/>
              </w:rPr>
            </w:pPr>
          </w:p>
        </w:tc>
      </w:tr>
      <w:tr w:rsidR="003F46B9" w14:paraId="62F8D5DB"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36E15167" w14:textId="77777777" w:rsidR="003F46B9" w:rsidRDefault="0065662E">
            <w:pPr>
              <w:pStyle w:val="P68B1DB1-Normal5"/>
              <w:spacing w:after="0" w:line="240" w:lineRule="auto"/>
              <w:jc w:val="center"/>
              <w:rPr>
                <w:rFonts w:cs="Times New Roman"/>
                <w:noProof/>
              </w:rPr>
            </w:pPr>
            <w:r>
              <w:rPr>
                <w:noProof/>
              </w:rPr>
              <w:t>301</w:t>
            </w:r>
          </w:p>
        </w:tc>
        <w:tc>
          <w:tcPr>
            <w:tcW w:w="1569" w:type="dxa"/>
            <w:tcBorders>
              <w:top w:val="nil"/>
              <w:left w:val="nil"/>
              <w:bottom w:val="single" w:sz="4" w:space="0" w:color="auto"/>
              <w:right w:val="single" w:sz="4" w:space="0" w:color="auto"/>
            </w:tcBorders>
            <w:shd w:val="clear" w:color="auto" w:fill="C6EFCE"/>
            <w:noWrap/>
          </w:tcPr>
          <w:p w14:paraId="7CFC9F67"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027C1B19" w14:textId="77777777" w:rsidR="003F46B9" w:rsidRDefault="0065662E">
            <w:pPr>
              <w:pStyle w:val="P68B1DB1-Normal5"/>
              <w:spacing w:after="0" w:line="240" w:lineRule="auto"/>
              <w:jc w:val="center"/>
              <w:rPr>
                <w:rFonts w:cs="Times New Roman"/>
                <w:noProof/>
              </w:rPr>
            </w:pPr>
            <w:r>
              <w:rPr>
                <w:noProof/>
              </w:rPr>
              <w:t>Prekretnica</w:t>
            </w:r>
          </w:p>
        </w:tc>
        <w:tc>
          <w:tcPr>
            <w:tcW w:w="1411" w:type="dxa"/>
            <w:tcBorders>
              <w:top w:val="nil"/>
              <w:left w:val="nil"/>
              <w:bottom w:val="single" w:sz="4" w:space="0" w:color="auto"/>
              <w:right w:val="single" w:sz="4" w:space="0" w:color="auto"/>
            </w:tcBorders>
            <w:shd w:val="clear" w:color="auto" w:fill="C6EFCE"/>
            <w:noWrap/>
          </w:tcPr>
          <w:p w14:paraId="6E28381D" w14:textId="77777777" w:rsidR="003F46B9" w:rsidRDefault="0065662E">
            <w:pPr>
              <w:pStyle w:val="P68B1DB1-Normal5"/>
              <w:spacing w:after="0" w:line="240" w:lineRule="auto"/>
              <w:jc w:val="both"/>
              <w:rPr>
                <w:rFonts w:cs="Times New Roman"/>
                <w:noProof/>
              </w:rPr>
            </w:pPr>
            <w:r>
              <w:rPr>
                <w:noProof/>
              </w:rPr>
              <w:t>Potpisivanje ugovora za izgradnju mjesta za punjenje električnih vozila</w:t>
            </w:r>
          </w:p>
        </w:tc>
        <w:tc>
          <w:tcPr>
            <w:tcW w:w="1701" w:type="dxa"/>
            <w:tcBorders>
              <w:top w:val="single" w:sz="4" w:space="0" w:color="auto"/>
              <w:left w:val="nil"/>
              <w:bottom w:val="single" w:sz="4" w:space="0" w:color="auto"/>
              <w:right w:val="single" w:sz="4" w:space="0" w:color="auto"/>
            </w:tcBorders>
            <w:shd w:val="clear" w:color="auto" w:fill="C6EFCE"/>
            <w:noWrap/>
          </w:tcPr>
          <w:p w14:paraId="17FDACEC" w14:textId="77777777" w:rsidR="003F46B9" w:rsidRDefault="0065662E">
            <w:pPr>
              <w:pStyle w:val="P68B1DB1-Normal5"/>
              <w:spacing w:after="0" w:line="240" w:lineRule="auto"/>
              <w:jc w:val="both"/>
              <w:rPr>
                <w:rFonts w:cs="Times New Roman"/>
                <w:noProof/>
              </w:rPr>
            </w:pPr>
            <w:r>
              <w:rPr>
                <w:noProof/>
              </w:rPr>
              <w:t>Potpisivanje ugovora</w:t>
            </w:r>
          </w:p>
        </w:tc>
        <w:tc>
          <w:tcPr>
            <w:tcW w:w="1275" w:type="dxa"/>
            <w:tcBorders>
              <w:top w:val="nil"/>
              <w:left w:val="nil"/>
              <w:bottom w:val="single" w:sz="4" w:space="0" w:color="auto"/>
              <w:right w:val="single" w:sz="4" w:space="0" w:color="auto"/>
            </w:tcBorders>
            <w:shd w:val="clear" w:color="auto" w:fill="C6EFCE"/>
            <w:noWrap/>
          </w:tcPr>
          <w:p w14:paraId="79DF9201" w14:textId="77777777" w:rsidR="003F46B9" w:rsidRDefault="0065662E">
            <w:pPr>
              <w:pStyle w:val="P68B1DB1-Normal5"/>
              <w:spacing w:after="0" w:line="240" w:lineRule="auto"/>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10F11A04"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0C7FC36E"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1C78FA60" w14:textId="77777777" w:rsidR="003F46B9" w:rsidRDefault="0065662E">
            <w:pPr>
              <w:pStyle w:val="P68B1DB1-Normal5"/>
              <w:spacing w:after="0" w:line="240" w:lineRule="auto"/>
              <w:jc w:val="both"/>
              <w:rPr>
                <w:rFonts w:cs="Times New Roman"/>
                <w:noProof/>
              </w:rPr>
            </w:pPr>
            <w:r>
              <w:rPr>
                <w:noProof/>
              </w:rPr>
              <w:t>ČETVRTO TROMJESEČJE</w:t>
            </w:r>
          </w:p>
        </w:tc>
        <w:tc>
          <w:tcPr>
            <w:tcW w:w="845" w:type="dxa"/>
            <w:tcBorders>
              <w:top w:val="nil"/>
              <w:left w:val="nil"/>
              <w:bottom w:val="single" w:sz="4" w:space="0" w:color="auto"/>
              <w:right w:val="single" w:sz="4" w:space="0" w:color="auto"/>
            </w:tcBorders>
            <w:shd w:val="clear" w:color="auto" w:fill="C6EFCE"/>
            <w:noWrap/>
          </w:tcPr>
          <w:p w14:paraId="6829FD2E" w14:textId="77777777" w:rsidR="003F46B9" w:rsidRDefault="0065662E">
            <w:pPr>
              <w:pStyle w:val="P68B1DB1-Normal5"/>
              <w:spacing w:after="0" w:line="240" w:lineRule="auto"/>
              <w:jc w:val="both"/>
              <w:rPr>
                <w:rFonts w:cs="Times New Roman"/>
                <w:noProof/>
              </w:rPr>
            </w:pPr>
            <w:r>
              <w:rPr>
                <w:noProof/>
              </w:rPr>
              <w:t>2022</w:t>
            </w:r>
          </w:p>
        </w:tc>
        <w:tc>
          <w:tcPr>
            <w:tcW w:w="2987" w:type="dxa"/>
            <w:tcBorders>
              <w:top w:val="nil"/>
              <w:left w:val="nil"/>
              <w:bottom w:val="single" w:sz="4" w:space="0" w:color="auto"/>
              <w:right w:val="single" w:sz="4" w:space="0" w:color="auto"/>
            </w:tcBorders>
            <w:shd w:val="clear" w:color="auto" w:fill="C6EFCE"/>
            <w:noWrap/>
          </w:tcPr>
          <w:p w14:paraId="2DE2B26A" w14:textId="77777777" w:rsidR="003F46B9" w:rsidRDefault="0065662E">
            <w:pPr>
              <w:pStyle w:val="P68B1DB1-Normal5"/>
              <w:spacing w:after="0" w:line="240" w:lineRule="auto"/>
              <w:jc w:val="both"/>
              <w:rPr>
                <w:rFonts w:cs="Times New Roman"/>
                <w:noProof/>
              </w:rPr>
            </w:pPr>
            <w:r>
              <w:rPr>
                <w:noProof/>
              </w:rPr>
              <w:t>Programom se utvrđuju kriteriji i uvjeti koje treba ispuniti za financiranje koris</w:t>
            </w:r>
            <w:r>
              <w:rPr>
                <w:noProof/>
              </w:rPr>
              <w:t>nika koji se odabiru putem otvorenog i transparentnog poziva na podnošenje prijedloga, koji, među ostalim, uključuje sljedeće specifikacije:</w:t>
            </w:r>
          </w:p>
          <w:p w14:paraId="6CE36B24"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Obvezno usklađivanje ulaganja s planom održive gradske mobilnosti/integriranim održivim razvojem/općim urbanistički</w:t>
            </w:r>
            <w:r>
              <w:rPr>
                <w:noProof/>
              </w:rPr>
              <w:t xml:space="preserve">m planom koji je odobren ili je u izradi; </w:t>
            </w:r>
          </w:p>
          <w:p w14:paraId="6B922DBA"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Osiguravanje pokrivenosti uslugama mobilnosti u funkcionalnom i prigradskom području. Osigurati određivanje prioriteta i promicanje javnog prijevoza u lokalnom prometu planiranjem povlaštenih linija i autobusnih t</w:t>
            </w:r>
            <w:r>
              <w:rPr>
                <w:noProof/>
              </w:rPr>
              <w:t>rakova na najugroženijim/zakrčenim arterijama;</w:t>
            </w:r>
          </w:p>
          <w:p w14:paraId="61F116E7" w14:textId="77777777" w:rsidR="003F46B9" w:rsidRDefault="0065662E">
            <w:pPr>
              <w:pStyle w:val="P68B1DB1-Normal5"/>
              <w:numPr>
                <w:ilvl w:val="0"/>
                <w:numId w:val="81"/>
              </w:numPr>
              <w:pBdr>
                <w:top w:val="nil"/>
                <w:left w:val="nil"/>
                <w:bottom w:val="nil"/>
                <w:right w:val="nil"/>
                <w:between w:val="nil"/>
              </w:pBdr>
              <w:spacing w:after="0" w:line="240" w:lineRule="auto"/>
              <w:ind w:left="144" w:hanging="144"/>
              <w:jc w:val="both"/>
              <w:rPr>
                <w:rFonts w:cs="Times New Roman"/>
                <w:noProof/>
              </w:rPr>
            </w:pPr>
            <w:r>
              <w:rPr>
                <w:noProof/>
              </w:rPr>
              <w:t xml:space="preserve">Sklapanje ugovora o javnim uslugama s gospodarskim subjektima u skladu s odredbama Uredbe (EZ) br. 1370/2007. </w:t>
            </w:r>
          </w:p>
          <w:p w14:paraId="79089021" w14:textId="77777777" w:rsidR="003F46B9" w:rsidRDefault="003F46B9">
            <w:pPr>
              <w:pBdr>
                <w:top w:val="nil"/>
                <w:left w:val="nil"/>
                <w:bottom w:val="nil"/>
                <w:right w:val="nil"/>
                <w:between w:val="nil"/>
              </w:pBdr>
              <w:spacing w:after="0" w:line="240" w:lineRule="auto"/>
              <w:ind w:left="720"/>
              <w:jc w:val="both"/>
              <w:rPr>
                <w:rFonts w:ascii="Times New Roman" w:hAnsi="Times New Roman" w:cs="Times New Roman"/>
                <w:noProof/>
                <w:sz w:val="24"/>
              </w:rPr>
            </w:pPr>
          </w:p>
          <w:p w14:paraId="588E37A0" w14:textId="77777777" w:rsidR="003F46B9" w:rsidRDefault="0065662E">
            <w:pPr>
              <w:pStyle w:val="P68B1DB1-Normal5"/>
              <w:spacing w:before="120" w:after="0" w:line="240" w:lineRule="auto"/>
              <w:jc w:val="both"/>
              <w:rPr>
                <w:rFonts w:cs="Times New Roman"/>
                <w:noProof/>
              </w:rPr>
            </w:pPr>
            <w:r>
              <w:rPr>
                <w:noProof/>
              </w:rPr>
              <w:t xml:space="preserve">Do 2026. županijski gradovi sjedišta (uključujući svaki sektor u Bukureštu) osiguravaju razvoj </w:t>
            </w:r>
            <w:r>
              <w:rPr>
                <w:noProof/>
              </w:rPr>
              <w:t>najmanje 40 mjesta za punjenje električnih vozila dostupnih javnosti/Administrativnoj teritorijalnoj jedinici.</w:t>
            </w:r>
          </w:p>
        </w:tc>
      </w:tr>
      <w:tr w:rsidR="003F46B9" w14:paraId="5AF6B295" w14:textId="77777777">
        <w:trPr>
          <w:trHeight w:val="309"/>
          <w:jc w:val="center"/>
        </w:trPr>
        <w:tc>
          <w:tcPr>
            <w:tcW w:w="795" w:type="dxa"/>
            <w:tcBorders>
              <w:top w:val="nil"/>
              <w:left w:val="single" w:sz="4" w:space="0" w:color="auto"/>
              <w:bottom w:val="single" w:sz="4" w:space="0" w:color="auto"/>
              <w:right w:val="single" w:sz="4" w:space="0" w:color="auto"/>
            </w:tcBorders>
            <w:shd w:val="clear" w:color="auto" w:fill="C6EFCE"/>
            <w:noWrap/>
          </w:tcPr>
          <w:p w14:paraId="5E27CB2B" w14:textId="77777777" w:rsidR="003F46B9" w:rsidRDefault="0065662E">
            <w:pPr>
              <w:pStyle w:val="P68B1DB1-Normal5"/>
              <w:spacing w:after="0" w:line="240" w:lineRule="auto"/>
              <w:jc w:val="center"/>
              <w:rPr>
                <w:rFonts w:cs="Times New Roman"/>
                <w:noProof/>
              </w:rPr>
            </w:pPr>
            <w:r>
              <w:rPr>
                <w:noProof/>
              </w:rPr>
              <w:t>303</w:t>
            </w:r>
          </w:p>
        </w:tc>
        <w:tc>
          <w:tcPr>
            <w:tcW w:w="1569" w:type="dxa"/>
            <w:tcBorders>
              <w:top w:val="nil"/>
              <w:left w:val="nil"/>
              <w:bottom w:val="single" w:sz="4" w:space="0" w:color="auto"/>
              <w:right w:val="single" w:sz="4" w:space="0" w:color="auto"/>
            </w:tcBorders>
            <w:shd w:val="clear" w:color="auto" w:fill="C6EFCE"/>
            <w:noWrap/>
          </w:tcPr>
          <w:p w14:paraId="37AA1866" w14:textId="77777777" w:rsidR="003F46B9" w:rsidRDefault="0065662E">
            <w:pPr>
              <w:pStyle w:val="P68B1DB1-Normal5"/>
              <w:spacing w:after="0" w:line="240" w:lineRule="auto"/>
              <w:rPr>
                <w:rFonts w:cs="Times New Roman"/>
                <w:noProof/>
              </w:rPr>
            </w:pPr>
            <w:r>
              <w:rPr>
                <w:noProof/>
              </w:rPr>
              <w:t>Ulaganje 1. Održiva gradska mobilnost</w:t>
            </w:r>
          </w:p>
        </w:tc>
        <w:tc>
          <w:tcPr>
            <w:tcW w:w="1182" w:type="dxa"/>
            <w:tcBorders>
              <w:top w:val="nil"/>
              <w:left w:val="nil"/>
              <w:bottom w:val="single" w:sz="4" w:space="0" w:color="auto"/>
              <w:right w:val="single" w:sz="4" w:space="0" w:color="auto"/>
            </w:tcBorders>
            <w:shd w:val="clear" w:color="auto" w:fill="C6EFCE"/>
            <w:noWrap/>
          </w:tcPr>
          <w:p w14:paraId="1376CA7D" w14:textId="77777777" w:rsidR="003F46B9" w:rsidRDefault="0065662E">
            <w:pPr>
              <w:pStyle w:val="P68B1DB1-Normal5"/>
              <w:spacing w:after="0" w:line="240" w:lineRule="auto"/>
              <w:jc w:val="center"/>
              <w:rPr>
                <w:rFonts w:cs="Times New Roman"/>
                <w:noProof/>
              </w:rPr>
            </w:pPr>
            <w:r>
              <w:rPr>
                <w:noProof/>
              </w:rPr>
              <w:t>Ciljna</w:t>
            </w:r>
          </w:p>
        </w:tc>
        <w:tc>
          <w:tcPr>
            <w:tcW w:w="1411" w:type="dxa"/>
            <w:tcBorders>
              <w:top w:val="nil"/>
              <w:left w:val="nil"/>
              <w:bottom w:val="single" w:sz="4" w:space="0" w:color="auto"/>
              <w:right w:val="single" w:sz="4" w:space="0" w:color="auto"/>
            </w:tcBorders>
            <w:shd w:val="clear" w:color="auto" w:fill="C6EFCE"/>
            <w:noWrap/>
          </w:tcPr>
          <w:p w14:paraId="4F42D12F" w14:textId="77777777" w:rsidR="003F46B9" w:rsidRDefault="0065662E">
            <w:pPr>
              <w:pStyle w:val="P68B1DB1-Normal5"/>
              <w:spacing w:after="0" w:line="240" w:lineRule="auto"/>
              <w:jc w:val="both"/>
              <w:rPr>
                <w:rFonts w:cs="Times New Roman"/>
                <w:noProof/>
              </w:rPr>
            </w:pPr>
            <w:r>
              <w:rPr>
                <w:noProof/>
              </w:rPr>
              <w:t>Dodatni broj stanica za punjenje električnih vozila</w:t>
            </w:r>
          </w:p>
        </w:tc>
        <w:tc>
          <w:tcPr>
            <w:tcW w:w="1701" w:type="dxa"/>
            <w:tcBorders>
              <w:top w:val="nil"/>
              <w:left w:val="nil"/>
              <w:bottom w:val="single" w:sz="4" w:space="0" w:color="auto"/>
              <w:right w:val="single" w:sz="4" w:space="0" w:color="auto"/>
            </w:tcBorders>
            <w:shd w:val="clear" w:color="auto" w:fill="C6EFCE"/>
            <w:noWrap/>
          </w:tcPr>
          <w:p w14:paraId="515FE59E" w14:textId="095CF1F1" w:rsidR="003F46B9" w:rsidRDefault="003F46B9">
            <w:pPr>
              <w:spacing w:after="0" w:line="240" w:lineRule="auto"/>
              <w:jc w:val="both"/>
              <w:rPr>
                <w:rFonts w:ascii="Times New Roman" w:hAnsi="Times New Roman" w:cs="Times New Roman"/>
                <w:noProof/>
                <w:sz w:val="24"/>
              </w:rPr>
            </w:pPr>
          </w:p>
        </w:tc>
        <w:tc>
          <w:tcPr>
            <w:tcW w:w="1275" w:type="dxa"/>
            <w:tcBorders>
              <w:top w:val="nil"/>
              <w:left w:val="nil"/>
              <w:bottom w:val="single" w:sz="4" w:space="0" w:color="auto"/>
              <w:right w:val="single" w:sz="4" w:space="0" w:color="auto"/>
            </w:tcBorders>
            <w:shd w:val="clear" w:color="auto" w:fill="C6EFCE"/>
            <w:noWrap/>
          </w:tcPr>
          <w:p w14:paraId="66F8CDAA" w14:textId="77777777" w:rsidR="003F46B9" w:rsidRDefault="0065662E">
            <w:pPr>
              <w:pStyle w:val="P68B1DB1-Normal5"/>
              <w:spacing w:after="0" w:line="240" w:lineRule="auto"/>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71F6E8D8" w14:textId="039BCE5D" w:rsidR="003F46B9" w:rsidRDefault="0065662E">
            <w:pPr>
              <w:pStyle w:val="P68B1DB1-Normal5"/>
              <w:spacing w:after="0" w:line="240" w:lineRule="auto"/>
              <w:jc w:val="both"/>
              <w:rPr>
                <w:rFonts w:cs="Times New Roman"/>
                <w:noProof/>
              </w:rPr>
            </w:pPr>
            <w:r>
              <w:rPr>
                <w:noProof/>
              </w:rPr>
              <w:t>0</w:t>
            </w:r>
          </w:p>
        </w:tc>
        <w:tc>
          <w:tcPr>
            <w:tcW w:w="1276" w:type="dxa"/>
            <w:tcBorders>
              <w:top w:val="nil"/>
              <w:left w:val="nil"/>
              <w:bottom w:val="single" w:sz="4" w:space="0" w:color="auto"/>
              <w:right w:val="single" w:sz="4" w:space="0" w:color="auto"/>
            </w:tcBorders>
            <w:shd w:val="clear" w:color="auto" w:fill="C6EFCE"/>
            <w:noWrap/>
          </w:tcPr>
          <w:p w14:paraId="0E8116DC" w14:textId="756C7C00" w:rsidR="003F46B9" w:rsidRDefault="0065662E">
            <w:pPr>
              <w:pStyle w:val="P68B1DB1-Normal5"/>
              <w:spacing w:after="0" w:line="240" w:lineRule="auto"/>
              <w:jc w:val="both"/>
              <w:rPr>
                <w:rFonts w:cs="Times New Roman"/>
                <w:noProof/>
              </w:rPr>
            </w:pPr>
            <w:r>
              <w:rPr>
                <w:noProof/>
              </w:rPr>
              <w:t xml:space="preserve"> 5 600</w:t>
            </w:r>
          </w:p>
        </w:tc>
        <w:tc>
          <w:tcPr>
            <w:tcW w:w="1134" w:type="dxa"/>
            <w:tcBorders>
              <w:top w:val="nil"/>
              <w:left w:val="nil"/>
              <w:bottom w:val="single" w:sz="4" w:space="0" w:color="auto"/>
              <w:right w:val="single" w:sz="4" w:space="0" w:color="auto"/>
            </w:tcBorders>
            <w:shd w:val="clear" w:color="auto" w:fill="C6EFCE"/>
            <w:noWrap/>
          </w:tcPr>
          <w:p w14:paraId="0956BEE8" w14:textId="77777777" w:rsidR="003F46B9" w:rsidRDefault="0065662E">
            <w:pPr>
              <w:pStyle w:val="P68B1DB1-Normal5"/>
              <w:spacing w:after="0" w:line="240" w:lineRule="auto"/>
              <w:jc w:val="both"/>
              <w:rPr>
                <w:rFonts w:cs="Times New Roman"/>
                <w:noProof/>
              </w:rPr>
            </w:pPr>
            <w:r>
              <w:rPr>
                <w:noProof/>
              </w:rPr>
              <w:t>TROMJESEČJE</w:t>
            </w:r>
          </w:p>
        </w:tc>
        <w:tc>
          <w:tcPr>
            <w:tcW w:w="845" w:type="dxa"/>
            <w:tcBorders>
              <w:top w:val="nil"/>
              <w:left w:val="nil"/>
              <w:bottom w:val="single" w:sz="4" w:space="0" w:color="auto"/>
              <w:right w:val="single" w:sz="4" w:space="0" w:color="auto"/>
            </w:tcBorders>
            <w:shd w:val="clear" w:color="auto" w:fill="C6EFCE"/>
            <w:noWrap/>
          </w:tcPr>
          <w:p w14:paraId="5FE67A9C" w14:textId="77777777" w:rsidR="003F46B9" w:rsidRDefault="0065662E">
            <w:pPr>
              <w:pStyle w:val="P68B1DB1-Normal5"/>
              <w:spacing w:after="0" w:line="240" w:lineRule="auto"/>
              <w:jc w:val="both"/>
              <w:rPr>
                <w:rFonts w:cs="Times New Roman"/>
                <w:noProof/>
              </w:rPr>
            </w:pPr>
            <w:r>
              <w:rPr>
                <w:noProof/>
              </w:rPr>
              <w:t>2026</w:t>
            </w:r>
          </w:p>
        </w:tc>
        <w:tc>
          <w:tcPr>
            <w:tcW w:w="2987" w:type="dxa"/>
            <w:tcBorders>
              <w:top w:val="nil"/>
              <w:left w:val="nil"/>
              <w:bottom w:val="single" w:sz="4" w:space="0" w:color="auto"/>
              <w:right w:val="single" w:sz="4" w:space="0" w:color="auto"/>
            </w:tcBorders>
            <w:shd w:val="clear" w:color="auto" w:fill="C6EFCE"/>
            <w:noWrap/>
          </w:tcPr>
          <w:p w14:paraId="7C4E17DF" w14:textId="543023FA" w:rsidR="003F46B9" w:rsidRDefault="0065662E">
            <w:pPr>
              <w:pStyle w:val="P68B1DB1-Normal5"/>
              <w:spacing w:after="0" w:line="240" w:lineRule="auto"/>
              <w:jc w:val="both"/>
              <w:rPr>
                <w:rFonts w:cs="Times New Roman"/>
                <w:noProof/>
              </w:rPr>
            </w:pPr>
            <w:r>
              <w:rPr>
                <w:noProof/>
              </w:rPr>
              <w:t xml:space="preserve">Broj mjesta za punjenje električnih vozila u funkciji. </w:t>
            </w:r>
          </w:p>
        </w:tc>
      </w:tr>
    </w:tbl>
    <w:p w14:paraId="10E9E5CF" w14:textId="77777777" w:rsidR="003F46B9" w:rsidRDefault="003F46B9">
      <w:pPr>
        <w:spacing w:before="120" w:after="120" w:line="240" w:lineRule="auto"/>
        <w:ind w:left="709"/>
        <w:jc w:val="both"/>
        <w:rPr>
          <w:rFonts w:ascii="Times New Roman" w:hAnsi="Times New Roman" w:cs="Times New Roman"/>
          <w:noProof/>
          <w:sz w:val="24"/>
        </w:rPr>
        <w:sectPr w:rsidR="003F46B9">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720" w:right="720" w:bottom="720" w:left="720" w:header="709" w:footer="709" w:gutter="0"/>
          <w:cols w:space="720"/>
          <w:docGrid w:linePitch="360"/>
        </w:sectPr>
      </w:pPr>
    </w:p>
    <w:p w14:paraId="7821F55C"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J.3. </w:t>
      </w:r>
      <w:r>
        <w:rPr>
          <w:noProof/>
        </w:rPr>
        <w:tab/>
      </w:r>
      <w:r>
        <w:rPr>
          <w:rFonts w:ascii="Times New Roman" w:hAnsi="Times New Roman"/>
          <w:b/>
          <w:noProof/>
          <w:sz w:val="24"/>
        </w:rPr>
        <w:t xml:space="preserve">Opis reformi i ulaganja za zajam </w:t>
      </w:r>
    </w:p>
    <w:p w14:paraId="49CECF58"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br. 2: Stvaranje političkog okvira za održivu preobrazbu gradova </w:t>
      </w:r>
    </w:p>
    <w:p w14:paraId="1DF545CD" w14:textId="77777777" w:rsidR="003F46B9" w:rsidRDefault="0065662E">
      <w:pPr>
        <w:pStyle w:val="P68B1DB1-Normal5"/>
        <w:spacing w:before="120" w:after="120" w:line="240" w:lineRule="auto"/>
        <w:jc w:val="both"/>
        <w:rPr>
          <w:rFonts w:cs="Times New Roman"/>
          <w:noProof/>
        </w:rPr>
      </w:pPr>
      <w:r>
        <w:rPr>
          <w:noProof/>
        </w:rPr>
        <w:t xml:space="preserve">Cilj je reforme omogućiti </w:t>
      </w:r>
      <w:r>
        <w:rPr>
          <w:noProof/>
        </w:rPr>
        <w:t>ljudima koji žive u urbanim područjima, uključujući marginalne/periferne zajednice, bolji pristup kvalitetnim uslugama kao što su mobilnost, stanovanje i druge javne usluge koje se pružaju na lokalnoj razini.</w:t>
      </w:r>
    </w:p>
    <w:p w14:paraId="6583935A" w14:textId="77777777" w:rsidR="003F46B9" w:rsidRDefault="0065662E">
      <w:pPr>
        <w:pStyle w:val="P68B1DB1-Normal5"/>
        <w:spacing w:before="120" w:after="120" w:line="240" w:lineRule="auto"/>
        <w:jc w:val="both"/>
        <w:rPr>
          <w:rFonts w:cs="Times New Roman"/>
          <w:noProof/>
        </w:rPr>
      </w:pPr>
      <w:r>
        <w:rPr>
          <w:noProof/>
        </w:rPr>
        <w:t>Reformom se utvrđuje okvir za koordinaciju grad</w:t>
      </w:r>
      <w:r>
        <w:rPr>
          <w:noProof/>
        </w:rPr>
        <w:t xml:space="preserve">skih središta i prigradskih područja kako bi se povećao njihov kapacitet za pružanje kvalitetnih i integriranih usluga i poboljšanje životnog standarda svojih građana. Dva su glavna stupa reforme Zakon o metropolskim područjima i rumunjski okvir za urbanu </w:t>
      </w:r>
      <w:r>
        <w:rPr>
          <w:noProof/>
        </w:rPr>
        <w:t>politiku. Zakonom su definirana</w:t>
      </w:r>
      <w:r>
        <w:rPr>
          <w:b/>
          <w:noProof/>
        </w:rPr>
        <w:t xml:space="preserve"> </w:t>
      </w:r>
      <w:r>
        <w:rPr>
          <w:noProof/>
        </w:rPr>
        <w:t>funkcionalna gradska područja i njihove glavne odgovornosti (tj. mobilnost, stanovanje i prostorno planiranje); uspostavlja tijela za usmjeravanje i koordinaciju političkih inicijativa i ulaganja na funkcionalnoj urbanoj raz</w:t>
      </w:r>
      <w:r>
        <w:rPr>
          <w:noProof/>
        </w:rPr>
        <w:t>ini; osigurava njihov fiskalni kapacitet s pomoću transparentnih i predvidljivih proračunskih izvora; te omogućuje zajedničku nabavu robe i usluga na funkcionalnoj urbanoj razini. Okvir podupire uspostavu funkcionalnih urbanih područja i dodatno definira i</w:t>
      </w:r>
      <w:r>
        <w:rPr>
          <w:noProof/>
        </w:rPr>
        <w:t xml:space="preserve">sključive odgovornosti na lokalnoj razini, kao i one koje se dijele sa središnjom razinom. </w:t>
      </w:r>
    </w:p>
    <w:p w14:paraId="03B8C149"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Zakon o metropolskim područjima i rumunjski okvir za urbanu politiku odobravaju se i stupaju na snagu do 30.</w:t>
      </w:r>
      <w:r>
        <w:rPr>
          <w:noProof/>
        </w:rPr>
        <w:t xml:space="preserve"> lipnja 2022. odnosno do 31. prosinca 2022. </w:t>
      </w:r>
    </w:p>
    <w:p w14:paraId="61DBBBF9"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3.: Stvaranje političkog okvira za održivu preobrazbu ruralnih područja: uspostava administrativnih konzorcija u funkcionalnim ruralnim područjima </w:t>
      </w:r>
    </w:p>
    <w:p w14:paraId="45C730F9" w14:textId="77777777" w:rsidR="003F46B9" w:rsidRDefault="0065662E">
      <w:pPr>
        <w:pStyle w:val="P68B1DB1-Normal5"/>
        <w:spacing w:before="120" w:after="120" w:line="240" w:lineRule="auto"/>
        <w:jc w:val="both"/>
        <w:rPr>
          <w:rFonts w:cs="Times New Roman"/>
          <w:noProof/>
        </w:rPr>
      </w:pPr>
      <w:r>
        <w:rPr>
          <w:noProof/>
        </w:rPr>
        <w:t xml:space="preserve">Cilj je reforme omogućiti ljudima koji žive u ruralnim </w:t>
      </w:r>
      <w:r>
        <w:rPr>
          <w:noProof/>
        </w:rPr>
        <w:t>područjima, uključujući marginalne/periferne zajednice, bolji pristup kvalitetnim uslugama kao što su mobilnost, stanovanje i druge javne usluge koje se pružaju na lokalnoj razini.</w:t>
      </w:r>
    </w:p>
    <w:p w14:paraId="05AEA16B" w14:textId="77777777" w:rsidR="003F46B9" w:rsidRDefault="0065662E">
      <w:pPr>
        <w:pStyle w:val="P68B1DB1-Normal5"/>
        <w:spacing w:before="120" w:after="120" w:line="240" w:lineRule="auto"/>
        <w:jc w:val="both"/>
        <w:rPr>
          <w:rFonts w:cs="Times New Roman"/>
          <w:noProof/>
        </w:rPr>
      </w:pPr>
      <w:r>
        <w:rPr>
          <w:noProof/>
        </w:rPr>
        <w:t xml:space="preserve">Reformom se nastoji integrirati pružanje politika i usluga u svim ruralnim </w:t>
      </w:r>
      <w:r>
        <w:rPr>
          <w:noProof/>
        </w:rPr>
        <w:t>administrativnim teritorijalnim jedinicama kako bi se poboljšala dobrobit u slabije razvijenim područjima</w:t>
      </w:r>
      <w:r>
        <w:rPr>
          <w:noProof/>
        </w:rPr>
        <w:footnoteReference w:id="49"/>
      </w:r>
      <w:r>
        <w:rPr>
          <w:noProof/>
        </w:rPr>
        <w:t>. Konkretno, izmjenama Upravnog zakonika omogućuje se osnivanje upravnih konzorcija u funkcionalnim ruralnim područjima koja su susjedne ruralne uprav</w:t>
      </w:r>
      <w:r>
        <w:rPr>
          <w:noProof/>
        </w:rPr>
        <w:t>ne jedinice koje su gospodarski i socijalno integrirane i suočene sa sličnim izazovima i mogućnostima za njihov razvoj (kao što su blizina zajedničkim prirodnim resursima, izloženost istim strukturnim šokovima). Izmjenama će se osim toga definirati funkcio</w:t>
      </w:r>
      <w:r>
        <w:rPr>
          <w:noProof/>
        </w:rPr>
        <w:t>nalni pravni režim i odgovornosti ruralnih područja; uspostaviti tijela za usmjeravanje i koordinaciju političkih inicijativa i ulaganja na razini funkcionalnog ruralnog područja; osiguraju svoj fiskalni kapacitet s pomoću transparentnih i predvidljivih pr</w:t>
      </w:r>
      <w:r>
        <w:rPr>
          <w:noProof/>
        </w:rPr>
        <w:t>oračunskih izvora; i omogućiti potpunu digitalnu integraciju javnih usluga koje pružaju upravne jedinice, uključujući upotrebu zajedničke nabave za pružanje robe i usluga, na razini funkcionalnog ruralnog područja.</w:t>
      </w:r>
    </w:p>
    <w:p w14:paraId="17733B00" w14:textId="77777777" w:rsidR="003F46B9" w:rsidRDefault="0065662E">
      <w:pPr>
        <w:pStyle w:val="P68B1DB1-Normal5"/>
        <w:spacing w:before="120" w:after="120" w:line="240" w:lineRule="auto"/>
        <w:jc w:val="both"/>
        <w:rPr>
          <w:rFonts w:cs="Times New Roman"/>
          <w:b/>
          <w:noProof/>
        </w:rPr>
      </w:pPr>
      <w:r>
        <w:rPr>
          <w:noProof/>
        </w:rPr>
        <w:t>Provedba reforme mora biti dovršena do 30</w:t>
      </w:r>
      <w:r>
        <w:rPr>
          <w:noProof/>
        </w:rPr>
        <w:t>. lipnja 2026. Izmjene Upravnog zakonika kojima se omogućuje osnivanje upravnih konzorcija u funkcionalnim ruralnim područjima stupaju na snagu do 31. prosinca 2022.</w:t>
      </w:r>
    </w:p>
    <w:p w14:paraId="3AAB1A29"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Poboljšanje kvalitete stanovanja</w:t>
      </w:r>
    </w:p>
    <w:p w14:paraId="51176259" w14:textId="77777777" w:rsidR="003F46B9" w:rsidRDefault="0065662E">
      <w:pPr>
        <w:pStyle w:val="P68B1DB1-Normal5"/>
        <w:spacing w:before="120" w:after="120" w:line="240" w:lineRule="auto"/>
        <w:jc w:val="both"/>
        <w:rPr>
          <w:rFonts w:cs="Times New Roman"/>
          <w:noProof/>
        </w:rPr>
      </w:pPr>
      <w:r>
        <w:rPr>
          <w:noProof/>
        </w:rPr>
        <w:t>Cilj je te reforme smanjiti teške stambene os</w:t>
      </w:r>
      <w:r>
        <w:rPr>
          <w:noProof/>
        </w:rPr>
        <w:t xml:space="preserve">kudice za ranjive kategorije i skupine, posebno za osobe u marginaliziranim zajednicama u urbanim i ruralnim područjima. </w:t>
      </w:r>
    </w:p>
    <w:p w14:paraId="0924C6CE" w14:textId="77777777" w:rsidR="003F46B9" w:rsidRDefault="0065662E">
      <w:pPr>
        <w:pStyle w:val="P68B1DB1-Normal5"/>
        <w:spacing w:before="120" w:after="120" w:line="240" w:lineRule="auto"/>
        <w:jc w:val="both"/>
        <w:rPr>
          <w:rFonts w:cs="Times New Roman"/>
          <w:noProof/>
        </w:rPr>
      </w:pPr>
      <w:r>
        <w:rPr>
          <w:noProof/>
        </w:rPr>
        <w:t>Reforma se provodi stupanjem na snagu zakonodavnog akta kako bi se osigurala provedba nacionalne strategije stanovanja i njezina akcij</w:t>
      </w:r>
      <w:r>
        <w:rPr>
          <w:noProof/>
        </w:rPr>
        <w:t>skog plana, među ostalim upotrebom mehanizama kao što su velegradska područja i administrativni konzorciji. Isto tako, ti dokumenti moraju biti popraćeni mapiranjem stambenih potreba, posebno u marginaliziranim zajednicama i skupinama, uključujući neformal</w:t>
      </w:r>
      <w:r>
        <w:rPr>
          <w:noProof/>
        </w:rPr>
        <w:t xml:space="preserve">na naselja u urbanim i ruralnim područjima. Reformom se osigurava komplementarnost s postojećim ili budućim ulaganjima integriranih zajedničkih centara (tj. pružanje obrazovnih, socijalnih i osnovnih zdravstvenih usluga) koja se financiraju u okviru ESF-a </w:t>
      </w:r>
      <w:r>
        <w:rPr>
          <w:noProof/>
        </w:rPr>
        <w:t>plus i buduće kohezijske politike te ona ne dovodi do socijalne segregacije.</w:t>
      </w:r>
    </w:p>
    <w:p w14:paraId="62EB7179"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Zakonodavni akt kojim se osigurava provedba nacionalne strategije i akcijskog plana za stanovanje donosi se i stupa na snag</w:t>
      </w:r>
      <w:r>
        <w:rPr>
          <w:noProof/>
        </w:rPr>
        <w:t xml:space="preserve">u do 30. lipnja 2022. </w:t>
      </w:r>
    </w:p>
    <w:p w14:paraId="7D6D2856" w14:textId="77777777" w:rsidR="003F46B9" w:rsidRDefault="0065662E">
      <w:pPr>
        <w:pStyle w:val="P68B1DB1-Standard6"/>
        <w:spacing w:before="240"/>
        <w:jc w:val="both"/>
        <w:rPr>
          <w:rFonts w:ascii="Times New Roman" w:eastAsiaTheme="majorEastAsia" w:hAnsi="Times New Roman" w:cs="Times New Roman"/>
          <w:noProof/>
        </w:rPr>
      </w:pPr>
      <w:r>
        <w:rPr>
          <w:noProof/>
        </w:rPr>
        <w:t>Reforma br. 5: Razvoj sustava planiranja – Kodeks prostornog uređenja, urbanizma i graditeljstva</w:t>
      </w:r>
      <w:r>
        <w:rPr>
          <w:rFonts w:ascii="Times New Roman" w:hAnsi="Times New Roman"/>
          <w:noProof/>
        </w:rPr>
        <w:t xml:space="preserve"> </w:t>
      </w:r>
    </w:p>
    <w:p w14:paraId="5FB17555" w14:textId="77777777" w:rsidR="003F46B9" w:rsidRDefault="0065662E">
      <w:pPr>
        <w:pStyle w:val="P68B1DB1-Normal5"/>
        <w:spacing w:before="120" w:after="120" w:line="240" w:lineRule="auto"/>
        <w:jc w:val="both"/>
        <w:rPr>
          <w:rFonts w:cs="Times New Roman"/>
          <w:noProof/>
        </w:rPr>
      </w:pPr>
      <w:r>
        <w:rPr>
          <w:noProof/>
        </w:rPr>
        <w:t xml:space="preserve">Cilj je reforme poboljšati cjelokupno teritorijalno planiranje pojednostavnjenim i digitaliziranim dokumentima i postupcima prostornog </w:t>
      </w:r>
      <w:r>
        <w:rPr>
          <w:noProof/>
        </w:rPr>
        <w:t>planiranja, većim pristupom dokumentima prostornog i teritorijalnog planiranja i njihovom transparentnošću te povećanjem upotrebe energetski učinkovitih i održivih rješenja u građevinarstvu.</w:t>
      </w:r>
    </w:p>
    <w:p w14:paraId="35EF3517" w14:textId="77777777" w:rsidR="003F46B9" w:rsidRDefault="0065662E">
      <w:pPr>
        <w:pStyle w:val="P68B1DB1-Normal5"/>
        <w:spacing w:before="120" w:after="120" w:line="240" w:lineRule="auto"/>
        <w:jc w:val="both"/>
        <w:rPr>
          <w:rFonts w:cs="Times New Roman"/>
          <w:noProof/>
        </w:rPr>
      </w:pPr>
      <w:r>
        <w:rPr>
          <w:noProof/>
        </w:rPr>
        <w:t>Reforma se provodi stupanjem na snagu Zakonika o prostornom plani</w:t>
      </w:r>
      <w:r>
        <w:rPr>
          <w:noProof/>
        </w:rPr>
        <w:t>ranju urbanističkog planiranja. Kodeksom se provodi pojednostavnjenje i usklađivanje načina na koji se prostorni i opći urbanistički planovi prijavljuju, ažuriraju i prenose u geografske informacijske sustave, kao i mjere za povećanje energetske učinkovito</w:t>
      </w:r>
      <w:r>
        <w:rPr>
          <w:noProof/>
        </w:rPr>
        <w:t xml:space="preserve">sti i poboljšanje kvalitete zraka putem obvezujućih građevinskih standarda u svim upravnim teritorijalnim jedinicama te u funkcionalnim urbanim i ruralnim područjima. Kodeks će također sadržavati odredbe u ažuriranim dokumentima za urbanističko planiranje </w:t>
      </w:r>
      <w:r>
        <w:rPr>
          <w:noProof/>
        </w:rPr>
        <w:t xml:space="preserve">čiji je cilj smanjenje vremena i udaljenosti putovanja na posao za stanovništvo u funkcionalnim urbanim i ruralnim područjima. Nova podatkovna platforma, kao dio Teritorijalnog opservatorija, centralizira standardizirane i digitalizirane karte i strateške </w:t>
      </w:r>
      <w:r>
        <w:rPr>
          <w:noProof/>
        </w:rPr>
        <w:t>dokumente na kojima se temelji proces urbanističkog planiranja te omogućuje javni pristup svim planovima, kao i najnovijim dokumentima prostornog i teritorijalnog planiranja.</w:t>
      </w:r>
    </w:p>
    <w:p w14:paraId="34D48CD2"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Kodeks prostornog planira</w:t>
      </w:r>
      <w:r>
        <w:rPr>
          <w:noProof/>
        </w:rPr>
        <w:t>nja, urbanističkog planiranja i graditeljstva stupa na snagu do 31. ožujka 2023., a operativna platforma za podatke koja omogućuje potpuni digitalni pristup dokumentima prostornog i prostornog planiranja, kao dio Teritorijalnog opservatorija, bit će operat</w:t>
      </w:r>
      <w:r>
        <w:rPr>
          <w:noProof/>
        </w:rPr>
        <w:t xml:space="preserve">ivna do 30. lipnja 2023. </w:t>
      </w:r>
    </w:p>
    <w:p w14:paraId="592B297B"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2 Izgradnja stanovanja za mlade i stručnjake u zdravstvu i obrazovanju </w:t>
      </w:r>
    </w:p>
    <w:p w14:paraId="67E341AD" w14:textId="77777777" w:rsidR="003F46B9" w:rsidRDefault="0065662E">
      <w:pPr>
        <w:pStyle w:val="P68B1DB1-Normal5"/>
        <w:spacing w:before="120" w:after="120" w:line="240" w:lineRule="auto"/>
        <w:jc w:val="both"/>
        <w:rPr>
          <w:rFonts w:cs="Times New Roman"/>
          <w:noProof/>
        </w:rPr>
      </w:pPr>
      <w:r>
        <w:rPr>
          <w:noProof/>
        </w:rPr>
        <w:t>Cilj je tog ulaganja povećati pristup kvalitetnom stanovanju za mlade kojima je potrebna pomoć i stručnjake u zdravstvu i obrazovanju koji pružaju ta</w:t>
      </w:r>
      <w:r>
        <w:rPr>
          <w:noProof/>
        </w:rPr>
        <w:t xml:space="preserve">kve usluge u marginaliziranim zajednicama i marginaliziranim skupinama. </w:t>
      </w:r>
    </w:p>
    <w:p w14:paraId="145B7C91" w14:textId="77777777" w:rsidR="003F46B9" w:rsidRDefault="0065662E">
      <w:pPr>
        <w:pStyle w:val="P68B1DB1-Normal5"/>
        <w:spacing w:before="120" w:after="120" w:line="240" w:lineRule="auto"/>
        <w:jc w:val="both"/>
        <w:rPr>
          <w:rFonts w:cs="Times New Roman"/>
          <w:noProof/>
        </w:rPr>
      </w:pPr>
      <w:r>
        <w:rPr>
          <w:noProof/>
        </w:rPr>
        <w:t>Ulaganje se sastoji od izgradnje novih stambenih jedinica za mlade iz ranjivih zajednica i skupina u skladu s odredbama Nacionalne strategije stanovanja i akcijskog plana</w:t>
      </w:r>
      <w:r>
        <w:rPr>
          <w:b/>
          <w:noProof/>
        </w:rPr>
        <w:t xml:space="preserve"> </w:t>
      </w:r>
      <w:r>
        <w:rPr>
          <w:noProof/>
        </w:rPr>
        <w:t>te je popraćeno mjerama za poticanje socijalne i gospodarske integracije ciljanih skupina. Zgrade su jednako izgrađene za zdravstvene i obrazovne djelatnike u urbanim i ruralnim područjima u kojima žive marginalizirane zajednice i skupine te je prethodno u</w:t>
      </w:r>
      <w:r>
        <w:rPr>
          <w:noProof/>
        </w:rPr>
        <w:t>tvrđen manjak u pružanju zdravstvenih i obrazovnih usluga. Novoizgrađene kuće moraju biti usklađene s ciljem postizanja potražnje za primarnom energijom koja je najmanje 20 % niža od zahtjeva za zgradu gotovo nulte energije u skladu s nacionalnim smjernica</w:t>
      </w:r>
      <w:r>
        <w:rPr>
          <w:noProof/>
        </w:rPr>
        <w:t xml:space="preserve">ma, što se osigurava energetskim certifikatima. </w:t>
      </w:r>
    </w:p>
    <w:p w14:paraId="14C67DAD"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lipnja 2026. </w:t>
      </w:r>
    </w:p>
    <w:p w14:paraId="1DD015C4"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3 Umjerena obnova javnih zgrada kako bi se poboljšalo pružanje javnih usluga upravnih teritorijalnih jedinica </w:t>
      </w:r>
    </w:p>
    <w:p w14:paraId="52DFB15B" w14:textId="239EA910" w:rsidR="003F46B9" w:rsidRDefault="0065662E">
      <w:pPr>
        <w:pStyle w:val="P68B1DB1-Normal5"/>
        <w:spacing w:before="120" w:after="120" w:line="240" w:lineRule="auto"/>
        <w:jc w:val="both"/>
        <w:rPr>
          <w:rFonts w:cs="Times New Roman"/>
          <w:noProof/>
        </w:rPr>
      </w:pPr>
      <w:r>
        <w:rPr>
          <w:noProof/>
        </w:rPr>
        <w:t xml:space="preserve">Cilj je tog ulaganja poboljšati pružanje lokalnih javnih usluga. Ulaganjima se financira umjerena obnova javnih zgrada na lokalnoj razini. Odnosi se samo na one javne zgrade u gradovima i općinama koje su namijenjene pružanju javnih usluga građanima (npr. </w:t>
      </w:r>
      <w:r>
        <w:rPr>
          <w:noProof/>
        </w:rPr>
        <w:t>zgrade gradske vijećnice, zgrade socijalnih usluga). Ulaganje se sastoji od obnove 1015481 kvadratnih metara površine u prihvatljivim javnim zgradama. Očekuje se da će obnova dovesti do smanjenja potražnje za primarnom energijom za 30 %, što je vidljivo iz</w:t>
      </w:r>
      <w:r>
        <w:rPr>
          <w:noProof/>
        </w:rPr>
        <w:t xml:space="preserve"> energetskih certifikata. </w:t>
      </w:r>
    </w:p>
    <w:p w14:paraId="6AA3CFE4"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lipnja 2026. </w:t>
      </w:r>
    </w:p>
    <w:p w14:paraId="296B43E2"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4 Razvoj/ažuriranje dokumenata prostornog planiranja i urbanističkog planiranja u GIS formatu </w:t>
      </w:r>
    </w:p>
    <w:p w14:paraId="1317F7B7" w14:textId="77777777" w:rsidR="003F46B9" w:rsidRDefault="0065662E">
      <w:pPr>
        <w:pStyle w:val="P68B1DB1-Normal5"/>
        <w:spacing w:before="120" w:after="120" w:line="240" w:lineRule="auto"/>
        <w:jc w:val="both"/>
        <w:rPr>
          <w:rFonts w:cs="Times New Roman"/>
          <w:noProof/>
        </w:rPr>
      </w:pPr>
      <w:r>
        <w:rPr>
          <w:noProof/>
        </w:rPr>
        <w:t>Cilj je tog ulaganja povećati digitalni pristup dokumentima prostor</w:t>
      </w:r>
      <w:r>
        <w:rPr>
          <w:noProof/>
        </w:rPr>
        <w:t>nog i urbanističkog planiranja.</w:t>
      </w:r>
    </w:p>
    <w:p w14:paraId="1986ED51" w14:textId="77777777" w:rsidR="003F46B9" w:rsidRDefault="0065662E">
      <w:pPr>
        <w:pStyle w:val="P68B1DB1-Normal5"/>
        <w:spacing w:before="120" w:after="120" w:line="240" w:lineRule="auto"/>
        <w:jc w:val="both"/>
        <w:rPr>
          <w:rFonts w:cs="Times New Roman"/>
          <w:noProof/>
        </w:rPr>
      </w:pPr>
      <w:r>
        <w:rPr>
          <w:noProof/>
        </w:rPr>
        <w:t>Ulaganjem se financiraju razvoj ili ažuriranje dokumenata o prostornom planiranju i urbanističkom planiranju, uključujući planove održive gradske mobilnosti.</w:t>
      </w:r>
      <w:r>
        <w:rPr>
          <w:b/>
          <w:noProof/>
        </w:rPr>
        <w:t xml:space="preserve"> </w:t>
      </w:r>
      <w:r>
        <w:rPr>
          <w:noProof/>
        </w:rPr>
        <w:t>Sva dokumentacija izrađuje se u digitalnom obliku u skladu s Kodek</w:t>
      </w:r>
      <w:r>
        <w:rPr>
          <w:noProof/>
        </w:rPr>
        <w:t xml:space="preserve">som prostornog uređenja, urbanizma i graditeljstva, a potvrđuje je nacionalno potporno tijelo. Dokumentacija se učitava na platformu Teritorijalnog opservatorija. </w:t>
      </w:r>
    </w:p>
    <w:p w14:paraId="684AFAFD"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1F8BAF74"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222"/>
          <w:headerReference w:type="default" r:id="rId223"/>
          <w:footerReference w:type="even" r:id="rId224"/>
          <w:footerReference w:type="default" r:id="rId225"/>
          <w:headerReference w:type="first" r:id="rId226"/>
          <w:footerReference w:type="first" r:id="rId227"/>
          <w:pgSz w:w="11907" w:h="16839"/>
          <w:pgMar w:top="1134" w:right="1417" w:bottom="1134" w:left="1417" w:header="709" w:footer="709" w:gutter="0"/>
          <w:cols w:space="720"/>
          <w:docGrid w:linePitch="360"/>
        </w:sectPr>
      </w:pPr>
    </w:p>
    <w:p w14:paraId="4CD6AC10" w14:textId="77777777" w:rsidR="003F46B9" w:rsidRDefault="0065662E">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J.4. </w:t>
      </w:r>
      <w:r>
        <w:rPr>
          <w:noProof/>
        </w:rPr>
        <w:tab/>
      </w:r>
      <w:r>
        <w:rPr>
          <w:rFonts w:ascii="Times New Roman" w:hAnsi="Times New Roman"/>
          <w:b/>
          <w:noProof/>
          <w:sz w:val="24"/>
        </w:rPr>
        <w:t xml:space="preserve">Ključne etape, ciljne vrijednosti, pokazatelji i vremenski raspored za praćenje i provedbu zajma </w:t>
      </w:r>
    </w:p>
    <w:tbl>
      <w:tblPr>
        <w:tblW w:w="15350" w:type="dxa"/>
        <w:jc w:val="center"/>
        <w:tblLayout w:type="fixed"/>
        <w:tblLook w:val="04A0" w:firstRow="1" w:lastRow="0" w:firstColumn="1" w:lastColumn="0" w:noHBand="0" w:noVBand="1"/>
      </w:tblPr>
      <w:tblGrid>
        <w:gridCol w:w="851"/>
        <w:gridCol w:w="1985"/>
        <w:gridCol w:w="1276"/>
        <w:gridCol w:w="1417"/>
        <w:gridCol w:w="1498"/>
        <w:gridCol w:w="1332"/>
        <w:gridCol w:w="1134"/>
        <w:gridCol w:w="714"/>
        <w:gridCol w:w="1134"/>
        <w:gridCol w:w="850"/>
        <w:gridCol w:w="3159"/>
      </w:tblGrid>
      <w:tr w:rsidR="003F46B9" w14:paraId="7BD537C4" w14:textId="77777777">
        <w:trPr>
          <w:trHeight w:val="939"/>
          <w:tblHeade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293C11F"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649DE6"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0A6004"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D123CAB" w14:textId="77777777" w:rsidR="003F46B9" w:rsidRDefault="0065662E">
            <w:pPr>
              <w:pStyle w:val="P68B1DB1-Normal1"/>
              <w:spacing w:after="0" w:line="240" w:lineRule="auto"/>
              <w:jc w:val="center"/>
              <w:rPr>
                <w:rFonts w:eastAsia="Times New Roman" w:cs="Times New Roman"/>
                <w:noProof/>
              </w:rPr>
            </w:pPr>
            <w:r>
              <w:rPr>
                <w:noProof/>
              </w:rPr>
              <w:t>Ime</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AE1CF9" w14:textId="38200B5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18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359A66C8" w14:textId="3682637D"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14:paraId="7F65D6D3" w14:textId="77777777" w:rsidR="003F46B9" w:rsidRDefault="0065662E">
            <w:pPr>
              <w:pStyle w:val="P68B1DB1-Normal1"/>
              <w:spacing w:after="0" w:line="240" w:lineRule="auto"/>
              <w:jc w:val="center"/>
              <w:rPr>
                <w:rFonts w:eastAsia="Times New Roman" w:cs="Times New Roman"/>
                <w:noProof/>
              </w:rPr>
            </w:pPr>
            <w:r>
              <w:rPr>
                <w:noProof/>
              </w:rPr>
              <w:t xml:space="preserve">Okvirni vremenski okvir za dovršetak </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EF6A7F"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3921A362" w14:textId="77777777">
        <w:trPr>
          <w:trHeight w:val="359"/>
          <w:tblHeader/>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DC94BCC" w14:textId="77777777" w:rsidR="003F46B9" w:rsidRDefault="003F46B9">
            <w:pPr>
              <w:spacing w:after="0" w:line="240" w:lineRule="auto"/>
              <w:rPr>
                <w:rFonts w:ascii="Times New Roman" w:eastAsia="Times New Roman" w:hAnsi="Times New Roman" w:cs="Times New Roman"/>
                <w:b/>
                <w:noProof/>
                <w:sz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E6D9E35" w14:textId="77777777" w:rsidR="003F46B9" w:rsidRDefault="003F46B9">
            <w:pPr>
              <w:spacing w:after="0" w:line="240" w:lineRule="auto"/>
              <w:rPr>
                <w:rFonts w:ascii="Times New Roman" w:eastAsia="Times New Roman" w:hAnsi="Times New Roman" w:cs="Times New Roman"/>
                <w:b/>
                <w:noProof/>
                <w:sz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E5B53EE" w14:textId="77777777" w:rsidR="003F46B9" w:rsidRDefault="003F46B9">
            <w:pPr>
              <w:spacing w:after="0" w:line="240" w:lineRule="auto"/>
              <w:rPr>
                <w:rFonts w:ascii="Times New Roman" w:eastAsia="Times New Roman" w:hAnsi="Times New Roman" w:cs="Times New Roman"/>
                <w:b/>
                <w:noProof/>
                <w:sz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AFDB42" w14:textId="77777777" w:rsidR="003F46B9" w:rsidRDefault="003F46B9">
            <w:pPr>
              <w:spacing w:after="0" w:line="240" w:lineRule="auto"/>
              <w:rPr>
                <w:rFonts w:ascii="Times New Roman" w:eastAsia="Times New Roman" w:hAnsi="Times New Roman" w:cs="Times New Roman"/>
                <w:b/>
                <w:noProof/>
                <w:sz w:val="24"/>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457B27F3" w14:textId="77777777" w:rsidR="003F46B9" w:rsidRDefault="003F46B9">
            <w:pPr>
              <w:spacing w:after="0" w:line="240" w:lineRule="auto"/>
              <w:rPr>
                <w:rFonts w:ascii="Times New Roman" w:eastAsia="Times New Roman" w:hAnsi="Times New Roman" w:cs="Times New Roman"/>
                <w:b/>
                <w:noProof/>
                <w:sz w:val="24"/>
              </w:rPr>
            </w:pPr>
          </w:p>
        </w:tc>
        <w:tc>
          <w:tcPr>
            <w:tcW w:w="1332" w:type="dxa"/>
            <w:tcBorders>
              <w:top w:val="nil"/>
              <w:left w:val="single" w:sz="4" w:space="0" w:color="auto"/>
              <w:bottom w:val="single" w:sz="4" w:space="0" w:color="auto"/>
              <w:right w:val="single" w:sz="4" w:space="0" w:color="auto"/>
            </w:tcBorders>
            <w:shd w:val="clear" w:color="auto" w:fill="BDD7EE"/>
            <w:vAlign w:val="center"/>
            <w:hideMark/>
          </w:tcPr>
          <w:p w14:paraId="20B87F3A"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134" w:type="dxa"/>
            <w:tcBorders>
              <w:top w:val="nil"/>
              <w:left w:val="nil"/>
              <w:bottom w:val="single" w:sz="4" w:space="0" w:color="auto"/>
              <w:right w:val="single" w:sz="4" w:space="0" w:color="auto"/>
            </w:tcBorders>
            <w:shd w:val="clear" w:color="auto" w:fill="BDD7EE"/>
            <w:vAlign w:val="center"/>
            <w:hideMark/>
          </w:tcPr>
          <w:p w14:paraId="60F5A7C3" w14:textId="77777777"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714" w:type="dxa"/>
            <w:tcBorders>
              <w:top w:val="nil"/>
              <w:left w:val="nil"/>
              <w:bottom w:val="single" w:sz="4" w:space="0" w:color="auto"/>
              <w:right w:val="single" w:sz="4" w:space="0" w:color="auto"/>
            </w:tcBorders>
            <w:shd w:val="clear" w:color="auto" w:fill="BDD7EE"/>
            <w:vAlign w:val="center"/>
            <w:hideMark/>
          </w:tcPr>
          <w:p w14:paraId="4B31DFEC"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34" w:type="dxa"/>
            <w:tcBorders>
              <w:top w:val="nil"/>
              <w:left w:val="nil"/>
              <w:bottom w:val="single" w:sz="4" w:space="0" w:color="auto"/>
              <w:right w:val="single" w:sz="4" w:space="0" w:color="auto"/>
            </w:tcBorders>
            <w:shd w:val="clear" w:color="auto" w:fill="BDD7EE"/>
            <w:vAlign w:val="center"/>
            <w:hideMark/>
          </w:tcPr>
          <w:p w14:paraId="536832C8"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BDD7EE"/>
            <w:vAlign w:val="center"/>
            <w:hideMark/>
          </w:tcPr>
          <w:p w14:paraId="5F70F886"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159" w:type="dxa"/>
            <w:vMerge/>
            <w:tcBorders>
              <w:top w:val="single" w:sz="4" w:space="0" w:color="auto"/>
              <w:bottom w:val="single" w:sz="4" w:space="0" w:color="auto"/>
              <w:right w:val="single" w:sz="4" w:space="0" w:color="auto"/>
            </w:tcBorders>
            <w:vAlign w:val="center"/>
            <w:hideMark/>
          </w:tcPr>
          <w:p w14:paraId="0BFB0CAB" w14:textId="77777777" w:rsidR="003F46B9" w:rsidRDefault="003F46B9">
            <w:pPr>
              <w:spacing w:after="0" w:line="240" w:lineRule="auto"/>
              <w:rPr>
                <w:rFonts w:ascii="Times New Roman" w:eastAsia="Times New Roman" w:hAnsi="Times New Roman" w:cs="Times New Roman"/>
                <w:b/>
                <w:noProof/>
                <w:sz w:val="24"/>
              </w:rPr>
            </w:pPr>
          </w:p>
        </w:tc>
      </w:tr>
      <w:tr w:rsidR="003F46B9" w14:paraId="31F854DE"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hideMark/>
          </w:tcPr>
          <w:p w14:paraId="5A85C755" w14:textId="77777777" w:rsidR="003F46B9" w:rsidRDefault="0065662E">
            <w:pPr>
              <w:pStyle w:val="P68B1DB1-Normal5"/>
              <w:spacing w:after="0" w:line="240" w:lineRule="auto"/>
              <w:jc w:val="center"/>
              <w:rPr>
                <w:rFonts w:eastAsia="Times New Roman" w:cs="Times New Roman"/>
                <w:noProof/>
              </w:rPr>
            </w:pPr>
            <w:r>
              <w:rPr>
                <w:noProof/>
              </w:rPr>
              <w:t>307</w:t>
            </w:r>
          </w:p>
        </w:tc>
        <w:tc>
          <w:tcPr>
            <w:tcW w:w="1985" w:type="dxa"/>
            <w:tcBorders>
              <w:top w:val="single" w:sz="4" w:space="0" w:color="auto"/>
              <w:left w:val="nil"/>
              <w:bottom w:val="single" w:sz="4" w:space="0" w:color="auto"/>
              <w:right w:val="single" w:sz="4" w:space="0" w:color="auto"/>
            </w:tcBorders>
            <w:shd w:val="clear" w:color="auto" w:fill="C6EFCE"/>
            <w:noWrap/>
          </w:tcPr>
          <w:p w14:paraId="593CF4D3" w14:textId="0FA061E5" w:rsidR="003F46B9" w:rsidRDefault="0065662E">
            <w:pPr>
              <w:pStyle w:val="P68B1DB1-Normal5"/>
              <w:spacing w:after="0" w:line="240" w:lineRule="auto"/>
              <w:jc w:val="both"/>
              <w:rPr>
                <w:rFonts w:eastAsia="Times New Roman" w:cs="Times New Roman"/>
                <w:noProof/>
              </w:rPr>
            </w:pPr>
            <w:r>
              <w:rPr>
                <w:noProof/>
              </w:rPr>
              <w:t xml:space="preserve">Reforma 2. Stvaranje političkog okvira za održivu urbanu transformaciju – urbana politika Rumunjske </w:t>
            </w:r>
          </w:p>
        </w:tc>
        <w:tc>
          <w:tcPr>
            <w:tcW w:w="1276" w:type="dxa"/>
            <w:tcBorders>
              <w:top w:val="single" w:sz="4" w:space="0" w:color="auto"/>
              <w:left w:val="nil"/>
              <w:bottom w:val="single" w:sz="4" w:space="0" w:color="auto"/>
              <w:right w:val="single" w:sz="4" w:space="0" w:color="auto"/>
            </w:tcBorders>
            <w:shd w:val="clear" w:color="auto" w:fill="C6EFCE"/>
            <w:noWrap/>
            <w:hideMark/>
          </w:tcPr>
          <w:p w14:paraId="1289208A"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417" w:type="dxa"/>
            <w:tcBorders>
              <w:top w:val="single" w:sz="4" w:space="0" w:color="auto"/>
              <w:left w:val="nil"/>
              <w:bottom w:val="single" w:sz="4" w:space="0" w:color="auto"/>
              <w:right w:val="single" w:sz="4" w:space="0" w:color="auto"/>
            </w:tcBorders>
            <w:shd w:val="clear" w:color="auto" w:fill="C6EFCE"/>
            <w:noWrap/>
          </w:tcPr>
          <w:p w14:paraId="31B21876" w14:textId="77777777" w:rsidR="003F46B9" w:rsidRDefault="0065662E">
            <w:pPr>
              <w:pStyle w:val="P68B1DB1-Normal5"/>
              <w:spacing w:after="0" w:line="240" w:lineRule="auto"/>
              <w:jc w:val="both"/>
              <w:rPr>
                <w:rFonts w:eastAsia="Times New Roman" w:cs="Times New Roman"/>
                <w:noProof/>
              </w:rPr>
            </w:pPr>
            <w:r>
              <w:rPr>
                <w:noProof/>
              </w:rPr>
              <w:t>Stupanje na snagu Zakona o metropolskim područjima</w:t>
            </w:r>
          </w:p>
        </w:tc>
        <w:tc>
          <w:tcPr>
            <w:tcW w:w="1498" w:type="dxa"/>
            <w:tcBorders>
              <w:top w:val="single" w:sz="4" w:space="0" w:color="auto"/>
              <w:left w:val="nil"/>
              <w:bottom w:val="single" w:sz="4" w:space="0" w:color="auto"/>
              <w:right w:val="single" w:sz="4" w:space="0" w:color="auto"/>
            </w:tcBorders>
            <w:shd w:val="clear" w:color="auto" w:fill="C6EFCE"/>
            <w:noWrap/>
            <w:hideMark/>
          </w:tcPr>
          <w:p w14:paraId="186147E7"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metropolskim područjima</w:t>
            </w:r>
          </w:p>
        </w:tc>
        <w:tc>
          <w:tcPr>
            <w:tcW w:w="1332" w:type="dxa"/>
            <w:tcBorders>
              <w:top w:val="nil"/>
              <w:left w:val="nil"/>
              <w:bottom w:val="single" w:sz="4" w:space="0" w:color="auto"/>
              <w:right w:val="single" w:sz="4" w:space="0" w:color="auto"/>
            </w:tcBorders>
            <w:shd w:val="clear" w:color="auto" w:fill="C6EFCE"/>
            <w:noWrap/>
            <w:hideMark/>
          </w:tcPr>
          <w:p w14:paraId="67102502"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7168B17D" w14:textId="77777777" w:rsidR="003F46B9" w:rsidRDefault="003F46B9">
            <w:pPr>
              <w:spacing w:after="0" w:line="240" w:lineRule="auto"/>
              <w:jc w:val="both"/>
              <w:rPr>
                <w:rFonts w:ascii="Times New Roman" w:eastAsia="Times New Roman" w:hAnsi="Times New Roman" w:cs="Times New Roman"/>
                <w:noProof/>
                <w:sz w:val="24"/>
              </w:rPr>
            </w:pPr>
          </w:p>
        </w:tc>
        <w:tc>
          <w:tcPr>
            <w:tcW w:w="714" w:type="dxa"/>
            <w:tcBorders>
              <w:top w:val="nil"/>
              <w:left w:val="nil"/>
              <w:bottom w:val="single" w:sz="4" w:space="0" w:color="auto"/>
              <w:right w:val="single" w:sz="4" w:space="0" w:color="auto"/>
            </w:tcBorders>
            <w:shd w:val="clear" w:color="auto" w:fill="C6EFCE"/>
            <w:noWrap/>
          </w:tcPr>
          <w:p w14:paraId="586DFA9A"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E33B8E5"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hideMark/>
          </w:tcPr>
          <w:p w14:paraId="7148DF96" w14:textId="77777777" w:rsidR="003F46B9" w:rsidRDefault="0065662E">
            <w:pPr>
              <w:pStyle w:val="P68B1DB1-Normal5"/>
              <w:spacing w:after="0" w:line="240" w:lineRule="auto"/>
              <w:jc w:val="both"/>
              <w:rPr>
                <w:rFonts w:eastAsia="Times New Roman" w:cs="Times New Roman"/>
                <w:noProof/>
              </w:rPr>
            </w:pPr>
            <w:r>
              <w:rPr>
                <w:noProof/>
              </w:rPr>
              <w:t>2022</w:t>
            </w:r>
          </w:p>
        </w:tc>
        <w:tc>
          <w:tcPr>
            <w:tcW w:w="3159" w:type="dxa"/>
            <w:tcBorders>
              <w:top w:val="single" w:sz="4" w:space="0" w:color="auto"/>
              <w:left w:val="nil"/>
              <w:bottom w:val="single" w:sz="4" w:space="0" w:color="auto"/>
              <w:right w:val="single" w:sz="4" w:space="0" w:color="auto"/>
            </w:tcBorders>
            <w:shd w:val="clear" w:color="auto" w:fill="C6EFCE"/>
            <w:noWrap/>
            <w:hideMark/>
          </w:tcPr>
          <w:p w14:paraId="13B678C1" w14:textId="77777777" w:rsidR="003F46B9" w:rsidRDefault="0065662E">
            <w:pPr>
              <w:pStyle w:val="P68B1DB1-Normal5"/>
              <w:spacing w:after="0" w:line="240" w:lineRule="auto"/>
              <w:jc w:val="both"/>
              <w:rPr>
                <w:rFonts w:cs="Times New Roman"/>
                <w:noProof/>
              </w:rPr>
            </w:pPr>
            <w:r>
              <w:rPr>
                <w:noProof/>
              </w:rPr>
              <w:t>Za</w:t>
            </w:r>
            <w:r>
              <w:rPr>
                <w:noProof/>
              </w:rPr>
              <w:t>kon o metropolskim područjima:</w:t>
            </w:r>
          </w:p>
          <w:p w14:paraId="5A432FF2"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definirati kriterije za razgraničenje metropolskih područja i njihovih političkih nadležnosti, a to su: mobilnost, prostorno planiranje, urbani razvoj, stanovanje i druge javne usluge pružene na lokalnoj razini kojima se, međ</w:t>
            </w:r>
            <w:r>
              <w:rPr>
                <w:noProof/>
              </w:rPr>
              <w:t xml:space="preserve">u ostalim, rješavaju problemi marginalnih/perifernih zajednica, uključujući neformalna naselja; </w:t>
            </w:r>
          </w:p>
          <w:p w14:paraId="5E933AB8"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uspostavlja koordinacijsko tijelo na razini metropolskog područja radi usmjeravanja i nadzora provedbe politika i ulaganja u upravne teritorijalne jedinice koj</w:t>
            </w:r>
            <w:r>
              <w:rPr>
                <w:noProof/>
              </w:rPr>
              <w:t xml:space="preserve">e pripadaju velegradskom području s ciljem poboljšanja povezanosti, prostornog planiranja, razvoja zelene infrastrukture i pristupa zapošljavanju, zdravstvenim uslugama i obrazovanju, među ostalim za osobe u zapostavljenim područjima/periferijama, te kako </w:t>
            </w:r>
            <w:r>
              <w:rPr>
                <w:noProof/>
              </w:rPr>
              <w:t xml:space="preserve">bi se osigurale veće gospodarske mogućnosti za naselja u prigradskom području oko urbane jezgre, </w:t>
            </w:r>
          </w:p>
          <w:p w14:paraId="51407C96" w14:textId="77777777" w:rsidR="003F46B9" w:rsidRDefault="0065662E">
            <w:pPr>
              <w:pStyle w:val="P68B1DB1-Normal5"/>
              <w:numPr>
                <w:ilvl w:val="0"/>
                <w:numId w:val="83"/>
              </w:numPr>
              <w:spacing w:before="120"/>
              <w:ind w:left="175" w:hanging="217"/>
              <w:contextualSpacing/>
              <w:jc w:val="both"/>
              <w:rPr>
                <w:rFonts w:eastAsia="Times New Roman" w:cs="Times New Roman"/>
                <w:noProof/>
              </w:rPr>
            </w:pPr>
            <w:r>
              <w:rPr>
                <w:noProof/>
              </w:rPr>
              <w:t>osigurati transparentan i predvidljiv okvir (uključujući kriterije, metodologiju) za izradu proračuna svakog velegradskog područja, koji se temelji na doprinosima upravnih jedinica koje čine funkcionalno urbano područje i, prema potrebi, iz prijenosa sreds</w:t>
            </w:r>
            <w:r>
              <w:rPr>
                <w:noProof/>
              </w:rPr>
              <w:t>tava središnje vlasti iz nacionalnih razvojnih programa, koji se svake godine financiraju iz državnog proračuna, na temelju kriterija uspješnosti povezanih s ciljevima politike koji se nastoje ostvariti na razini svakog metropolskog područja, omogućuje zaj</w:t>
            </w:r>
            <w:r>
              <w:rPr>
                <w:noProof/>
              </w:rPr>
              <w:t>ednička nabava robe i usluga na razini funkcionalnog područja</w:t>
            </w:r>
          </w:p>
        </w:tc>
      </w:tr>
      <w:tr w:rsidR="003F46B9" w14:paraId="641ADBD9"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1EDCA257" w14:textId="77777777" w:rsidR="003F46B9" w:rsidRDefault="0065662E">
            <w:pPr>
              <w:pStyle w:val="P68B1DB1-Normal5"/>
              <w:spacing w:after="0" w:line="240" w:lineRule="auto"/>
              <w:jc w:val="center"/>
              <w:rPr>
                <w:rFonts w:eastAsia="Times New Roman" w:cs="Times New Roman"/>
                <w:noProof/>
              </w:rPr>
            </w:pPr>
            <w:r>
              <w:rPr>
                <w:noProof/>
              </w:rPr>
              <w:t>308</w:t>
            </w:r>
          </w:p>
        </w:tc>
        <w:tc>
          <w:tcPr>
            <w:tcW w:w="1985" w:type="dxa"/>
            <w:tcBorders>
              <w:top w:val="nil"/>
              <w:left w:val="nil"/>
              <w:bottom w:val="single" w:sz="4" w:space="0" w:color="auto"/>
              <w:right w:val="single" w:sz="4" w:space="0" w:color="auto"/>
            </w:tcBorders>
            <w:shd w:val="clear" w:color="auto" w:fill="C6EFCE"/>
            <w:noWrap/>
          </w:tcPr>
          <w:p w14:paraId="114CA758" w14:textId="77777777" w:rsidR="003F46B9" w:rsidRDefault="0065662E">
            <w:pPr>
              <w:pStyle w:val="P68B1DB1-Normal5"/>
              <w:spacing w:after="0" w:line="240" w:lineRule="auto"/>
              <w:jc w:val="both"/>
              <w:rPr>
                <w:rFonts w:eastAsia="Times New Roman" w:cs="Times New Roman"/>
                <w:noProof/>
              </w:rPr>
            </w:pPr>
            <w:r>
              <w:rPr>
                <w:noProof/>
              </w:rPr>
              <w:t xml:space="preserve">Reforma 2. Stvaranje političkog okvira za održivu preobrazbu gradova </w:t>
            </w:r>
          </w:p>
        </w:tc>
        <w:tc>
          <w:tcPr>
            <w:tcW w:w="1276" w:type="dxa"/>
            <w:tcBorders>
              <w:top w:val="nil"/>
              <w:left w:val="nil"/>
              <w:bottom w:val="single" w:sz="4" w:space="0" w:color="auto"/>
              <w:right w:val="single" w:sz="4" w:space="0" w:color="auto"/>
            </w:tcBorders>
            <w:shd w:val="clear" w:color="auto" w:fill="C6EFCE"/>
            <w:noWrap/>
            <w:hideMark/>
          </w:tcPr>
          <w:p w14:paraId="44BC963D"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417" w:type="dxa"/>
            <w:tcBorders>
              <w:top w:val="nil"/>
              <w:left w:val="nil"/>
              <w:bottom w:val="single" w:sz="4" w:space="0" w:color="auto"/>
              <w:right w:val="single" w:sz="4" w:space="0" w:color="auto"/>
            </w:tcBorders>
            <w:shd w:val="clear" w:color="auto" w:fill="C6EFCE"/>
            <w:noWrap/>
          </w:tcPr>
          <w:p w14:paraId="11DC6FA4" w14:textId="77777777" w:rsidR="003F46B9" w:rsidRDefault="0065662E">
            <w:pPr>
              <w:pStyle w:val="P68B1DB1-Normal5"/>
              <w:spacing w:after="0" w:line="240" w:lineRule="auto"/>
              <w:jc w:val="both"/>
              <w:rPr>
                <w:rFonts w:eastAsia="Times New Roman" w:cs="Times New Roman"/>
                <w:noProof/>
              </w:rPr>
            </w:pPr>
            <w:r>
              <w:rPr>
                <w:noProof/>
              </w:rPr>
              <w:t>Stupanje na snagu Odluke Vlade o uspostavi okvira za urbanu politiku Rumunjske</w:t>
            </w:r>
          </w:p>
        </w:tc>
        <w:tc>
          <w:tcPr>
            <w:tcW w:w="1498" w:type="dxa"/>
            <w:tcBorders>
              <w:top w:val="nil"/>
              <w:left w:val="nil"/>
              <w:bottom w:val="single" w:sz="4" w:space="0" w:color="auto"/>
              <w:right w:val="single" w:sz="4" w:space="0" w:color="auto"/>
            </w:tcBorders>
            <w:shd w:val="clear" w:color="auto" w:fill="C6EFCE"/>
            <w:noWrap/>
            <w:hideMark/>
          </w:tcPr>
          <w:p w14:paraId="50B39303" w14:textId="77777777" w:rsidR="003F46B9" w:rsidRDefault="0065662E">
            <w:pPr>
              <w:pStyle w:val="P68B1DB1-Normal5"/>
              <w:spacing w:after="0" w:line="240" w:lineRule="auto"/>
              <w:jc w:val="both"/>
              <w:rPr>
                <w:rFonts w:eastAsia="Times New Roman" w:cs="Times New Roman"/>
                <w:noProof/>
              </w:rPr>
            </w:pPr>
            <w:r>
              <w:rPr>
                <w:noProof/>
              </w:rPr>
              <w:t xml:space="preserve">Odredba Odluke Vlade o stupanju na snagu okvira za urbanu politiku Rumunjske </w:t>
            </w:r>
          </w:p>
        </w:tc>
        <w:tc>
          <w:tcPr>
            <w:tcW w:w="1332" w:type="dxa"/>
            <w:tcBorders>
              <w:top w:val="nil"/>
              <w:left w:val="nil"/>
              <w:bottom w:val="single" w:sz="4" w:space="0" w:color="auto"/>
              <w:right w:val="single" w:sz="4" w:space="0" w:color="auto"/>
            </w:tcBorders>
            <w:shd w:val="clear" w:color="auto" w:fill="C6EFCE"/>
            <w:noWrap/>
            <w:hideMark/>
          </w:tcPr>
          <w:p w14:paraId="141BA8EB"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042BF626"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258EBAD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hideMark/>
          </w:tcPr>
          <w:p w14:paraId="6FA1A170"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26BB4AC3" w14:textId="77777777" w:rsidR="003F46B9" w:rsidRDefault="0065662E">
            <w:pPr>
              <w:pStyle w:val="P68B1DB1-Normal5"/>
              <w:spacing w:after="0" w:line="240" w:lineRule="auto"/>
              <w:jc w:val="both"/>
              <w:rPr>
                <w:rFonts w:eastAsia="Times New Roman"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hideMark/>
          </w:tcPr>
          <w:p w14:paraId="7A2FE517" w14:textId="77777777" w:rsidR="003F46B9" w:rsidRDefault="0065662E">
            <w:pPr>
              <w:pStyle w:val="P68B1DB1-Normal5"/>
              <w:spacing w:after="0" w:line="240" w:lineRule="auto"/>
              <w:jc w:val="both"/>
              <w:rPr>
                <w:rFonts w:cs="Times New Roman"/>
                <w:noProof/>
              </w:rPr>
            </w:pPr>
            <w:r>
              <w:rPr>
                <w:noProof/>
              </w:rPr>
              <w:t xml:space="preserve">Odlukom Vlade: </w:t>
            </w:r>
          </w:p>
          <w:p w14:paraId="1A74A3C9"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definirati uloge i odgovornosti javnih tijela na nacionalnoj i lokalnoj razini za provedbu rumunjske urbane politike</w:t>
            </w:r>
          </w:p>
          <w:p w14:paraId="07BC1663" w14:textId="01A6CB6F"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uključivanje n</w:t>
            </w:r>
            <w:r>
              <w:rPr>
                <w:noProof/>
              </w:rPr>
              <w:t xml:space="preserve">ačela održivog razvoja, među ostalim provedbom prirodnih rješenja, u dokumente urbanističkog planiranja </w:t>
            </w:r>
          </w:p>
          <w:p w14:paraId="55B38890"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operacionalizacija ključnih pokazatelja uspješnosti koji proizlaze iz prioritetnih ciljeva rumunjske urbane politike (tj. poboljšana mobilnost, poboljš</w:t>
            </w:r>
            <w:r>
              <w:rPr>
                <w:noProof/>
              </w:rPr>
              <w:t>ano prostorno planiranje, bolji uvjeti stanovanja, lokalne javne usluge za marginalizirane/periferne zajednice i pristup javnom prijevozu)</w:t>
            </w:r>
          </w:p>
          <w:p w14:paraId="638AE9C8"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uspostaviti stabilan i predvidljiv mehanizam financiranja za provedbu urbane politike</w:t>
            </w:r>
          </w:p>
          <w:p w14:paraId="633785F4"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poticati lokalnu suradnju potic</w:t>
            </w:r>
            <w:r>
              <w:rPr>
                <w:noProof/>
              </w:rPr>
              <w:t>anjem projekata održivog urbanog razvoja predloženih na razini funkcionalnih urbanih područja i usklađenih s održivim integriranim planovima urbanog razvoja.</w:t>
            </w:r>
          </w:p>
        </w:tc>
      </w:tr>
      <w:tr w:rsidR="003F46B9" w14:paraId="6764FB4E"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7570F77C" w14:textId="77777777" w:rsidR="003F46B9" w:rsidRDefault="0065662E">
            <w:pPr>
              <w:pStyle w:val="P68B1DB1-Normal5"/>
              <w:spacing w:after="0" w:line="240" w:lineRule="auto"/>
              <w:jc w:val="center"/>
              <w:rPr>
                <w:rFonts w:eastAsia="Times New Roman" w:cs="Times New Roman"/>
                <w:noProof/>
              </w:rPr>
            </w:pPr>
            <w:r>
              <w:rPr>
                <w:noProof/>
              </w:rPr>
              <w:t>309</w:t>
            </w:r>
          </w:p>
        </w:tc>
        <w:tc>
          <w:tcPr>
            <w:tcW w:w="1985" w:type="dxa"/>
            <w:tcBorders>
              <w:top w:val="nil"/>
              <w:left w:val="nil"/>
              <w:bottom w:val="single" w:sz="4" w:space="0" w:color="auto"/>
              <w:right w:val="single" w:sz="4" w:space="0" w:color="auto"/>
            </w:tcBorders>
            <w:shd w:val="clear" w:color="auto" w:fill="C6EFCE"/>
            <w:noWrap/>
            <w:hideMark/>
          </w:tcPr>
          <w:p w14:paraId="09D34038" w14:textId="77777777" w:rsidR="003F46B9" w:rsidRDefault="0065662E">
            <w:pPr>
              <w:pStyle w:val="P68B1DB1-Normal5"/>
              <w:spacing w:after="0" w:line="240" w:lineRule="auto"/>
              <w:jc w:val="both"/>
              <w:rPr>
                <w:rFonts w:eastAsia="Times New Roman" w:cs="Times New Roman"/>
                <w:noProof/>
              </w:rPr>
            </w:pPr>
            <w:r>
              <w:rPr>
                <w:noProof/>
              </w:rPr>
              <w:t xml:space="preserve">Reforma 2. Stvaranje političkog okvira za održivu preobrazbu gradova </w:t>
            </w:r>
          </w:p>
        </w:tc>
        <w:tc>
          <w:tcPr>
            <w:tcW w:w="1276" w:type="dxa"/>
            <w:tcBorders>
              <w:top w:val="nil"/>
              <w:left w:val="nil"/>
              <w:bottom w:val="single" w:sz="4" w:space="0" w:color="auto"/>
              <w:right w:val="single" w:sz="4" w:space="0" w:color="auto"/>
            </w:tcBorders>
            <w:shd w:val="clear" w:color="auto" w:fill="C6EFCE"/>
            <w:noWrap/>
            <w:hideMark/>
          </w:tcPr>
          <w:p w14:paraId="085354AD" w14:textId="77777777" w:rsidR="003F46B9" w:rsidRDefault="0065662E">
            <w:pPr>
              <w:pStyle w:val="P68B1DB1-Normal5"/>
              <w:spacing w:after="0" w:line="240" w:lineRule="auto"/>
              <w:jc w:val="both"/>
              <w:rPr>
                <w:rFonts w:eastAsia="Times New Roman" w:cs="Times New Roman"/>
                <w:noProof/>
              </w:rPr>
            </w:pPr>
            <w:r>
              <w:rPr>
                <w:noProof/>
              </w:rPr>
              <w:t>Ciljna</w:t>
            </w:r>
          </w:p>
        </w:tc>
        <w:tc>
          <w:tcPr>
            <w:tcW w:w="1417" w:type="dxa"/>
            <w:tcBorders>
              <w:top w:val="nil"/>
              <w:left w:val="nil"/>
              <w:bottom w:val="single" w:sz="4" w:space="0" w:color="auto"/>
              <w:right w:val="single" w:sz="4" w:space="0" w:color="auto"/>
            </w:tcBorders>
            <w:shd w:val="clear" w:color="auto" w:fill="C6EFCE"/>
            <w:noWrap/>
            <w:hideMark/>
          </w:tcPr>
          <w:p w14:paraId="7FE42A64" w14:textId="77777777" w:rsidR="003F46B9" w:rsidRDefault="0065662E">
            <w:pPr>
              <w:pStyle w:val="P68B1DB1-Normal5"/>
              <w:spacing w:after="0" w:line="240" w:lineRule="auto"/>
              <w:jc w:val="both"/>
              <w:rPr>
                <w:rFonts w:eastAsia="Times New Roman" w:cs="Times New Roman"/>
                <w:noProof/>
              </w:rPr>
            </w:pPr>
            <w:r>
              <w:rPr>
                <w:noProof/>
              </w:rPr>
              <w:t xml:space="preserve">Povećanje </w:t>
            </w:r>
            <w:r>
              <w:rPr>
                <w:noProof/>
              </w:rPr>
              <w:t>kvalitete života u urbanim područjima</w:t>
            </w:r>
          </w:p>
        </w:tc>
        <w:tc>
          <w:tcPr>
            <w:tcW w:w="1498" w:type="dxa"/>
            <w:tcBorders>
              <w:top w:val="nil"/>
              <w:left w:val="nil"/>
              <w:bottom w:val="single" w:sz="4" w:space="0" w:color="auto"/>
              <w:right w:val="single" w:sz="4" w:space="0" w:color="auto"/>
            </w:tcBorders>
            <w:shd w:val="clear" w:color="auto" w:fill="C6EFCE"/>
            <w:noWrap/>
            <w:hideMark/>
          </w:tcPr>
          <w:p w14:paraId="6F3B2B59"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hideMark/>
          </w:tcPr>
          <w:p w14:paraId="4BFADA43" w14:textId="77777777" w:rsidR="003F46B9" w:rsidRDefault="0065662E">
            <w:pPr>
              <w:pStyle w:val="P68B1DB1-Normal5"/>
              <w:spacing w:after="0" w:line="240" w:lineRule="auto"/>
              <w:rPr>
                <w:rFonts w:eastAsia="Times New Roman" w:cs="Times New Roman"/>
                <w:noProof/>
              </w:rPr>
            </w:pPr>
            <w:r>
              <w:rPr>
                <w:noProof/>
              </w:rPr>
              <w:t>Postotak (%)</w:t>
            </w:r>
          </w:p>
          <w:p w14:paraId="71940997"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5740CA1C" w14:textId="77777777" w:rsidR="003F46B9" w:rsidRDefault="0065662E">
            <w:pPr>
              <w:pStyle w:val="P68B1DB1-Normal5"/>
              <w:spacing w:after="0" w:line="240" w:lineRule="auto"/>
              <w:jc w:val="both"/>
              <w:rPr>
                <w:rFonts w:eastAsia="Times New Roman" w:cs="Times New Roman"/>
                <w:noProof/>
              </w:rPr>
            </w:pPr>
            <w:r>
              <w:rPr>
                <w:noProof/>
              </w:rPr>
              <w:t>30,7 %</w:t>
            </w:r>
          </w:p>
        </w:tc>
        <w:tc>
          <w:tcPr>
            <w:tcW w:w="714" w:type="dxa"/>
            <w:tcBorders>
              <w:top w:val="nil"/>
              <w:left w:val="nil"/>
              <w:bottom w:val="single" w:sz="4" w:space="0" w:color="auto"/>
              <w:right w:val="single" w:sz="4" w:space="0" w:color="auto"/>
            </w:tcBorders>
            <w:shd w:val="clear" w:color="auto" w:fill="C6EFCE"/>
            <w:noWrap/>
            <w:hideMark/>
          </w:tcPr>
          <w:p w14:paraId="6B966F82" w14:textId="77777777" w:rsidR="003F46B9" w:rsidRDefault="0065662E">
            <w:pPr>
              <w:pStyle w:val="P68B1DB1-Normal5"/>
              <w:spacing w:after="0" w:line="240" w:lineRule="auto"/>
              <w:jc w:val="both"/>
              <w:rPr>
                <w:rFonts w:eastAsia="Times New Roman" w:cs="Times New Roman"/>
                <w:noProof/>
              </w:rPr>
            </w:pPr>
            <w:r>
              <w:rPr>
                <w:noProof/>
              </w:rPr>
              <w:t>40 %</w:t>
            </w:r>
          </w:p>
        </w:tc>
        <w:tc>
          <w:tcPr>
            <w:tcW w:w="1134" w:type="dxa"/>
            <w:tcBorders>
              <w:top w:val="nil"/>
              <w:left w:val="nil"/>
              <w:bottom w:val="single" w:sz="4" w:space="0" w:color="auto"/>
              <w:right w:val="single" w:sz="4" w:space="0" w:color="auto"/>
            </w:tcBorders>
            <w:shd w:val="clear" w:color="auto" w:fill="C6EFCE"/>
            <w:noWrap/>
            <w:hideMark/>
          </w:tcPr>
          <w:p w14:paraId="0540B82E" w14:textId="77777777" w:rsidR="003F46B9" w:rsidRDefault="0065662E">
            <w:pPr>
              <w:pStyle w:val="P68B1DB1-Normal5"/>
              <w:spacing w:after="0" w:line="240" w:lineRule="auto"/>
              <w:jc w:val="both"/>
              <w:rPr>
                <w:rFonts w:eastAsia="Times New Roman" w:cs="Times New Roman"/>
                <w:noProof/>
              </w:rPr>
            </w:pPr>
            <w:r>
              <w:rPr>
                <w:noProof/>
              </w:rPr>
              <w:t xml:space="preserve">TROMJESEČJE </w:t>
            </w:r>
          </w:p>
        </w:tc>
        <w:tc>
          <w:tcPr>
            <w:tcW w:w="850" w:type="dxa"/>
            <w:tcBorders>
              <w:top w:val="nil"/>
              <w:left w:val="nil"/>
              <w:bottom w:val="single" w:sz="4" w:space="0" w:color="auto"/>
              <w:right w:val="single" w:sz="4" w:space="0" w:color="auto"/>
            </w:tcBorders>
            <w:shd w:val="clear" w:color="auto" w:fill="C6EFCE"/>
            <w:noWrap/>
            <w:hideMark/>
          </w:tcPr>
          <w:p w14:paraId="1EE66A32" w14:textId="77777777" w:rsidR="003F46B9" w:rsidRDefault="0065662E">
            <w:pPr>
              <w:pStyle w:val="P68B1DB1-Normal5"/>
              <w:spacing w:after="0" w:line="240" w:lineRule="auto"/>
              <w:jc w:val="both"/>
              <w:rPr>
                <w:rFonts w:eastAsia="Times New Roman"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hideMark/>
          </w:tcPr>
          <w:p w14:paraId="0884BD76" w14:textId="77777777" w:rsidR="003F46B9" w:rsidRDefault="0065662E">
            <w:pPr>
              <w:pStyle w:val="P68B1DB1-Normal5"/>
              <w:spacing w:after="0" w:line="240" w:lineRule="auto"/>
              <w:jc w:val="both"/>
              <w:rPr>
                <w:rFonts w:cs="Times New Roman"/>
                <w:noProof/>
              </w:rPr>
            </w:pPr>
            <w:r>
              <w:rPr>
                <w:noProof/>
              </w:rPr>
              <w:t xml:space="preserve">Cilj se odnosi na povećanu kvalitetu života u urbanim područjima s 10 postotnih bodova (tj. povećanje postotka osoba koje pozitivno </w:t>
            </w:r>
            <w:r>
              <w:rPr>
                <w:noProof/>
              </w:rPr>
              <w:t>odgovaraju na izjavu: „Zadovoljna sam živjeti u gradu: Total agreement"), od drugog tromjesečja 2020. (kao polazna vrijednost) do drugog tromjesečja 2026., mjereno metodologijom sličnom onoj koja se upotrebljava za istraživanje o kvaliteti života u europsk</w:t>
            </w:r>
            <w:r>
              <w:rPr>
                <w:noProof/>
              </w:rPr>
              <w:t xml:space="preserve">im gradovima. </w:t>
            </w:r>
            <w:hyperlink r:id="rId228"/>
            <w:r>
              <w:rPr>
                <w:noProof/>
              </w:rPr>
              <w:t xml:space="preserve"> Istraživanje se provodi preko vanjskog pružatelja usluga.</w:t>
            </w:r>
          </w:p>
        </w:tc>
      </w:tr>
      <w:tr w:rsidR="003F46B9" w14:paraId="6DA23880"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2809DC51" w14:textId="77777777" w:rsidR="003F46B9" w:rsidRDefault="0065662E">
            <w:pPr>
              <w:pStyle w:val="P68B1DB1-Normal5"/>
              <w:spacing w:after="0" w:line="240" w:lineRule="auto"/>
              <w:jc w:val="center"/>
              <w:rPr>
                <w:rFonts w:eastAsia="Times New Roman" w:cs="Times New Roman"/>
                <w:noProof/>
              </w:rPr>
            </w:pPr>
            <w:r>
              <w:rPr>
                <w:noProof/>
              </w:rPr>
              <w:t>310</w:t>
            </w:r>
          </w:p>
        </w:tc>
        <w:tc>
          <w:tcPr>
            <w:tcW w:w="1985" w:type="dxa"/>
            <w:tcBorders>
              <w:top w:val="nil"/>
              <w:left w:val="nil"/>
              <w:bottom w:val="single" w:sz="4" w:space="0" w:color="auto"/>
              <w:right w:val="single" w:sz="4" w:space="0" w:color="auto"/>
            </w:tcBorders>
            <w:shd w:val="clear" w:color="auto" w:fill="C6EFCE"/>
            <w:noWrap/>
            <w:hideMark/>
          </w:tcPr>
          <w:p w14:paraId="1D55E85E" w14:textId="35654137" w:rsidR="003F46B9" w:rsidRDefault="0065662E">
            <w:pPr>
              <w:pStyle w:val="P68B1DB1-Normal5"/>
              <w:spacing w:after="0" w:line="240" w:lineRule="auto"/>
              <w:jc w:val="both"/>
              <w:rPr>
                <w:rFonts w:eastAsia="Times New Roman" w:cs="Times New Roman"/>
                <w:noProof/>
              </w:rPr>
            </w:pPr>
            <w:r>
              <w:rPr>
                <w:noProof/>
              </w:rPr>
              <w:t xml:space="preserve">Reforma 3. Stvaranje političkog okvira za održivu preobrazbu ruralnih područja: uspostava administrativnih konzorcija u funkcionalnim ruralnim područjima </w:t>
            </w:r>
          </w:p>
        </w:tc>
        <w:tc>
          <w:tcPr>
            <w:tcW w:w="1276" w:type="dxa"/>
            <w:tcBorders>
              <w:top w:val="nil"/>
              <w:left w:val="nil"/>
              <w:bottom w:val="single" w:sz="4" w:space="0" w:color="auto"/>
              <w:right w:val="single" w:sz="4" w:space="0" w:color="auto"/>
            </w:tcBorders>
            <w:shd w:val="clear" w:color="auto" w:fill="C6EFCE"/>
            <w:noWrap/>
            <w:hideMark/>
          </w:tcPr>
          <w:p w14:paraId="03C028EE" w14:textId="77777777" w:rsidR="003F46B9" w:rsidRDefault="003F46B9">
            <w:pPr>
              <w:spacing w:after="0" w:line="240" w:lineRule="auto"/>
              <w:jc w:val="both"/>
              <w:rPr>
                <w:rFonts w:ascii="Times New Roman" w:eastAsia="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hideMark/>
          </w:tcPr>
          <w:p w14:paraId="7DEEF093" w14:textId="77777777" w:rsidR="003F46B9" w:rsidRDefault="0065662E">
            <w:pPr>
              <w:pStyle w:val="P68B1DB1-Normal5"/>
              <w:spacing w:after="0" w:line="240" w:lineRule="auto"/>
              <w:jc w:val="both"/>
              <w:rPr>
                <w:rFonts w:eastAsia="Times New Roman" w:cs="Times New Roman"/>
                <w:noProof/>
              </w:rPr>
            </w:pPr>
            <w:r>
              <w:rPr>
                <w:noProof/>
              </w:rPr>
              <w:t>Stupanje na snagu zakonodavnog akta o izmjeni Upravnog zakonika i osnivanju upravnih konzorcija u su</w:t>
            </w:r>
            <w:r>
              <w:rPr>
                <w:noProof/>
              </w:rPr>
              <w:t>sjednim ruralnim ili pretežno ruralnim upravnim teritorijalnim jedinicama koje postoje kao funkcionalna ruralna područja.</w:t>
            </w:r>
          </w:p>
        </w:tc>
        <w:tc>
          <w:tcPr>
            <w:tcW w:w="1498" w:type="dxa"/>
            <w:tcBorders>
              <w:top w:val="nil"/>
              <w:left w:val="nil"/>
              <w:bottom w:val="single" w:sz="4" w:space="0" w:color="auto"/>
              <w:right w:val="single" w:sz="4" w:space="0" w:color="auto"/>
            </w:tcBorders>
            <w:shd w:val="clear" w:color="auto" w:fill="C6EFCE"/>
            <w:noWrap/>
            <w:hideMark/>
          </w:tcPr>
          <w:p w14:paraId="5290277F"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w:t>
            </w:r>
          </w:p>
        </w:tc>
        <w:tc>
          <w:tcPr>
            <w:tcW w:w="1332" w:type="dxa"/>
            <w:tcBorders>
              <w:top w:val="nil"/>
              <w:left w:val="nil"/>
              <w:bottom w:val="single" w:sz="4" w:space="0" w:color="auto"/>
              <w:right w:val="single" w:sz="4" w:space="0" w:color="auto"/>
            </w:tcBorders>
            <w:shd w:val="clear" w:color="auto" w:fill="C6EFCE"/>
            <w:noWrap/>
            <w:hideMark/>
          </w:tcPr>
          <w:p w14:paraId="7F4802C8"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089FB616" w14:textId="77777777" w:rsidR="003F46B9" w:rsidRDefault="003F46B9">
            <w:pPr>
              <w:spacing w:after="0" w:line="240" w:lineRule="auto"/>
              <w:jc w:val="both"/>
              <w:rPr>
                <w:rFonts w:ascii="Times New Roman" w:eastAsia="Times New Roman" w:hAnsi="Times New Roman" w:cs="Times New Roman"/>
                <w:noProof/>
                <w:sz w:val="24"/>
              </w:rPr>
            </w:pPr>
          </w:p>
        </w:tc>
        <w:tc>
          <w:tcPr>
            <w:tcW w:w="714" w:type="dxa"/>
            <w:tcBorders>
              <w:top w:val="nil"/>
              <w:left w:val="nil"/>
              <w:bottom w:val="single" w:sz="4" w:space="0" w:color="auto"/>
              <w:right w:val="single" w:sz="4" w:space="0" w:color="auto"/>
            </w:tcBorders>
            <w:shd w:val="clear" w:color="auto" w:fill="C6EFCE"/>
            <w:noWrap/>
            <w:hideMark/>
          </w:tcPr>
          <w:p w14:paraId="72190E2E"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4641F0A6"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6AB9E68B" w14:textId="77777777" w:rsidR="003F46B9" w:rsidRDefault="0065662E">
            <w:pPr>
              <w:pStyle w:val="P68B1DB1-Normal5"/>
              <w:spacing w:after="0" w:line="240" w:lineRule="auto"/>
              <w:jc w:val="both"/>
              <w:rPr>
                <w:rFonts w:eastAsia="Times New Roman"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hideMark/>
          </w:tcPr>
          <w:p w14:paraId="78CE6551" w14:textId="77777777" w:rsidR="003F46B9" w:rsidRDefault="0065662E">
            <w:pPr>
              <w:pStyle w:val="P68B1DB1-Normal5"/>
              <w:spacing w:after="0" w:line="240" w:lineRule="auto"/>
              <w:jc w:val="both"/>
              <w:rPr>
                <w:rFonts w:cs="Times New Roman"/>
                <w:noProof/>
              </w:rPr>
            </w:pPr>
            <w:r>
              <w:rPr>
                <w:noProof/>
              </w:rPr>
              <w:t>Izmjenama Upravnog zakonika uspostavljaju se admini</w:t>
            </w:r>
            <w:r>
              <w:rPr>
                <w:noProof/>
              </w:rPr>
              <w:t xml:space="preserve">strativni konzorciji u funkcionalnim ruralnim područjima (kako je definirano u skladu s metodologijom stupnja urbanizacije (DEGURBA)) koji pokazuju određeni stupanj gospodarske i socijalne integracije i/ili se suočavaju sa sličnim izazovima i mogućnostima </w:t>
            </w:r>
            <w:r>
              <w:rPr>
                <w:noProof/>
              </w:rPr>
              <w:t>za njihov razvoj (npr. blizina zajedničkim prirodnim resursima, izloženost istim strukturnim šokovima).</w:t>
            </w:r>
          </w:p>
          <w:p w14:paraId="2111DA2D" w14:textId="77777777" w:rsidR="003F46B9" w:rsidRDefault="0065662E">
            <w:pPr>
              <w:pStyle w:val="P68B1DB1-Normal5"/>
              <w:pBdr>
                <w:top w:val="nil"/>
                <w:left w:val="nil"/>
                <w:bottom w:val="nil"/>
                <w:right w:val="nil"/>
                <w:between w:val="nil"/>
              </w:pBdr>
              <w:spacing w:after="0" w:line="240" w:lineRule="auto"/>
              <w:jc w:val="both"/>
              <w:rPr>
                <w:rFonts w:cs="Times New Roman"/>
                <w:noProof/>
              </w:rPr>
            </w:pPr>
            <w:r>
              <w:rPr>
                <w:noProof/>
              </w:rPr>
              <w:t>Zakonodavne izmjene:</w:t>
            </w:r>
          </w:p>
          <w:p w14:paraId="44EBACAA"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Definirati pravni režim i odgovornosti administrativnih konzorcija osnovanih na temelju pristupa funkcionalnog ruralnog područja u </w:t>
            </w:r>
            <w:r>
              <w:rPr>
                <w:noProof/>
              </w:rPr>
              <w:t>cilju poboljšanja učinkovitosti javnih socijalnih, obrazovnih i zdravstvenih usluga, kao i potpore samozaposlenim osobama u poljoprivredi (kao što su pristup tržištima i pojačana suradnja) te učinkovitosti provedbe ulaganja, što će dovesti do poboljšanja t</w:t>
            </w:r>
            <w:r>
              <w:rPr>
                <w:noProof/>
              </w:rPr>
              <w:t>eritorijalne kohezije, integracije ruralnih područja i održive kapitalizacije prirodne i kulturne baštine.</w:t>
            </w:r>
          </w:p>
          <w:p w14:paraId="204BD811"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Uspostavlja tijelo koje odgovara svakom administrativnom konzorciju koje obavlja aktivnosti specifične za više lokalnih tijela javne vlasti i doprino</w:t>
            </w:r>
            <w:r>
              <w:rPr>
                <w:noProof/>
              </w:rPr>
              <w:t>si provedbi strateških ciljeva uključenih javnih tijela. Tijelo upravlja sljedećim vrstama javnih usluga: prostorno i urbanističko planiranje; javna nabava ulaganja; upravljanje javnom i privatnom domenom; financijski i računovodstveni; pravni lijekovi; so</w:t>
            </w:r>
            <w:r>
              <w:rPr>
                <w:noProof/>
              </w:rPr>
              <w:t>cijalna pomoć; poljoprivredni registar; matični registar; katastar.</w:t>
            </w:r>
          </w:p>
          <w:p w14:paraId="18ACC3A5"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Osigurati transparentan i predvidljiv proračun koji se sastoji od doprinosa upravnih jedinica koje čine administrativne konzorcije i prijenosa iz središnje države na temelju transparentnih</w:t>
            </w:r>
            <w:r>
              <w:rPr>
                <w:noProof/>
              </w:rPr>
              <w:t xml:space="preserve"> kriterija uspješnosti povezanih s ciljevima politike na razini funkcionalnog ruralnog područja </w:t>
            </w:r>
          </w:p>
          <w:p w14:paraId="36DA3EA6"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Omogućiti potpunu digitalnu integraciju javnih usluga koje pružaju upravne jedinice konzorcija s ciljem pružanja javnih usluga u skraćenom vremenu za građane i</w:t>
            </w:r>
            <w:r>
              <w:rPr>
                <w:noProof/>
              </w:rPr>
              <w:t xml:space="preserve"> poduzetnike, među ostalim zajedničkom nabavom za pružanje robe i usluga, na razini funkcionalnog ruralnog područja.</w:t>
            </w:r>
          </w:p>
        </w:tc>
      </w:tr>
      <w:tr w:rsidR="003F46B9" w14:paraId="65DCACCE"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hideMark/>
          </w:tcPr>
          <w:p w14:paraId="035E6A4F" w14:textId="77777777" w:rsidR="003F46B9" w:rsidRDefault="0065662E">
            <w:pPr>
              <w:pStyle w:val="P68B1DB1-Normal5"/>
              <w:spacing w:after="0" w:line="240" w:lineRule="auto"/>
              <w:jc w:val="center"/>
              <w:rPr>
                <w:rFonts w:eastAsia="Times New Roman" w:cs="Times New Roman"/>
                <w:noProof/>
              </w:rPr>
            </w:pPr>
            <w:r>
              <w:rPr>
                <w:noProof/>
              </w:rPr>
              <w:t>311</w:t>
            </w:r>
          </w:p>
        </w:tc>
        <w:tc>
          <w:tcPr>
            <w:tcW w:w="1985" w:type="dxa"/>
            <w:tcBorders>
              <w:top w:val="nil"/>
              <w:left w:val="nil"/>
              <w:bottom w:val="single" w:sz="4" w:space="0" w:color="auto"/>
              <w:right w:val="single" w:sz="4" w:space="0" w:color="auto"/>
            </w:tcBorders>
            <w:shd w:val="clear" w:color="auto" w:fill="C6EFCE"/>
            <w:noWrap/>
            <w:hideMark/>
          </w:tcPr>
          <w:p w14:paraId="58210A13" w14:textId="77777777" w:rsidR="003F46B9" w:rsidRDefault="0065662E">
            <w:pPr>
              <w:pStyle w:val="P68B1DB1-Normal5"/>
              <w:spacing w:after="0" w:line="240" w:lineRule="auto"/>
              <w:jc w:val="both"/>
              <w:rPr>
                <w:rFonts w:eastAsia="Times New Roman" w:cs="Times New Roman"/>
                <w:noProof/>
              </w:rPr>
            </w:pPr>
            <w:r>
              <w:rPr>
                <w:noProof/>
              </w:rPr>
              <w:t xml:space="preserve">Reforma 3. Stvaranje političkog okvira za održivu preobrazbu ruralnih područja: uspostava administrativnih konzorcija u funkcionalnim ruralnim područjima </w:t>
            </w:r>
          </w:p>
        </w:tc>
        <w:tc>
          <w:tcPr>
            <w:tcW w:w="1276" w:type="dxa"/>
            <w:tcBorders>
              <w:top w:val="nil"/>
              <w:left w:val="nil"/>
              <w:bottom w:val="single" w:sz="4" w:space="0" w:color="auto"/>
              <w:right w:val="single" w:sz="4" w:space="0" w:color="auto"/>
            </w:tcBorders>
            <w:shd w:val="clear" w:color="auto" w:fill="C6EFCE"/>
            <w:noWrap/>
            <w:hideMark/>
          </w:tcPr>
          <w:p w14:paraId="068C6FA5" w14:textId="77777777" w:rsidR="003F46B9" w:rsidRDefault="0065662E">
            <w:pPr>
              <w:pStyle w:val="P68B1DB1-Normal5"/>
              <w:spacing w:after="0" w:line="240" w:lineRule="auto"/>
              <w:jc w:val="both"/>
              <w:rPr>
                <w:rFonts w:eastAsia="Times New Roman" w:cs="Times New Roman"/>
                <w:noProof/>
              </w:rPr>
            </w:pPr>
            <w:r>
              <w:rPr>
                <w:noProof/>
              </w:rPr>
              <w:t>Ciljna</w:t>
            </w:r>
          </w:p>
        </w:tc>
        <w:tc>
          <w:tcPr>
            <w:tcW w:w="1417" w:type="dxa"/>
            <w:tcBorders>
              <w:top w:val="nil"/>
              <w:left w:val="nil"/>
              <w:bottom w:val="single" w:sz="4" w:space="0" w:color="auto"/>
              <w:right w:val="single" w:sz="4" w:space="0" w:color="auto"/>
            </w:tcBorders>
            <w:shd w:val="clear" w:color="auto" w:fill="C6EFCE"/>
            <w:noWrap/>
            <w:hideMark/>
          </w:tcPr>
          <w:p w14:paraId="54A3C044" w14:textId="77777777" w:rsidR="003F46B9" w:rsidRDefault="0065662E">
            <w:pPr>
              <w:pStyle w:val="P68B1DB1-Normal5"/>
              <w:spacing w:after="0" w:line="240" w:lineRule="auto"/>
              <w:jc w:val="both"/>
              <w:rPr>
                <w:rFonts w:eastAsia="Times New Roman" w:cs="Times New Roman"/>
                <w:noProof/>
              </w:rPr>
            </w:pPr>
            <w:r>
              <w:rPr>
                <w:noProof/>
              </w:rPr>
              <w:t>Smanjenje siromaštva i socijalne isključenosti u ruralnim područjima</w:t>
            </w:r>
          </w:p>
        </w:tc>
        <w:tc>
          <w:tcPr>
            <w:tcW w:w="1498" w:type="dxa"/>
            <w:tcBorders>
              <w:top w:val="nil"/>
              <w:left w:val="nil"/>
              <w:bottom w:val="single" w:sz="4" w:space="0" w:color="auto"/>
              <w:right w:val="single" w:sz="4" w:space="0" w:color="auto"/>
            </w:tcBorders>
            <w:shd w:val="clear" w:color="auto" w:fill="C6EFCE"/>
            <w:noWrap/>
            <w:hideMark/>
          </w:tcPr>
          <w:p w14:paraId="2913DACE" w14:textId="77777777" w:rsidR="003F46B9" w:rsidRDefault="003F46B9">
            <w:pPr>
              <w:spacing w:after="0" w:line="240" w:lineRule="auto"/>
              <w:jc w:val="both"/>
              <w:rPr>
                <w:rFonts w:ascii="Times New Roman" w:eastAsia="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hideMark/>
          </w:tcPr>
          <w:p w14:paraId="79BDCC1A" w14:textId="77777777" w:rsidR="003F46B9" w:rsidRDefault="0065662E">
            <w:pPr>
              <w:pStyle w:val="P68B1DB1-Normal5"/>
              <w:spacing w:after="0" w:line="240" w:lineRule="auto"/>
              <w:jc w:val="both"/>
              <w:rPr>
                <w:rFonts w:eastAsia="Times New Roman" w:cs="Times New Roman"/>
                <w:noProof/>
              </w:rPr>
            </w:pPr>
            <w:r>
              <w:rPr>
                <w:noProof/>
              </w:rPr>
              <w:t>Postotak</w:t>
            </w:r>
          </w:p>
        </w:tc>
        <w:tc>
          <w:tcPr>
            <w:tcW w:w="1134" w:type="dxa"/>
            <w:tcBorders>
              <w:top w:val="nil"/>
              <w:left w:val="nil"/>
              <w:bottom w:val="single" w:sz="4" w:space="0" w:color="auto"/>
              <w:right w:val="single" w:sz="4" w:space="0" w:color="auto"/>
            </w:tcBorders>
            <w:shd w:val="clear" w:color="auto" w:fill="C6EFCE"/>
            <w:noWrap/>
            <w:hideMark/>
          </w:tcPr>
          <w:p w14:paraId="014BF54A" w14:textId="77777777" w:rsidR="003F46B9" w:rsidRDefault="0065662E">
            <w:pPr>
              <w:pStyle w:val="P68B1DB1-Normal5"/>
              <w:spacing w:after="0" w:line="240" w:lineRule="auto"/>
              <w:jc w:val="both"/>
              <w:rPr>
                <w:rFonts w:eastAsia="Times New Roman" w:cs="Times New Roman"/>
                <w:noProof/>
              </w:rPr>
            </w:pPr>
            <w:r>
              <w:rPr>
                <w:noProof/>
              </w:rPr>
              <w:t>45,4 %</w:t>
            </w:r>
          </w:p>
        </w:tc>
        <w:tc>
          <w:tcPr>
            <w:tcW w:w="714" w:type="dxa"/>
            <w:tcBorders>
              <w:top w:val="nil"/>
              <w:left w:val="nil"/>
              <w:bottom w:val="single" w:sz="4" w:space="0" w:color="auto"/>
              <w:right w:val="single" w:sz="4" w:space="0" w:color="auto"/>
            </w:tcBorders>
            <w:shd w:val="clear" w:color="auto" w:fill="C6EFCE"/>
            <w:noWrap/>
            <w:hideMark/>
          </w:tcPr>
          <w:p w14:paraId="5A0DC477" w14:textId="77777777" w:rsidR="003F46B9" w:rsidRDefault="0065662E">
            <w:pPr>
              <w:pStyle w:val="P68B1DB1-Normal5"/>
              <w:spacing w:after="0" w:line="240" w:lineRule="auto"/>
              <w:jc w:val="both"/>
              <w:rPr>
                <w:rFonts w:eastAsia="Times New Roman" w:cs="Times New Roman"/>
                <w:noProof/>
              </w:rPr>
            </w:pPr>
            <w:r>
              <w:rPr>
                <w:noProof/>
              </w:rPr>
              <w:t>38 %</w:t>
            </w:r>
          </w:p>
        </w:tc>
        <w:tc>
          <w:tcPr>
            <w:tcW w:w="1134" w:type="dxa"/>
            <w:tcBorders>
              <w:top w:val="nil"/>
              <w:left w:val="nil"/>
              <w:bottom w:val="single" w:sz="4" w:space="0" w:color="auto"/>
              <w:right w:val="single" w:sz="4" w:space="0" w:color="auto"/>
            </w:tcBorders>
            <w:shd w:val="clear" w:color="auto" w:fill="C6EFCE"/>
            <w:noWrap/>
            <w:hideMark/>
          </w:tcPr>
          <w:p w14:paraId="5D36E5FE" w14:textId="77777777" w:rsidR="003F46B9" w:rsidRDefault="0065662E">
            <w:pPr>
              <w:pStyle w:val="P68B1DB1-Normal5"/>
              <w:spacing w:after="0" w:line="240" w:lineRule="auto"/>
              <w:jc w:val="both"/>
              <w:rPr>
                <w:rFonts w:eastAsia="Times New Roman" w:cs="Times New Roman"/>
                <w:noProof/>
              </w:rPr>
            </w:pPr>
            <w:r>
              <w:rPr>
                <w:noProof/>
              </w:rPr>
              <w:t>TRO</w:t>
            </w:r>
            <w:r>
              <w:rPr>
                <w:noProof/>
              </w:rPr>
              <w:t>MJESEČJE</w:t>
            </w:r>
          </w:p>
        </w:tc>
        <w:tc>
          <w:tcPr>
            <w:tcW w:w="850" w:type="dxa"/>
            <w:tcBorders>
              <w:top w:val="nil"/>
              <w:left w:val="nil"/>
              <w:bottom w:val="single" w:sz="4" w:space="0" w:color="auto"/>
              <w:right w:val="single" w:sz="4" w:space="0" w:color="auto"/>
            </w:tcBorders>
            <w:shd w:val="clear" w:color="auto" w:fill="C6EFCE"/>
            <w:noWrap/>
            <w:hideMark/>
          </w:tcPr>
          <w:p w14:paraId="1E2221A2" w14:textId="77777777" w:rsidR="003F46B9" w:rsidRDefault="0065662E">
            <w:pPr>
              <w:pStyle w:val="P68B1DB1-Normal5"/>
              <w:spacing w:after="0" w:line="240" w:lineRule="auto"/>
              <w:jc w:val="both"/>
              <w:rPr>
                <w:rFonts w:eastAsia="Times New Roman" w:cs="Times New Roman"/>
                <w:noProof/>
              </w:rPr>
            </w:pPr>
            <w:r>
              <w:rPr>
                <w:noProof/>
              </w:rPr>
              <w:t xml:space="preserve">2026 </w:t>
            </w:r>
          </w:p>
        </w:tc>
        <w:tc>
          <w:tcPr>
            <w:tcW w:w="3159" w:type="dxa"/>
            <w:tcBorders>
              <w:top w:val="nil"/>
              <w:left w:val="nil"/>
              <w:bottom w:val="single" w:sz="4" w:space="0" w:color="auto"/>
              <w:right w:val="single" w:sz="4" w:space="0" w:color="auto"/>
            </w:tcBorders>
            <w:shd w:val="clear" w:color="auto" w:fill="C6EFCE"/>
            <w:noWrap/>
            <w:hideMark/>
          </w:tcPr>
          <w:p w14:paraId="1E710DF5" w14:textId="77777777" w:rsidR="003F46B9" w:rsidRDefault="0065662E">
            <w:pPr>
              <w:pStyle w:val="P68B1DB1-Normal5"/>
              <w:spacing w:after="0" w:line="240" w:lineRule="auto"/>
              <w:jc w:val="both"/>
              <w:rPr>
                <w:rFonts w:cs="Times New Roman"/>
                <w:noProof/>
              </w:rPr>
            </w:pPr>
            <w:r>
              <w:rPr>
                <w:noProof/>
              </w:rPr>
              <w:t>Smanjenje stope siromaštva i socijalne isključenosti u ruralnim područjima za najmanje 7,4 postotna boda, u skladu s Eurostatovim pokazateljem (ILC_PEPS13), primjenom polazne vrijednosti od 45,4 % za 2020.</w:t>
            </w:r>
          </w:p>
          <w:p w14:paraId="72313C21"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41AE4762"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DDE4D8D" w14:textId="77777777" w:rsidR="003F46B9" w:rsidRDefault="0065662E">
            <w:pPr>
              <w:pStyle w:val="P68B1DB1-Normal5"/>
              <w:spacing w:after="0" w:line="240" w:lineRule="auto"/>
              <w:jc w:val="center"/>
              <w:rPr>
                <w:rFonts w:cs="Times New Roman"/>
                <w:noProof/>
              </w:rPr>
            </w:pPr>
            <w:r>
              <w:rPr>
                <w:noProof/>
              </w:rPr>
              <w:t>312</w:t>
            </w:r>
          </w:p>
        </w:tc>
        <w:tc>
          <w:tcPr>
            <w:tcW w:w="1985" w:type="dxa"/>
            <w:tcBorders>
              <w:top w:val="nil"/>
              <w:left w:val="nil"/>
              <w:bottom w:val="single" w:sz="4" w:space="0" w:color="auto"/>
              <w:right w:val="single" w:sz="4" w:space="0" w:color="auto"/>
            </w:tcBorders>
            <w:shd w:val="clear" w:color="auto" w:fill="C6EFCE"/>
            <w:noWrap/>
          </w:tcPr>
          <w:p w14:paraId="3451F796" w14:textId="77777777" w:rsidR="003F46B9" w:rsidRDefault="0065662E">
            <w:pPr>
              <w:pStyle w:val="P68B1DB1-Normal5"/>
              <w:spacing w:after="0" w:line="240" w:lineRule="auto"/>
              <w:jc w:val="both"/>
              <w:rPr>
                <w:rFonts w:cs="Times New Roman"/>
                <w:noProof/>
              </w:rPr>
            </w:pPr>
            <w:r>
              <w:rPr>
                <w:noProof/>
              </w:rPr>
              <w:t xml:space="preserve">Reforma 4. Poboljšanje kvalitete stanovanja </w:t>
            </w:r>
          </w:p>
        </w:tc>
        <w:tc>
          <w:tcPr>
            <w:tcW w:w="1276" w:type="dxa"/>
            <w:tcBorders>
              <w:top w:val="nil"/>
              <w:left w:val="nil"/>
              <w:bottom w:val="single" w:sz="4" w:space="0" w:color="auto"/>
              <w:right w:val="single" w:sz="4" w:space="0" w:color="auto"/>
            </w:tcBorders>
            <w:shd w:val="clear" w:color="auto" w:fill="C6EFCE"/>
            <w:noWrap/>
          </w:tcPr>
          <w:p w14:paraId="4793F568"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nil"/>
              <w:left w:val="nil"/>
              <w:bottom w:val="single" w:sz="4" w:space="0" w:color="auto"/>
              <w:right w:val="single" w:sz="4" w:space="0" w:color="auto"/>
            </w:tcBorders>
            <w:shd w:val="clear" w:color="auto" w:fill="C6EFCE"/>
            <w:noWrap/>
          </w:tcPr>
          <w:p w14:paraId="123A6E4D" w14:textId="77777777" w:rsidR="003F46B9" w:rsidRDefault="0065662E">
            <w:pPr>
              <w:pStyle w:val="P68B1DB1-Normal5"/>
              <w:spacing w:after="0" w:line="240" w:lineRule="auto"/>
              <w:jc w:val="both"/>
              <w:rPr>
                <w:rFonts w:cs="Times New Roman"/>
                <w:noProof/>
              </w:rPr>
            </w:pPr>
            <w:r>
              <w:rPr>
                <w:noProof/>
              </w:rPr>
              <w:t>Stupanje na snagu zakonodavnog akta za provedbu Nacionalne strategije za stanovanje i akcijskog plana za smanjenje teške stambene oskudice</w:t>
            </w:r>
          </w:p>
        </w:tc>
        <w:tc>
          <w:tcPr>
            <w:tcW w:w="1498" w:type="dxa"/>
            <w:tcBorders>
              <w:top w:val="nil"/>
              <w:left w:val="nil"/>
              <w:bottom w:val="single" w:sz="4" w:space="0" w:color="auto"/>
              <w:right w:val="single" w:sz="4" w:space="0" w:color="auto"/>
            </w:tcBorders>
            <w:shd w:val="clear" w:color="auto" w:fill="C6EFCE"/>
            <w:noWrap/>
          </w:tcPr>
          <w:p w14:paraId="66A63971" w14:textId="77777777" w:rsidR="003F46B9" w:rsidRDefault="0065662E">
            <w:pPr>
              <w:pStyle w:val="P68B1DB1-Normal5"/>
              <w:spacing w:after="0" w:line="240" w:lineRule="auto"/>
              <w:jc w:val="both"/>
              <w:rPr>
                <w:rFonts w:eastAsia="Times New Roman" w:cs="Times New Roman"/>
                <w:noProof/>
              </w:rPr>
            </w:pPr>
            <w:r>
              <w:rPr>
                <w:noProof/>
              </w:rPr>
              <w:t>Zakonska odredba o stupanju na snagu zakonodavnog akta za pr</w:t>
            </w:r>
            <w:r>
              <w:rPr>
                <w:noProof/>
              </w:rPr>
              <w:t>ovedbu Nacionalne strategije stanovanja i akcijskog plana za smanjenje teške stambene oskudice</w:t>
            </w:r>
          </w:p>
        </w:tc>
        <w:tc>
          <w:tcPr>
            <w:tcW w:w="1332" w:type="dxa"/>
            <w:tcBorders>
              <w:top w:val="nil"/>
              <w:left w:val="nil"/>
              <w:bottom w:val="single" w:sz="4" w:space="0" w:color="auto"/>
              <w:right w:val="single" w:sz="4" w:space="0" w:color="auto"/>
            </w:tcBorders>
            <w:shd w:val="clear" w:color="auto" w:fill="C6EFCE"/>
            <w:noWrap/>
          </w:tcPr>
          <w:p w14:paraId="11F68A1B"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3A1CF06C"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03402512"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EDAE21B"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3E20F2FD" w14:textId="77777777" w:rsidR="003F46B9" w:rsidRDefault="0065662E">
            <w:pPr>
              <w:pStyle w:val="P68B1DB1-Normal5"/>
              <w:spacing w:after="0" w:line="240" w:lineRule="auto"/>
              <w:jc w:val="both"/>
              <w:rPr>
                <w:rFonts w:cs="Times New Roman"/>
                <w:noProof/>
              </w:rPr>
            </w:pPr>
            <w:r>
              <w:rPr>
                <w:noProof/>
              </w:rPr>
              <w:t>2022</w:t>
            </w:r>
          </w:p>
        </w:tc>
        <w:tc>
          <w:tcPr>
            <w:tcW w:w="3159" w:type="dxa"/>
            <w:tcBorders>
              <w:top w:val="nil"/>
              <w:left w:val="nil"/>
              <w:bottom w:val="single" w:sz="4" w:space="0" w:color="auto"/>
              <w:right w:val="single" w:sz="4" w:space="0" w:color="auto"/>
            </w:tcBorders>
            <w:shd w:val="clear" w:color="auto" w:fill="C6EFCE"/>
            <w:noWrap/>
          </w:tcPr>
          <w:p w14:paraId="1116A1D7" w14:textId="77777777" w:rsidR="003F46B9" w:rsidRDefault="0065662E">
            <w:pPr>
              <w:pStyle w:val="P68B1DB1-Normal5"/>
              <w:spacing w:after="0" w:line="240" w:lineRule="auto"/>
              <w:jc w:val="both"/>
              <w:rPr>
                <w:rFonts w:cs="Times New Roman"/>
                <w:noProof/>
              </w:rPr>
            </w:pPr>
            <w:r>
              <w:rPr>
                <w:noProof/>
              </w:rPr>
              <w:t>Zakonodavnim aktom osigurava se provedba nacionalne strategije i akcijskog plana za stanovanje u cilju poboljšanja kvalitete stanovanja za</w:t>
            </w:r>
            <w:r>
              <w:rPr>
                <w:noProof/>
              </w:rPr>
              <w:t xml:space="preserve"> ranjive kategorije i skupine kojima se smanjuje teška stambena oskudica, posebno za osobe u marginaliziranim zajednicama u urbanim i ruralnim područjima.</w:t>
            </w:r>
          </w:p>
          <w:p w14:paraId="2C4B64FC" w14:textId="77777777" w:rsidR="003F46B9" w:rsidRDefault="0065662E">
            <w:pPr>
              <w:pStyle w:val="P68B1DB1-Normal5"/>
              <w:spacing w:after="0" w:line="240" w:lineRule="auto"/>
              <w:jc w:val="both"/>
              <w:rPr>
                <w:rFonts w:cs="Times New Roman"/>
                <w:noProof/>
              </w:rPr>
            </w:pPr>
            <w:r>
              <w:rPr>
                <w:noProof/>
              </w:rPr>
              <w:t xml:space="preserve">Strategija i akcijski plan: </w:t>
            </w:r>
          </w:p>
          <w:p w14:paraId="636DF402"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biti popraćena mapiranjem stambenih potreba, posebno u marginaliziranim </w:t>
            </w:r>
            <w:r>
              <w:rPr>
                <w:noProof/>
              </w:rPr>
              <w:t xml:space="preserve">zajednicama i skupinama, uključujući neformalna naselja, u urbanim i ruralnim područjima (u skladu s ažuriranom verzijom Atlasa marginaliziranih zajednica) </w:t>
            </w:r>
          </w:p>
          <w:p w14:paraId="0C36D01D"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osigurati pristup kojim se osigurava komplementarnost/usklađivanje postojećih ili budućih ulaganja </w:t>
            </w:r>
            <w:r>
              <w:rPr>
                <w:noProof/>
              </w:rPr>
              <w:t>integriranih zajedničkih centara (tj. pružanje obrazovnih, socijalnih i osnovnih zdravstvenih usluga) koja se financiraju iz ESF-a plus i budućih fondova kohezijske politike.</w:t>
            </w:r>
          </w:p>
          <w:p w14:paraId="2DDAA4C7"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osigurati dodatni pristup obrazovanju i zdravstvenim uslugama u marginaliziranim </w:t>
            </w:r>
            <w:r>
              <w:rPr>
                <w:noProof/>
              </w:rPr>
              <w:t>zajednicama (kako je utvrđeno u ažuriranoj verziji Atlasa marginaliziranih zajednica)</w:t>
            </w:r>
          </w:p>
          <w:p w14:paraId="37F041A2"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ne dovode do društvene segregacije</w:t>
            </w:r>
          </w:p>
          <w:p w14:paraId="1712A771"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osigurati mogućnost upotrebe metropolskih područja, administrativnih konzorcija i razvojnih udruga među zajednicama za provedbu ulaganj</w:t>
            </w:r>
            <w:r>
              <w:rPr>
                <w:noProof/>
              </w:rPr>
              <w:t>a.</w:t>
            </w:r>
          </w:p>
        </w:tc>
      </w:tr>
      <w:tr w:rsidR="003F46B9" w14:paraId="5FF4CF28"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55F55052" w14:textId="77777777" w:rsidR="003F46B9" w:rsidRDefault="0065662E">
            <w:pPr>
              <w:pStyle w:val="P68B1DB1-Normal5"/>
              <w:spacing w:after="0" w:line="240" w:lineRule="auto"/>
              <w:jc w:val="center"/>
              <w:rPr>
                <w:rFonts w:cs="Times New Roman"/>
                <w:noProof/>
              </w:rPr>
            </w:pPr>
            <w:r>
              <w:rPr>
                <w:noProof/>
              </w:rPr>
              <w:t>313</w:t>
            </w:r>
          </w:p>
        </w:tc>
        <w:tc>
          <w:tcPr>
            <w:tcW w:w="1985" w:type="dxa"/>
            <w:tcBorders>
              <w:top w:val="nil"/>
              <w:left w:val="nil"/>
              <w:bottom w:val="single" w:sz="4" w:space="0" w:color="auto"/>
              <w:right w:val="single" w:sz="4" w:space="0" w:color="auto"/>
            </w:tcBorders>
            <w:shd w:val="clear" w:color="auto" w:fill="C6EFCE"/>
            <w:noWrap/>
          </w:tcPr>
          <w:p w14:paraId="3F172BD6" w14:textId="77777777" w:rsidR="003F46B9" w:rsidRDefault="0065662E">
            <w:pPr>
              <w:pStyle w:val="P68B1DB1-Normal5"/>
              <w:spacing w:after="0" w:line="240" w:lineRule="auto"/>
              <w:jc w:val="both"/>
              <w:rPr>
                <w:rFonts w:cs="Times New Roman"/>
                <w:noProof/>
              </w:rPr>
            </w:pPr>
            <w:r>
              <w:rPr>
                <w:noProof/>
              </w:rPr>
              <w:t xml:space="preserve">Reforma 4. Poboljšanje kvalitete stanovanja </w:t>
            </w:r>
          </w:p>
        </w:tc>
        <w:tc>
          <w:tcPr>
            <w:tcW w:w="1276" w:type="dxa"/>
            <w:tcBorders>
              <w:top w:val="nil"/>
              <w:left w:val="nil"/>
              <w:bottom w:val="single" w:sz="4" w:space="0" w:color="auto"/>
              <w:right w:val="single" w:sz="4" w:space="0" w:color="auto"/>
            </w:tcBorders>
            <w:shd w:val="clear" w:color="auto" w:fill="C6EFCE"/>
            <w:noWrap/>
          </w:tcPr>
          <w:p w14:paraId="76F9869B" w14:textId="77777777" w:rsidR="003F46B9" w:rsidRDefault="0065662E">
            <w:pPr>
              <w:pStyle w:val="P68B1DB1-Normal5"/>
              <w:spacing w:after="0" w:line="240" w:lineRule="auto"/>
              <w:jc w:val="both"/>
              <w:rPr>
                <w:rFonts w:cs="Times New Roman"/>
                <w:noProof/>
              </w:rPr>
            </w:pPr>
            <w:r>
              <w:rPr>
                <w:noProof/>
              </w:rPr>
              <w:t>Ciljna</w:t>
            </w:r>
          </w:p>
        </w:tc>
        <w:tc>
          <w:tcPr>
            <w:tcW w:w="1417" w:type="dxa"/>
            <w:tcBorders>
              <w:top w:val="nil"/>
              <w:left w:val="nil"/>
              <w:bottom w:val="single" w:sz="4" w:space="0" w:color="auto"/>
              <w:right w:val="single" w:sz="4" w:space="0" w:color="auto"/>
            </w:tcBorders>
            <w:shd w:val="clear" w:color="auto" w:fill="C6EFCE"/>
            <w:noWrap/>
          </w:tcPr>
          <w:p w14:paraId="5DADEEA7" w14:textId="77777777" w:rsidR="003F46B9" w:rsidRDefault="0065662E">
            <w:pPr>
              <w:pStyle w:val="P68B1DB1-Normal5"/>
              <w:spacing w:after="0" w:line="240" w:lineRule="auto"/>
              <w:jc w:val="both"/>
              <w:rPr>
                <w:rFonts w:cs="Times New Roman"/>
                <w:noProof/>
              </w:rPr>
            </w:pPr>
            <w:r>
              <w:rPr>
                <w:noProof/>
              </w:rPr>
              <w:t xml:space="preserve">Smanjeni postotak prenapučenosti stambenih prostora </w:t>
            </w:r>
          </w:p>
        </w:tc>
        <w:tc>
          <w:tcPr>
            <w:tcW w:w="1498" w:type="dxa"/>
            <w:tcBorders>
              <w:top w:val="nil"/>
              <w:left w:val="nil"/>
              <w:bottom w:val="single" w:sz="4" w:space="0" w:color="auto"/>
              <w:right w:val="single" w:sz="4" w:space="0" w:color="auto"/>
            </w:tcBorders>
            <w:shd w:val="clear" w:color="auto" w:fill="C6EFCE"/>
            <w:noWrap/>
          </w:tcPr>
          <w:p w14:paraId="74A970BB" w14:textId="77777777" w:rsidR="003F46B9" w:rsidRDefault="003F46B9">
            <w:pPr>
              <w:spacing w:after="0" w:line="240" w:lineRule="auto"/>
              <w:jc w:val="both"/>
              <w:rPr>
                <w:rFonts w:ascii="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tcPr>
          <w:p w14:paraId="23569DA3" w14:textId="77777777" w:rsidR="003F46B9" w:rsidRDefault="0065662E">
            <w:pPr>
              <w:pStyle w:val="P68B1DB1-Normal5"/>
              <w:spacing w:after="0" w:line="240" w:lineRule="auto"/>
              <w:jc w:val="both"/>
              <w:rPr>
                <w:rFonts w:cs="Times New Roman"/>
                <w:noProof/>
              </w:rPr>
            </w:pPr>
            <w:r>
              <w:rPr>
                <w:noProof/>
              </w:rPr>
              <w:t>Postotak</w:t>
            </w:r>
          </w:p>
        </w:tc>
        <w:tc>
          <w:tcPr>
            <w:tcW w:w="1134" w:type="dxa"/>
            <w:tcBorders>
              <w:top w:val="nil"/>
              <w:left w:val="nil"/>
              <w:bottom w:val="single" w:sz="4" w:space="0" w:color="auto"/>
              <w:right w:val="single" w:sz="4" w:space="0" w:color="auto"/>
            </w:tcBorders>
            <w:shd w:val="clear" w:color="auto" w:fill="C6EFCE"/>
            <w:noWrap/>
          </w:tcPr>
          <w:p w14:paraId="4CEA38AD" w14:textId="77777777" w:rsidR="003F46B9" w:rsidRDefault="0065662E">
            <w:pPr>
              <w:pStyle w:val="P68B1DB1-Normal5"/>
              <w:spacing w:after="0" w:line="240" w:lineRule="auto"/>
              <w:jc w:val="both"/>
              <w:rPr>
                <w:rFonts w:cs="Times New Roman"/>
                <w:noProof/>
              </w:rPr>
            </w:pPr>
            <w:r>
              <w:rPr>
                <w:noProof/>
              </w:rPr>
              <w:t>45,1 %</w:t>
            </w:r>
          </w:p>
        </w:tc>
        <w:tc>
          <w:tcPr>
            <w:tcW w:w="714" w:type="dxa"/>
            <w:tcBorders>
              <w:top w:val="nil"/>
              <w:left w:val="nil"/>
              <w:bottom w:val="single" w:sz="4" w:space="0" w:color="auto"/>
              <w:right w:val="single" w:sz="4" w:space="0" w:color="auto"/>
            </w:tcBorders>
            <w:shd w:val="clear" w:color="auto" w:fill="C6EFCE"/>
            <w:noWrap/>
          </w:tcPr>
          <w:p w14:paraId="508D231B" w14:textId="77777777" w:rsidR="003F46B9" w:rsidRDefault="0065662E">
            <w:pPr>
              <w:pStyle w:val="P68B1DB1-Normal5"/>
              <w:spacing w:after="0" w:line="240" w:lineRule="auto"/>
              <w:jc w:val="both"/>
              <w:rPr>
                <w:rFonts w:cs="Times New Roman"/>
                <w:noProof/>
              </w:rPr>
            </w:pPr>
            <w:r>
              <w:rPr>
                <w:noProof/>
              </w:rPr>
              <w:t>39 %</w:t>
            </w:r>
          </w:p>
        </w:tc>
        <w:tc>
          <w:tcPr>
            <w:tcW w:w="1134" w:type="dxa"/>
            <w:tcBorders>
              <w:top w:val="nil"/>
              <w:left w:val="nil"/>
              <w:bottom w:val="single" w:sz="4" w:space="0" w:color="auto"/>
              <w:right w:val="single" w:sz="4" w:space="0" w:color="auto"/>
            </w:tcBorders>
            <w:shd w:val="clear" w:color="auto" w:fill="C6EFCE"/>
            <w:noWrap/>
          </w:tcPr>
          <w:p w14:paraId="5188AFFA"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03D3FC9D"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tcPr>
          <w:p w14:paraId="768ED0FF" w14:textId="77777777" w:rsidR="003F46B9" w:rsidRDefault="0065662E">
            <w:pPr>
              <w:pStyle w:val="P68B1DB1-Normal5"/>
              <w:spacing w:after="0" w:line="240" w:lineRule="auto"/>
              <w:jc w:val="both"/>
              <w:rPr>
                <w:rFonts w:cs="Times New Roman"/>
                <w:noProof/>
              </w:rPr>
            </w:pPr>
            <w:r>
              <w:rPr>
                <w:noProof/>
              </w:rPr>
              <w:t xml:space="preserve">Smanjena stopa prenapučenosti stambenih prostora za 6,1 postotni bod prema Eurostatovu pokazatelju </w:t>
            </w:r>
            <w:r>
              <w:rPr>
                <w:noProof/>
              </w:rPr>
              <w:t>(ILC_LVHO05A) primjenom polazne vrijednosti od 45,1 % za 2020.</w:t>
            </w:r>
          </w:p>
        </w:tc>
      </w:tr>
      <w:tr w:rsidR="003F46B9" w14:paraId="03B3CCD7"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4DBC0992" w14:textId="77777777" w:rsidR="003F46B9" w:rsidRDefault="0065662E">
            <w:pPr>
              <w:pStyle w:val="P68B1DB1-Normal5"/>
              <w:spacing w:after="0" w:line="240" w:lineRule="auto"/>
              <w:jc w:val="center"/>
              <w:rPr>
                <w:rFonts w:cs="Times New Roman"/>
                <w:noProof/>
              </w:rPr>
            </w:pPr>
            <w:r>
              <w:rPr>
                <w:noProof/>
              </w:rPr>
              <w:t>314</w:t>
            </w:r>
          </w:p>
        </w:tc>
        <w:tc>
          <w:tcPr>
            <w:tcW w:w="1985" w:type="dxa"/>
            <w:tcBorders>
              <w:top w:val="nil"/>
              <w:left w:val="nil"/>
              <w:bottom w:val="single" w:sz="4" w:space="0" w:color="auto"/>
              <w:right w:val="single" w:sz="4" w:space="0" w:color="auto"/>
            </w:tcBorders>
            <w:shd w:val="clear" w:color="auto" w:fill="C6EFCE"/>
            <w:noWrap/>
          </w:tcPr>
          <w:p w14:paraId="41C8104A" w14:textId="77777777" w:rsidR="003F46B9" w:rsidRDefault="0065662E">
            <w:pPr>
              <w:pStyle w:val="P68B1DB1-Normal5"/>
              <w:spacing w:after="0" w:line="240" w:lineRule="auto"/>
              <w:jc w:val="both"/>
              <w:rPr>
                <w:rFonts w:cs="Times New Roman"/>
                <w:noProof/>
              </w:rPr>
            </w:pPr>
            <w:r>
              <w:rPr>
                <w:noProof/>
              </w:rPr>
              <w:t xml:space="preserve">Reforma 4. Poboljšanje kvalitete stanovanja </w:t>
            </w:r>
          </w:p>
        </w:tc>
        <w:tc>
          <w:tcPr>
            <w:tcW w:w="1276" w:type="dxa"/>
            <w:tcBorders>
              <w:top w:val="nil"/>
              <w:left w:val="nil"/>
              <w:bottom w:val="single" w:sz="4" w:space="0" w:color="auto"/>
              <w:right w:val="single" w:sz="4" w:space="0" w:color="auto"/>
            </w:tcBorders>
            <w:shd w:val="clear" w:color="auto" w:fill="C6EFCE"/>
            <w:noWrap/>
          </w:tcPr>
          <w:p w14:paraId="3325B017" w14:textId="77777777" w:rsidR="003F46B9" w:rsidRDefault="0065662E">
            <w:pPr>
              <w:pStyle w:val="P68B1DB1-Normal5"/>
              <w:spacing w:after="0" w:line="240" w:lineRule="auto"/>
              <w:jc w:val="both"/>
              <w:rPr>
                <w:rFonts w:cs="Times New Roman"/>
                <w:noProof/>
              </w:rPr>
            </w:pPr>
            <w:r>
              <w:rPr>
                <w:noProof/>
              </w:rPr>
              <w:t>Ciljna</w:t>
            </w:r>
          </w:p>
        </w:tc>
        <w:tc>
          <w:tcPr>
            <w:tcW w:w="1417" w:type="dxa"/>
            <w:tcBorders>
              <w:top w:val="nil"/>
              <w:left w:val="nil"/>
              <w:bottom w:val="single" w:sz="4" w:space="0" w:color="auto"/>
              <w:right w:val="single" w:sz="4" w:space="0" w:color="auto"/>
            </w:tcBorders>
            <w:shd w:val="clear" w:color="auto" w:fill="C6EFCE"/>
            <w:noWrap/>
          </w:tcPr>
          <w:p w14:paraId="47E12797" w14:textId="77777777" w:rsidR="003F46B9" w:rsidRDefault="0065662E">
            <w:pPr>
              <w:pStyle w:val="P68B1DB1-Normal5"/>
              <w:spacing w:after="0" w:line="240" w:lineRule="auto"/>
              <w:jc w:val="both"/>
              <w:rPr>
                <w:rFonts w:cs="Times New Roman"/>
                <w:noProof/>
              </w:rPr>
            </w:pPr>
            <w:r>
              <w:rPr>
                <w:noProof/>
              </w:rPr>
              <w:t xml:space="preserve">Smanjeni postotak stanovništva koje živi u neformalnim naseljima </w:t>
            </w:r>
          </w:p>
        </w:tc>
        <w:tc>
          <w:tcPr>
            <w:tcW w:w="1498" w:type="dxa"/>
            <w:tcBorders>
              <w:top w:val="nil"/>
              <w:left w:val="nil"/>
              <w:bottom w:val="single" w:sz="4" w:space="0" w:color="auto"/>
              <w:right w:val="single" w:sz="4" w:space="0" w:color="auto"/>
            </w:tcBorders>
            <w:shd w:val="clear" w:color="auto" w:fill="C6EFCE"/>
            <w:noWrap/>
          </w:tcPr>
          <w:p w14:paraId="23B89F67" w14:textId="77777777" w:rsidR="003F46B9" w:rsidRDefault="003F46B9">
            <w:pPr>
              <w:spacing w:after="0" w:line="240" w:lineRule="auto"/>
              <w:jc w:val="both"/>
              <w:rPr>
                <w:rFonts w:ascii="Times New Roman" w:hAnsi="Times New Roman" w:cs="Times New Roman"/>
                <w:noProof/>
                <w:sz w:val="24"/>
              </w:rPr>
            </w:pPr>
          </w:p>
        </w:tc>
        <w:tc>
          <w:tcPr>
            <w:tcW w:w="1332" w:type="dxa"/>
            <w:tcBorders>
              <w:top w:val="nil"/>
              <w:left w:val="nil"/>
              <w:bottom w:val="single" w:sz="4" w:space="0" w:color="auto"/>
              <w:right w:val="single" w:sz="4" w:space="0" w:color="auto"/>
            </w:tcBorders>
            <w:shd w:val="clear" w:color="auto" w:fill="C6EFCE"/>
            <w:noWrap/>
          </w:tcPr>
          <w:p w14:paraId="7CC7FA32" w14:textId="77777777" w:rsidR="003F46B9" w:rsidRDefault="0065662E">
            <w:pPr>
              <w:pStyle w:val="P68B1DB1-Normal5"/>
              <w:spacing w:after="0" w:line="240" w:lineRule="auto"/>
              <w:jc w:val="both"/>
              <w:rPr>
                <w:rFonts w:cs="Times New Roman"/>
                <w:noProof/>
              </w:rPr>
            </w:pPr>
            <w:r>
              <w:rPr>
                <w:noProof/>
              </w:rPr>
              <w:t>Postotak</w:t>
            </w:r>
          </w:p>
        </w:tc>
        <w:tc>
          <w:tcPr>
            <w:tcW w:w="1134" w:type="dxa"/>
            <w:tcBorders>
              <w:top w:val="nil"/>
              <w:left w:val="nil"/>
              <w:bottom w:val="single" w:sz="4" w:space="0" w:color="auto"/>
              <w:right w:val="single" w:sz="4" w:space="0" w:color="auto"/>
            </w:tcBorders>
            <w:shd w:val="clear" w:color="auto" w:fill="C6EFCE"/>
            <w:noWrap/>
          </w:tcPr>
          <w:p w14:paraId="1ED650D1" w14:textId="77777777" w:rsidR="003F46B9" w:rsidRDefault="0065662E">
            <w:pPr>
              <w:pStyle w:val="P68B1DB1-Normal5"/>
              <w:spacing w:after="0" w:line="240" w:lineRule="auto"/>
              <w:jc w:val="both"/>
              <w:rPr>
                <w:rFonts w:cs="Times New Roman"/>
                <w:noProof/>
              </w:rPr>
            </w:pPr>
            <w:r>
              <w:rPr>
                <w:noProof/>
              </w:rPr>
              <w:t>0</w:t>
            </w:r>
          </w:p>
        </w:tc>
        <w:tc>
          <w:tcPr>
            <w:tcW w:w="714" w:type="dxa"/>
            <w:tcBorders>
              <w:top w:val="nil"/>
              <w:left w:val="nil"/>
              <w:bottom w:val="single" w:sz="4" w:space="0" w:color="auto"/>
              <w:right w:val="single" w:sz="4" w:space="0" w:color="auto"/>
            </w:tcBorders>
            <w:shd w:val="clear" w:color="auto" w:fill="C6EFCE"/>
            <w:noWrap/>
          </w:tcPr>
          <w:p w14:paraId="1EE7371F" w14:textId="77777777" w:rsidR="003F46B9" w:rsidRDefault="0065662E">
            <w:pPr>
              <w:pStyle w:val="P68B1DB1-Normal5"/>
              <w:spacing w:after="0" w:line="240" w:lineRule="auto"/>
              <w:jc w:val="both"/>
              <w:rPr>
                <w:rFonts w:cs="Times New Roman"/>
                <w:noProof/>
              </w:rPr>
            </w:pPr>
            <w:r>
              <w:rPr>
                <w:noProof/>
              </w:rPr>
              <w:t>20 %</w:t>
            </w:r>
          </w:p>
        </w:tc>
        <w:tc>
          <w:tcPr>
            <w:tcW w:w="1134" w:type="dxa"/>
            <w:tcBorders>
              <w:top w:val="nil"/>
              <w:left w:val="nil"/>
              <w:bottom w:val="single" w:sz="4" w:space="0" w:color="auto"/>
              <w:right w:val="single" w:sz="4" w:space="0" w:color="auto"/>
            </w:tcBorders>
            <w:shd w:val="clear" w:color="auto" w:fill="C6EFCE"/>
            <w:noWrap/>
          </w:tcPr>
          <w:p w14:paraId="273A67E5"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06B0888C"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nil"/>
              <w:left w:val="nil"/>
              <w:bottom w:val="single" w:sz="4" w:space="0" w:color="auto"/>
              <w:right w:val="single" w:sz="4" w:space="0" w:color="auto"/>
            </w:tcBorders>
            <w:shd w:val="clear" w:color="auto" w:fill="C6EFCE"/>
            <w:noWrap/>
          </w:tcPr>
          <w:p w14:paraId="3D7319DB" w14:textId="77777777" w:rsidR="003F46B9" w:rsidRDefault="0065662E">
            <w:pPr>
              <w:pStyle w:val="P68B1DB1-Normal5"/>
              <w:spacing w:after="0" w:line="240" w:lineRule="auto"/>
              <w:jc w:val="both"/>
              <w:rPr>
                <w:rFonts w:cs="Times New Roman"/>
                <w:noProof/>
              </w:rPr>
            </w:pPr>
            <w:r>
              <w:rPr>
                <w:noProof/>
              </w:rPr>
              <w:t xml:space="preserve">Cilj je smanjiti udio stanovništva </w:t>
            </w:r>
            <w:r>
              <w:rPr>
                <w:noProof/>
              </w:rPr>
              <w:t>koje živi u neformalnim naseljima koja se nalaze u funkcionalnim urbanim područjima i povećati njihovu integraciju u zajednice. Broj osoba koje žive u neformalnim naseljima s lošim stambenim objektima ili s manjkom stambenih objekata utvrđuje se na temelju</w:t>
            </w:r>
            <w:r>
              <w:rPr>
                <w:noProof/>
              </w:rPr>
              <w:t xml:space="preserve"> postupka mapiranja izrađenog u skladu sa zakonom o teritorijalnom i urbanističkom planiranju.</w:t>
            </w:r>
          </w:p>
        </w:tc>
      </w:tr>
      <w:tr w:rsidR="003F46B9" w14:paraId="2DF13013" w14:textId="77777777">
        <w:trPr>
          <w:trHeight w:val="313"/>
          <w:jc w:val="center"/>
        </w:trPr>
        <w:tc>
          <w:tcPr>
            <w:tcW w:w="851" w:type="dxa"/>
            <w:tcBorders>
              <w:top w:val="nil"/>
              <w:left w:val="single" w:sz="4" w:space="0" w:color="auto"/>
              <w:bottom w:val="single" w:sz="4" w:space="0" w:color="auto"/>
              <w:right w:val="single" w:sz="4" w:space="0" w:color="auto"/>
            </w:tcBorders>
            <w:shd w:val="clear" w:color="auto" w:fill="C6EFCE"/>
            <w:noWrap/>
          </w:tcPr>
          <w:p w14:paraId="23C60543" w14:textId="77777777" w:rsidR="003F46B9" w:rsidRDefault="0065662E">
            <w:pPr>
              <w:pStyle w:val="P68B1DB1-Normal5"/>
              <w:spacing w:after="0" w:line="240" w:lineRule="auto"/>
              <w:jc w:val="center"/>
              <w:rPr>
                <w:rFonts w:cs="Times New Roman"/>
                <w:noProof/>
              </w:rPr>
            </w:pPr>
            <w:r>
              <w:rPr>
                <w:noProof/>
              </w:rPr>
              <w:t>315</w:t>
            </w:r>
          </w:p>
        </w:tc>
        <w:tc>
          <w:tcPr>
            <w:tcW w:w="1985" w:type="dxa"/>
            <w:tcBorders>
              <w:top w:val="nil"/>
              <w:left w:val="nil"/>
              <w:bottom w:val="single" w:sz="4" w:space="0" w:color="auto"/>
              <w:right w:val="single" w:sz="4" w:space="0" w:color="auto"/>
            </w:tcBorders>
            <w:shd w:val="clear" w:color="auto" w:fill="C6EFCE"/>
            <w:noWrap/>
          </w:tcPr>
          <w:p w14:paraId="7EC494CE" w14:textId="77777777" w:rsidR="003F46B9" w:rsidRDefault="0065662E">
            <w:pPr>
              <w:pStyle w:val="P68B1DB1-Normal5"/>
              <w:spacing w:after="0" w:line="240" w:lineRule="auto"/>
              <w:jc w:val="both"/>
              <w:rPr>
                <w:rFonts w:cs="Times New Roman"/>
                <w:noProof/>
              </w:rPr>
            </w:pPr>
            <w:r>
              <w:rPr>
                <w:noProof/>
              </w:rPr>
              <w:t>Reforma 5. Razvoj sustava planiranja – Kodeks prostornog uređenja, urbanizma i graditeljstva</w:t>
            </w:r>
          </w:p>
        </w:tc>
        <w:tc>
          <w:tcPr>
            <w:tcW w:w="1276" w:type="dxa"/>
            <w:tcBorders>
              <w:top w:val="nil"/>
              <w:left w:val="nil"/>
              <w:bottom w:val="single" w:sz="4" w:space="0" w:color="auto"/>
              <w:right w:val="single" w:sz="4" w:space="0" w:color="auto"/>
            </w:tcBorders>
            <w:shd w:val="clear" w:color="auto" w:fill="C6EFCE"/>
            <w:noWrap/>
          </w:tcPr>
          <w:p w14:paraId="568DAF40"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nil"/>
              <w:left w:val="nil"/>
              <w:bottom w:val="single" w:sz="4" w:space="0" w:color="auto"/>
              <w:right w:val="single" w:sz="4" w:space="0" w:color="auto"/>
            </w:tcBorders>
            <w:shd w:val="clear" w:color="auto" w:fill="C6EFCE"/>
            <w:noWrap/>
          </w:tcPr>
          <w:p w14:paraId="14891361" w14:textId="77777777" w:rsidR="003F46B9" w:rsidRDefault="0065662E">
            <w:pPr>
              <w:pStyle w:val="P68B1DB1-Normal5"/>
              <w:spacing w:after="0" w:line="240" w:lineRule="auto"/>
              <w:jc w:val="both"/>
              <w:rPr>
                <w:rFonts w:cs="Times New Roman"/>
                <w:noProof/>
              </w:rPr>
            </w:pPr>
            <w:r>
              <w:rPr>
                <w:noProof/>
              </w:rPr>
              <w:t>Stupanje na snagu Zakonika o prostornom planiranju,</w:t>
            </w:r>
            <w:r>
              <w:rPr>
                <w:noProof/>
              </w:rPr>
              <w:t xml:space="preserve"> urbanističkom planiranju i gradnji </w:t>
            </w:r>
          </w:p>
        </w:tc>
        <w:tc>
          <w:tcPr>
            <w:tcW w:w="1498" w:type="dxa"/>
            <w:tcBorders>
              <w:top w:val="nil"/>
              <w:left w:val="nil"/>
              <w:bottom w:val="single" w:sz="4" w:space="0" w:color="auto"/>
              <w:right w:val="single" w:sz="4" w:space="0" w:color="auto"/>
            </w:tcBorders>
            <w:shd w:val="clear" w:color="auto" w:fill="C6EFCE"/>
            <w:noWrap/>
          </w:tcPr>
          <w:p w14:paraId="69B91DA5" w14:textId="77777777" w:rsidR="003F46B9" w:rsidRDefault="0065662E">
            <w:pPr>
              <w:pStyle w:val="P68B1DB1-Normal5"/>
              <w:spacing w:after="0" w:line="240" w:lineRule="auto"/>
              <w:jc w:val="both"/>
              <w:rPr>
                <w:rFonts w:cs="Times New Roman"/>
                <w:noProof/>
              </w:rPr>
            </w:pPr>
            <w:r>
              <w:rPr>
                <w:noProof/>
              </w:rPr>
              <w:t xml:space="preserve">Zakonska odredba o stupanju na snagu Zakona o prostornom uređenju, urbanističkom planiranju i gradnji </w:t>
            </w:r>
          </w:p>
        </w:tc>
        <w:tc>
          <w:tcPr>
            <w:tcW w:w="1332" w:type="dxa"/>
            <w:tcBorders>
              <w:top w:val="nil"/>
              <w:left w:val="nil"/>
              <w:bottom w:val="single" w:sz="4" w:space="0" w:color="auto"/>
              <w:right w:val="single" w:sz="4" w:space="0" w:color="auto"/>
            </w:tcBorders>
            <w:shd w:val="clear" w:color="auto" w:fill="C6EFCE"/>
            <w:noWrap/>
          </w:tcPr>
          <w:p w14:paraId="7DB31FA0"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5BD1316A"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nil"/>
              <w:left w:val="nil"/>
              <w:bottom w:val="single" w:sz="4" w:space="0" w:color="auto"/>
              <w:right w:val="single" w:sz="4" w:space="0" w:color="auto"/>
            </w:tcBorders>
            <w:shd w:val="clear" w:color="auto" w:fill="C6EFCE"/>
            <w:noWrap/>
          </w:tcPr>
          <w:p w14:paraId="036185C1"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F54F336"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tcPr>
          <w:p w14:paraId="09033E01" w14:textId="77777777" w:rsidR="003F46B9" w:rsidRDefault="0065662E">
            <w:pPr>
              <w:pStyle w:val="P68B1DB1-Normal5"/>
              <w:spacing w:after="0" w:line="240" w:lineRule="auto"/>
              <w:jc w:val="both"/>
              <w:rPr>
                <w:rFonts w:cs="Times New Roman"/>
                <w:noProof/>
              </w:rPr>
            </w:pPr>
            <w:r>
              <w:rPr>
                <w:noProof/>
              </w:rPr>
              <w:t>2023</w:t>
            </w:r>
          </w:p>
        </w:tc>
        <w:tc>
          <w:tcPr>
            <w:tcW w:w="3159" w:type="dxa"/>
            <w:tcBorders>
              <w:top w:val="nil"/>
              <w:left w:val="nil"/>
              <w:bottom w:val="single" w:sz="4" w:space="0" w:color="auto"/>
              <w:right w:val="single" w:sz="4" w:space="0" w:color="auto"/>
            </w:tcBorders>
            <w:shd w:val="clear" w:color="auto" w:fill="C6EFCE"/>
            <w:noWrap/>
          </w:tcPr>
          <w:p w14:paraId="5C6E689B" w14:textId="77777777" w:rsidR="003F46B9" w:rsidRDefault="0065662E">
            <w:pPr>
              <w:pStyle w:val="P68B1DB1-Normal5"/>
              <w:spacing w:after="0" w:line="240" w:lineRule="auto"/>
              <w:jc w:val="both"/>
              <w:rPr>
                <w:rFonts w:cs="Times New Roman"/>
                <w:noProof/>
              </w:rPr>
            </w:pPr>
            <w:r>
              <w:rPr>
                <w:noProof/>
              </w:rPr>
              <w:t>Zakonikom o prostornom uređenju, urbanističkom planiranju i gradnji provodi se, među ostalim:</w:t>
            </w:r>
          </w:p>
          <w:p w14:paraId="12AFDDA6"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smanjenje administrativnog opterećenja, skraćivanje rokova za izdavanje administrativnih akata te uvođenje novih mehanizama za osiguravanje učinkovitijih, digitaliziranih i kvalitetnijih administrativnih postupaka u građevinarstvu, uključujući strukture p</w:t>
            </w:r>
            <w:r>
              <w:rPr>
                <w:noProof/>
              </w:rPr>
              <w:t>laniranja na razini funkcionalnih urbanih područja</w:t>
            </w:r>
          </w:p>
          <w:p w14:paraId="7FD6ECE3"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ažuriranje i prenošenje u geografske informacijske sustave (GIS) svih prostornih i općih urbanih planova te usklađivanje s novim načelima rumunjske urbane politike (promicanje održivog prometa i poboljšanj</w:t>
            </w:r>
            <w:r>
              <w:rPr>
                <w:noProof/>
              </w:rPr>
              <w:t xml:space="preserve">e sigurnosti na cestama, upotreba prirodnih rješenja/zelene i plave infrastrukture), uključujući na razini funkcionalnih urbanih i ruralnih područja; </w:t>
            </w:r>
          </w:p>
          <w:p w14:paraId="734ABA85"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mjere za povećanje energetske učinkovitosti i poboljšanje kvalitete zraka putem obvezujućih građevinskih </w:t>
            </w:r>
            <w:r>
              <w:rPr>
                <w:noProof/>
              </w:rPr>
              <w:t>standarda u svim upravnim teritorijalnim jedinicama te funkcionalnim urbanim i ruralnim područjima</w:t>
            </w:r>
          </w:p>
          <w:p w14:paraId="14E27C7A"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Konkretne odredbe u ažuriranim dokumentima o urbanističkom planiranju čiji je cilj smanjenje vremena i udaljenosti putovanja na posao za stanovništvo u funkc</w:t>
            </w:r>
            <w:r>
              <w:rPr>
                <w:noProof/>
              </w:rPr>
              <w:t xml:space="preserve">ionalnim urbanim i ruralnim područjima (provedba koncepta „grada u trajanju od 15 minuta”, tj.: usmjerenost na povećani pristup relevantnim objektima). </w:t>
            </w:r>
          </w:p>
          <w:p w14:paraId="4FCE070C" w14:textId="77777777" w:rsidR="003F46B9" w:rsidRDefault="0065662E">
            <w:pPr>
              <w:pStyle w:val="P68B1DB1-Normal5"/>
              <w:spacing w:after="0" w:line="240" w:lineRule="auto"/>
              <w:jc w:val="both"/>
              <w:rPr>
                <w:rFonts w:cs="Times New Roman"/>
                <w:noProof/>
              </w:rPr>
            </w:pPr>
            <w:r>
              <w:rPr>
                <w:noProof/>
              </w:rPr>
              <w:t>Izrada i donošenje smjernica/priručnika kako bi se olakšala provedba novih odredbi Kodeksa.</w:t>
            </w:r>
          </w:p>
        </w:tc>
      </w:tr>
      <w:tr w:rsidR="003F46B9" w14:paraId="2C66942F"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8CE2524" w14:textId="77777777" w:rsidR="003F46B9" w:rsidRDefault="0065662E">
            <w:pPr>
              <w:pStyle w:val="P68B1DB1-Normal5"/>
              <w:spacing w:after="0" w:line="240" w:lineRule="auto"/>
              <w:jc w:val="center"/>
              <w:rPr>
                <w:rFonts w:cs="Times New Roman"/>
                <w:noProof/>
              </w:rPr>
            </w:pPr>
            <w:r>
              <w:rPr>
                <w:noProof/>
              </w:rPr>
              <w:t>316</w:t>
            </w:r>
          </w:p>
        </w:tc>
        <w:tc>
          <w:tcPr>
            <w:tcW w:w="1985" w:type="dxa"/>
            <w:tcBorders>
              <w:top w:val="single" w:sz="4" w:space="0" w:color="auto"/>
              <w:left w:val="nil"/>
              <w:bottom w:val="single" w:sz="4" w:space="0" w:color="auto"/>
              <w:right w:val="single" w:sz="4" w:space="0" w:color="auto"/>
            </w:tcBorders>
            <w:shd w:val="clear" w:color="auto" w:fill="C6EFCE"/>
            <w:noWrap/>
          </w:tcPr>
          <w:p w14:paraId="3773A08F" w14:textId="77777777" w:rsidR="003F46B9" w:rsidRDefault="0065662E">
            <w:pPr>
              <w:pStyle w:val="P68B1DB1-Normal5"/>
              <w:spacing w:after="0" w:line="240" w:lineRule="auto"/>
              <w:jc w:val="both"/>
              <w:rPr>
                <w:rFonts w:cs="Times New Roman"/>
                <w:noProof/>
              </w:rPr>
            </w:pPr>
            <w:r>
              <w:rPr>
                <w:noProof/>
              </w:rPr>
              <w:t>Reforma 5. Razvoj sustava planiranja – Kodeks prostornog uređenja, urbanizma i graditeljstva</w:t>
            </w:r>
          </w:p>
        </w:tc>
        <w:tc>
          <w:tcPr>
            <w:tcW w:w="1276" w:type="dxa"/>
            <w:tcBorders>
              <w:top w:val="single" w:sz="4" w:space="0" w:color="auto"/>
              <w:left w:val="nil"/>
              <w:bottom w:val="single" w:sz="4" w:space="0" w:color="auto"/>
              <w:right w:val="single" w:sz="4" w:space="0" w:color="auto"/>
            </w:tcBorders>
            <w:shd w:val="clear" w:color="auto" w:fill="C6EFCE"/>
            <w:noWrap/>
          </w:tcPr>
          <w:p w14:paraId="69E3568D"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single" w:sz="4" w:space="0" w:color="auto"/>
              <w:left w:val="nil"/>
              <w:bottom w:val="single" w:sz="4" w:space="0" w:color="auto"/>
              <w:right w:val="single" w:sz="4" w:space="0" w:color="auto"/>
            </w:tcBorders>
            <w:shd w:val="clear" w:color="auto" w:fill="C6EFCE"/>
            <w:noWrap/>
          </w:tcPr>
          <w:p w14:paraId="517C5FCD" w14:textId="77777777" w:rsidR="003F46B9" w:rsidRDefault="0065662E">
            <w:pPr>
              <w:pStyle w:val="P68B1DB1-Normal5"/>
              <w:spacing w:after="0" w:line="240" w:lineRule="auto"/>
              <w:jc w:val="both"/>
              <w:rPr>
                <w:rFonts w:cs="Times New Roman"/>
                <w:noProof/>
              </w:rPr>
            </w:pPr>
            <w:r>
              <w:rPr>
                <w:noProof/>
              </w:rPr>
              <w:t xml:space="preserve">Početak rada interoperabilne platforme za digitalne podatke gradova (kao dio Teritorijalnog opservatorija) </w:t>
            </w:r>
          </w:p>
        </w:tc>
        <w:tc>
          <w:tcPr>
            <w:tcW w:w="1498" w:type="dxa"/>
            <w:tcBorders>
              <w:top w:val="single" w:sz="4" w:space="0" w:color="auto"/>
              <w:left w:val="nil"/>
              <w:bottom w:val="single" w:sz="4" w:space="0" w:color="auto"/>
              <w:right w:val="single" w:sz="4" w:space="0" w:color="auto"/>
            </w:tcBorders>
            <w:shd w:val="clear" w:color="auto" w:fill="C6EFCE"/>
            <w:noWrap/>
          </w:tcPr>
          <w:p w14:paraId="2B7409A0" w14:textId="77777777" w:rsidR="003F46B9" w:rsidRDefault="0065662E">
            <w:pPr>
              <w:pStyle w:val="P68B1DB1-Normal5"/>
              <w:spacing w:after="0" w:line="240" w:lineRule="auto"/>
              <w:jc w:val="both"/>
              <w:rPr>
                <w:rFonts w:cs="Times New Roman"/>
                <w:noProof/>
              </w:rPr>
            </w:pPr>
            <w:r>
              <w:rPr>
                <w:noProof/>
              </w:rPr>
              <w:t xml:space="preserve">Početak rada digitalne platforme (kao dio </w:t>
            </w:r>
            <w:r>
              <w:rPr>
                <w:noProof/>
              </w:rPr>
              <w:t>Teritorijalnog opservatorija)</w:t>
            </w:r>
          </w:p>
        </w:tc>
        <w:tc>
          <w:tcPr>
            <w:tcW w:w="1332" w:type="dxa"/>
            <w:tcBorders>
              <w:top w:val="single" w:sz="4" w:space="0" w:color="auto"/>
              <w:left w:val="nil"/>
              <w:bottom w:val="single" w:sz="4" w:space="0" w:color="auto"/>
              <w:right w:val="single" w:sz="4" w:space="0" w:color="auto"/>
            </w:tcBorders>
            <w:shd w:val="clear" w:color="auto" w:fill="C6EFCE"/>
            <w:noWrap/>
          </w:tcPr>
          <w:p w14:paraId="1DA203E9"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7CD1BE"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E874688"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A9A773"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0589AAAB" w14:textId="77777777" w:rsidR="003F46B9" w:rsidRDefault="0065662E">
            <w:pPr>
              <w:pStyle w:val="P68B1DB1-Normal5"/>
              <w:spacing w:after="0" w:line="240" w:lineRule="auto"/>
              <w:jc w:val="both"/>
              <w:rPr>
                <w:rFonts w:cs="Times New Roman"/>
                <w:noProof/>
              </w:rPr>
            </w:pPr>
            <w:r>
              <w:rPr>
                <w:noProof/>
              </w:rPr>
              <w:t>2023</w:t>
            </w:r>
          </w:p>
        </w:tc>
        <w:tc>
          <w:tcPr>
            <w:tcW w:w="3159" w:type="dxa"/>
            <w:tcBorders>
              <w:top w:val="single" w:sz="4" w:space="0" w:color="auto"/>
              <w:left w:val="nil"/>
              <w:bottom w:val="single" w:sz="4" w:space="0" w:color="auto"/>
              <w:right w:val="single" w:sz="4" w:space="0" w:color="auto"/>
            </w:tcBorders>
            <w:shd w:val="clear" w:color="auto" w:fill="C6EFCE"/>
            <w:noWrap/>
          </w:tcPr>
          <w:p w14:paraId="0D6504F7" w14:textId="77777777" w:rsidR="003F46B9" w:rsidRDefault="0065662E">
            <w:pPr>
              <w:pStyle w:val="P68B1DB1-Normal5"/>
              <w:spacing w:after="0" w:line="240" w:lineRule="auto"/>
              <w:jc w:val="both"/>
              <w:rPr>
                <w:rFonts w:cs="Times New Roman"/>
                <w:noProof/>
              </w:rPr>
            </w:pPr>
            <w:r>
              <w:rPr>
                <w:noProof/>
              </w:rPr>
              <w:t>Standardizirana podatkovna platforma operacionalizira se kao dio Teritorijalnog opservatorija i omogućuje:</w:t>
            </w:r>
          </w:p>
          <w:p w14:paraId="777C3CF6"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Javni pristup najnovijim dokumentima prostornog planiranja i prostornog planiranja koji se odnos</w:t>
            </w:r>
            <w:r>
              <w:rPr>
                <w:noProof/>
              </w:rPr>
              <w:t>e na sve teritorijalne upravne jedinice u zemlji</w:t>
            </w:r>
          </w:p>
          <w:p w14:paraId="743BA346"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 xml:space="preserve">mogućnost da lokalna javna tijela izdaju potvrde o urbanističkom planiranju i građevinske dozvole na interoperabilan način sa svim relevantnim bazama podataka javnih tijela (npr. porezna uprava) i koristeći </w:t>
            </w:r>
            <w:r>
              <w:rPr>
                <w:noProof/>
              </w:rPr>
              <w:t xml:space="preserve">se infrastrukturom dostupnom za državni oblak </w:t>
            </w:r>
          </w:p>
          <w:p w14:paraId="2EF3A2A7"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dostava podataka u stvarnom vremenu (kao što su podaci o gradskim propisima, svim ograničenjima i dopuštenoj uporabi zemljišta) svim zainteresiranim stranama, uključujući širu javnost, kako bi se osigurala tra</w:t>
            </w:r>
            <w:r>
              <w:rPr>
                <w:noProof/>
              </w:rPr>
              <w:t xml:space="preserve">nsparentnost izdavanja potvrda o planiranju i građevinskih dozvola </w:t>
            </w:r>
          </w:p>
          <w:p w14:paraId="53B39BA3" w14:textId="3D21CBF7" w:rsidR="003F46B9" w:rsidRDefault="0065662E">
            <w:pPr>
              <w:pStyle w:val="P68B1DB1-Normal5"/>
              <w:numPr>
                <w:ilvl w:val="0"/>
                <w:numId w:val="83"/>
              </w:numPr>
              <w:spacing w:after="0" w:line="240" w:lineRule="auto"/>
              <w:ind w:left="175" w:hanging="217"/>
              <w:jc w:val="both"/>
              <w:rPr>
                <w:rFonts w:cs="Times New Roman"/>
                <w:noProof/>
              </w:rPr>
            </w:pPr>
            <w:r>
              <w:rPr>
                <w:noProof/>
              </w:rPr>
              <w:t>dinamično upravljanje urbanističkim planiranjem (kontinuirano ažuriranje podataka uzimajući u obzir provedene promjene – na primjer promjene općih pokazatelja urbanističkog plana Zonalovih</w:t>
            </w:r>
            <w:r>
              <w:rPr>
                <w:noProof/>
              </w:rPr>
              <w:t xml:space="preserve"> urbanih planova) omogućujući upravnim jedinicama, uključujući one na funkcionalnom gradskom i ruralnom području, da koordiniraju provedbu politika kao što su energetika, okoliš, stanovanje i promet na lokalnoj razini.</w:t>
            </w:r>
          </w:p>
        </w:tc>
      </w:tr>
      <w:tr w:rsidR="003F46B9" w14:paraId="280C5CAC"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64F8BFD" w14:textId="77777777" w:rsidR="003F46B9" w:rsidRDefault="0065662E">
            <w:pPr>
              <w:pStyle w:val="P68B1DB1-Normal5"/>
              <w:spacing w:after="0" w:line="240" w:lineRule="auto"/>
              <w:jc w:val="center"/>
              <w:rPr>
                <w:rFonts w:cs="Times New Roman"/>
                <w:noProof/>
              </w:rPr>
            </w:pPr>
            <w:r>
              <w:rPr>
                <w:noProof/>
              </w:rPr>
              <w:t>317</w:t>
            </w:r>
          </w:p>
        </w:tc>
        <w:tc>
          <w:tcPr>
            <w:tcW w:w="1985" w:type="dxa"/>
            <w:tcBorders>
              <w:top w:val="single" w:sz="4" w:space="0" w:color="auto"/>
              <w:left w:val="nil"/>
              <w:bottom w:val="single" w:sz="4" w:space="0" w:color="auto"/>
              <w:right w:val="single" w:sz="4" w:space="0" w:color="auto"/>
            </w:tcBorders>
            <w:shd w:val="clear" w:color="auto" w:fill="C6EFCE"/>
            <w:noWrap/>
          </w:tcPr>
          <w:p w14:paraId="64BA5C99" w14:textId="77777777" w:rsidR="003F46B9" w:rsidRDefault="0065662E">
            <w:pPr>
              <w:pStyle w:val="P68B1DB1-Normal5"/>
              <w:spacing w:after="0" w:line="240" w:lineRule="auto"/>
              <w:rPr>
                <w:rFonts w:cs="Times New Roman"/>
                <w:noProof/>
              </w:rPr>
            </w:pPr>
            <w:r>
              <w:rPr>
                <w:noProof/>
              </w:rPr>
              <w:t xml:space="preserve">Ulaganje 2. Izgradnja stambenog </w:t>
            </w:r>
            <w:r>
              <w:rPr>
                <w:noProof/>
              </w:rPr>
              <w:t>prostora za mlade i stručnjake u području zdravstva i obrazovanja</w:t>
            </w:r>
          </w:p>
        </w:tc>
        <w:tc>
          <w:tcPr>
            <w:tcW w:w="1276" w:type="dxa"/>
            <w:tcBorders>
              <w:top w:val="single" w:sz="4" w:space="0" w:color="auto"/>
              <w:left w:val="nil"/>
              <w:bottom w:val="single" w:sz="4" w:space="0" w:color="auto"/>
              <w:right w:val="single" w:sz="4" w:space="0" w:color="auto"/>
            </w:tcBorders>
            <w:shd w:val="clear" w:color="auto" w:fill="C6EFCE"/>
            <w:noWrap/>
          </w:tcPr>
          <w:p w14:paraId="5C7F44CE"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single" w:sz="4" w:space="0" w:color="auto"/>
              <w:left w:val="nil"/>
              <w:bottom w:val="single" w:sz="4" w:space="0" w:color="auto"/>
              <w:right w:val="single" w:sz="4" w:space="0" w:color="auto"/>
            </w:tcBorders>
            <w:shd w:val="clear" w:color="auto" w:fill="C6EFCE"/>
            <w:noWrap/>
          </w:tcPr>
          <w:p w14:paraId="197F69E8" w14:textId="46FA78D4" w:rsidR="003F46B9" w:rsidRDefault="0065662E">
            <w:pPr>
              <w:pStyle w:val="P68B1DB1-Normal5"/>
              <w:spacing w:after="0" w:line="240" w:lineRule="auto"/>
              <w:jc w:val="both"/>
              <w:rPr>
                <w:rFonts w:cs="Times New Roman"/>
                <w:noProof/>
              </w:rPr>
            </w:pPr>
            <w:r>
              <w:rPr>
                <w:noProof/>
              </w:rPr>
              <w:t xml:space="preserve">Potpisivanje svih ugovora o </w:t>
            </w:r>
            <w:r>
              <w:rPr>
                <w:noProof/>
              </w:rPr>
              <w:t xml:space="preserve">financiranju za izgradnju stambenog prostora za mlade koji dolaze iz ranjivih zajednica i skupina te za zdravstvene i obrazovne djelatnike u urbanim i ruralnim područjima </w:t>
            </w:r>
          </w:p>
          <w:p w14:paraId="480E9F4E" w14:textId="77777777" w:rsidR="003F46B9" w:rsidRDefault="003F46B9">
            <w:pPr>
              <w:spacing w:after="0" w:line="240" w:lineRule="auto"/>
              <w:jc w:val="both"/>
              <w:rPr>
                <w:rFonts w:ascii="Times New Roman" w:hAnsi="Times New Roman" w:cs="Times New Roman"/>
                <w:noProof/>
                <w:sz w:val="24"/>
              </w:rPr>
            </w:pPr>
          </w:p>
          <w:p w14:paraId="74024BC0" w14:textId="77777777" w:rsidR="003F46B9" w:rsidRDefault="003F46B9">
            <w:pPr>
              <w:spacing w:after="0" w:line="240" w:lineRule="auto"/>
              <w:jc w:val="both"/>
              <w:rPr>
                <w:rFonts w:ascii="Times New Roman" w:hAnsi="Times New Roman" w:cs="Times New Roman"/>
                <w:noProof/>
                <w:sz w:val="24"/>
              </w:rPr>
            </w:pPr>
          </w:p>
        </w:tc>
        <w:tc>
          <w:tcPr>
            <w:tcW w:w="1498" w:type="dxa"/>
            <w:tcBorders>
              <w:top w:val="single" w:sz="4" w:space="0" w:color="auto"/>
              <w:left w:val="nil"/>
              <w:bottom w:val="single" w:sz="4" w:space="0" w:color="auto"/>
              <w:right w:val="single" w:sz="4" w:space="0" w:color="auto"/>
            </w:tcBorders>
            <w:shd w:val="clear" w:color="auto" w:fill="C6EFCE"/>
            <w:noWrap/>
          </w:tcPr>
          <w:p w14:paraId="1720EB7B" w14:textId="77777777" w:rsidR="003F46B9" w:rsidRDefault="0065662E">
            <w:pPr>
              <w:pStyle w:val="P68B1DB1-Normal5"/>
              <w:spacing w:after="0" w:line="240" w:lineRule="auto"/>
              <w:jc w:val="both"/>
              <w:rPr>
                <w:rFonts w:cs="Times New Roman"/>
                <w:noProof/>
              </w:rPr>
            </w:pPr>
            <w:r>
              <w:rPr>
                <w:noProof/>
              </w:rPr>
              <w:t xml:space="preserve">Potpisivanje ugovora </w:t>
            </w:r>
          </w:p>
        </w:tc>
        <w:tc>
          <w:tcPr>
            <w:tcW w:w="1332" w:type="dxa"/>
            <w:tcBorders>
              <w:top w:val="single" w:sz="4" w:space="0" w:color="auto"/>
              <w:left w:val="nil"/>
              <w:bottom w:val="single" w:sz="4" w:space="0" w:color="auto"/>
              <w:right w:val="single" w:sz="4" w:space="0" w:color="auto"/>
            </w:tcBorders>
            <w:shd w:val="clear" w:color="auto" w:fill="C6EFCE"/>
            <w:noWrap/>
          </w:tcPr>
          <w:p w14:paraId="64F6825B"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FF3D17F"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27B8D951"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975CCA4" w14:textId="77777777" w:rsidR="003F46B9" w:rsidRDefault="0065662E">
            <w:pPr>
              <w:pStyle w:val="P68B1DB1-Normal5"/>
              <w:spacing w:after="0" w:line="240" w:lineRule="auto"/>
              <w:jc w:val="both"/>
              <w:rPr>
                <w:rFonts w:cs="Times New Roman"/>
                <w:noProof/>
              </w:rPr>
            </w:pPr>
            <w:r>
              <w:rPr>
                <w:noProof/>
              </w:rPr>
              <w:t>ČETVRTO 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3738B613" w14:textId="77777777" w:rsidR="003F46B9" w:rsidRDefault="0065662E">
            <w:pPr>
              <w:pStyle w:val="P68B1DB1-Normal5"/>
              <w:spacing w:after="0" w:line="240" w:lineRule="auto"/>
              <w:jc w:val="both"/>
              <w:rPr>
                <w:rFonts w:cs="Times New Roman"/>
                <w:noProof/>
              </w:rPr>
            </w:pPr>
            <w:r>
              <w:rPr>
                <w:noProof/>
              </w:rPr>
              <w:t>2022</w:t>
            </w:r>
          </w:p>
        </w:tc>
        <w:tc>
          <w:tcPr>
            <w:tcW w:w="3159" w:type="dxa"/>
            <w:tcBorders>
              <w:top w:val="single" w:sz="4" w:space="0" w:color="auto"/>
              <w:left w:val="nil"/>
              <w:bottom w:val="single" w:sz="4" w:space="0" w:color="auto"/>
              <w:right w:val="single" w:sz="4" w:space="0" w:color="auto"/>
            </w:tcBorders>
            <w:shd w:val="clear" w:color="auto" w:fill="C6EFCE"/>
            <w:noWrap/>
          </w:tcPr>
          <w:p w14:paraId="15ADD28B" w14:textId="77777777" w:rsidR="003F46B9" w:rsidRDefault="0065662E">
            <w:pPr>
              <w:pStyle w:val="P68B1DB1-Normal5"/>
              <w:spacing w:after="0" w:line="240" w:lineRule="auto"/>
              <w:jc w:val="both"/>
              <w:rPr>
                <w:rFonts w:cs="Times New Roman"/>
                <w:noProof/>
              </w:rPr>
            </w:pPr>
            <w:r>
              <w:rPr>
                <w:noProof/>
              </w:rPr>
              <w:t>Program financiranja bespovra</w:t>
            </w:r>
            <w:r>
              <w:rPr>
                <w:noProof/>
              </w:rPr>
              <w:t>tnim sredstvima izrađuje se na temelju odredbi Nacionalne strategije stanovanja i akcijskog plana, u skladu sa specifikacijama ključne etape 312.</w:t>
            </w:r>
          </w:p>
          <w:p w14:paraId="4872D797" w14:textId="77777777" w:rsidR="003F46B9" w:rsidRDefault="0065662E">
            <w:pPr>
              <w:pStyle w:val="P68B1DB1-Normal5"/>
              <w:spacing w:after="0" w:line="240" w:lineRule="auto"/>
              <w:jc w:val="both"/>
              <w:rPr>
                <w:rFonts w:cs="Times New Roman"/>
                <w:noProof/>
              </w:rPr>
            </w:pPr>
            <w:r>
              <w:rPr>
                <w:noProof/>
              </w:rPr>
              <w:t>Program financiranja otvoren je za sve administrativne teritorijalne jedinice/gradska područja/administrativne</w:t>
            </w:r>
            <w:r>
              <w:rPr>
                <w:noProof/>
              </w:rPr>
              <w:t xml:space="preserve"> konzorcije i u skladu je sa sljedećim obveznim specifikacijama:</w:t>
            </w:r>
          </w:p>
          <w:p w14:paraId="78C5A56D" w14:textId="49F124A9" w:rsidR="003F46B9" w:rsidRDefault="0065662E">
            <w:pPr>
              <w:pStyle w:val="P68B1DB1-Normal5"/>
              <w:numPr>
                <w:ilvl w:val="0"/>
                <w:numId w:val="82"/>
              </w:numPr>
              <w:spacing w:before="120"/>
              <w:ind w:left="318"/>
              <w:contextualSpacing/>
              <w:jc w:val="both"/>
              <w:rPr>
                <w:rFonts w:cs="Times New Roman"/>
                <w:noProof/>
              </w:rPr>
            </w:pPr>
            <w:r>
              <w:rPr>
                <w:noProof/>
              </w:rPr>
              <w:t>Smještaj mladih dodjeljuje se administrativnim teritorijalnim jedinicama/administrativnim konzorcijima/gradskim područjima na temelju integriranog akcijskog plana za poboljšanje životnih uvje</w:t>
            </w:r>
            <w:r>
              <w:rPr>
                <w:noProof/>
              </w:rPr>
              <w:t>ta mladih u ranjivim zajednicama i skupinama te njihovim kućanstvima, uključujući mjere za poticanje socijalne i gospodarske integracije ciljanih skupina. Mladi koji ostvaruju korist kumulativno ispunjavaju uvjet da dolaze iz ranjive zajednice/skupine u do</w:t>
            </w:r>
            <w:r>
              <w:rPr>
                <w:noProof/>
              </w:rPr>
              <w:t>bi od 18 do 35 godina s dohotkom po članu obitelji ispod prosječne mjesečne plaće po gospodarstvu, nisu vlasnici kuće/ne posjeduje kuću koja trenutačno živi u prenapučenim/siromašnim uvjetima stanovanja. Kriterijima bi se također uzelo u obzir da mladi ima</w:t>
            </w:r>
            <w:r>
              <w:rPr>
                <w:noProof/>
              </w:rPr>
              <w:t xml:space="preserve">ju jedno dijete ili više njih u kućanstvu. </w:t>
            </w:r>
          </w:p>
          <w:p w14:paraId="5168442D" w14:textId="77777777" w:rsidR="003F46B9" w:rsidRDefault="0065662E">
            <w:pPr>
              <w:pStyle w:val="P68B1DB1-Normal5"/>
              <w:numPr>
                <w:ilvl w:val="0"/>
                <w:numId w:val="82"/>
              </w:numPr>
              <w:spacing w:before="120"/>
              <w:ind w:left="318"/>
              <w:contextualSpacing/>
              <w:jc w:val="both"/>
              <w:rPr>
                <w:rFonts w:cs="Times New Roman"/>
                <w:noProof/>
              </w:rPr>
            </w:pPr>
            <w:r>
              <w:rPr>
                <w:noProof/>
              </w:rPr>
              <w:t>Stambene jedinice za zdravstvene i obrazovne djelatnike dodjeljuju se administrativnim teritorijalnim jedinicama/administrativnim konzorcijima/gradskim područjima na temelju integriranog akcijskog plana za pobolj</w:t>
            </w:r>
            <w:r>
              <w:rPr>
                <w:noProof/>
              </w:rPr>
              <w:t>šanje zdravstvenih ili obrazovnih usluga za ranjive zajednice i skupine kako je utvrđeno mapiranjem potreba, posebno u marginaliziranim zajednicama i skupinama. Isto tako, ulaganje se provodi u korelaciji s ulaganjima u obrazovanje, zdravlje (npr. razvoj p</w:t>
            </w:r>
            <w:r>
              <w:rPr>
                <w:noProof/>
              </w:rPr>
              <w:t>retbolničke medicinske infrastrukture s ciljem povećanja pristupa osnovnim medicinskim uslugama) i u komponente vala obnove nacionalnog plana za oporavak i otpornost, kao i s ulaganjima 3 trenutačne komponente (umjerena obnova javnih zgrada), s operativnim</w:t>
            </w:r>
            <w:r>
              <w:rPr>
                <w:noProof/>
              </w:rPr>
              <w:t xml:space="preserve"> programima (2014. – 2020. i 2021. – 2027.) ili drugim programima.</w:t>
            </w:r>
          </w:p>
        </w:tc>
      </w:tr>
      <w:tr w:rsidR="003F46B9" w14:paraId="7B74C159"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7D4C02A7" w14:textId="77777777" w:rsidR="003F46B9" w:rsidRDefault="0065662E">
            <w:pPr>
              <w:pStyle w:val="P68B1DB1-Normal5"/>
              <w:spacing w:after="0" w:line="240" w:lineRule="auto"/>
              <w:jc w:val="center"/>
              <w:rPr>
                <w:rFonts w:cs="Times New Roman"/>
                <w:noProof/>
              </w:rPr>
            </w:pPr>
            <w:r>
              <w:rPr>
                <w:noProof/>
              </w:rPr>
              <w:t>318</w:t>
            </w:r>
          </w:p>
        </w:tc>
        <w:tc>
          <w:tcPr>
            <w:tcW w:w="1985" w:type="dxa"/>
            <w:tcBorders>
              <w:top w:val="single" w:sz="4" w:space="0" w:color="auto"/>
              <w:left w:val="nil"/>
              <w:bottom w:val="single" w:sz="4" w:space="0" w:color="auto"/>
              <w:right w:val="single" w:sz="4" w:space="0" w:color="auto"/>
            </w:tcBorders>
            <w:shd w:val="clear" w:color="auto" w:fill="C6EFCE"/>
            <w:noWrap/>
          </w:tcPr>
          <w:p w14:paraId="680ECE81" w14:textId="77777777" w:rsidR="003F46B9" w:rsidRDefault="0065662E">
            <w:pPr>
              <w:pStyle w:val="P68B1DB1-Normal5"/>
              <w:spacing w:after="0" w:line="240" w:lineRule="auto"/>
              <w:jc w:val="both"/>
              <w:rPr>
                <w:rFonts w:cs="Times New Roman"/>
                <w:noProof/>
              </w:rPr>
            </w:pPr>
            <w:r>
              <w:rPr>
                <w:noProof/>
              </w:rPr>
              <w:t>Ulaganje 2. Izgradnja stambenog prostora za mlade i stručnjake u području zdravstva i obrazovanja</w:t>
            </w:r>
          </w:p>
        </w:tc>
        <w:tc>
          <w:tcPr>
            <w:tcW w:w="1276" w:type="dxa"/>
            <w:tcBorders>
              <w:top w:val="single" w:sz="4" w:space="0" w:color="auto"/>
              <w:left w:val="nil"/>
              <w:bottom w:val="single" w:sz="4" w:space="0" w:color="auto"/>
              <w:right w:val="single" w:sz="4" w:space="0" w:color="auto"/>
            </w:tcBorders>
            <w:shd w:val="clear" w:color="auto" w:fill="C6EFCE"/>
            <w:noWrap/>
          </w:tcPr>
          <w:p w14:paraId="1B152539" w14:textId="77777777" w:rsidR="003F46B9" w:rsidRDefault="0065662E">
            <w:pPr>
              <w:pStyle w:val="P68B1DB1-Normal5"/>
              <w:spacing w:after="0" w:line="240" w:lineRule="auto"/>
              <w:jc w:val="both"/>
              <w:rPr>
                <w:rFonts w:cs="Times New Roman"/>
                <w:noProof/>
              </w:rPr>
            </w:pPr>
            <w:r>
              <w:rPr>
                <w:noProof/>
              </w:rPr>
              <w:t>Ciljna</w:t>
            </w:r>
          </w:p>
        </w:tc>
        <w:tc>
          <w:tcPr>
            <w:tcW w:w="1417" w:type="dxa"/>
            <w:tcBorders>
              <w:top w:val="single" w:sz="4" w:space="0" w:color="auto"/>
              <w:left w:val="nil"/>
              <w:bottom w:val="single" w:sz="4" w:space="0" w:color="auto"/>
              <w:right w:val="single" w:sz="4" w:space="0" w:color="auto"/>
            </w:tcBorders>
            <w:shd w:val="clear" w:color="auto" w:fill="C6EFCE"/>
            <w:noWrap/>
          </w:tcPr>
          <w:p w14:paraId="1541C6F0" w14:textId="77777777" w:rsidR="003F46B9" w:rsidRDefault="0065662E">
            <w:pPr>
              <w:pStyle w:val="P68B1DB1-Normal5"/>
              <w:spacing w:after="0" w:line="240" w:lineRule="auto"/>
              <w:jc w:val="both"/>
              <w:rPr>
                <w:rFonts w:cs="Times New Roman"/>
                <w:noProof/>
              </w:rPr>
            </w:pPr>
            <w:r>
              <w:rPr>
                <w:noProof/>
              </w:rPr>
              <w:t xml:space="preserve">Stambene jedinice izgrađene za mlade koji dolaze iz ranjivih zajednica/skupina </w:t>
            </w:r>
          </w:p>
        </w:tc>
        <w:tc>
          <w:tcPr>
            <w:tcW w:w="1498" w:type="dxa"/>
            <w:tcBorders>
              <w:top w:val="single" w:sz="4" w:space="0" w:color="auto"/>
              <w:left w:val="nil"/>
              <w:bottom w:val="single" w:sz="4" w:space="0" w:color="auto"/>
              <w:right w:val="single" w:sz="4" w:space="0" w:color="auto"/>
            </w:tcBorders>
            <w:shd w:val="clear" w:color="auto" w:fill="C6EFCE"/>
            <w:noWrap/>
          </w:tcPr>
          <w:p w14:paraId="1779A6C1" w14:textId="77777777" w:rsidR="003F46B9" w:rsidRDefault="0065662E">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30FEEB1E" w14:textId="77777777" w:rsidR="003F46B9" w:rsidRDefault="0065662E">
            <w:pPr>
              <w:pStyle w:val="P68B1DB1-Normal5"/>
              <w:spacing w:after="0" w:line="240" w:lineRule="auto"/>
              <w:jc w:val="both"/>
              <w:rPr>
                <w:rFonts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3E8EAFCC" w14:textId="77777777" w:rsidR="003F46B9" w:rsidRDefault="0065662E">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02FAED0B" w14:textId="11FA3210" w:rsidR="003F46B9" w:rsidRDefault="0065662E">
            <w:pPr>
              <w:pStyle w:val="P68B1DB1-Normal5"/>
              <w:spacing w:after="0" w:line="240" w:lineRule="auto"/>
              <w:jc w:val="both"/>
              <w:rPr>
                <w:rFonts w:cs="Times New Roman"/>
                <w:noProof/>
              </w:rPr>
            </w:pPr>
            <w:r>
              <w:rPr>
                <w:noProof/>
              </w:rPr>
              <w:t xml:space="preserve"> 3 490 </w:t>
            </w:r>
          </w:p>
          <w:p w14:paraId="6F6480DB"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DB044CC"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6E4C44F6"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EFE7F22" w14:textId="77777777" w:rsidR="003F46B9" w:rsidRDefault="0065662E">
            <w:pPr>
              <w:pStyle w:val="P68B1DB1-Normal5"/>
              <w:spacing w:after="0" w:line="240" w:lineRule="auto"/>
              <w:jc w:val="both"/>
              <w:rPr>
                <w:rFonts w:cs="Times New Roman"/>
                <w:noProof/>
              </w:rPr>
            </w:pPr>
            <w:r>
              <w:rPr>
                <w:noProof/>
              </w:rPr>
              <w:t xml:space="preserve">Broj stambenih jedinica za mlade koji dolaze iz ranjivih zajednica/skupina, uz potporu dopunskih mjera kao što su socijalne/obrazovne mjere/mjere na tržištu rada za sve prethodno utvrđene mlade, u skladu sa zahtjevima u </w:t>
            </w:r>
            <w:r>
              <w:rPr>
                <w:noProof/>
              </w:rPr>
              <w:t>ključnoj etapi 317.</w:t>
            </w:r>
          </w:p>
          <w:p w14:paraId="04603F9B" w14:textId="77777777" w:rsidR="003F46B9" w:rsidRDefault="0065662E">
            <w:pPr>
              <w:pStyle w:val="P68B1DB1-Normal5"/>
              <w:spacing w:after="0" w:line="240" w:lineRule="auto"/>
              <w:jc w:val="both"/>
              <w:rPr>
                <w:rFonts w:cs="Times New Roman"/>
                <w:noProof/>
              </w:rPr>
            </w:pPr>
            <w:r>
              <w:rPr>
                <w:noProof/>
              </w:rPr>
              <w:t>Nove zgrade moraju biti usklađene s ciljem postizanja potražnje za primarnom energijom (PED) koja je najmanje 20 % niža od zahtjeva za zgradu gotovo nulte energije u skladu s nacionalnim smjernicama, što se osigurava energetskim certifi</w:t>
            </w:r>
            <w:r>
              <w:rPr>
                <w:noProof/>
              </w:rPr>
              <w:t>katima.</w:t>
            </w:r>
          </w:p>
        </w:tc>
      </w:tr>
      <w:tr w:rsidR="003F46B9" w14:paraId="22BFC567"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492A5B55" w14:textId="77777777" w:rsidR="003F46B9" w:rsidRDefault="0065662E">
            <w:pPr>
              <w:pStyle w:val="P68B1DB1-Normal5"/>
              <w:spacing w:after="0" w:line="240" w:lineRule="auto"/>
              <w:jc w:val="center"/>
              <w:rPr>
                <w:rFonts w:cs="Times New Roman"/>
                <w:noProof/>
              </w:rPr>
            </w:pPr>
            <w:r>
              <w:rPr>
                <w:noProof/>
              </w:rPr>
              <w:t>319</w:t>
            </w:r>
          </w:p>
        </w:tc>
        <w:tc>
          <w:tcPr>
            <w:tcW w:w="1985" w:type="dxa"/>
            <w:tcBorders>
              <w:top w:val="single" w:sz="4" w:space="0" w:color="auto"/>
              <w:left w:val="nil"/>
              <w:bottom w:val="single" w:sz="4" w:space="0" w:color="auto"/>
              <w:right w:val="single" w:sz="4" w:space="0" w:color="auto"/>
            </w:tcBorders>
            <w:shd w:val="clear" w:color="auto" w:fill="C6EFCE"/>
            <w:noWrap/>
          </w:tcPr>
          <w:p w14:paraId="78FEAA36" w14:textId="77777777" w:rsidR="003F46B9" w:rsidRDefault="0065662E">
            <w:pPr>
              <w:pStyle w:val="P68B1DB1-Normal5"/>
              <w:spacing w:after="0" w:line="240" w:lineRule="auto"/>
              <w:jc w:val="both"/>
              <w:rPr>
                <w:rFonts w:cs="Times New Roman"/>
                <w:noProof/>
              </w:rPr>
            </w:pPr>
            <w:r>
              <w:rPr>
                <w:noProof/>
              </w:rPr>
              <w:t>Ulaganje 2. Izgradnja stambenog prostora za mlade i stručnjake u području zdravstva i obrazovanja</w:t>
            </w:r>
          </w:p>
        </w:tc>
        <w:tc>
          <w:tcPr>
            <w:tcW w:w="1276" w:type="dxa"/>
            <w:tcBorders>
              <w:top w:val="single" w:sz="4" w:space="0" w:color="auto"/>
              <w:left w:val="nil"/>
              <w:bottom w:val="single" w:sz="4" w:space="0" w:color="auto"/>
              <w:right w:val="single" w:sz="4" w:space="0" w:color="auto"/>
            </w:tcBorders>
            <w:shd w:val="clear" w:color="auto" w:fill="C6EFCE"/>
            <w:noWrap/>
          </w:tcPr>
          <w:p w14:paraId="5CD4CDC1" w14:textId="77777777" w:rsidR="003F46B9" w:rsidRDefault="0065662E">
            <w:pPr>
              <w:pStyle w:val="P68B1DB1-Normal5"/>
              <w:spacing w:after="0" w:line="240" w:lineRule="auto"/>
              <w:jc w:val="both"/>
              <w:rPr>
                <w:rFonts w:cs="Times New Roman"/>
                <w:noProof/>
              </w:rPr>
            </w:pPr>
            <w:r>
              <w:rPr>
                <w:noProof/>
              </w:rPr>
              <w:t>Ciljna</w:t>
            </w:r>
          </w:p>
        </w:tc>
        <w:tc>
          <w:tcPr>
            <w:tcW w:w="1417" w:type="dxa"/>
            <w:tcBorders>
              <w:top w:val="single" w:sz="4" w:space="0" w:color="auto"/>
              <w:left w:val="nil"/>
              <w:bottom w:val="single" w:sz="4" w:space="0" w:color="auto"/>
              <w:right w:val="single" w:sz="4" w:space="0" w:color="auto"/>
            </w:tcBorders>
            <w:shd w:val="clear" w:color="auto" w:fill="C6EFCE"/>
            <w:noWrap/>
          </w:tcPr>
          <w:p w14:paraId="6AE653EE" w14:textId="77777777" w:rsidR="003F46B9" w:rsidRDefault="0065662E">
            <w:pPr>
              <w:pStyle w:val="P68B1DB1-Normal5"/>
              <w:spacing w:after="0" w:line="240" w:lineRule="auto"/>
              <w:jc w:val="both"/>
              <w:rPr>
                <w:rFonts w:cs="Times New Roman"/>
                <w:noProof/>
              </w:rPr>
            </w:pPr>
            <w:r>
              <w:rPr>
                <w:noProof/>
              </w:rPr>
              <w:t xml:space="preserve">Stambene jedinice izgrađene za stručnjake u području zdravstva i obrazovanja </w:t>
            </w:r>
          </w:p>
        </w:tc>
        <w:tc>
          <w:tcPr>
            <w:tcW w:w="1498" w:type="dxa"/>
            <w:tcBorders>
              <w:top w:val="single" w:sz="4" w:space="0" w:color="auto"/>
              <w:left w:val="nil"/>
              <w:bottom w:val="single" w:sz="4" w:space="0" w:color="auto"/>
              <w:right w:val="single" w:sz="4" w:space="0" w:color="auto"/>
            </w:tcBorders>
            <w:shd w:val="clear" w:color="auto" w:fill="C6EFCE"/>
            <w:noWrap/>
          </w:tcPr>
          <w:p w14:paraId="212EC41A" w14:textId="77777777" w:rsidR="003F46B9" w:rsidRDefault="0065662E">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A25EFFD" w14:textId="77777777" w:rsidR="003F46B9" w:rsidRDefault="0065662E">
            <w:pPr>
              <w:pStyle w:val="P68B1DB1-Normal5"/>
              <w:spacing w:after="0" w:line="240" w:lineRule="auto"/>
              <w:jc w:val="both"/>
              <w:rPr>
                <w:rFonts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3C748EE2" w14:textId="77777777" w:rsidR="003F46B9" w:rsidRDefault="0065662E">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5E9A4300" w14:textId="465F4982" w:rsidR="003F46B9" w:rsidRDefault="0065662E">
            <w:pPr>
              <w:pStyle w:val="P68B1DB1-Normal5"/>
              <w:spacing w:after="0" w:line="240" w:lineRule="auto"/>
              <w:jc w:val="both"/>
              <w:rPr>
                <w:rFonts w:cs="Times New Roman"/>
                <w:noProof/>
              </w:rPr>
            </w:pPr>
            <w:r>
              <w:rPr>
                <w:noProof/>
              </w:rPr>
              <w:t>873</w:t>
            </w:r>
          </w:p>
          <w:p w14:paraId="5F093B1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002D4810"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64324BB4"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788F1394" w14:textId="77777777" w:rsidR="003F46B9" w:rsidRDefault="0065662E">
            <w:pPr>
              <w:pStyle w:val="P68B1DB1-Normal5"/>
              <w:spacing w:after="0" w:line="240" w:lineRule="auto"/>
              <w:jc w:val="both"/>
              <w:rPr>
                <w:rFonts w:cs="Times New Roman"/>
                <w:noProof/>
              </w:rPr>
            </w:pPr>
            <w:r>
              <w:rPr>
                <w:noProof/>
              </w:rPr>
              <w:t xml:space="preserve">Broj stambenih jedinica </w:t>
            </w:r>
            <w:r>
              <w:rPr>
                <w:noProof/>
              </w:rPr>
              <w:t>izgrađenih za stručnjake u zdravstvu i obrazovanju, u gradovima ili ruralnim područjima u kojima pristup obrazovanju i zdravstvenoj skrbi nije dovoljan zbog nedostatka stručnjaka, kako je utvrđeno u ključnoj etapi 317.</w:t>
            </w:r>
          </w:p>
          <w:p w14:paraId="23EEFF2A" w14:textId="77777777" w:rsidR="003F46B9" w:rsidRDefault="0065662E">
            <w:pPr>
              <w:pStyle w:val="P68B1DB1-Normal5"/>
              <w:spacing w:after="0" w:line="240" w:lineRule="auto"/>
              <w:jc w:val="both"/>
              <w:rPr>
                <w:rFonts w:cs="Times New Roman"/>
                <w:noProof/>
              </w:rPr>
            </w:pPr>
            <w:r>
              <w:rPr>
                <w:noProof/>
              </w:rPr>
              <w:t>Nove zgrade moraju biti usklađene s c</w:t>
            </w:r>
            <w:r>
              <w:rPr>
                <w:noProof/>
              </w:rPr>
              <w:t>iljem postizanja potražnje za primarnom energijom (PED) koja je najmanje 20 % niža od zahtjeva za zgradu gotovo nulte energije u skladu s nacionalnim smjernicama, što se osigurava energetskim certifikatima.</w:t>
            </w:r>
          </w:p>
        </w:tc>
      </w:tr>
      <w:tr w:rsidR="003F46B9" w14:paraId="7D3BB373"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3204BD69" w14:textId="77777777" w:rsidR="003F46B9" w:rsidRDefault="0065662E">
            <w:pPr>
              <w:pStyle w:val="P68B1DB1-Normal5"/>
              <w:spacing w:after="0" w:line="240" w:lineRule="auto"/>
              <w:jc w:val="center"/>
              <w:rPr>
                <w:rFonts w:cs="Times New Roman"/>
                <w:noProof/>
              </w:rPr>
            </w:pPr>
            <w:r>
              <w:rPr>
                <w:noProof/>
              </w:rPr>
              <w:t>320</w:t>
            </w:r>
          </w:p>
        </w:tc>
        <w:tc>
          <w:tcPr>
            <w:tcW w:w="1985" w:type="dxa"/>
            <w:tcBorders>
              <w:top w:val="single" w:sz="4" w:space="0" w:color="auto"/>
              <w:left w:val="nil"/>
              <w:bottom w:val="single" w:sz="4" w:space="0" w:color="auto"/>
              <w:right w:val="single" w:sz="4" w:space="0" w:color="auto"/>
            </w:tcBorders>
            <w:shd w:val="clear" w:color="auto" w:fill="C6EFCE"/>
            <w:noWrap/>
          </w:tcPr>
          <w:p w14:paraId="7AE33970" w14:textId="77777777" w:rsidR="003F46B9" w:rsidRDefault="0065662E">
            <w:pPr>
              <w:pStyle w:val="P68B1DB1-Normal5"/>
              <w:spacing w:after="0" w:line="240" w:lineRule="auto"/>
              <w:jc w:val="both"/>
              <w:rPr>
                <w:rFonts w:cs="Times New Roman"/>
                <w:noProof/>
              </w:rPr>
            </w:pPr>
            <w:r>
              <w:rPr>
                <w:noProof/>
              </w:rPr>
              <w:t xml:space="preserve">Ulaganje 3. Umjerena obnova javnih zgrada kako bi se poboljšalo pružanje javnih usluga upravnih teritorijalnih jedinica </w:t>
            </w:r>
          </w:p>
        </w:tc>
        <w:tc>
          <w:tcPr>
            <w:tcW w:w="1276" w:type="dxa"/>
            <w:tcBorders>
              <w:top w:val="single" w:sz="4" w:space="0" w:color="auto"/>
              <w:left w:val="nil"/>
              <w:bottom w:val="single" w:sz="4" w:space="0" w:color="auto"/>
              <w:right w:val="single" w:sz="4" w:space="0" w:color="auto"/>
            </w:tcBorders>
            <w:shd w:val="clear" w:color="auto" w:fill="C6EFCE"/>
            <w:noWrap/>
          </w:tcPr>
          <w:p w14:paraId="7A1F64C9"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single" w:sz="4" w:space="0" w:color="auto"/>
              <w:left w:val="nil"/>
              <w:bottom w:val="single" w:sz="4" w:space="0" w:color="auto"/>
              <w:right w:val="single" w:sz="4" w:space="0" w:color="auto"/>
            </w:tcBorders>
            <w:shd w:val="clear" w:color="auto" w:fill="C6EFCE"/>
            <w:noWrap/>
          </w:tcPr>
          <w:p w14:paraId="216A70D4" w14:textId="77777777" w:rsidR="003F46B9" w:rsidRDefault="0065662E">
            <w:pPr>
              <w:pStyle w:val="P68B1DB1-Normal5"/>
              <w:spacing w:after="0" w:line="240" w:lineRule="auto"/>
              <w:jc w:val="both"/>
              <w:rPr>
                <w:rFonts w:cs="Times New Roman"/>
                <w:noProof/>
              </w:rPr>
            </w:pPr>
            <w:r>
              <w:rPr>
                <w:noProof/>
              </w:rPr>
              <w:t>Potpisivanje ugovora</w:t>
            </w:r>
          </w:p>
          <w:p w14:paraId="0B772799" w14:textId="77777777" w:rsidR="003F46B9" w:rsidRDefault="0065662E">
            <w:pPr>
              <w:pStyle w:val="P68B1DB1-Normal5"/>
              <w:spacing w:after="0" w:line="240" w:lineRule="auto"/>
              <w:jc w:val="both"/>
              <w:rPr>
                <w:rFonts w:cs="Times New Roman"/>
                <w:noProof/>
              </w:rPr>
            </w:pPr>
            <w:r>
              <w:rPr>
                <w:noProof/>
              </w:rPr>
              <w:t>za umjerenu obnovu javnih zgrada</w:t>
            </w:r>
          </w:p>
        </w:tc>
        <w:tc>
          <w:tcPr>
            <w:tcW w:w="1498" w:type="dxa"/>
            <w:tcBorders>
              <w:top w:val="single" w:sz="4" w:space="0" w:color="auto"/>
              <w:left w:val="nil"/>
              <w:bottom w:val="single" w:sz="4" w:space="0" w:color="auto"/>
              <w:right w:val="single" w:sz="4" w:space="0" w:color="auto"/>
            </w:tcBorders>
            <w:shd w:val="clear" w:color="auto" w:fill="C6EFCE"/>
            <w:noWrap/>
          </w:tcPr>
          <w:p w14:paraId="7536BCFF" w14:textId="77777777" w:rsidR="003F46B9" w:rsidRDefault="0065662E">
            <w:pPr>
              <w:pStyle w:val="P68B1DB1-Normal5"/>
              <w:spacing w:after="0" w:line="240" w:lineRule="auto"/>
              <w:jc w:val="both"/>
              <w:rPr>
                <w:rFonts w:cs="Times New Roman"/>
                <w:noProof/>
              </w:rPr>
            </w:pPr>
            <w:r>
              <w:rPr>
                <w:noProof/>
              </w:rPr>
              <w:t>Potpisivanje ugovora</w:t>
            </w:r>
          </w:p>
        </w:tc>
        <w:tc>
          <w:tcPr>
            <w:tcW w:w="1332" w:type="dxa"/>
            <w:tcBorders>
              <w:top w:val="single" w:sz="4" w:space="0" w:color="auto"/>
              <w:left w:val="nil"/>
              <w:bottom w:val="single" w:sz="4" w:space="0" w:color="auto"/>
              <w:right w:val="single" w:sz="4" w:space="0" w:color="auto"/>
            </w:tcBorders>
            <w:shd w:val="clear" w:color="auto" w:fill="C6EFCE"/>
            <w:noWrap/>
          </w:tcPr>
          <w:p w14:paraId="4FFD671D"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769B3B4"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3D1FD702"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98840AC" w14:textId="77777777" w:rsidR="003F46B9" w:rsidRDefault="0065662E">
            <w:pPr>
              <w:pStyle w:val="P68B1DB1-Normal5"/>
              <w:spacing w:after="0" w:line="240" w:lineRule="auto"/>
              <w:jc w:val="both"/>
              <w:rPr>
                <w:rFonts w:cs="Times New Roman"/>
                <w:noProof/>
              </w:rPr>
            </w:pPr>
            <w:r>
              <w:rPr>
                <w:noProof/>
              </w:rPr>
              <w:t>ČETVRTO TROMJESEČJE</w:t>
            </w:r>
          </w:p>
          <w:p w14:paraId="26C33DB4" w14:textId="77777777" w:rsidR="003F46B9" w:rsidRDefault="003F46B9">
            <w:pPr>
              <w:spacing w:after="0" w:line="240" w:lineRule="auto"/>
              <w:jc w:val="both"/>
              <w:rPr>
                <w:rFonts w:ascii="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2B22F1F7" w14:textId="77777777" w:rsidR="003F46B9" w:rsidRDefault="0065662E">
            <w:pPr>
              <w:pStyle w:val="P68B1DB1-Normal5"/>
              <w:spacing w:after="0" w:line="240" w:lineRule="auto"/>
              <w:jc w:val="both"/>
              <w:rPr>
                <w:rFonts w:cs="Times New Roman"/>
                <w:noProof/>
              </w:rPr>
            </w:pPr>
            <w:r>
              <w:rPr>
                <w:noProof/>
              </w:rPr>
              <w:t>2022</w:t>
            </w:r>
          </w:p>
          <w:p w14:paraId="14C188C9" w14:textId="77777777" w:rsidR="003F46B9" w:rsidRDefault="003F46B9">
            <w:pPr>
              <w:spacing w:after="0" w:line="240" w:lineRule="auto"/>
              <w:jc w:val="both"/>
              <w:rPr>
                <w:rFonts w:ascii="Times New Roman" w:hAnsi="Times New Roman" w:cs="Times New Roman"/>
                <w:noProof/>
                <w:sz w:val="24"/>
              </w:rPr>
            </w:pPr>
          </w:p>
        </w:tc>
        <w:tc>
          <w:tcPr>
            <w:tcW w:w="3159" w:type="dxa"/>
            <w:tcBorders>
              <w:top w:val="single" w:sz="4" w:space="0" w:color="auto"/>
              <w:left w:val="nil"/>
              <w:bottom w:val="single" w:sz="4" w:space="0" w:color="auto"/>
              <w:right w:val="single" w:sz="4" w:space="0" w:color="auto"/>
            </w:tcBorders>
            <w:shd w:val="clear" w:color="auto" w:fill="C6EFCE"/>
            <w:noWrap/>
          </w:tcPr>
          <w:p w14:paraId="5FA9334D" w14:textId="77777777" w:rsidR="003F46B9" w:rsidRDefault="0065662E">
            <w:pPr>
              <w:pStyle w:val="P68B1DB1-Normal5"/>
              <w:spacing w:after="0" w:line="240" w:lineRule="auto"/>
              <w:jc w:val="both"/>
              <w:rPr>
                <w:rFonts w:cs="Times New Roman"/>
                <w:noProof/>
              </w:rPr>
            </w:pPr>
            <w:r>
              <w:rPr>
                <w:noProof/>
              </w:rPr>
              <w:t xml:space="preserve">Programom se utvrđuju kriteriji i uvjeti koje treba ispuniti za umjerenu obnovu javnih zgrada koji, među ostalim, uključuju sljedeće uvjete: </w:t>
            </w:r>
          </w:p>
          <w:p w14:paraId="7921F838"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Prihvatljivi su samo gradovi i općine</w:t>
            </w:r>
          </w:p>
          <w:p w14:paraId="273C8816"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Prihvatljive su samo javne zgrade čija je svrha pružanje lokalnih javnih usl</w:t>
            </w:r>
            <w:r>
              <w:rPr>
                <w:noProof/>
              </w:rPr>
              <w:t>uga (npr. zgrade u vijećnici, zgrade za socijalne usluge).</w:t>
            </w:r>
          </w:p>
          <w:p w14:paraId="583D84B0" w14:textId="77777777" w:rsidR="003F46B9" w:rsidRDefault="0065662E">
            <w:pPr>
              <w:pStyle w:val="P68B1DB1-Normal5"/>
              <w:numPr>
                <w:ilvl w:val="0"/>
                <w:numId w:val="83"/>
              </w:numPr>
              <w:pBdr>
                <w:top w:val="nil"/>
                <w:left w:val="nil"/>
                <w:bottom w:val="nil"/>
                <w:right w:val="nil"/>
                <w:between w:val="nil"/>
              </w:pBdr>
              <w:spacing w:after="0" w:line="240" w:lineRule="auto"/>
              <w:ind w:left="175" w:hanging="217"/>
              <w:jc w:val="both"/>
              <w:rPr>
                <w:rFonts w:cs="Times New Roman"/>
                <w:noProof/>
              </w:rPr>
            </w:pPr>
            <w:r>
              <w:rPr>
                <w:noProof/>
              </w:rPr>
              <w:t>Projekti umjerene naknadne ugradnje dovode do smanjenja potražnje za primarnom energijom za 30 %, što se dokazuje energetskim certifikatima.</w:t>
            </w:r>
          </w:p>
          <w:p w14:paraId="4B1845D4" w14:textId="77777777" w:rsidR="003F46B9" w:rsidRDefault="0065662E">
            <w:pPr>
              <w:pStyle w:val="P68B1DB1-Normal5"/>
              <w:spacing w:after="0" w:line="240" w:lineRule="auto"/>
              <w:jc w:val="both"/>
              <w:rPr>
                <w:rFonts w:cs="Times New Roman"/>
                <w:noProof/>
              </w:rPr>
            </w:pPr>
            <w:r>
              <w:rPr>
                <w:noProof/>
              </w:rPr>
              <w:t>U ulaganjima za umjerenu obnovu javnih zgrada troškovi n</w:t>
            </w:r>
            <w:r>
              <w:rPr>
                <w:noProof/>
              </w:rPr>
              <w:t>eenergetskog sustava ne smiju premašiti 10 % ukupnog troška.</w:t>
            </w:r>
          </w:p>
        </w:tc>
      </w:tr>
      <w:tr w:rsidR="003F46B9" w14:paraId="3DF42CDD"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122ECAC3" w14:textId="77777777" w:rsidR="003F46B9" w:rsidRDefault="0065662E">
            <w:pPr>
              <w:pStyle w:val="P68B1DB1-Normal5"/>
              <w:spacing w:after="0" w:line="240" w:lineRule="auto"/>
              <w:jc w:val="center"/>
              <w:rPr>
                <w:rFonts w:cs="Times New Roman"/>
                <w:noProof/>
              </w:rPr>
            </w:pPr>
            <w:r>
              <w:rPr>
                <w:noProof/>
              </w:rPr>
              <w:t>322</w:t>
            </w:r>
          </w:p>
        </w:tc>
        <w:tc>
          <w:tcPr>
            <w:tcW w:w="1985" w:type="dxa"/>
            <w:tcBorders>
              <w:top w:val="single" w:sz="4" w:space="0" w:color="auto"/>
              <w:left w:val="nil"/>
              <w:bottom w:val="single" w:sz="4" w:space="0" w:color="auto"/>
              <w:right w:val="single" w:sz="4" w:space="0" w:color="auto"/>
            </w:tcBorders>
            <w:shd w:val="clear" w:color="auto" w:fill="C6EFCE"/>
            <w:noWrap/>
          </w:tcPr>
          <w:p w14:paraId="28254BEB" w14:textId="77777777" w:rsidR="003F46B9" w:rsidRDefault="0065662E">
            <w:pPr>
              <w:pStyle w:val="P68B1DB1-Normal5"/>
              <w:spacing w:after="0" w:line="240" w:lineRule="auto"/>
              <w:jc w:val="both"/>
              <w:rPr>
                <w:rFonts w:cs="Times New Roman"/>
                <w:noProof/>
              </w:rPr>
            </w:pPr>
            <w:r>
              <w:rPr>
                <w:noProof/>
              </w:rPr>
              <w:t xml:space="preserve">Ulaganje 3. Umjerena obnova javnih zgrada kako bi se poboljšalo pružanje javnih usluga upravnih teritorijalnih jedinica </w:t>
            </w:r>
          </w:p>
        </w:tc>
        <w:tc>
          <w:tcPr>
            <w:tcW w:w="1276" w:type="dxa"/>
            <w:tcBorders>
              <w:top w:val="single" w:sz="4" w:space="0" w:color="auto"/>
              <w:left w:val="nil"/>
              <w:bottom w:val="single" w:sz="4" w:space="0" w:color="auto"/>
              <w:right w:val="single" w:sz="4" w:space="0" w:color="auto"/>
            </w:tcBorders>
            <w:shd w:val="clear" w:color="auto" w:fill="C6EFCE"/>
            <w:noWrap/>
          </w:tcPr>
          <w:p w14:paraId="39DE4F3D" w14:textId="77777777" w:rsidR="003F46B9" w:rsidRDefault="0065662E">
            <w:pPr>
              <w:pStyle w:val="P68B1DB1-Normal5"/>
              <w:spacing w:after="0" w:line="240" w:lineRule="auto"/>
              <w:jc w:val="both"/>
              <w:rPr>
                <w:rFonts w:cs="Times New Roman"/>
                <w:noProof/>
              </w:rPr>
            </w:pPr>
            <w:r>
              <w:rPr>
                <w:noProof/>
              </w:rPr>
              <w:t xml:space="preserve">Ciljna </w:t>
            </w:r>
          </w:p>
        </w:tc>
        <w:tc>
          <w:tcPr>
            <w:tcW w:w="1417" w:type="dxa"/>
            <w:tcBorders>
              <w:top w:val="single" w:sz="4" w:space="0" w:color="auto"/>
              <w:left w:val="nil"/>
              <w:bottom w:val="single" w:sz="4" w:space="0" w:color="auto"/>
              <w:right w:val="single" w:sz="4" w:space="0" w:color="auto"/>
            </w:tcBorders>
            <w:shd w:val="clear" w:color="auto" w:fill="C6EFCE"/>
            <w:noWrap/>
          </w:tcPr>
          <w:p w14:paraId="20929AF9" w14:textId="77777777" w:rsidR="003F46B9" w:rsidRDefault="0065662E">
            <w:pPr>
              <w:pStyle w:val="P68B1DB1-Normal5"/>
              <w:spacing w:after="0" w:line="240" w:lineRule="auto"/>
              <w:jc w:val="both"/>
              <w:rPr>
                <w:rFonts w:cs="Times New Roman"/>
                <w:noProof/>
              </w:rPr>
            </w:pPr>
            <w:r>
              <w:rPr>
                <w:noProof/>
              </w:rPr>
              <w:t xml:space="preserve">Površina obnovljenih javnih zgrada u kvadratnim metrima </w:t>
            </w:r>
          </w:p>
        </w:tc>
        <w:tc>
          <w:tcPr>
            <w:tcW w:w="1498" w:type="dxa"/>
            <w:tcBorders>
              <w:top w:val="single" w:sz="4" w:space="0" w:color="auto"/>
              <w:left w:val="nil"/>
              <w:bottom w:val="single" w:sz="4" w:space="0" w:color="auto"/>
              <w:right w:val="single" w:sz="4" w:space="0" w:color="auto"/>
            </w:tcBorders>
            <w:shd w:val="clear" w:color="auto" w:fill="C6EFCE"/>
            <w:noWrap/>
          </w:tcPr>
          <w:p w14:paraId="335004B2" w14:textId="77777777" w:rsidR="003F46B9" w:rsidRDefault="0065662E">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1FD0EA05" w14:textId="77777777" w:rsidR="003F46B9" w:rsidRDefault="0065662E">
            <w:pPr>
              <w:pStyle w:val="P68B1DB1-Normal5"/>
              <w:spacing w:after="0" w:line="240" w:lineRule="auto"/>
              <w:jc w:val="both"/>
              <w:rPr>
                <w:rFonts w:cs="Times New Roman"/>
                <w:noProof/>
              </w:rPr>
            </w:pPr>
            <w:r>
              <w:rPr>
                <w:noProof/>
              </w:rPr>
              <w:t>Broj m²</w:t>
            </w:r>
          </w:p>
        </w:tc>
        <w:tc>
          <w:tcPr>
            <w:tcW w:w="1134" w:type="dxa"/>
            <w:tcBorders>
              <w:top w:val="single" w:sz="4" w:space="0" w:color="auto"/>
              <w:left w:val="nil"/>
              <w:bottom w:val="single" w:sz="4" w:space="0" w:color="auto"/>
              <w:right w:val="single" w:sz="4" w:space="0" w:color="auto"/>
            </w:tcBorders>
            <w:shd w:val="clear" w:color="auto" w:fill="C6EFCE"/>
            <w:noWrap/>
          </w:tcPr>
          <w:p w14:paraId="2CAE94FD" w14:textId="5093D4D2" w:rsidR="003F46B9" w:rsidRDefault="0065662E">
            <w:pPr>
              <w:pStyle w:val="P68B1DB1-Normal5"/>
              <w:spacing w:after="0" w:line="240" w:lineRule="auto"/>
              <w:jc w:val="both"/>
              <w:rPr>
                <w:rFonts w:cs="Times New Roman"/>
                <w:noProof/>
              </w:rPr>
            </w:pPr>
            <w:r>
              <w:rPr>
                <w:noProof/>
              </w:rPr>
              <w:t>0</w:t>
            </w:r>
          </w:p>
        </w:tc>
        <w:tc>
          <w:tcPr>
            <w:tcW w:w="714" w:type="dxa"/>
            <w:tcBorders>
              <w:top w:val="single" w:sz="4" w:space="0" w:color="auto"/>
              <w:left w:val="nil"/>
              <w:bottom w:val="single" w:sz="4" w:space="0" w:color="auto"/>
              <w:right w:val="single" w:sz="4" w:space="0" w:color="auto"/>
            </w:tcBorders>
            <w:shd w:val="clear" w:color="auto" w:fill="C6EFCE"/>
            <w:noWrap/>
          </w:tcPr>
          <w:p w14:paraId="40967937" w14:textId="5193072F" w:rsidR="003F46B9" w:rsidRDefault="0065662E">
            <w:pPr>
              <w:pStyle w:val="P68B1DB1-Normal5"/>
              <w:spacing w:after="0" w:line="240" w:lineRule="auto"/>
              <w:jc w:val="both"/>
              <w:rPr>
                <w:rFonts w:cs="Times New Roman"/>
                <w:noProof/>
              </w:rPr>
            </w:pPr>
            <w:r>
              <w:rPr>
                <w:noProof/>
              </w:rPr>
              <w:t>1 015 481</w:t>
            </w:r>
          </w:p>
        </w:tc>
        <w:tc>
          <w:tcPr>
            <w:tcW w:w="1134" w:type="dxa"/>
            <w:tcBorders>
              <w:top w:val="single" w:sz="4" w:space="0" w:color="auto"/>
              <w:left w:val="nil"/>
              <w:bottom w:val="single" w:sz="4" w:space="0" w:color="auto"/>
              <w:right w:val="single" w:sz="4" w:space="0" w:color="auto"/>
            </w:tcBorders>
            <w:shd w:val="clear" w:color="auto" w:fill="C6EFCE"/>
            <w:noWrap/>
          </w:tcPr>
          <w:p w14:paraId="67B4FB82"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2521A3D6"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16971B04" w14:textId="77777777" w:rsidR="003F46B9" w:rsidRDefault="0065662E">
            <w:pPr>
              <w:pStyle w:val="P68B1DB1-Normal5"/>
              <w:spacing w:after="0" w:line="240" w:lineRule="auto"/>
              <w:jc w:val="both"/>
              <w:rPr>
                <w:rFonts w:cs="Times New Roman"/>
                <w:noProof/>
              </w:rPr>
            </w:pPr>
            <w:r>
              <w:rPr>
                <w:noProof/>
              </w:rPr>
              <w:t>Cilj obuhvaća ukupno izgrađeno područje koje treba umjereno obnoviti, izraženo u kvadratnim metrima i dokazano smanjenjem potražnje za primarnom energijom za 30 % energetskim certifikatima.</w:t>
            </w:r>
          </w:p>
        </w:tc>
      </w:tr>
      <w:tr w:rsidR="003F46B9" w14:paraId="73CA0AE9"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5B69EDE7" w14:textId="77777777" w:rsidR="003F46B9" w:rsidRDefault="0065662E">
            <w:pPr>
              <w:pStyle w:val="P68B1DB1-Normal5"/>
              <w:spacing w:after="0" w:line="240" w:lineRule="auto"/>
              <w:jc w:val="center"/>
              <w:rPr>
                <w:rFonts w:cs="Times New Roman"/>
                <w:noProof/>
              </w:rPr>
            </w:pPr>
            <w:r>
              <w:rPr>
                <w:noProof/>
              </w:rPr>
              <w:t>323</w:t>
            </w:r>
          </w:p>
        </w:tc>
        <w:tc>
          <w:tcPr>
            <w:tcW w:w="1985" w:type="dxa"/>
            <w:tcBorders>
              <w:top w:val="single" w:sz="4" w:space="0" w:color="auto"/>
              <w:left w:val="nil"/>
              <w:bottom w:val="single" w:sz="4" w:space="0" w:color="auto"/>
              <w:right w:val="single" w:sz="4" w:space="0" w:color="auto"/>
            </w:tcBorders>
            <w:shd w:val="clear" w:color="auto" w:fill="C6EFCE"/>
            <w:noWrap/>
          </w:tcPr>
          <w:p w14:paraId="09D8AC09" w14:textId="77777777" w:rsidR="003F46B9" w:rsidRDefault="0065662E">
            <w:pPr>
              <w:pStyle w:val="P68B1DB1-Normal5"/>
              <w:spacing w:after="0" w:line="240" w:lineRule="auto"/>
              <w:jc w:val="both"/>
              <w:rPr>
                <w:rFonts w:cs="Times New Roman"/>
                <w:noProof/>
              </w:rPr>
            </w:pPr>
            <w:r>
              <w:rPr>
                <w:noProof/>
              </w:rPr>
              <w:t xml:space="preserve">Ulaganje 4. Razvoj/ažuriranje dokumenata prostornog planiranja i urbanističkog planiranja u GIS formatu </w:t>
            </w:r>
          </w:p>
        </w:tc>
        <w:tc>
          <w:tcPr>
            <w:tcW w:w="1276" w:type="dxa"/>
            <w:tcBorders>
              <w:top w:val="single" w:sz="4" w:space="0" w:color="auto"/>
              <w:left w:val="nil"/>
              <w:bottom w:val="single" w:sz="4" w:space="0" w:color="auto"/>
              <w:right w:val="single" w:sz="4" w:space="0" w:color="auto"/>
            </w:tcBorders>
            <w:shd w:val="clear" w:color="auto" w:fill="C6EFCE"/>
            <w:noWrap/>
          </w:tcPr>
          <w:p w14:paraId="584C8513" w14:textId="77777777" w:rsidR="003F46B9" w:rsidRDefault="0065662E">
            <w:pPr>
              <w:pStyle w:val="P68B1DB1-Normal5"/>
              <w:spacing w:after="0" w:line="240" w:lineRule="auto"/>
              <w:jc w:val="both"/>
              <w:rPr>
                <w:rFonts w:cs="Times New Roman"/>
                <w:noProof/>
              </w:rPr>
            </w:pPr>
            <w:r>
              <w:rPr>
                <w:noProof/>
              </w:rPr>
              <w:t>Prekretnica</w:t>
            </w:r>
          </w:p>
        </w:tc>
        <w:tc>
          <w:tcPr>
            <w:tcW w:w="1417" w:type="dxa"/>
            <w:tcBorders>
              <w:top w:val="single" w:sz="4" w:space="0" w:color="auto"/>
              <w:left w:val="nil"/>
              <w:bottom w:val="single" w:sz="4" w:space="0" w:color="auto"/>
              <w:right w:val="single" w:sz="4" w:space="0" w:color="auto"/>
            </w:tcBorders>
            <w:shd w:val="clear" w:color="auto" w:fill="C6EFCE"/>
            <w:noWrap/>
          </w:tcPr>
          <w:p w14:paraId="0A99FF66" w14:textId="77777777" w:rsidR="003F46B9" w:rsidRDefault="0065662E">
            <w:pPr>
              <w:pStyle w:val="P68B1DB1-Normal5"/>
              <w:spacing w:after="0" w:line="240" w:lineRule="auto"/>
              <w:jc w:val="both"/>
              <w:rPr>
                <w:rFonts w:cs="Times New Roman"/>
                <w:noProof/>
              </w:rPr>
            </w:pPr>
            <w:r>
              <w:rPr>
                <w:noProof/>
              </w:rPr>
              <w:t xml:space="preserve">Potpisivanje ugovora za izradu/ažuriranje prostornog planiranja, urbanističkog planiranja i dokumentacije planova održive gradske </w:t>
            </w:r>
            <w:r>
              <w:rPr>
                <w:noProof/>
              </w:rPr>
              <w:t>mobilnosti.</w:t>
            </w:r>
          </w:p>
        </w:tc>
        <w:tc>
          <w:tcPr>
            <w:tcW w:w="1498" w:type="dxa"/>
            <w:tcBorders>
              <w:top w:val="single" w:sz="4" w:space="0" w:color="auto"/>
              <w:left w:val="nil"/>
              <w:bottom w:val="single" w:sz="4" w:space="0" w:color="auto"/>
              <w:right w:val="single" w:sz="4" w:space="0" w:color="auto"/>
            </w:tcBorders>
            <w:shd w:val="clear" w:color="auto" w:fill="C6EFCE"/>
            <w:noWrap/>
          </w:tcPr>
          <w:p w14:paraId="50E7A932" w14:textId="77777777" w:rsidR="003F46B9" w:rsidRDefault="0065662E">
            <w:pPr>
              <w:pStyle w:val="P68B1DB1-Normal5"/>
              <w:spacing w:after="0" w:line="240" w:lineRule="auto"/>
              <w:jc w:val="both"/>
              <w:rPr>
                <w:rFonts w:cs="Times New Roman"/>
                <w:noProof/>
              </w:rPr>
            </w:pPr>
            <w:r>
              <w:rPr>
                <w:noProof/>
              </w:rPr>
              <w:t>Potpisivanje ugovora</w:t>
            </w:r>
          </w:p>
        </w:tc>
        <w:tc>
          <w:tcPr>
            <w:tcW w:w="1332" w:type="dxa"/>
            <w:tcBorders>
              <w:top w:val="single" w:sz="4" w:space="0" w:color="auto"/>
              <w:left w:val="nil"/>
              <w:bottom w:val="single" w:sz="4" w:space="0" w:color="auto"/>
              <w:right w:val="single" w:sz="4" w:space="0" w:color="auto"/>
            </w:tcBorders>
            <w:shd w:val="clear" w:color="auto" w:fill="C6EFCE"/>
            <w:noWrap/>
          </w:tcPr>
          <w:p w14:paraId="6252C565"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C6B928E" w14:textId="77777777" w:rsidR="003F46B9" w:rsidRDefault="0065662E">
            <w:pPr>
              <w:pStyle w:val="P68B1DB1-Normal5"/>
              <w:spacing w:after="0" w:line="240" w:lineRule="auto"/>
              <w:jc w:val="both"/>
              <w:rPr>
                <w:rFonts w:cs="Times New Roman"/>
                <w:noProof/>
              </w:rPr>
            </w:pPr>
            <w:r>
              <w:rPr>
                <w:noProof/>
              </w:rPr>
              <w:t xml:space="preserve"> </w:t>
            </w:r>
          </w:p>
        </w:tc>
        <w:tc>
          <w:tcPr>
            <w:tcW w:w="714" w:type="dxa"/>
            <w:tcBorders>
              <w:top w:val="single" w:sz="4" w:space="0" w:color="auto"/>
              <w:left w:val="nil"/>
              <w:bottom w:val="single" w:sz="4" w:space="0" w:color="auto"/>
              <w:right w:val="single" w:sz="4" w:space="0" w:color="auto"/>
            </w:tcBorders>
            <w:shd w:val="clear" w:color="auto" w:fill="C6EFCE"/>
            <w:noWrap/>
          </w:tcPr>
          <w:p w14:paraId="65E20369"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AA9CB55" w14:textId="77777777" w:rsidR="003F46B9" w:rsidRDefault="0065662E">
            <w:pPr>
              <w:pStyle w:val="P68B1DB1-Normal5"/>
              <w:spacing w:after="0" w:line="240" w:lineRule="auto"/>
              <w:jc w:val="both"/>
              <w:rPr>
                <w:rFonts w:cs="Times New Roman"/>
                <w:noProof/>
              </w:rPr>
            </w:pPr>
            <w:r>
              <w:rPr>
                <w:noProof/>
              </w:rPr>
              <w:t>ČETVRTO TROMJESEČJE</w:t>
            </w:r>
          </w:p>
          <w:p w14:paraId="0D8F24EC" w14:textId="77777777" w:rsidR="003F46B9" w:rsidRDefault="003F46B9">
            <w:pPr>
              <w:spacing w:after="0" w:line="240" w:lineRule="auto"/>
              <w:jc w:val="both"/>
              <w:rPr>
                <w:rFonts w:ascii="Times New Roman" w:hAnsi="Times New Roman" w:cs="Times New Roman"/>
                <w:noProof/>
                <w:sz w:val="24"/>
              </w:rPr>
            </w:pPr>
          </w:p>
        </w:tc>
        <w:tc>
          <w:tcPr>
            <w:tcW w:w="850" w:type="dxa"/>
            <w:tcBorders>
              <w:top w:val="single" w:sz="4" w:space="0" w:color="auto"/>
              <w:left w:val="nil"/>
              <w:bottom w:val="single" w:sz="4" w:space="0" w:color="auto"/>
              <w:right w:val="single" w:sz="4" w:space="0" w:color="auto"/>
            </w:tcBorders>
            <w:shd w:val="clear" w:color="auto" w:fill="C6EFCE"/>
            <w:noWrap/>
          </w:tcPr>
          <w:p w14:paraId="47883877" w14:textId="77777777" w:rsidR="003F46B9" w:rsidRDefault="0065662E">
            <w:pPr>
              <w:pStyle w:val="P68B1DB1-Normal5"/>
              <w:spacing w:after="0" w:line="240" w:lineRule="auto"/>
              <w:jc w:val="both"/>
              <w:rPr>
                <w:rFonts w:cs="Times New Roman"/>
                <w:noProof/>
              </w:rPr>
            </w:pPr>
            <w:r>
              <w:rPr>
                <w:noProof/>
              </w:rPr>
              <w:t>2022</w:t>
            </w:r>
          </w:p>
          <w:p w14:paraId="39186D6E" w14:textId="77777777" w:rsidR="003F46B9" w:rsidRDefault="003F46B9">
            <w:pPr>
              <w:spacing w:after="0" w:line="240" w:lineRule="auto"/>
              <w:jc w:val="both"/>
              <w:rPr>
                <w:rFonts w:ascii="Times New Roman" w:hAnsi="Times New Roman" w:cs="Times New Roman"/>
                <w:noProof/>
                <w:sz w:val="24"/>
              </w:rPr>
            </w:pPr>
          </w:p>
        </w:tc>
        <w:tc>
          <w:tcPr>
            <w:tcW w:w="3159" w:type="dxa"/>
            <w:tcBorders>
              <w:top w:val="single" w:sz="4" w:space="0" w:color="auto"/>
              <w:left w:val="nil"/>
              <w:bottom w:val="single" w:sz="4" w:space="0" w:color="auto"/>
              <w:right w:val="single" w:sz="4" w:space="0" w:color="auto"/>
            </w:tcBorders>
            <w:shd w:val="clear" w:color="auto" w:fill="C6EFCE"/>
            <w:noWrap/>
          </w:tcPr>
          <w:p w14:paraId="792AD638" w14:textId="77777777" w:rsidR="003F46B9" w:rsidRDefault="0065662E">
            <w:pPr>
              <w:pStyle w:val="P68B1DB1-Normal5"/>
              <w:spacing w:after="0" w:line="240" w:lineRule="auto"/>
              <w:jc w:val="both"/>
              <w:rPr>
                <w:rFonts w:cs="Times New Roman"/>
                <w:noProof/>
              </w:rPr>
            </w:pPr>
            <w:r>
              <w:rPr>
                <w:noProof/>
              </w:rPr>
              <w:t>Programom se utvrđuju kriteriji i uvjeti koje treba ispuniti za financiranje razvoja/ažuriranja prostornog planiranja, urbanističkog planiranja i planova održive gradske mobilnosti.</w:t>
            </w:r>
          </w:p>
          <w:p w14:paraId="7B692A8F" w14:textId="77777777" w:rsidR="003F46B9" w:rsidRDefault="003F46B9">
            <w:pPr>
              <w:spacing w:after="0" w:line="240" w:lineRule="auto"/>
              <w:jc w:val="both"/>
              <w:rPr>
                <w:rFonts w:ascii="Times New Roman" w:hAnsi="Times New Roman" w:cs="Times New Roman"/>
                <w:noProof/>
                <w:sz w:val="24"/>
              </w:rPr>
            </w:pPr>
          </w:p>
          <w:p w14:paraId="0C92B8D9" w14:textId="77777777" w:rsidR="003F46B9" w:rsidRDefault="0065662E">
            <w:pPr>
              <w:pStyle w:val="P68B1DB1-Normal5"/>
              <w:spacing w:after="0" w:line="240" w:lineRule="auto"/>
              <w:jc w:val="both"/>
              <w:rPr>
                <w:rFonts w:cs="Times New Roman"/>
                <w:noProof/>
              </w:rPr>
            </w:pPr>
            <w:r>
              <w:rPr>
                <w:noProof/>
              </w:rPr>
              <w:t>Izrada/ažuriranje dokumentacije izrađuje se u digitalnom obliku u skladu s odredbama ključne etape 288 i ključne etape 315. Plan održive gradske mobilnosti odobrava nacionalna skupina za optimizaciju planova održive gradske mobilnosti uspostavljena u sklad</w:t>
            </w:r>
            <w:r>
              <w:rPr>
                <w:noProof/>
              </w:rPr>
              <w:t>u s odredbama utvrđenima u ključnoj etapi 289, a dokumentacija o prostornom i urbanističkom planiranju učitava se u Teritorijalni opservatorij. Osigurava se integracija s digitalnom platformom opisanom u ključnoj etapi 316.</w:t>
            </w:r>
          </w:p>
        </w:tc>
      </w:tr>
      <w:tr w:rsidR="003F46B9" w14:paraId="6CE63326" w14:textId="77777777">
        <w:trPr>
          <w:trHeight w:val="313"/>
          <w:jc w:val="center"/>
        </w:trPr>
        <w:tc>
          <w:tcPr>
            <w:tcW w:w="851" w:type="dxa"/>
            <w:tcBorders>
              <w:top w:val="single" w:sz="4" w:space="0" w:color="auto"/>
              <w:left w:val="single" w:sz="4" w:space="0" w:color="auto"/>
              <w:bottom w:val="single" w:sz="4" w:space="0" w:color="auto"/>
              <w:right w:val="single" w:sz="4" w:space="0" w:color="auto"/>
            </w:tcBorders>
            <w:shd w:val="clear" w:color="auto" w:fill="C6EFCE"/>
            <w:noWrap/>
          </w:tcPr>
          <w:p w14:paraId="6271DAAC" w14:textId="77777777" w:rsidR="003F46B9" w:rsidRDefault="0065662E">
            <w:pPr>
              <w:pStyle w:val="P68B1DB1-Normal5"/>
              <w:spacing w:after="0" w:line="240" w:lineRule="auto"/>
              <w:jc w:val="center"/>
              <w:rPr>
                <w:rFonts w:cs="Times New Roman"/>
                <w:noProof/>
              </w:rPr>
            </w:pPr>
            <w:r>
              <w:rPr>
                <w:noProof/>
              </w:rPr>
              <w:t>325</w:t>
            </w:r>
          </w:p>
        </w:tc>
        <w:tc>
          <w:tcPr>
            <w:tcW w:w="1985" w:type="dxa"/>
            <w:tcBorders>
              <w:top w:val="single" w:sz="4" w:space="0" w:color="auto"/>
              <w:left w:val="nil"/>
              <w:bottom w:val="single" w:sz="4" w:space="0" w:color="auto"/>
              <w:right w:val="single" w:sz="4" w:space="0" w:color="auto"/>
            </w:tcBorders>
            <w:shd w:val="clear" w:color="auto" w:fill="C6EFCE"/>
            <w:noWrap/>
          </w:tcPr>
          <w:p w14:paraId="44DEF2D8" w14:textId="77777777" w:rsidR="003F46B9" w:rsidRDefault="0065662E">
            <w:pPr>
              <w:pStyle w:val="P68B1DB1-Normal5"/>
              <w:spacing w:after="0" w:line="240" w:lineRule="auto"/>
              <w:jc w:val="both"/>
              <w:rPr>
                <w:rFonts w:cs="Times New Roman"/>
                <w:noProof/>
              </w:rPr>
            </w:pPr>
            <w:r>
              <w:rPr>
                <w:noProof/>
              </w:rPr>
              <w:t xml:space="preserve">Ulaganje 4. Razvoj/ažuriranje dokumenata prostornog planiranja i urbanističkog planiranja u GIS formatu </w:t>
            </w:r>
          </w:p>
        </w:tc>
        <w:tc>
          <w:tcPr>
            <w:tcW w:w="1276" w:type="dxa"/>
            <w:tcBorders>
              <w:top w:val="single" w:sz="4" w:space="0" w:color="auto"/>
              <w:left w:val="nil"/>
              <w:bottom w:val="single" w:sz="4" w:space="0" w:color="auto"/>
              <w:right w:val="single" w:sz="4" w:space="0" w:color="auto"/>
            </w:tcBorders>
            <w:shd w:val="clear" w:color="auto" w:fill="C6EFCE"/>
            <w:noWrap/>
          </w:tcPr>
          <w:p w14:paraId="381713B3" w14:textId="77777777" w:rsidR="003F46B9" w:rsidRDefault="0065662E">
            <w:pPr>
              <w:pStyle w:val="P68B1DB1-Normal5"/>
              <w:spacing w:after="0" w:line="240" w:lineRule="auto"/>
              <w:jc w:val="both"/>
              <w:rPr>
                <w:rFonts w:cs="Times New Roman"/>
                <w:noProof/>
              </w:rPr>
            </w:pPr>
            <w:r>
              <w:rPr>
                <w:noProof/>
              </w:rPr>
              <w:t xml:space="preserve">Ciljna </w:t>
            </w:r>
          </w:p>
        </w:tc>
        <w:tc>
          <w:tcPr>
            <w:tcW w:w="1417" w:type="dxa"/>
            <w:tcBorders>
              <w:top w:val="single" w:sz="4" w:space="0" w:color="auto"/>
              <w:left w:val="nil"/>
              <w:bottom w:val="single" w:sz="4" w:space="0" w:color="auto"/>
              <w:right w:val="single" w:sz="4" w:space="0" w:color="auto"/>
            </w:tcBorders>
            <w:shd w:val="clear" w:color="auto" w:fill="C6EFCE"/>
            <w:noWrap/>
          </w:tcPr>
          <w:p w14:paraId="685B7B96" w14:textId="77777777" w:rsidR="003F46B9" w:rsidRDefault="0065662E">
            <w:pPr>
              <w:pStyle w:val="P68B1DB1-Normal5"/>
              <w:spacing w:after="0" w:line="240" w:lineRule="auto"/>
              <w:jc w:val="both"/>
              <w:rPr>
                <w:rFonts w:cs="Times New Roman"/>
                <w:noProof/>
              </w:rPr>
            </w:pPr>
            <w:r>
              <w:rPr>
                <w:noProof/>
              </w:rPr>
              <w:t xml:space="preserve">Prostorno planiranje, urbanističko planiranje i planovi održive gradske mobilnosti dovršeni su i preuzeti na platformi Teritorijalnog </w:t>
            </w:r>
            <w:r>
              <w:rPr>
                <w:noProof/>
              </w:rPr>
              <w:t>opservatorija</w:t>
            </w:r>
          </w:p>
        </w:tc>
        <w:tc>
          <w:tcPr>
            <w:tcW w:w="1498" w:type="dxa"/>
            <w:tcBorders>
              <w:top w:val="single" w:sz="4" w:space="0" w:color="auto"/>
              <w:left w:val="nil"/>
              <w:bottom w:val="single" w:sz="4" w:space="0" w:color="auto"/>
              <w:right w:val="single" w:sz="4" w:space="0" w:color="auto"/>
            </w:tcBorders>
            <w:shd w:val="clear" w:color="auto" w:fill="C6EFCE"/>
            <w:noWrap/>
          </w:tcPr>
          <w:p w14:paraId="18A12739" w14:textId="77777777" w:rsidR="003F46B9" w:rsidRDefault="0065662E">
            <w:pPr>
              <w:pStyle w:val="P68B1DB1-Normal5"/>
              <w:spacing w:after="0" w:line="240" w:lineRule="auto"/>
              <w:jc w:val="both"/>
              <w:rPr>
                <w:rFonts w:cs="Times New Roman"/>
                <w:noProof/>
              </w:rPr>
            </w:pPr>
            <w:r>
              <w:rPr>
                <w:noProof/>
              </w:rPr>
              <w:t xml:space="preserve"> </w:t>
            </w:r>
          </w:p>
        </w:tc>
        <w:tc>
          <w:tcPr>
            <w:tcW w:w="1332" w:type="dxa"/>
            <w:tcBorders>
              <w:top w:val="single" w:sz="4" w:space="0" w:color="auto"/>
              <w:left w:val="nil"/>
              <w:bottom w:val="single" w:sz="4" w:space="0" w:color="auto"/>
              <w:right w:val="single" w:sz="4" w:space="0" w:color="auto"/>
            </w:tcBorders>
            <w:shd w:val="clear" w:color="auto" w:fill="C6EFCE"/>
            <w:noWrap/>
          </w:tcPr>
          <w:p w14:paraId="796A879A" w14:textId="77777777" w:rsidR="003F46B9" w:rsidRDefault="0065662E">
            <w:pPr>
              <w:pStyle w:val="P68B1DB1-Normal5"/>
              <w:spacing w:after="0" w:line="240" w:lineRule="auto"/>
              <w:jc w:val="both"/>
              <w:rPr>
                <w:rFonts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tcPr>
          <w:p w14:paraId="06E10D3E" w14:textId="1CAAEAF0" w:rsidR="003F46B9" w:rsidRDefault="0065662E">
            <w:pPr>
              <w:pStyle w:val="P68B1DB1-Normal5"/>
              <w:spacing w:after="0" w:line="240" w:lineRule="auto"/>
              <w:jc w:val="both"/>
              <w:rPr>
                <w:rFonts w:cs="Times New Roman"/>
                <w:noProof/>
              </w:rPr>
            </w:pPr>
            <w:r>
              <w:rPr>
                <w:noProof/>
              </w:rPr>
              <w:t> 0</w:t>
            </w:r>
          </w:p>
        </w:tc>
        <w:tc>
          <w:tcPr>
            <w:tcW w:w="714" w:type="dxa"/>
            <w:tcBorders>
              <w:top w:val="single" w:sz="4" w:space="0" w:color="auto"/>
              <w:left w:val="nil"/>
              <w:bottom w:val="single" w:sz="4" w:space="0" w:color="auto"/>
              <w:right w:val="single" w:sz="4" w:space="0" w:color="auto"/>
            </w:tcBorders>
            <w:shd w:val="clear" w:color="auto" w:fill="C6EFCE"/>
            <w:noWrap/>
          </w:tcPr>
          <w:p w14:paraId="02C5C564" w14:textId="6403B31B" w:rsidR="003F46B9" w:rsidRDefault="0065662E">
            <w:pPr>
              <w:pStyle w:val="P68B1DB1-Normal5"/>
              <w:spacing w:after="0" w:line="240" w:lineRule="auto"/>
              <w:jc w:val="both"/>
              <w:rPr>
                <w:rFonts w:cs="Times New Roman"/>
                <w:noProof/>
              </w:rPr>
            </w:pPr>
            <w:r>
              <w:rPr>
                <w:noProof/>
              </w:rPr>
              <w:t>298</w:t>
            </w:r>
          </w:p>
        </w:tc>
        <w:tc>
          <w:tcPr>
            <w:tcW w:w="1134" w:type="dxa"/>
            <w:tcBorders>
              <w:top w:val="single" w:sz="4" w:space="0" w:color="auto"/>
              <w:left w:val="nil"/>
              <w:bottom w:val="single" w:sz="4" w:space="0" w:color="auto"/>
              <w:right w:val="single" w:sz="4" w:space="0" w:color="auto"/>
            </w:tcBorders>
            <w:shd w:val="clear" w:color="auto" w:fill="C6EFCE"/>
            <w:noWrap/>
          </w:tcPr>
          <w:p w14:paraId="783233D7" w14:textId="77777777" w:rsidR="003F46B9" w:rsidRDefault="0065662E">
            <w:pPr>
              <w:pStyle w:val="P68B1DB1-Normal5"/>
              <w:spacing w:after="0" w:line="240" w:lineRule="auto"/>
              <w:jc w:val="both"/>
              <w:rPr>
                <w:rFonts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tcPr>
          <w:p w14:paraId="38FBA6E2" w14:textId="77777777" w:rsidR="003F46B9" w:rsidRDefault="0065662E">
            <w:pPr>
              <w:pStyle w:val="P68B1DB1-Normal5"/>
              <w:spacing w:after="0" w:line="240" w:lineRule="auto"/>
              <w:jc w:val="both"/>
              <w:rPr>
                <w:rFonts w:cs="Times New Roman"/>
                <w:noProof/>
              </w:rPr>
            </w:pPr>
            <w:r>
              <w:rPr>
                <w:noProof/>
              </w:rPr>
              <w:t>2026</w:t>
            </w:r>
          </w:p>
        </w:tc>
        <w:tc>
          <w:tcPr>
            <w:tcW w:w="3159" w:type="dxa"/>
            <w:tcBorders>
              <w:top w:val="single" w:sz="4" w:space="0" w:color="auto"/>
              <w:left w:val="nil"/>
              <w:bottom w:val="single" w:sz="4" w:space="0" w:color="auto"/>
              <w:right w:val="single" w:sz="4" w:space="0" w:color="auto"/>
            </w:tcBorders>
            <w:shd w:val="clear" w:color="auto" w:fill="C6EFCE"/>
            <w:noWrap/>
          </w:tcPr>
          <w:p w14:paraId="293E0C89" w14:textId="43AE32F3" w:rsidR="003F46B9" w:rsidRDefault="0065662E">
            <w:pPr>
              <w:pStyle w:val="P68B1DB1-Normal5"/>
              <w:spacing w:after="0" w:line="240" w:lineRule="auto"/>
              <w:jc w:val="both"/>
              <w:rPr>
                <w:rFonts w:cs="Times New Roman"/>
                <w:noProof/>
              </w:rPr>
            </w:pPr>
            <w:r>
              <w:rPr>
                <w:noProof/>
              </w:rPr>
              <w:t xml:space="preserve">Najmanje 298 planova prostornog planiranja, urbanističkog planiranja i gradske mobilnosti razvija se digitalno i donosi. </w:t>
            </w:r>
          </w:p>
          <w:p w14:paraId="4C73B4D7" w14:textId="4E9357C7" w:rsidR="003F46B9" w:rsidRDefault="0065662E">
            <w:pPr>
              <w:pStyle w:val="P68B1DB1-Normal5"/>
              <w:spacing w:after="0" w:line="240" w:lineRule="auto"/>
              <w:jc w:val="both"/>
              <w:rPr>
                <w:rFonts w:cs="Times New Roman"/>
                <w:noProof/>
              </w:rPr>
            </w:pPr>
            <w:r>
              <w:rPr>
                <w:noProof/>
              </w:rPr>
              <w:t xml:space="preserve">Sastavit će se 206 dokumenata iz općih planova za gradove (142 za općine, 39 za gradove, </w:t>
            </w:r>
            <w:r>
              <w:rPr>
                <w:noProof/>
              </w:rPr>
              <w:t>17 za gradove i 8 za gradska sjedišta (uključujući Bukurešt); Prostorno planiranje za okruge; 1 Dokumentacija o prostornom planiranju; 47 Dokumentacija o gradskim planovima po Zonalu; i 40 planova održive gradske mobilnosti. Sva dokumentacija objavljuje se</w:t>
            </w:r>
            <w:r>
              <w:rPr>
                <w:noProof/>
              </w:rPr>
              <w:t xml:space="preserve"> na platformi Teritorijalnog opservatorija. </w:t>
            </w:r>
          </w:p>
          <w:p w14:paraId="0DED8A7A" w14:textId="77777777" w:rsidR="003F46B9" w:rsidRDefault="0065662E">
            <w:pPr>
              <w:pStyle w:val="P68B1DB1-Normal5"/>
              <w:spacing w:after="0" w:line="240" w:lineRule="auto"/>
              <w:jc w:val="both"/>
              <w:rPr>
                <w:rFonts w:cs="Times New Roman"/>
                <w:noProof/>
              </w:rPr>
            </w:pPr>
            <w:r>
              <w:rPr>
                <w:noProof/>
              </w:rPr>
              <w:t>Ulaganje se provodi u skladu sa zahtjevima iz ključne etape 323.</w:t>
            </w:r>
          </w:p>
        </w:tc>
      </w:tr>
    </w:tbl>
    <w:p w14:paraId="564527EC"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229"/>
          <w:headerReference w:type="default" r:id="rId230"/>
          <w:footerReference w:type="even" r:id="rId231"/>
          <w:footerReference w:type="default" r:id="rId232"/>
          <w:headerReference w:type="first" r:id="rId233"/>
          <w:footerReference w:type="first" r:id="rId234"/>
          <w:pgSz w:w="16839" w:h="11907" w:orient="landscape"/>
          <w:pgMar w:top="1417" w:right="1134" w:bottom="1417" w:left="1134" w:header="709" w:footer="709" w:gutter="0"/>
          <w:cols w:space="720"/>
          <w:docGrid w:linePitch="360"/>
        </w:sectPr>
      </w:pPr>
    </w:p>
    <w:p w14:paraId="30CC1DE2"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11: Turizam i kultura</w:t>
      </w:r>
    </w:p>
    <w:p w14:paraId="21A3351B" w14:textId="77777777" w:rsidR="003F46B9" w:rsidRDefault="0065662E">
      <w:pPr>
        <w:pStyle w:val="P68B1DB1-Normal5"/>
        <w:spacing w:before="120" w:after="120"/>
        <w:jc w:val="both"/>
        <w:rPr>
          <w:rFonts w:cs="Times New Roman"/>
          <w:noProof/>
        </w:rPr>
      </w:pPr>
      <w:r>
        <w:rPr>
          <w:noProof/>
        </w:rPr>
        <w:t xml:space="preserve">Cilj je komponente turizma i kulture povećati </w:t>
      </w:r>
      <w:r>
        <w:rPr>
          <w:noProof/>
        </w:rPr>
        <w:t>socijalnu, gospodarsku i teritorijalnu koheziju te stvoriti nova radna mjesta, posebno u ruralnim područjima, a to su:</w:t>
      </w:r>
    </w:p>
    <w:p w14:paraId="0D3903A9" w14:textId="77777777" w:rsidR="003F46B9" w:rsidRDefault="0065662E">
      <w:pPr>
        <w:pStyle w:val="P68B1DB1-Normal5"/>
        <w:numPr>
          <w:ilvl w:val="0"/>
          <w:numId w:val="91"/>
        </w:numPr>
        <w:spacing w:before="120" w:after="120" w:line="240" w:lineRule="auto"/>
        <w:ind w:left="360"/>
        <w:jc w:val="both"/>
        <w:rPr>
          <w:rFonts w:cs="Times New Roman"/>
          <w:noProof/>
        </w:rPr>
      </w:pPr>
      <w:r>
        <w:rPr>
          <w:noProof/>
        </w:rPr>
        <w:t>promicanje održive socioekonomske preobrazbe u ruralnim područjima i područjima u nepovoljnom položaju razvojem mreže regionalnih organiz</w:t>
      </w:r>
      <w:r>
        <w:rPr>
          <w:noProof/>
        </w:rPr>
        <w:t>acija za upravljanje odredištima i podupiranjem lokalnih ulaganja u turizam;</w:t>
      </w:r>
    </w:p>
    <w:p w14:paraId="5F4E1C5F" w14:textId="77777777" w:rsidR="003F46B9" w:rsidRDefault="0065662E">
      <w:pPr>
        <w:pStyle w:val="P68B1DB1-Normal5"/>
        <w:numPr>
          <w:ilvl w:val="0"/>
          <w:numId w:val="91"/>
        </w:numPr>
        <w:spacing w:before="120" w:after="120" w:line="240" w:lineRule="auto"/>
        <w:ind w:left="360"/>
        <w:jc w:val="both"/>
        <w:rPr>
          <w:rFonts w:cs="Times New Roman"/>
          <w:noProof/>
        </w:rPr>
      </w:pPr>
      <w:r>
        <w:rPr>
          <w:noProof/>
        </w:rPr>
        <w:t xml:space="preserve">podupiranje održive mobilnosti stvaranjem nacionalne mreže Velo, uključujući rute Eurovelo; and </w:t>
      </w:r>
    </w:p>
    <w:p w14:paraId="52A34845" w14:textId="77777777" w:rsidR="003F46B9" w:rsidRDefault="0065662E">
      <w:pPr>
        <w:pStyle w:val="P68B1DB1-Normal5"/>
        <w:numPr>
          <w:ilvl w:val="0"/>
          <w:numId w:val="91"/>
        </w:numPr>
        <w:spacing w:before="120" w:after="120" w:line="240" w:lineRule="auto"/>
        <w:ind w:left="360"/>
        <w:jc w:val="both"/>
        <w:rPr>
          <w:rFonts w:cs="Times New Roman"/>
          <w:noProof/>
        </w:rPr>
      </w:pPr>
      <w:r>
        <w:rPr>
          <w:noProof/>
        </w:rPr>
        <w:t>smanjenje jaza u pristupu kulturi između ruralnih i velikih urbanih područja.</w:t>
      </w:r>
    </w:p>
    <w:p w14:paraId="5D185E26" w14:textId="77777777" w:rsidR="003F46B9" w:rsidRDefault="0065662E">
      <w:pPr>
        <w:pStyle w:val="P68B1DB1-Normal5"/>
        <w:spacing w:before="120" w:after="120"/>
        <w:jc w:val="both"/>
        <w:rPr>
          <w:rFonts w:cs="Times New Roman"/>
          <w:noProof/>
        </w:rPr>
      </w:pPr>
      <w:r>
        <w:rPr>
          <w:noProof/>
        </w:rPr>
        <w:t>Refo</w:t>
      </w:r>
      <w:r>
        <w:rPr>
          <w:noProof/>
        </w:rPr>
        <w:t>rme i ulaganja doprinose ispunjavanju preporuka za Rumunjsku iz 2019. i 2020. o potrebi da se ulaganja „usmjere na zelenu i digitalnu tranziciju, posebno u održivi promet, infrastrukturu digitalnih usluga” (3. preporuka za pojedinu zemlju), uzimajući prito</w:t>
      </w:r>
      <w:r>
        <w:rPr>
          <w:noProof/>
        </w:rPr>
        <w:t>m u obzir regionalne razlike (4. preporuka za pojedinu zemlju, 4. preporuka iz 2019.).</w:t>
      </w:r>
    </w:p>
    <w:p w14:paraId="0AE0C4E7" w14:textId="77777777" w:rsidR="003F46B9" w:rsidRDefault="0065662E">
      <w:pPr>
        <w:pStyle w:val="P68B1DB1-Normal5"/>
        <w:spacing w:before="120" w:after="120"/>
        <w:jc w:val="both"/>
        <w:rPr>
          <w:rFonts w:cs="Times New Roman"/>
          <w:noProof/>
        </w:rPr>
      </w:pPr>
      <w:r>
        <w:rPr>
          <w:noProof/>
        </w:rPr>
        <w:t>Očekuje se da se nijednom mjerom u ovoj komponenti ne nanosi znatna šteta okolišnim ciljevima u smislu članka 17. Uredbe (EU) 2020/852, uzimajući u obzir opis mjera i ko</w:t>
      </w:r>
      <w:r>
        <w:rPr>
          <w:noProof/>
        </w:rPr>
        <w:t>rake ublažavanja utvrđene u planu za oporavak i otpornost u skladu s Tehničkim smjernicama DNSH-a (2021/C58/01).</w:t>
      </w:r>
    </w:p>
    <w:p w14:paraId="6BEE9760"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K.1. </w:t>
      </w:r>
      <w:r>
        <w:rPr>
          <w:noProof/>
        </w:rPr>
        <w:tab/>
      </w:r>
      <w:r>
        <w:rPr>
          <w:rFonts w:ascii="Times New Roman" w:hAnsi="Times New Roman"/>
          <w:b/>
          <w:noProof/>
          <w:sz w:val="24"/>
        </w:rPr>
        <w:t xml:space="preserve">Opis reformi i ulaganja za zajam </w:t>
      </w:r>
    </w:p>
    <w:p w14:paraId="3B322653" w14:textId="1423F121" w:rsidR="003F46B9" w:rsidRDefault="0065662E">
      <w:pPr>
        <w:pStyle w:val="P68B1DB1-Standard6"/>
        <w:spacing w:before="240"/>
        <w:jc w:val="both"/>
        <w:rPr>
          <w:rFonts w:ascii="Times New Roman" w:eastAsiaTheme="majorEastAsia" w:hAnsi="Times New Roman" w:cs="Times New Roman"/>
          <w:noProof/>
        </w:rPr>
      </w:pPr>
      <w:r>
        <w:rPr>
          <w:noProof/>
        </w:rPr>
        <w:t xml:space="preserve">Reforma 1. Operacionalizacija organizacija za upravljanje odredištima </w:t>
      </w:r>
    </w:p>
    <w:p w14:paraId="0DF52016" w14:textId="77777777" w:rsidR="003F46B9" w:rsidRDefault="0065662E">
      <w:pPr>
        <w:pStyle w:val="P68B1DB1-Normal5"/>
        <w:spacing w:before="120" w:after="120" w:line="240" w:lineRule="auto"/>
        <w:jc w:val="both"/>
        <w:rPr>
          <w:rFonts w:eastAsia="Calibri" w:cs="Times New Roman"/>
          <w:noProof/>
        </w:rPr>
      </w:pPr>
      <w:r>
        <w:rPr>
          <w:noProof/>
        </w:rPr>
        <w:t>Cilj je te reforme povećati konk</w:t>
      </w:r>
      <w:r>
        <w:rPr>
          <w:noProof/>
        </w:rPr>
        <w:t>urentnost rumunjskog turističkog sektora i promicati održivu socioekonomsku preobrazbu u ruralnim područjima i područjima u nepovoljnom položaju donošenjem potrebnog okvira za operacionalizaciju organizacija za upravljanje odredištima.</w:t>
      </w:r>
    </w:p>
    <w:p w14:paraId="0FDCAEFB" w14:textId="77777777" w:rsidR="003F46B9" w:rsidRDefault="0065662E">
      <w:pPr>
        <w:pStyle w:val="P68B1DB1-Normal5"/>
        <w:spacing w:before="120" w:after="120" w:line="240" w:lineRule="auto"/>
        <w:jc w:val="both"/>
        <w:rPr>
          <w:rFonts w:eastAsia="Calibri" w:cs="Times New Roman"/>
          <w:noProof/>
        </w:rPr>
      </w:pPr>
      <w:r>
        <w:rPr>
          <w:noProof/>
        </w:rPr>
        <w:t xml:space="preserve">Provedba te reforme </w:t>
      </w:r>
      <w:r>
        <w:rPr>
          <w:noProof/>
        </w:rPr>
        <w:t xml:space="preserve">sastoji se od donošenja zakonodavnog okvira potrebnog za funkcioniranje organizacija za upravljanje odredištima i razvoja akcijskog plana posvećenog vrednovanju kulturne baštine kako bi se povećala konkurentnost rumunjskog turističkog sektora. </w:t>
      </w:r>
    </w:p>
    <w:p w14:paraId="2031957F" w14:textId="77777777" w:rsidR="003F46B9" w:rsidRDefault="0065662E">
      <w:pPr>
        <w:pStyle w:val="P68B1DB1-Normal5"/>
        <w:spacing w:before="120" w:after="120" w:line="240" w:lineRule="auto"/>
        <w:jc w:val="both"/>
        <w:rPr>
          <w:rFonts w:eastAsia="Calibri" w:cs="Times New Roman"/>
          <w:noProof/>
        </w:rPr>
      </w:pPr>
      <w:r>
        <w:rPr>
          <w:noProof/>
        </w:rPr>
        <w:t>Osnivanje i</w:t>
      </w:r>
      <w:r>
        <w:rPr>
          <w:noProof/>
        </w:rPr>
        <w:t xml:space="preserve"> operacionalizacija organizacija za upravljanje odredištima temelji se na preporukama Organizacije za gospodarsku suradnju i razvoj (OECD) uključenima u studiju „Operacionalizacija organizacija za upravljanje odredištima”.</w:t>
      </w:r>
    </w:p>
    <w:p w14:paraId="2940F976" w14:textId="77777777" w:rsidR="003F46B9" w:rsidRDefault="0065662E">
      <w:pPr>
        <w:pStyle w:val="P68B1DB1-Normal5"/>
        <w:spacing w:before="120" w:after="120" w:line="240" w:lineRule="auto"/>
        <w:jc w:val="both"/>
        <w:rPr>
          <w:rFonts w:eastAsia="Calibri" w:cs="Times New Roman"/>
          <w:noProof/>
        </w:rPr>
      </w:pPr>
      <w:r>
        <w:rPr>
          <w:noProof/>
        </w:rPr>
        <w:t xml:space="preserve">Zakonodavni okvir potreban za </w:t>
      </w:r>
      <w:r>
        <w:rPr>
          <w:noProof/>
        </w:rPr>
        <w:t xml:space="preserve">djelovanje organizacija za upravljanje odredištima također uključuje detaljan opis mehanizma financiranja i jasan model upravljanja. Akcijski plan provodi se u skladu s nizom mjera predloženih u strategiji razvoja Organizacije za upravljanje odredištima i </w:t>
      </w:r>
      <w:r>
        <w:rPr>
          <w:noProof/>
        </w:rPr>
        <w:t>mora biti u skladu s rezultatima aktivnosti mapiranja.</w:t>
      </w:r>
    </w:p>
    <w:p w14:paraId="3CAEF2EB" w14:textId="77777777" w:rsidR="003F46B9" w:rsidRDefault="0065662E">
      <w:pPr>
        <w:pStyle w:val="P68B1DB1-Normal5"/>
        <w:spacing w:before="120" w:after="120" w:line="240" w:lineRule="auto"/>
        <w:jc w:val="both"/>
        <w:rPr>
          <w:rFonts w:eastAsia="Calibri" w:cs="Times New Roman"/>
          <w:noProof/>
        </w:rPr>
      </w:pPr>
      <w:r>
        <w:rPr>
          <w:noProof/>
        </w:rPr>
        <w:t>Organizacija za upravljanje odredištima pravni je subjekt koji provodi politiku turističkog razvoja svakog pojedinog odredišta, uključujući politiku marketinga odredišta, u skladu s važećim zakonskim o</w:t>
      </w:r>
      <w:r>
        <w:rPr>
          <w:noProof/>
        </w:rPr>
        <w:t>dredbama, okupljajući niz drugih organizacija, kao što su: poslovni subjekti, institucije javnog sektora, strukovna udruženja i udruge poslodavaca te regulatorna tijela. Regionalne organizacije za upravljanje odredištima osmišljavaju se tako da čine učinko</w:t>
      </w:r>
      <w:r>
        <w:rPr>
          <w:noProof/>
        </w:rPr>
        <w:t>vitu mrežu usmjerenu na lokalne konkurentske prednosti i surađuju s nacionalnim turističkim tijelom.</w:t>
      </w:r>
    </w:p>
    <w:p w14:paraId="1EA9ED0D" w14:textId="77777777" w:rsidR="003F46B9" w:rsidRDefault="0065662E">
      <w:pPr>
        <w:pStyle w:val="P68B1DB1-Normal5"/>
        <w:spacing w:before="120" w:after="120" w:line="240" w:lineRule="auto"/>
        <w:jc w:val="both"/>
        <w:rPr>
          <w:rFonts w:eastAsia="Times New Roman" w:cs="Times New Roman"/>
          <w:noProof/>
        </w:rPr>
      </w:pPr>
      <w:r>
        <w:rPr>
          <w:noProof/>
        </w:rPr>
        <w:t>Provedba reforme mora biti dovršena do 31. prosinca 2023.</w:t>
      </w:r>
    </w:p>
    <w:p w14:paraId="77F7D0BB" w14:textId="2F1F00EC"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 Promicanje 12 turističkih/kulturnih ruta  </w:t>
      </w:r>
    </w:p>
    <w:p w14:paraId="790F7AEF" w14:textId="77777777" w:rsidR="003F46B9" w:rsidRDefault="0065662E">
      <w:pPr>
        <w:pStyle w:val="P68B1DB1-Normal5"/>
        <w:spacing w:before="120" w:after="120" w:line="240" w:lineRule="auto"/>
        <w:jc w:val="both"/>
        <w:rPr>
          <w:rFonts w:eastAsia="Calibri" w:cs="Times New Roman"/>
          <w:noProof/>
        </w:rPr>
      </w:pPr>
      <w:r>
        <w:rPr>
          <w:noProof/>
        </w:rPr>
        <w:t xml:space="preserve">Cilj je tog ulaganja povećati privlačnost </w:t>
      </w:r>
      <w:r>
        <w:rPr>
          <w:noProof/>
        </w:rPr>
        <w:t>odabranih turističkih odredišta razvojem 12 tematskih turističkih ruta u ruralnim područjima Rumunjske u nepovoljnom položaju te stvoriti nova radna mjesta u turističkoj industriji.</w:t>
      </w:r>
    </w:p>
    <w:p w14:paraId="61EC1D55" w14:textId="77777777" w:rsidR="003F46B9" w:rsidRDefault="0065662E">
      <w:pPr>
        <w:pStyle w:val="P68B1DB1-Normal5"/>
        <w:spacing w:before="120" w:after="120" w:line="240" w:lineRule="auto"/>
        <w:jc w:val="both"/>
        <w:rPr>
          <w:rFonts w:eastAsia="Calibri" w:cs="Times New Roman"/>
          <w:noProof/>
        </w:rPr>
      </w:pPr>
      <w:r>
        <w:rPr>
          <w:noProof/>
        </w:rPr>
        <w:t xml:space="preserve">Provedba ovog ulaganja uključuje financijsku potporu za promicanje 12 </w:t>
      </w:r>
      <w:r>
        <w:rPr>
          <w:noProof/>
        </w:rPr>
        <w:t>turističkih ruta i modernizaciju/rehabilitaciju turističkih lokaliteta s nacionalnim i međunarodnim učinkom koji su uključeni u 12 ruta utvrđenih u optimalnim odredišnim područjima. 12 tematskih ruta su: Ruta za strujanje, ruta Curia, „Cula”, ruta tradicio</w:t>
      </w:r>
      <w:r>
        <w:rPr>
          <w:noProof/>
        </w:rPr>
        <w:t>nalne rumunjske gastronomije, ruta obogaćenih crkava, ruta drvenih crkava, ruta moldavskih samostana, ruta Saint-Ladislaua, The route of the Roman castrum, Fortress route, Restoration of the cultural landscape in the Danube Delta, The route of sela s tradi</w:t>
      </w:r>
      <w:r>
        <w:rPr>
          <w:noProof/>
        </w:rPr>
        <w:t>cionalnom arhitekturom. </w:t>
      </w:r>
    </w:p>
    <w:p w14:paraId="3A2E1F1F" w14:textId="77777777" w:rsidR="003F46B9" w:rsidRDefault="0065662E">
      <w:pPr>
        <w:pStyle w:val="P68B1DB1-Normal5"/>
        <w:spacing w:before="120" w:after="120" w:line="240" w:lineRule="auto"/>
        <w:jc w:val="both"/>
        <w:rPr>
          <w:rFonts w:eastAsia="Calibri" w:cs="Times New Roman"/>
          <w:noProof/>
        </w:rPr>
      </w:pPr>
      <w:r>
        <w:rPr>
          <w:noProof/>
        </w:rPr>
        <w:t>Posebne turističke lokacije odabiru se na temelju mapiranja optimalnih odredišta za svaku organizaciju za upravljanje odredištima na temelju njihove sposobnosti privlačenja međunarodnih i nacionalnih turista i promicanja održive/ok</w:t>
      </w:r>
      <w:r>
        <w:rPr>
          <w:noProof/>
        </w:rPr>
        <w:t>olišno orijentirane socioekonomske preobrazbe u ruralnim područjima i područjima u nepovoljnom položaju.</w:t>
      </w:r>
    </w:p>
    <w:p w14:paraId="166CA88E" w14:textId="059B4E2E" w:rsidR="003F46B9" w:rsidRDefault="0065662E">
      <w:pPr>
        <w:pStyle w:val="P68B1DB1-Normal5"/>
        <w:spacing w:before="120" w:after="120" w:line="240" w:lineRule="auto"/>
        <w:jc w:val="both"/>
        <w:rPr>
          <w:rFonts w:eastAsia="Calibri" w:cs="Times New Roman"/>
          <w:noProof/>
          <w:u w:val="single"/>
        </w:rPr>
      </w:pPr>
      <w:r>
        <w:rPr>
          <w:noProof/>
        </w:rPr>
        <w:t>Provedba ulaganja mora biti dovršena do 30. lipnja 2026.</w:t>
      </w:r>
    </w:p>
    <w:p w14:paraId="618AFD3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Modernizacija/stvaranje muzeja i spomenika</w:t>
      </w:r>
    </w:p>
    <w:p w14:paraId="2C211893" w14:textId="77777777" w:rsidR="003F46B9" w:rsidRDefault="0065662E">
      <w:pPr>
        <w:pStyle w:val="P68B1DB1-Normal5"/>
        <w:spacing w:before="120" w:after="120" w:line="240" w:lineRule="auto"/>
        <w:jc w:val="both"/>
        <w:rPr>
          <w:rFonts w:eastAsia="Calibri" w:cs="Times New Roman"/>
          <w:noProof/>
        </w:rPr>
      </w:pPr>
      <w:r>
        <w:rPr>
          <w:noProof/>
        </w:rPr>
        <w:t xml:space="preserve">Cilj je tog ulaganja povećati kulturni </w:t>
      </w:r>
      <w:r>
        <w:rPr>
          <w:noProof/>
        </w:rPr>
        <w:t>turizam razvojem muzeja i spomenika posvećenih ugnjetavanju i sukobima.</w:t>
      </w:r>
    </w:p>
    <w:p w14:paraId="0CB880F8" w14:textId="30D3A253" w:rsidR="003F46B9" w:rsidRDefault="0065662E">
      <w:pPr>
        <w:pStyle w:val="P68B1DB1-Normal5"/>
        <w:spacing w:after="0" w:line="257" w:lineRule="auto"/>
        <w:jc w:val="both"/>
        <w:rPr>
          <w:rFonts w:eastAsia="Times New Roman" w:cs="Times New Roman"/>
          <w:noProof/>
          <w:sz w:val="19"/>
        </w:rPr>
      </w:pPr>
      <w:r>
        <w:rPr>
          <w:noProof/>
        </w:rPr>
        <w:t>Provedba ovog ulaganja uključuje modernizaciju i stvaranje sljedećih muzeja i spomenika: Nacionalni muzej židovske povijesti i holokausta (Bukurešt), spomenik 89 revolucije (Timișoara)</w:t>
      </w:r>
      <w:r>
        <w:rPr>
          <w:noProof/>
        </w:rPr>
        <w:t>, spomenik žrtava (Sighet), zatvor šutnje (Râmnicu Sărat), Memorijal o prisilnom raseljavanju ljudi i prekomjernoj industrijalizaciji (Satu Mare), Muzej strahota komunizma (Sfântu Gheorghe), Povijesna galerija Transilvanija, rijeka robs – Victims Gorge (Ai</w:t>
      </w:r>
      <w:r>
        <w:rPr>
          <w:noProof/>
        </w:rPr>
        <w:t>ud).</w:t>
      </w:r>
    </w:p>
    <w:p w14:paraId="1D385B19" w14:textId="77777777" w:rsidR="003F46B9" w:rsidRDefault="0065662E">
      <w:pPr>
        <w:pStyle w:val="P68B1DB1-Normal5"/>
        <w:spacing w:before="120" w:after="120" w:line="240" w:lineRule="auto"/>
        <w:jc w:val="both"/>
        <w:rPr>
          <w:rFonts w:eastAsia="Calibri" w:cs="Times New Roman"/>
          <w:noProof/>
        </w:rPr>
      </w:pPr>
      <w:r>
        <w:rPr>
          <w:noProof/>
        </w:rPr>
        <w:t>Nove zgrade moraju biti usklađene s ciljem postizanja potražnje za primarnom energijom koja je najmanje 20 % niža od zahtjeva za zgrade gotovo nulte energije (NZEB) u skladu s nacionalnim smjernicama, što se osigurava energetskim certifikatima.</w:t>
      </w:r>
    </w:p>
    <w:p w14:paraId="160B9FFB" w14:textId="77777777" w:rsidR="003F46B9" w:rsidRDefault="0065662E">
      <w:pPr>
        <w:pStyle w:val="P68B1DB1-Normal5"/>
        <w:spacing w:before="120" w:after="120" w:line="240" w:lineRule="auto"/>
        <w:jc w:val="both"/>
        <w:rPr>
          <w:rFonts w:eastAsia="Calibri" w:cs="Times New Roman"/>
          <w:noProof/>
        </w:rPr>
      </w:pPr>
      <w:r>
        <w:rPr>
          <w:noProof/>
        </w:rPr>
        <w:t>Proved</w:t>
      </w:r>
      <w:r>
        <w:rPr>
          <w:noProof/>
        </w:rPr>
        <w:t>ba ulaganja mora biti dovršena do 30. lipnja 2026.</w:t>
      </w:r>
    </w:p>
    <w:p w14:paraId="5705281D" w14:textId="02DABA1A" w:rsidR="003F46B9" w:rsidRDefault="0065662E">
      <w:pPr>
        <w:pStyle w:val="P68B1DB1-Standard6"/>
        <w:spacing w:before="240"/>
        <w:jc w:val="both"/>
        <w:rPr>
          <w:rFonts w:ascii="Times New Roman" w:eastAsiaTheme="majorEastAsia" w:hAnsi="Times New Roman" w:cs="Times New Roman"/>
          <w:noProof/>
        </w:rPr>
      </w:pPr>
      <w:r>
        <w:rPr>
          <w:noProof/>
        </w:rPr>
        <w:t xml:space="preserve">Reforma 2. Okvir za operacionalizaciju biciklističkih ruta na nacionalnoj razini  </w:t>
      </w:r>
    </w:p>
    <w:p w14:paraId="7BE0C8C2" w14:textId="77777777" w:rsidR="003F46B9" w:rsidRDefault="0065662E">
      <w:pPr>
        <w:pStyle w:val="P68B1DB1-Normal5"/>
        <w:spacing w:before="120" w:after="120" w:line="240" w:lineRule="auto"/>
        <w:jc w:val="both"/>
        <w:rPr>
          <w:rFonts w:eastAsia="Calibri" w:cs="Times New Roman"/>
          <w:noProof/>
        </w:rPr>
      </w:pPr>
      <w:r>
        <w:rPr>
          <w:noProof/>
        </w:rPr>
        <w:t>Cilj je te reforme doprinijeti gospodarskom razvoju malih gradova i ruralnih područja donošenjem zakonodavnog, institucijs</w:t>
      </w:r>
      <w:r>
        <w:rPr>
          <w:noProof/>
        </w:rPr>
        <w:t>kog i investicijskog okvira za biciklističke rute i održive oblike turizma.</w:t>
      </w:r>
    </w:p>
    <w:p w14:paraId="7982ADB7" w14:textId="77777777" w:rsidR="003F46B9" w:rsidRDefault="0065662E">
      <w:pPr>
        <w:pStyle w:val="P68B1DB1-Normal5"/>
        <w:spacing w:before="120" w:after="120" w:line="240" w:lineRule="auto"/>
        <w:jc w:val="both"/>
        <w:rPr>
          <w:rFonts w:eastAsia="Calibri" w:cs="Times New Roman"/>
          <w:noProof/>
        </w:rPr>
      </w:pPr>
      <w:r>
        <w:rPr>
          <w:noProof/>
        </w:rPr>
        <w:t>Provedba te reforme sastoji se od regulatorne reforme kako bi se uspostavili relevantni subjekti, kriteriji za biciklističke rute i poticaji za promicanje biciklističkog turizma.</w:t>
      </w:r>
    </w:p>
    <w:p w14:paraId="254F2D68" w14:textId="77777777" w:rsidR="003F46B9" w:rsidRDefault="0065662E">
      <w:pPr>
        <w:pStyle w:val="P68B1DB1-Normal5"/>
        <w:spacing w:before="120" w:after="120" w:line="240" w:lineRule="auto"/>
        <w:rPr>
          <w:rFonts w:eastAsia="Times New Roman" w:cs="Times New Roman"/>
          <w:noProof/>
        </w:rPr>
        <w:sectPr w:rsidR="003F46B9" w:rsidSect="00ED6412">
          <w:headerReference w:type="even" r:id="rId235"/>
          <w:headerReference w:type="default" r:id="rId236"/>
          <w:footerReference w:type="even" r:id="rId237"/>
          <w:footerReference w:type="default" r:id="rId238"/>
          <w:headerReference w:type="first" r:id="rId239"/>
          <w:footerReference w:type="first" r:id="rId240"/>
          <w:pgSz w:w="11906" w:h="16838"/>
          <w:pgMar w:top="1440" w:right="1440" w:bottom="1440" w:left="1440" w:header="708" w:footer="708" w:gutter="0"/>
          <w:cols w:space="708"/>
          <w:docGrid w:linePitch="360"/>
        </w:sectPr>
      </w:pPr>
      <w:r>
        <w:rPr>
          <w:noProof/>
        </w:rPr>
        <w:t>Provedba reforme mora biti dovršena do 31. ožujka 2022.</w:t>
      </w:r>
    </w:p>
    <w:p w14:paraId="698DC638"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3. Uspostava i operacionalizacija Nacionalnog koordinacijskog centra Velo </w:t>
      </w:r>
    </w:p>
    <w:p w14:paraId="7EFA5192" w14:textId="77777777" w:rsidR="003F46B9" w:rsidRDefault="0065662E">
      <w:pPr>
        <w:pStyle w:val="P68B1DB1-Normal5"/>
        <w:spacing w:before="120" w:after="120" w:line="240" w:lineRule="auto"/>
        <w:jc w:val="both"/>
        <w:rPr>
          <w:rFonts w:eastAsia="Calibri" w:cs="Times New Roman"/>
          <w:noProof/>
        </w:rPr>
      </w:pPr>
      <w:r>
        <w:rPr>
          <w:noProof/>
        </w:rPr>
        <w:t>Cilj je tog ulaganja pridonijeti održivoj mobilnosti promicanjem v</w:t>
      </w:r>
      <w:r>
        <w:rPr>
          <w:noProof/>
        </w:rPr>
        <w:t>ožnje biciklom putem novog Nacionalnog koordinacijskog centra Velo.</w:t>
      </w:r>
    </w:p>
    <w:p w14:paraId="64183836" w14:textId="77777777" w:rsidR="003F46B9" w:rsidRDefault="0065662E">
      <w:pPr>
        <w:pStyle w:val="P68B1DB1-Normal5"/>
        <w:spacing w:before="120" w:after="120" w:line="240" w:lineRule="auto"/>
        <w:jc w:val="both"/>
        <w:rPr>
          <w:rFonts w:eastAsia="Calibri" w:cs="Times New Roman"/>
          <w:noProof/>
        </w:rPr>
      </w:pPr>
      <w:r>
        <w:rPr>
          <w:noProof/>
        </w:rPr>
        <w:t xml:space="preserve">Provedba tog ulaganja uključuje studiju o biciklističkim turističkim rutama na nacionalnoj razini koja čini osnovu za digitalizaciju uzletno-sletnih staza i ruta Velo te razvoj nacionalne </w:t>
      </w:r>
      <w:r>
        <w:rPr>
          <w:noProof/>
        </w:rPr>
        <w:t>platforme eVelo s integriranom digitalnom aplikacijom za sve biciklističke turističke rute i posebnom internetskom stranicom.</w:t>
      </w:r>
    </w:p>
    <w:p w14:paraId="1031584C"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rujna 2022.</w:t>
      </w:r>
    </w:p>
    <w:p w14:paraId="50150592" w14:textId="270258B0" w:rsidR="003F46B9" w:rsidRDefault="0065662E">
      <w:pPr>
        <w:pStyle w:val="P68B1DB1-Normal16"/>
        <w:spacing w:before="120" w:after="120" w:line="240" w:lineRule="auto"/>
        <w:jc w:val="both"/>
        <w:rPr>
          <w:rFonts w:eastAsia="Calibri" w:cs="Times New Roman"/>
          <w:noProof/>
        </w:rPr>
      </w:pPr>
      <w:r>
        <w:rPr>
          <w:noProof/>
        </w:rPr>
        <w:t>Ulaganje 4. Uvođenje 2 404 km biciklističkih staza</w:t>
      </w:r>
    </w:p>
    <w:p w14:paraId="51838116" w14:textId="77777777" w:rsidR="003F46B9" w:rsidRDefault="0065662E">
      <w:pPr>
        <w:pStyle w:val="P68B1DB1-Normal5"/>
        <w:spacing w:before="120" w:after="120" w:line="240" w:lineRule="auto"/>
        <w:jc w:val="both"/>
        <w:rPr>
          <w:rFonts w:eastAsia="Calibri" w:cs="Times New Roman"/>
          <w:noProof/>
        </w:rPr>
      </w:pPr>
      <w:r>
        <w:rPr>
          <w:noProof/>
        </w:rPr>
        <w:t xml:space="preserve">Cilj je tog ulaganja razvoj održivog prometa razvojem infrastrukture biciklističkih staza. </w:t>
      </w:r>
    </w:p>
    <w:p w14:paraId="3CFC1B09" w14:textId="4D61FFF7" w:rsidR="003F46B9" w:rsidRDefault="0065662E">
      <w:pPr>
        <w:pStyle w:val="P68B1DB1-Normal5"/>
        <w:spacing w:before="120" w:after="120" w:line="240" w:lineRule="auto"/>
        <w:jc w:val="both"/>
        <w:rPr>
          <w:rFonts w:eastAsia="Calibri" w:cs="Times New Roman"/>
          <w:noProof/>
        </w:rPr>
      </w:pPr>
      <w:r>
        <w:rPr>
          <w:noProof/>
        </w:rPr>
        <w:t>Provedba tog ulaganja uključuje razvoj 2 404 km novih nacionalnih biciklističkih staza diljem Rumunjske. Lokacija ruta mora biti prioritet duž glavnih turističkih r</w:t>
      </w:r>
      <w:r>
        <w:rPr>
          <w:noProof/>
        </w:rPr>
        <w:t>uta.</w:t>
      </w:r>
    </w:p>
    <w:p w14:paraId="2EA5ED48"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2026.</w:t>
      </w:r>
    </w:p>
    <w:p w14:paraId="2E8CA1CC" w14:textId="77777777" w:rsidR="003F46B9" w:rsidRDefault="0065662E">
      <w:pPr>
        <w:pStyle w:val="P68B1DB1-Standard6"/>
        <w:spacing w:before="240"/>
        <w:jc w:val="both"/>
        <w:rPr>
          <w:rFonts w:ascii="Times New Roman" w:eastAsiaTheme="majorEastAsia" w:hAnsi="Times New Roman" w:cs="Times New Roman"/>
          <w:noProof/>
        </w:rPr>
      </w:pPr>
      <w:r>
        <w:rPr>
          <w:noProof/>
        </w:rPr>
        <w:t>Reforma 3. Reforma sustava financiranja kulturnog sektora</w:t>
      </w:r>
    </w:p>
    <w:p w14:paraId="6427E341" w14:textId="77777777" w:rsidR="003F46B9" w:rsidRDefault="0065662E">
      <w:pPr>
        <w:pStyle w:val="P68B1DB1-Normal5"/>
        <w:spacing w:before="120" w:after="120" w:line="240" w:lineRule="auto"/>
        <w:jc w:val="both"/>
        <w:rPr>
          <w:rFonts w:eastAsia="Calibri" w:cs="Times New Roman"/>
          <w:noProof/>
        </w:rPr>
      </w:pPr>
      <w:r>
        <w:rPr>
          <w:noProof/>
        </w:rPr>
        <w:t>Cilj je te reforme stvoriti stabilan, predvidljiv i dugoročan održiv pravni i administrativni okvir za nejavni (privatni/neovisni) kultu</w:t>
      </w:r>
      <w:r>
        <w:rPr>
          <w:noProof/>
        </w:rPr>
        <w:t>rni sektor i kulturne radnike stvaranjem alata za prikupljanje podataka za buduće javne politike te pokrenuti proces kojim se doprinosi društveno-obrazovnom i kulturnom razvoju malih ruralnih i urbanih područja.</w:t>
      </w:r>
    </w:p>
    <w:p w14:paraId="69460DC7" w14:textId="77777777" w:rsidR="003F46B9" w:rsidRDefault="0065662E">
      <w:pPr>
        <w:pStyle w:val="P68B1DB1-Normal5"/>
        <w:spacing w:before="120" w:after="120" w:line="240" w:lineRule="auto"/>
        <w:jc w:val="both"/>
        <w:rPr>
          <w:rFonts w:eastAsia="Calibri" w:cs="Times New Roman"/>
          <w:noProof/>
        </w:rPr>
      </w:pPr>
      <w:r>
        <w:rPr>
          <w:noProof/>
        </w:rPr>
        <w:t>Provedba te reforme sastoji se od stupanja n</w:t>
      </w:r>
      <w:r>
        <w:rPr>
          <w:noProof/>
        </w:rPr>
        <w:t>a snagu zakonodavstva o sustavu financiranja kulturnih projekata i potpori radnicima u kulturnim sektorima.</w:t>
      </w:r>
    </w:p>
    <w:p w14:paraId="3F8B6AFA" w14:textId="77777777" w:rsidR="003F46B9" w:rsidRDefault="0065662E">
      <w:pPr>
        <w:pStyle w:val="P68B1DB1-Normal5"/>
        <w:spacing w:before="120" w:after="120" w:line="240" w:lineRule="auto"/>
        <w:jc w:val="both"/>
        <w:rPr>
          <w:rFonts w:eastAsia="Times New Roman" w:cs="Times New Roman"/>
          <w:noProof/>
        </w:rPr>
      </w:pPr>
      <w:r>
        <w:rPr>
          <w:noProof/>
        </w:rPr>
        <w:t>Provedba reforme mora biti dovršena do 31. ožujka 2023.</w:t>
      </w:r>
    </w:p>
    <w:p w14:paraId="6293D0EF"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5. Povećanje pristupa kulturi u područjima zahvaćenima kulturom</w:t>
      </w:r>
    </w:p>
    <w:p w14:paraId="5BC3520A" w14:textId="77777777" w:rsidR="003F46B9" w:rsidRDefault="0065662E">
      <w:pPr>
        <w:pStyle w:val="P68B1DB1-Normal5"/>
        <w:spacing w:before="120" w:after="120" w:line="240" w:lineRule="auto"/>
        <w:jc w:val="both"/>
        <w:rPr>
          <w:rFonts w:eastAsia="Calibri" w:cs="Times New Roman"/>
          <w:noProof/>
        </w:rPr>
      </w:pPr>
      <w:r>
        <w:rPr>
          <w:noProof/>
        </w:rPr>
        <w:t>Cilj je tog ulaganj</w:t>
      </w:r>
      <w:r>
        <w:rPr>
          <w:noProof/>
        </w:rPr>
        <w:t>a povećati pristup kulturi u općinama u nepovoljnom kulturnom položaju.</w:t>
      </w:r>
    </w:p>
    <w:p w14:paraId="6F2F3514" w14:textId="77777777" w:rsidR="003F46B9" w:rsidRDefault="0065662E">
      <w:pPr>
        <w:pStyle w:val="P68B1DB1-Normal5"/>
        <w:spacing w:before="120" w:after="120" w:line="240" w:lineRule="auto"/>
        <w:jc w:val="both"/>
        <w:rPr>
          <w:rFonts w:eastAsia="Calibri" w:cs="Times New Roman"/>
          <w:noProof/>
        </w:rPr>
      </w:pPr>
      <w:r>
        <w:rPr>
          <w:noProof/>
        </w:rPr>
        <w:t>Provedba tog ulaganja uključuje pilot-program financiranja u partnerstvu s lokalnim vlastima za potporu godišnjim ili višegodišnjim kulturnim programima koji se provode na lokalnoj raz</w:t>
      </w:r>
      <w:r>
        <w:rPr>
          <w:noProof/>
        </w:rPr>
        <w:t>ini i pilot-program za financiranje projekata kulturnog obrazovanja, čiji će korisnici biti obrazovne ustanove u ruralnim područjima i malim gradovima.</w:t>
      </w:r>
    </w:p>
    <w:p w14:paraId="01142C3E"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2024.</w:t>
      </w:r>
    </w:p>
    <w:p w14:paraId="7DF1F041"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6. Razvoj digitalnog sustava za </w:t>
      </w:r>
      <w:r>
        <w:rPr>
          <w:noProof/>
        </w:rPr>
        <w:t>procese financiranja kulture</w:t>
      </w:r>
    </w:p>
    <w:p w14:paraId="459AF47C" w14:textId="77777777" w:rsidR="003F46B9" w:rsidRDefault="0065662E">
      <w:pPr>
        <w:pStyle w:val="P68B1DB1-Normal5"/>
        <w:spacing w:before="120" w:after="120" w:line="240" w:lineRule="auto"/>
        <w:jc w:val="both"/>
        <w:rPr>
          <w:rFonts w:eastAsia="Calibri" w:cs="Times New Roman"/>
          <w:noProof/>
        </w:rPr>
      </w:pPr>
      <w:r>
        <w:rPr>
          <w:noProof/>
        </w:rPr>
        <w:t>Cilj je tog ulaganja razviti digitalni sustav za dodjelu javnih sredstava u kulturnim sektorima.</w:t>
      </w:r>
    </w:p>
    <w:p w14:paraId="64A21CA0" w14:textId="77777777" w:rsidR="003F46B9" w:rsidRDefault="0065662E">
      <w:pPr>
        <w:pStyle w:val="P68B1DB1-Normal5"/>
        <w:spacing w:before="120" w:after="120" w:line="240" w:lineRule="auto"/>
        <w:jc w:val="both"/>
        <w:rPr>
          <w:rFonts w:eastAsia="Calibri" w:cs="Times New Roman"/>
          <w:noProof/>
        </w:rPr>
      </w:pPr>
      <w:r>
        <w:rPr>
          <w:noProof/>
        </w:rPr>
        <w:t xml:space="preserve">Provedba tog ulaganja uključuje razvoj digitalnog sustava kojim se nacionalnim kulturnim subjektima olakšava pristup financiranju </w:t>
      </w:r>
      <w:r>
        <w:rPr>
          <w:noProof/>
        </w:rPr>
        <w:t>s pomoću pojednostavnjenih i digitaliziranih aplikacija; registrira sve javne subvencije za kulturu koje su već dodijeljene kako bi se spriječilo dvostruko financiranje i prikuplja podatke o izdacima za kulturu na razini općina kako bi se omogućilo donošen</w:t>
      </w:r>
      <w:r>
        <w:rPr>
          <w:noProof/>
        </w:rPr>
        <w:t>je odluke utemeljene na dokazima u području kulturne politike, a istodobno omogućio transparentan pristup informacijama o kulturnim projektima koje nisu povjerljive.</w:t>
      </w:r>
    </w:p>
    <w:p w14:paraId="3A310F53"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30. lipnja 2024.</w:t>
      </w:r>
    </w:p>
    <w:p w14:paraId="0725BDE5"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7. Ubrzavanje digitaliza</w:t>
      </w:r>
      <w:r>
        <w:rPr>
          <w:noProof/>
        </w:rPr>
        <w:t xml:space="preserve">cije filmske produkcije i distribucije </w:t>
      </w:r>
    </w:p>
    <w:p w14:paraId="4DF2AC65" w14:textId="77777777" w:rsidR="003F46B9" w:rsidRDefault="0065662E">
      <w:pPr>
        <w:pStyle w:val="P68B1DB1-Normal5"/>
        <w:spacing w:before="120" w:after="120" w:line="240" w:lineRule="auto"/>
        <w:jc w:val="both"/>
        <w:rPr>
          <w:rFonts w:eastAsia="Calibri" w:cs="Times New Roman"/>
          <w:noProof/>
        </w:rPr>
      </w:pPr>
      <w:r>
        <w:rPr>
          <w:noProof/>
        </w:rPr>
        <w:t>Cilj je tog ulaganja ojačati kapacitete mikropoduzeća te malih i srednjih poduzeća u filmskoj produkciji i ubrzati digitalnu tranziciju filmskih producenata i distributera u Rumunjskoj povećanjem kapaciteta za digita</w:t>
      </w:r>
      <w:r>
        <w:rPr>
          <w:noProof/>
        </w:rPr>
        <w:t xml:space="preserve">lnu produkciju, distribuciju, marketing i promidžbu, uključujući tehnologije digitalnog arhiviranja. </w:t>
      </w:r>
    </w:p>
    <w:p w14:paraId="71CC6CFD" w14:textId="77777777" w:rsidR="003F46B9" w:rsidRDefault="0065662E">
      <w:pPr>
        <w:pStyle w:val="P68B1DB1-Normal5"/>
        <w:spacing w:before="120" w:after="120" w:line="240" w:lineRule="auto"/>
        <w:jc w:val="both"/>
        <w:rPr>
          <w:rFonts w:eastAsia="Calibri" w:cs="Times New Roman"/>
          <w:noProof/>
        </w:rPr>
      </w:pPr>
      <w:r>
        <w:rPr>
          <w:noProof/>
        </w:rPr>
        <w:t>Provedba tog ulaganja uključuje razvoj sadržaja i povećanje poslovnih kapaciteta filmskih producenata i distributera, kombiniranjem financiranja projekata</w:t>
      </w:r>
      <w:r>
        <w:rPr>
          <w:noProof/>
        </w:rPr>
        <w:t xml:space="preserve"> i financiranja subjekta.</w:t>
      </w:r>
    </w:p>
    <w:p w14:paraId="4A7E1EFE" w14:textId="77777777" w:rsidR="003F46B9" w:rsidRDefault="0065662E">
      <w:pPr>
        <w:pStyle w:val="P68B1DB1-Normal5"/>
        <w:spacing w:before="120" w:after="120" w:line="240" w:lineRule="auto"/>
        <w:jc w:val="both"/>
        <w:rPr>
          <w:rFonts w:eastAsia="Calibri" w:cs="Times New Roman"/>
          <w:noProof/>
        </w:rPr>
      </w:pPr>
      <w:r>
        <w:rPr>
          <w:noProof/>
        </w:rPr>
        <w:t>Provedba ulaganja mora biti dovršena do 31. ožujka 2025.</w:t>
      </w:r>
    </w:p>
    <w:p w14:paraId="6377E47E" w14:textId="77777777" w:rsidR="003F46B9" w:rsidRDefault="003F46B9">
      <w:pPr>
        <w:spacing w:before="120" w:after="120" w:line="240" w:lineRule="auto"/>
        <w:jc w:val="both"/>
        <w:rPr>
          <w:rFonts w:ascii="Times New Roman" w:eastAsia="Calibri" w:hAnsi="Times New Roman" w:cs="Times New Roman"/>
          <w:noProof/>
          <w:sz w:val="24"/>
          <w:u w:val="single"/>
        </w:rPr>
      </w:pPr>
    </w:p>
    <w:p w14:paraId="09859709" w14:textId="77777777" w:rsidR="003F46B9" w:rsidRDefault="003F46B9">
      <w:pPr>
        <w:spacing w:before="120" w:after="120" w:line="240" w:lineRule="auto"/>
        <w:jc w:val="both"/>
        <w:rPr>
          <w:rFonts w:ascii="Times New Roman" w:hAnsi="Times New Roman" w:cs="Times New Roman"/>
          <w:b/>
          <w:noProof/>
          <w:sz w:val="24"/>
        </w:rPr>
        <w:sectPr w:rsidR="003F46B9">
          <w:headerReference w:type="even" r:id="rId241"/>
          <w:headerReference w:type="default" r:id="rId242"/>
          <w:footerReference w:type="even" r:id="rId243"/>
          <w:footerReference w:type="default" r:id="rId244"/>
          <w:headerReference w:type="first" r:id="rId245"/>
          <w:footerReference w:type="first" r:id="rId246"/>
          <w:pgSz w:w="11907" w:h="16839"/>
          <w:pgMar w:top="1134" w:right="1417" w:bottom="1134" w:left="1417" w:header="709" w:footer="709" w:gutter="0"/>
          <w:cols w:space="720"/>
          <w:docGrid w:linePitch="360"/>
        </w:sectPr>
      </w:pPr>
    </w:p>
    <w:p w14:paraId="64FFDEE7" w14:textId="77777777" w:rsidR="003F46B9" w:rsidRDefault="0065662E">
      <w:pPr>
        <w:keepNext/>
        <w:spacing w:before="120" w:after="120" w:line="240" w:lineRule="auto"/>
        <w:ind w:firstLine="720"/>
        <w:jc w:val="both"/>
        <w:outlineLvl w:val="1"/>
        <w:rPr>
          <w:rFonts w:ascii="Times New Roman" w:eastAsiaTheme="majorEastAsia" w:hAnsi="Times New Roman" w:cs="Times New Roman"/>
          <w:b/>
          <w:noProof/>
          <w:sz w:val="24"/>
        </w:rPr>
      </w:pPr>
      <w:r>
        <w:rPr>
          <w:rFonts w:ascii="Times New Roman" w:hAnsi="Times New Roman"/>
          <w:b/>
          <w:noProof/>
          <w:sz w:val="24"/>
        </w:rPr>
        <w:t xml:space="preserve">K.2. </w:t>
      </w:r>
      <w:r>
        <w:rPr>
          <w:noProof/>
        </w:rPr>
        <w:tab/>
      </w:r>
      <w:r>
        <w:rPr>
          <w:rFonts w:ascii="Times New Roman" w:hAnsi="Times New Roman"/>
          <w:b/>
          <w:noProof/>
          <w:sz w:val="24"/>
        </w:rPr>
        <w:t xml:space="preserve">Ključne etape, ciljne vrijednosti, pokazatelji i vremenski raspored za praćenje i provedbu zajma </w:t>
      </w:r>
    </w:p>
    <w:tbl>
      <w:tblPr>
        <w:tblW w:w="15876" w:type="dxa"/>
        <w:jc w:val="center"/>
        <w:tblLayout w:type="fixed"/>
        <w:tblLook w:val="04A0" w:firstRow="1" w:lastRow="0" w:firstColumn="1" w:lastColumn="0" w:noHBand="0" w:noVBand="1"/>
      </w:tblPr>
      <w:tblGrid>
        <w:gridCol w:w="860"/>
        <w:gridCol w:w="1586"/>
        <w:gridCol w:w="1302"/>
        <w:gridCol w:w="1518"/>
        <w:gridCol w:w="1658"/>
        <w:gridCol w:w="1298"/>
        <w:gridCol w:w="1157"/>
        <w:gridCol w:w="867"/>
        <w:gridCol w:w="1122"/>
        <w:gridCol w:w="874"/>
        <w:gridCol w:w="3634"/>
      </w:tblGrid>
      <w:tr w:rsidR="003F46B9" w14:paraId="23170EE2" w14:textId="77777777">
        <w:trPr>
          <w:trHeight w:val="632"/>
          <w:tblHeader/>
          <w:jc w:val="center"/>
        </w:trPr>
        <w:tc>
          <w:tcPr>
            <w:tcW w:w="8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7172B52"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EE5B5BD"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7A0268"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BB1517" w14:textId="77777777" w:rsidR="003F46B9" w:rsidRDefault="0065662E">
            <w:pPr>
              <w:pStyle w:val="P68B1DB1-Normal1"/>
              <w:spacing w:after="0" w:line="240" w:lineRule="auto"/>
              <w:jc w:val="center"/>
              <w:rPr>
                <w:rFonts w:eastAsia="Times New Roman" w:cs="Times New Roman"/>
                <w:noProof/>
              </w:rPr>
            </w:pPr>
            <w:r>
              <w:rPr>
                <w:noProof/>
              </w:rPr>
              <w:t>Ime</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24EDDE" w14:textId="635D0DDC"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3C647AC" w14:textId="32C1FDE6"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60" w:type="dxa"/>
            <w:gridSpan w:val="2"/>
            <w:tcBorders>
              <w:top w:val="single" w:sz="4" w:space="0" w:color="auto"/>
              <w:left w:val="nil"/>
              <w:bottom w:val="single" w:sz="4" w:space="0" w:color="auto"/>
              <w:right w:val="single" w:sz="4" w:space="0" w:color="auto"/>
            </w:tcBorders>
            <w:shd w:val="clear" w:color="auto" w:fill="BDD7EE"/>
            <w:vAlign w:val="center"/>
            <w:hideMark/>
          </w:tcPr>
          <w:p w14:paraId="78B86C38" w14:textId="77777777" w:rsidR="003F46B9" w:rsidRDefault="0065662E">
            <w:pPr>
              <w:pStyle w:val="P68B1DB1-Normal1"/>
              <w:spacing w:after="0" w:line="240" w:lineRule="auto"/>
              <w:jc w:val="center"/>
              <w:rPr>
                <w:rFonts w:eastAsia="Times New Roman" w:cs="Times New Roman"/>
                <w:noProof/>
              </w:rPr>
            </w:pPr>
            <w:r>
              <w:rPr>
                <w:noProof/>
              </w:rPr>
              <w:t xml:space="preserve">Okvirni vremenski okvir za dovršetak </w:t>
            </w:r>
          </w:p>
        </w:tc>
        <w:tc>
          <w:tcPr>
            <w:tcW w:w="356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61C9F45"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6E51D3C6" w14:textId="77777777">
        <w:trPr>
          <w:trHeight w:val="56"/>
          <w:tblHeader/>
          <w:jc w:val="center"/>
        </w:trPr>
        <w:tc>
          <w:tcPr>
            <w:tcW w:w="845" w:type="dxa"/>
            <w:vMerge/>
            <w:tcBorders>
              <w:top w:val="single" w:sz="4" w:space="0" w:color="auto"/>
              <w:left w:val="single" w:sz="4" w:space="0" w:color="auto"/>
              <w:bottom w:val="single" w:sz="4" w:space="0" w:color="auto"/>
              <w:right w:val="single" w:sz="4" w:space="0" w:color="auto"/>
            </w:tcBorders>
            <w:hideMark/>
          </w:tcPr>
          <w:p w14:paraId="46A2AE65" w14:textId="77777777" w:rsidR="003F46B9" w:rsidRDefault="003F46B9">
            <w:pPr>
              <w:spacing w:after="0" w:line="240" w:lineRule="auto"/>
              <w:jc w:val="center"/>
              <w:rPr>
                <w:rFonts w:ascii="Times New Roman" w:eastAsia="Times New Roman" w:hAnsi="Times New Roman" w:cs="Times New Roman"/>
                <w:b/>
                <w:noProof/>
                <w:sz w:val="24"/>
              </w:rPr>
            </w:pPr>
          </w:p>
        </w:tc>
        <w:tc>
          <w:tcPr>
            <w:tcW w:w="1558" w:type="dxa"/>
            <w:vMerge/>
            <w:tcBorders>
              <w:top w:val="single" w:sz="4" w:space="0" w:color="auto"/>
              <w:left w:val="single" w:sz="4" w:space="0" w:color="auto"/>
              <w:bottom w:val="single" w:sz="4" w:space="0" w:color="auto"/>
              <w:right w:val="single" w:sz="4" w:space="0" w:color="auto"/>
            </w:tcBorders>
            <w:hideMark/>
          </w:tcPr>
          <w:p w14:paraId="6A093EAB" w14:textId="77777777" w:rsidR="003F46B9" w:rsidRDefault="003F46B9">
            <w:pPr>
              <w:spacing w:after="0" w:line="240" w:lineRule="auto"/>
              <w:jc w:val="both"/>
              <w:rPr>
                <w:rFonts w:ascii="Times New Roman" w:eastAsia="Times New Roman" w:hAnsi="Times New Roman" w:cs="Times New Roman"/>
                <w:b/>
                <w:noProof/>
                <w:sz w:val="24"/>
              </w:rPr>
            </w:pPr>
          </w:p>
        </w:tc>
        <w:tc>
          <w:tcPr>
            <w:tcW w:w="1278" w:type="dxa"/>
            <w:vMerge/>
            <w:tcBorders>
              <w:top w:val="single" w:sz="4" w:space="0" w:color="auto"/>
              <w:left w:val="single" w:sz="4" w:space="0" w:color="auto"/>
              <w:bottom w:val="single" w:sz="4" w:space="0" w:color="auto"/>
              <w:right w:val="single" w:sz="4" w:space="0" w:color="auto"/>
            </w:tcBorders>
            <w:hideMark/>
          </w:tcPr>
          <w:p w14:paraId="7FB60820" w14:textId="77777777" w:rsidR="003F46B9" w:rsidRDefault="003F46B9">
            <w:pPr>
              <w:spacing w:after="0" w:line="240" w:lineRule="auto"/>
              <w:jc w:val="center"/>
              <w:rPr>
                <w:rFonts w:ascii="Times New Roman" w:eastAsia="Times New Roman" w:hAnsi="Times New Roman" w:cs="Times New Roman"/>
                <w:b/>
                <w:noProof/>
                <w:sz w:val="24"/>
              </w:rPr>
            </w:pPr>
          </w:p>
        </w:tc>
        <w:tc>
          <w:tcPr>
            <w:tcW w:w="1490" w:type="dxa"/>
            <w:vMerge/>
            <w:tcBorders>
              <w:top w:val="single" w:sz="4" w:space="0" w:color="auto"/>
              <w:left w:val="single" w:sz="4" w:space="0" w:color="auto"/>
              <w:bottom w:val="single" w:sz="4" w:space="0" w:color="auto"/>
              <w:right w:val="single" w:sz="4" w:space="0" w:color="auto"/>
            </w:tcBorders>
            <w:hideMark/>
          </w:tcPr>
          <w:p w14:paraId="0562A3F2" w14:textId="77777777" w:rsidR="003F46B9" w:rsidRDefault="003F46B9">
            <w:pPr>
              <w:spacing w:after="0" w:line="240" w:lineRule="auto"/>
              <w:jc w:val="both"/>
              <w:rPr>
                <w:rFonts w:ascii="Times New Roman" w:eastAsia="Times New Roman" w:hAnsi="Times New Roman" w:cs="Times New Roman"/>
                <w:b/>
                <w:noProof/>
                <w:sz w:val="24"/>
              </w:rPr>
            </w:pPr>
          </w:p>
        </w:tc>
        <w:tc>
          <w:tcPr>
            <w:tcW w:w="1628" w:type="dxa"/>
            <w:vMerge/>
            <w:tcBorders>
              <w:top w:val="single" w:sz="4" w:space="0" w:color="auto"/>
              <w:left w:val="single" w:sz="4" w:space="0" w:color="auto"/>
              <w:bottom w:val="single" w:sz="4" w:space="0" w:color="auto"/>
              <w:right w:val="single" w:sz="4" w:space="0" w:color="auto"/>
            </w:tcBorders>
            <w:hideMark/>
          </w:tcPr>
          <w:p w14:paraId="3438392E" w14:textId="77777777" w:rsidR="003F46B9" w:rsidRDefault="003F46B9">
            <w:pPr>
              <w:spacing w:after="0" w:line="240" w:lineRule="auto"/>
              <w:jc w:val="both"/>
              <w:rPr>
                <w:rFonts w:ascii="Times New Roman" w:eastAsia="Times New Roman" w:hAnsi="Times New Roman" w:cs="Times New Roman"/>
                <w:b/>
                <w:noProof/>
                <w:sz w:val="24"/>
              </w:rPr>
            </w:pPr>
          </w:p>
        </w:tc>
        <w:tc>
          <w:tcPr>
            <w:tcW w:w="1274" w:type="dxa"/>
            <w:tcBorders>
              <w:top w:val="nil"/>
              <w:left w:val="single" w:sz="4" w:space="0" w:color="auto"/>
              <w:bottom w:val="single" w:sz="4" w:space="0" w:color="auto"/>
              <w:right w:val="single" w:sz="4" w:space="0" w:color="auto"/>
            </w:tcBorders>
            <w:shd w:val="clear" w:color="auto" w:fill="BDD7EE"/>
            <w:vAlign w:val="center"/>
            <w:hideMark/>
          </w:tcPr>
          <w:p w14:paraId="6BF67160" w14:textId="77777777" w:rsidR="003F46B9" w:rsidRDefault="0065662E">
            <w:pPr>
              <w:pStyle w:val="P68B1DB1-Normal1"/>
              <w:spacing w:after="0" w:line="240" w:lineRule="auto"/>
              <w:jc w:val="center"/>
              <w:rPr>
                <w:rFonts w:eastAsia="Times New Roman" w:cs="Times New Roman"/>
                <w:noProof/>
              </w:rPr>
            </w:pPr>
            <w:r>
              <w:rPr>
                <w:noProof/>
              </w:rPr>
              <w:t xml:space="preserve">Jedinica </w:t>
            </w:r>
            <w:r>
              <w:rPr>
                <w:noProof/>
              </w:rPr>
              <w:t>mjere</w:t>
            </w:r>
          </w:p>
        </w:tc>
        <w:tc>
          <w:tcPr>
            <w:tcW w:w="1136" w:type="dxa"/>
            <w:tcBorders>
              <w:top w:val="nil"/>
              <w:left w:val="nil"/>
              <w:bottom w:val="single" w:sz="4" w:space="0" w:color="auto"/>
              <w:right w:val="single" w:sz="4" w:space="0" w:color="auto"/>
            </w:tcBorders>
            <w:shd w:val="clear" w:color="auto" w:fill="BDD7EE"/>
            <w:vAlign w:val="center"/>
            <w:hideMark/>
          </w:tcPr>
          <w:p w14:paraId="68685DA5" w14:textId="77777777"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851" w:type="dxa"/>
            <w:tcBorders>
              <w:top w:val="nil"/>
              <w:left w:val="nil"/>
              <w:bottom w:val="single" w:sz="4" w:space="0" w:color="auto"/>
              <w:right w:val="single" w:sz="4" w:space="0" w:color="auto"/>
            </w:tcBorders>
            <w:shd w:val="clear" w:color="auto" w:fill="BDD7EE"/>
            <w:vAlign w:val="center"/>
            <w:hideMark/>
          </w:tcPr>
          <w:p w14:paraId="06DD60D5"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02" w:type="dxa"/>
            <w:tcBorders>
              <w:top w:val="nil"/>
              <w:left w:val="nil"/>
              <w:bottom w:val="single" w:sz="4" w:space="0" w:color="auto"/>
              <w:right w:val="single" w:sz="4" w:space="0" w:color="auto"/>
            </w:tcBorders>
            <w:shd w:val="clear" w:color="auto" w:fill="BDD7EE"/>
            <w:vAlign w:val="center"/>
            <w:hideMark/>
          </w:tcPr>
          <w:p w14:paraId="75D86F57"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BDD7EE"/>
            <w:vAlign w:val="center"/>
            <w:hideMark/>
          </w:tcPr>
          <w:p w14:paraId="0B346401"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568" w:type="dxa"/>
            <w:vMerge/>
            <w:tcBorders>
              <w:top w:val="single" w:sz="4" w:space="0" w:color="auto"/>
              <w:bottom w:val="single" w:sz="4" w:space="0" w:color="auto"/>
              <w:right w:val="single" w:sz="4" w:space="0" w:color="auto"/>
            </w:tcBorders>
            <w:hideMark/>
          </w:tcPr>
          <w:p w14:paraId="73ED3687"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23B0BF74" w14:textId="77777777">
        <w:trPr>
          <w:trHeight w:val="309"/>
          <w:jc w:val="center"/>
        </w:trPr>
        <w:tc>
          <w:tcPr>
            <w:tcW w:w="845" w:type="dxa"/>
            <w:tcBorders>
              <w:top w:val="single" w:sz="4" w:space="0" w:color="auto"/>
              <w:left w:val="single" w:sz="4" w:space="0" w:color="auto"/>
              <w:bottom w:val="single" w:sz="4" w:space="0" w:color="auto"/>
              <w:right w:val="single" w:sz="4" w:space="0" w:color="auto"/>
            </w:tcBorders>
            <w:shd w:val="clear" w:color="auto" w:fill="C6EFCE"/>
            <w:noWrap/>
            <w:hideMark/>
          </w:tcPr>
          <w:p w14:paraId="54364126" w14:textId="77777777" w:rsidR="003F46B9" w:rsidRDefault="0065662E">
            <w:pPr>
              <w:pStyle w:val="P68B1DB1-Normal5"/>
              <w:spacing w:after="0" w:line="240" w:lineRule="auto"/>
              <w:jc w:val="center"/>
              <w:rPr>
                <w:rFonts w:eastAsia="Times New Roman" w:cs="Times New Roman"/>
                <w:noProof/>
              </w:rPr>
            </w:pPr>
            <w:r>
              <w:rPr>
                <w:noProof/>
              </w:rPr>
              <w:t>326</w:t>
            </w:r>
          </w:p>
        </w:tc>
        <w:tc>
          <w:tcPr>
            <w:tcW w:w="1558" w:type="dxa"/>
            <w:tcBorders>
              <w:top w:val="single" w:sz="4" w:space="0" w:color="auto"/>
              <w:left w:val="nil"/>
              <w:bottom w:val="single" w:sz="4" w:space="0" w:color="auto"/>
              <w:right w:val="single" w:sz="4" w:space="0" w:color="auto"/>
            </w:tcBorders>
            <w:shd w:val="clear" w:color="auto" w:fill="C6EFCE"/>
            <w:noWrap/>
            <w:hideMark/>
          </w:tcPr>
          <w:p w14:paraId="406E3023" w14:textId="77777777" w:rsidR="003F46B9" w:rsidRDefault="0065662E">
            <w:pPr>
              <w:pStyle w:val="P68B1DB1-Normal5"/>
              <w:spacing w:after="0" w:line="240" w:lineRule="auto"/>
              <w:jc w:val="both"/>
              <w:rPr>
                <w:rFonts w:eastAsia="Times New Roman" w:cs="Times New Roman"/>
                <w:noProof/>
              </w:rPr>
            </w:pPr>
            <w:r>
              <w:rPr>
                <w:noProof/>
              </w:rPr>
              <w:t>Reforma 1. Operacionalizacija organizacija za upravljanje odredištima</w:t>
            </w:r>
          </w:p>
        </w:tc>
        <w:tc>
          <w:tcPr>
            <w:tcW w:w="1278" w:type="dxa"/>
            <w:tcBorders>
              <w:top w:val="single" w:sz="4" w:space="0" w:color="auto"/>
              <w:left w:val="nil"/>
              <w:bottom w:val="single" w:sz="4" w:space="0" w:color="auto"/>
              <w:right w:val="single" w:sz="4" w:space="0" w:color="auto"/>
            </w:tcBorders>
            <w:shd w:val="clear" w:color="auto" w:fill="C6EFCE"/>
            <w:noWrap/>
            <w:hideMark/>
          </w:tcPr>
          <w:p w14:paraId="5E3986AE"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single" w:sz="4" w:space="0" w:color="auto"/>
              <w:left w:val="nil"/>
              <w:bottom w:val="single" w:sz="4" w:space="0" w:color="auto"/>
              <w:right w:val="single" w:sz="4" w:space="0" w:color="auto"/>
            </w:tcBorders>
            <w:shd w:val="clear" w:color="auto" w:fill="C6EFCE"/>
            <w:noWrap/>
            <w:hideMark/>
          </w:tcPr>
          <w:p w14:paraId="5FF0A47D" w14:textId="77777777" w:rsidR="003F46B9" w:rsidRDefault="0065662E">
            <w:pPr>
              <w:pStyle w:val="P68B1DB1-Normal5"/>
              <w:spacing w:after="0" w:line="240" w:lineRule="auto"/>
              <w:jc w:val="both"/>
              <w:rPr>
                <w:rFonts w:eastAsia="Times New Roman" w:cs="Times New Roman"/>
                <w:noProof/>
              </w:rPr>
            </w:pPr>
            <w:r>
              <w:rPr>
                <w:noProof/>
              </w:rPr>
              <w:t>Sva optimalna odredišna područja za regionalne organizacije za upravljanje odredištima (DMO) u Rumunjskoj mapirana su</w:t>
            </w:r>
          </w:p>
        </w:tc>
        <w:tc>
          <w:tcPr>
            <w:tcW w:w="1628" w:type="dxa"/>
            <w:tcBorders>
              <w:top w:val="single" w:sz="4" w:space="0" w:color="auto"/>
              <w:left w:val="nil"/>
              <w:bottom w:val="single" w:sz="4" w:space="0" w:color="auto"/>
              <w:right w:val="single" w:sz="4" w:space="0" w:color="auto"/>
            </w:tcBorders>
            <w:shd w:val="clear" w:color="auto" w:fill="C6EFCE"/>
            <w:noWrap/>
            <w:hideMark/>
          </w:tcPr>
          <w:p w14:paraId="2DE3431A" w14:textId="77777777" w:rsidR="003F46B9" w:rsidRDefault="0065662E">
            <w:pPr>
              <w:pStyle w:val="P68B1DB1-Normal5"/>
              <w:spacing w:after="0" w:line="240" w:lineRule="auto"/>
              <w:jc w:val="both"/>
              <w:rPr>
                <w:rFonts w:eastAsia="Times New Roman" w:cs="Times New Roman"/>
                <w:noProof/>
              </w:rPr>
            </w:pPr>
            <w:r>
              <w:rPr>
                <w:noProof/>
              </w:rPr>
              <w:t>Objavljena su sva optimalna odredišna područja za regionalne AUO-ove u Rumunjskoj</w:t>
            </w:r>
          </w:p>
          <w:p w14:paraId="0292014F"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3648E467"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256F1FCF" w14:textId="77777777" w:rsidR="003F46B9" w:rsidRDefault="003F46B9">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3241141" w14:textId="77777777" w:rsidR="003F46B9" w:rsidRDefault="003F46B9">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09B6C847"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hideMark/>
          </w:tcPr>
          <w:p w14:paraId="442E0138"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single" w:sz="4" w:space="0" w:color="auto"/>
              <w:left w:val="nil"/>
              <w:bottom w:val="single" w:sz="4" w:space="0" w:color="auto"/>
              <w:right w:val="single" w:sz="4" w:space="0" w:color="auto"/>
            </w:tcBorders>
            <w:shd w:val="clear" w:color="auto" w:fill="C6EFCE"/>
            <w:noWrap/>
            <w:hideMark/>
          </w:tcPr>
          <w:p w14:paraId="33F18860" w14:textId="77777777" w:rsidR="003F46B9" w:rsidRDefault="0065662E">
            <w:pPr>
              <w:pStyle w:val="P68B1DB1-Normal5"/>
              <w:spacing w:after="0" w:line="240" w:lineRule="auto"/>
              <w:jc w:val="both"/>
              <w:rPr>
                <w:rFonts w:eastAsia="Times New Roman" w:cs="Times New Roman"/>
                <w:noProof/>
              </w:rPr>
            </w:pPr>
            <w:r>
              <w:rPr>
                <w:noProof/>
              </w:rPr>
              <w:t>Optimalna odredišna područja utvrđuju organizacije za upravljanje odredištima na temelju sljedećih kriterija:</w:t>
            </w:r>
          </w:p>
          <w:p w14:paraId="5409AC35" w14:textId="77777777" w:rsidR="003F46B9" w:rsidRDefault="0065662E">
            <w:pPr>
              <w:pStyle w:val="P68B1DB1-Normal5"/>
              <w:spacing w:after="0" w:line="240" w:lineRule="auto"/>
              <w:jc w:val="both"/>
              <w:rPr>
                <w:rFonts w:eastAsia="Times New Roman" w:cs="Times New Roman"/>
                <w:noProof/>
              </w:rPr>
            </w:pPr>
            <w:r>
              <w:rPr>
                <w:noProof/>
              </w:rPr>
              <w:t>—njihova sposobnost privlačenja međunarodn</w:t>
            </w:r>
            <w:r>
              <w:rPr>
                <w:noProof/>
              </w:rPr>
              <w:t>ih turista</w:t>
            </w:r>
          </w:p>
          <w:p w14:paraId="12204539" w14:textId="77777777" w:rsidR="003F46B9" w:rsidRDefault="0065662E">
            <w:pPr>
              <w:pStyle w:val="P68B1DB1-Normal5"/>
              <w:spacing w:after="0" w:line="240" w:lineRule="auto"/>
              <w:jc w:val="both"/>
              <w:rPr>
                <w:rFonts w:eastAsia="Times New Roman" w:cs="Times New Roman"/>
                <w:noProof/>
              </w:rPr>
            </w:pPr>
            <w:r>
              <w:rPr>
                <w:noProof/>
              </w:rPr>
              <w:t>—promicanje društveno-gospodarske održive/okolišno prihvatljive preobrazbe u ruralnim područjima i područjima u nepovoljnom položaju, u komplementarnosti s komponentom lokalnog fonda (npr. u pogledu funkcionalnih ruralnih područja);</w:t>
            </w:r>
          </w:p>
          <w:p w14:paraId="7B0C589F" w14:textId="77777777" w:rsidR="003F46B9" w:rsidRDefault="0065662E">
            <w:pPr>
              <w:pStyle w:val="P68B1DB1-Normal5"/>
              <w:spacing w:after="0" w:line="240" w:lineRule="auto"/>
              <w:jc w:val="both"/>
              <w:rPr>
                <w:rFonts w:eastAsia="Times New Roman" w:cs="Times New Roman"/>
                <w:noProof/>
              </w:rPr>
            </w:pPr>
            <w:r>
              <w:rPr>
                <w:noProof/>
              </w:rPr>
              <w:t>— potencijal</w:t>
            </w:r>
            <w:r>
              <w:rPr>
                <w:noProof/>
              </w:rPr>
              <w:t xml:space="preserve"> za stvaranje novih radnih mjesta.</w:t>
            </w:r>
          </w:p>
        </w:tc>
      </w:tr>
      <w:tr w:rsidR="003F46B9" w14:paraId="0395CC8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AD8A00" w14:textId="77777777" w:rsidR="003F46B9" w:rsidRDefault="0065662E">
            <w:pPr>
              <w:pStyle w:val="P68B1DB1-Normal5"/>
              <w:spacing w:after="0" w:line="240" w:lineRule="auto"/>
              <w:jc w:val="center"/>
              <w:rPr>
                <w:rFonts w:eastAsia="Times New Roman" w:cs="Times New Roman"/>
                <w:noProof/>
              </w:rPr>
            </w:pPr>
            <w:r>
              <w:rPr>
                <w:noProof/>
              </w:rPr>
              <w:t>327</w:t>
            </w:r>
          </w:p>
        </w:tc>
        <w:tc>
          <w:tcPr>
            <w:tcW w:w="1558" w:type="dxa"/>
            <w:tcBorders>
              <w:top w:val="nil"/>
              <w:left w:val="nil"/>
              <w:bottom w:val="single" w:sz="4" w:space="0" w:color="auto"/>
              <w:right w:val="single" w:sz="4" w:space="0" w:color="auto"/>
            </w:tcBorders>
            <w:shd w:val="clear" w:color="auto" w:fill="C6EFCE"/>
            <w:noWrap/>
          </w:tcPr>
          <w:p w14:paraId="7293F910" w14:textId="77777777" w:rsidR="003F46B9" w:rsidRDefault="0065662E">
            <w:pPr>
              <w:pStyle w:val="P68B1DB1-Normal5"/>
              <w:spacing w:after="0" w:line="240" w:lineRule="auto"/>
              <w:jc w:val="both"/>
              <w:rPr>
                <w:rFonts w:cs="Times New Roman"/>
                <w:noProof/>
              </w:rPr>
            </w:pPr>
            <w:r>
              <w:rPr>
                <w:noProof/>
              </w:rPr>
              <w:t>Reforma 1.</w:t>
            </w:r>
          </w:p>
          <w:p w14:paraId="31C6DD90" w14:textId="77777777" w:rsidR="003F46B9" w:rsidRDefault="0065662E">
            <w:pPr>
              <w:pStyle w:val="P68B1DB1-Normal5"/>
              <w:spacing w:after="0" w:line="240" w:lineRule="auto"/>
              <w:jc w:val="both"/>
              <w:rPr>
                <w:rFonts w:eastAsia="Times New Roman" w:cs="Times New Roman"/>
                <w:noProof/>
              </w:rPr>
            </w:pPr>
            <w:r>
              <w:rPr>
                <w:noProof/>
              </w:rPr>
              <w:t>Operacionalizacija organizacija za upravljanje odredištima</w:t>
            </w:r>
          </w:p>
        </w:tc>
        <w:tc>
          <w:tcPr>
            <w:tcW w:w="1278" w:type="dxa"/>
            <w:tcBorders>
              <w:top w:val="nil"/>
              <w:left w:val="nil"/>
              <w:bottom w:val="single" w:sz="4" w:space="0" w:color="auto"/>
              <w:right w:val="single" w:sz="4" w:space="0" w:color="auto"/>
            </w:tcBorders>
            <w:shd w:val="clear" w:color="auto" w:fill="C6EFCE"/>
            <w:noWrap/>
          </w:tcPr>
          <w:p w14:paraId="352EB5CE"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5C01672B" w14:textId="77777777" w:rsidR="003F46B9" w:rsidRDefault="0065662E">
            <w:pPr>
              <w:pStyle w:val="P68B1DB1-Normal5"/>
              <w:spacing w:after="0" w:line="240" w:lineRule="auto"/>
              <w:jc w:val="both"/>
              <w:rPr>
                <w:rFonts w:eastAsia="Times New Roman" w:cs="Times New Roman"/>
                <w:noProof/>
              </w:rPr>
            </w:pPr>
            <w:r>
              <w:rPr>
                <w:noProof/>
              </w:rPr>
              <w:t>Akcijski plan za korištenje kulturne baštine za povećanje konkurentnosti rumunjskog turističkog sektora</w:t>
            </w:r>
          </w:p>
        </w:tc>
        <w:tc>
          <w:tcPr>
            <w:tcW w:w="1628" w:type="dxa"/>
            <w:tcBorders>
              <w:top w:val="nil"/>
              <w:left w:val="nil"/>
              <w:bottom w:val="single" w:sz="4" w:space="0" w:color="auto"/>
              <w:right w:val="single" w:sz="4" w:space="0" w:color="auto"/>
            </w:tcBorders>
            <w:shd w:val="clear" w:color="auto" w:fill="C6EFCE"/>
            <w:noWrap/>
          </w:tcPr>
          <w:p w14:paraId="3CDFB377" w14:textId="77777777" w:rsidR="003F46B9" w:rsidRDefault="0065662E">
            <w:pPr>
              <w:pStyle w:val="P68B1DB1-Normal5"/>
              <w:spacing w:after="0" w:line="240" w:lineRule="auto"/>
              <w:jc w:val="both"/>
              <w:rPr>
                <w:rFonts w:eastAsia="Times New Roman" w:cs="Times New Roman"/>
                <w:noProof/>
              </w:rPr>
            </w:pPr>
            <w:r>
              <w:rPr>
                <w:noProof/>
              </w:rPr>
              <w:t>Donošenje akcijskog plana za korištenje kulturne baštine radi povećanja konkurentnosti rumunjskog turističkog sektora</w:t>
            </w:r>
          </w:p>
        </w:tc>
        <w:tc>
          <w:tcPr>
            <w:tcW w:w="1274" w:type="dxa"/>
            <w:tcBorders>
              <w:top w:val="nil"/>
              <w:left w:val="nil"/>
              <w:bottom w:val="single" w:sz="4" w:space="0" w:color="auto"/>
              <w:right w:val="single" w:sz="4" w:space="0" w:color="auto"/>
            </w:tcBorders>
            <w:shd w:val="clear" w:color="auto" w:fill="C6EFCE"/>
            <w:noWrap/>
          </w:tcPr>
          <w:p w14:paraId="6CF4A3B6"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003961E6" w14:textId="77777777" w:rsidR="003F46B9" w:rsidRDefault="003F46B9">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346D73DF" w14:textId="77777777" w:rsidR="003F46B9" w:rsidRDefault="003F46B9">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6602F825"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1AF68C45"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7F6FEAF6" w14:textId="77777777" w:rsidR="003F46B9" w:rsidRDefault="0065662E">
            <w:pPr>
              <w:pStyle w:val="P68B1DB1-Normal5"/>
              <w:spacing w:after="0" w:line="240" w:lineRule="auto"/>
              <w:jc w:val="both"/>
              <w:rPr>
                <w:rFonts w:eastAsia="Times New Roman" w:cs="Times New Roman"/>
                <w:noProof/>
              </w:rPr>
            </w:pPr>
            <w:r>
              <w:rPr>
                <w:noProof/>
              </w:rPr>
              <w:t>Akcijski plan mora biti u skladu s višestrukim turističkim paketima AUO-a. Akcijski plan obuhvaća razdoblje 2022. – 20</w:t>
            </w:r>
            <w:r>
              <w:rPr>
                <w:noProof/>
              </w:rPr>
              <w:t>26. i uključuje posebne godišnje i višegodišnje ciljeve i sljedeće glavne mjere: a) utvrđivanje vrsta lokacija s nacionalnim i međunarodnim učinkom koje će se upotrebljavati za promicanje turizma u Rumunjskoj i kojima se doprinosi promicanju društveno-gosp</w:t>
            </w:r>
            <w:r>
              <w:rPr>
                <w:noProof/>
              </w:rPr>
              <w:t>odarske održive/okolišno prihvatljive preobrazbe u ruralnim područjima i područjima u nepovoljnom položaju; i b) utvrđivanje kulturnih ruta koje su rezultat mapiranja. U njemu se navode i glavni akteri, njihove uloge i odgovornosti te očekivani rezultati.</w:t>
            </w:r>
          </w:p>
        </w:tc>
      </w:tr>
      <w:tr w:rsidR="003F46B9" w14:paraId="31D9DF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4D496A3" w14:textId="77777777" w:rsidR="003F46B9" w:rsidRDefault="0065662E">
            <w:pPr>
              <w:pStyle w:val="P68B1DB1-Normal5"/>
              <w:spacing w:after="0" w:line="240" w:lineRule="auto"/>
              <w:jc w:val="center"/>
              <w:rPr>
                <w:rFonts w:eastAsia="Times New Roman" w:cs="Times New Roman"/>
                <w:noProof/>
              </w:rPr>
            </w:pPr>
            <w:r>
              <w:rPr>
                <w:noProof/>
              </w:rPr>
              <w:t>328</w:t>
            </w:r>
          </w:p>
        </w:tc>
        <w:tc>
          <w:tcPr>
            <w:tcW w:w="1558" w:type="dxa"/>
            <w:tcBorders>
              <w:top w:val="nil"/>
              <w:left w:val="nil"/>
              <w:bottom w:val="single" w:sz="4" w:space="0" w:color="auto"/>
              <w:right w:val="single" w:sz="4" w:space="0" w:color="auto"/>
            </w:tcBorders>
            <w:shd w:val="clear" w:color="auto" w:fill="C6EFCE"/>
            <w:noWrap/>
          </w:tcPr>
          <w:p w14:paraId="0AA3B027" w14:textId="77777777" w:rsidR="003F46B9" w:rsidRDefault="0065662E">
            <w:pPr>
              <w:pStyle w:val="P68B1DB1-Normal5"/>
              <w:spacing w:after="0" w:line="240" w:lineRule="auto"/>
              <w:jc w:val="both"/>
              <w:rPr>
                <w:rFonts w:eastAsia="Times New Roman" w:cs="Times New Roman"/>
                <w:noProof/>
              </w:rPr>
            </w:pPr>
            <w:r>
              <w:rPr>
                <w:noProof/>
              </w:rPr>
              <w:t>Reforma 1. Operacionalizacija organizacija za upravljanje odredištima</w:t>
            </w:r>
          </w:p>
        </w:tc>
        <w:tc>
          <w:tcPr>
            <w:tcW w:w="1278" w:type="dxa"/>
            <w:tcBorders>
              <w:top w:val="nil"/>
              <w:left w:val="nil"/>
              <w:bottom w:val="single" w:sz="4" w:space="0" w:color="auto"/>
              <w:right w:val="single" w:sz="4" w:space="0" w:color="auto"/>
            </w:tcBorders>
            <w:shd w:val="clear" w:color="auto" w:fill="C6EFCE"/>
            <w:noWrap/>
          </w:tcPr>
          <w:p w14:paraId="44A97FD7"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359A335F" w14:textId="47E6DBB1" w:rsidR="003F46B9" w:rsidRDefault="0065662E">
            <w:pPr>
              <w:pStyle w:val="P68B1DB1-Normal5"/>
              <w:spacing w:after="0" w:line="240" w:lineRule="auto"/>
              <w:jc w:val="both"/>
              <w:rPr>
                <w:rFonts w:eastAsia="Times New Roman" w:cs="Times New Roman"/>
                <w:noProof/>
              </w:rPr>
            </w:pPr>
            <w:r>
              <w:rPr>
                <w:noProof/>
              </w:rPr>
              <w:t xml:space="preserve">Stupanje na snagu zakonodavnog okvira putem izvanredne vladine uredbe koja uključuje jasan opis mehanizma financiranja za potporu razvoju mreže AUO-ova i jasan model </w:t>
            </w:r>
            <w:r>
              <w:rPr>
                <w:noProof/>
              </w:rPr>
              <w:t>upravljanja</w:t>
            </w:r>
          </w:p>
        </w:tc>
        <w:tc>
          <w:tcPr>
            <w:tcW w:w="1628" w:type="dxa"/>
            <w:tcBorders>
              <w:top w:val="nil"/>
              <w:left w:val="nil"/>
              <w:bottom w:val="single" w:sz="4" w:space="0" w:color="auto"/>
              <w:right w:val="single" w:sz="4" w:space="0" w:color="auto"/>
            </w:tcBorders>
            <w:shd w:val="clear" w:color="auto" w:fill="C6EFCE"/>
            <w:noWrap/>
          </w:tcPr>
          <w:p w14:paraId="77B19C4C"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osnivanju AUO-ova</w:t>
            </w:r>
          </w:p>
        </w:tc>
        <w:tc>
          <w:tcPr>
            <w:tcW w:w="1274" w:type="dxa"/>
            <w:tcBorders>
              <w:top w:val="nil"/>
              <w:left w:val="nil"/>
              <w:bottom w:val="single" w:sz="4" w:space="0" w:color="auto"/>
              <w:right w:val="single" w:sz="4" w:space="0" w:color="auto"/>
            </w:tcBorders>
            <w:shd w:val="clear" w:color="auto" w:fill="C6EFCE"/>
            <w:noWrap/>
          </w:tcPr>
          <w:p w14:paraId="73C6192D"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11C0C012" w14:textId="77777777" w:rsidR="003F46B9" w:rsidRDefault="003F46B9">
            <w:pPr>
              <w:spacing w:after="0" w:line="240" w:lineRule="auto"/>
              <w:jc w:val="right"/>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2A953B99" w14:textId="77777777" w:rsidR="003F46B9" w:rsidRDefault="003F46B9">
            <w:pPr>
              <w:spacing w:after="0" w:line="240" w:lineRule="auto"/>
              <w:jc w:val="right"/>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3A1C13E1"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62337A86"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BF05413" w14:textId="77777777" w:rsidR="003F46B9" w:rsidRDefault="0065662E">
            <w:pPr>
              <w:pStyle w:val="P68B1DB1-Normal5"/>
              <w:spacing w:after="0" w:line="240" w:lineRule="auto"/>
              <w:jc w:val="both"/>
              <w:rPr>
                <w:rFonts w:cs="Times New Roman"/>
                <w:noProof/>
              </w:rPr>
            </w:pPr>
            <w:r>
              <w:rPr>
                <w:noProof/>
              </w:rPr>
              <w:t>Zakonodavstvo uključuje jasan opis mehanizma financiranja za potporu razvoju mreže regionalnih i lokalnih AUO-ova (organizacija za upravljanje odredištima) i so</w:t>
            </w:r>
            <w:r>
              <w:rPr>
                <w:noProof/>
              </w:rPr>
              <w:t>lidan model upravljanja.</w:t>
            </w:r>
          </w:p>
          <w:p w14:paraId="7DD63E3B" w14:textId="77777777" w:rsidR="003F46B9" w:rsidRDefault="0065662E">
            <w:pPr>
              <w:pStyle w:val="P68B1DB1-Normal5"/>
              <w:spacing w:after="0" w:line="240" w:lineRule="auto"/>
              <w:jc w:val="both"/>
              <w:rPr>
                <w:rFonts w:cs="Times New Roman"/>
                <w:noProof/>
              </w:rPr>
            </w:pPr>
            <w:r>
              <w:rPr>
                <w:noProof/>
              </w:rPr>
              <w:t>Ključni elementi pravnog okvira su:</w:t>
            </w:r>
          </w:p>
          <w:p w14:paraId="1F1E5BD7"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Cilj zakonodavstva, definicija AUO-ova na različitim teritorijalnim razinama, kao i AUO-ova;</w:t>
            </w:r>
          </w:p>
          <w:p w14:paraId="6AB60B10"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Identifikacija zastupnika;</w:t>
            </w:r>
          </w:p>
          <w:p w14:paraId="64D35B59"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Minimalni kriteriji na temelju kojih odredište ispunjava uvjete za formiran</w:t>
            </w:r>
            <w:r>
              <w:rPr>
                <w:noProof/>
              </w:rPr>
              <w:t>je AUO-a koji predstavlja odredište;</w:t>
            </w:r>
          </w:p>
          <w:p w14:paraId="1B644CD0"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Oblik organizacije – AUO ima opću skupštinu, upravno vijeće i osoblje koje predstavlja izvršni dio. AUO-ovi se registriraju u skladu sa zakonskim odredbama kako bi imali strategiju i akcijski plan kako bi raspolagali sr</w:t>
            </w:r>
            <w:r>
              <w:rPr>
                <w:noProof/>
              </w:rPr>
              <w:t>edstvima za provedbu strategije. Kad je riječ o članovima, AUO je predstavničko tijelo gospodarskih subjekata u području turizma na odredištu, turističkih udruženja i drugih relevantnih dionika i tijela javne vlasti na lokalnoj ili županijskoj razini.</w:t>
            </w:r>
          </w:p>
          <w:p w14:paraId="71E3751E"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Opis</w:t>
            </w:r>
            <w:r>
              <w:rPr>
                <w:noProof/>
              </w:rPr>
              <w:t xml:space="preserve"> dodjela upravnog odbora i glavne skupštine;</w:t>
            </w:r>
          </w:p>
          <w:p w14:paraId="3E10EA86"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Sustav glasovanja i postupak donošenja odluka;</w:t>
            </w:r>
          </w:p>
          <w:p w14:paraId="2A01DC71"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Mehanizam financiranja;</w:t>
            </w:r>
          </w:p>
          <w:p w14:paraId="247292A6" w14:textId="77777777" w:rsidR="003F46B9" w:rsidRDefault="0065662E">
            <w:pPr>
              <w:pStyle w:val="P68B1DB1-Normal5"/>
              <w:numPr>
                <w:ilvl w:val="0"/>
                <w:numId w:val="85"/>
              </w:numPr>
              <w:spacing w:before="120" w:after="0" w:line="240" w:lineRule="auto"/>
              <w:ind w:left="202" w:hanging="232"/>
              <w:contextualSpacing/>
              <w:jc w:val="both"/>
              <w:rPr>
                <w:rFonts w:cs="Times New Roman"/>
                <w:noProof/>
              </w:rPr>
            </w:pPr>
            <w:r>
              <w:rPr>
                <w:noProof/>
              </w:rPr>
              <w:t>Ciljevi AUO-ova i praćenje rezultata s posebnim odgovornostima.</w:t>
            </w:r>
          </w:p>
          <w:p w14:paraId="5A70BB9A" w14:textId="77777777" w:rsidR="003F46B9" w:rsidRDefault="0065662E">
            <w:pPr>
              <w:pStyle w:val="P68B1DB1-Normal5"/>
              <w:spacing w:after="0" w:line="240" w:lineRule="auto"/>
              <w:jc w:val="both"/>
              <w:rPr>
                <w:rFonts w:cs="Times New Roman"/>
                <w:noProof/>
              </w:rPr>
            </w:pPr>
            <w:r>
              <w:rPr>
                <w:noProof/>
              </w:rPr>
              <w:t xml:space="preserve">AUO se osniva uzimajući u obzir zemljopisne jedinice (države, općine) s </w:t>
            </w:r>
            <w:r>
              <w:rPr>
                <w:noProof/>
              </w:rPr>
              <w:t>ciljem promicanja lokalnog ili regionalnog turizma.</w:t>
            </w:r>
          </w:p>
        </w:tc>
      </w:tr>
      <w:tr w:rsidR="003F46B9" w14:paraId="7C57FAC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6DB764" w14:textId="77777777" w:rsidR="003F46B9" w:rsidRDefault="0065662E">
            <w:pPr>
              <w:pStyle w:val="P68B1DB1-Normal5"/>
              <w:spacing w:after="0" w:line="240" w:lineRule="auto"/>
              <w:jc w:val="center"/>
              <w:rPr>
                <w:rFonts w:eastAsia="Times New Roman" w:cs="Times New Roman"/>
                <w:noProof/>
              </w:rPr>
            </w:pPr>
            <w:r>
              <w:rPr>
                <w:noProof/>
              </w:rPr>
              <w:t>329</w:t>
            </w:r>
          </w:p>
        </w:tc>
        <w:tc>
          <w:tcPr>
            <w:tcW w:w="1558" w:type="dxa"/>
            <w:tcBorders>
              <w:top w:val="nil"/>
              <w:left w:val="nil"/>
              <w:bottom w:val="single" w:sz="4" w:space="0" w:color="auto"/>
              <w:right w:val="single" w:sz="4" w:space="0" w:color="auto"/>
            </w:tcBorders>
            <w:shd w:val="clear" w:color="auto" w:fill="C6EFCE"/>
            <w:noWrap/>
          </w:tcPr>
          <w:p w14:paraId="22214136" w14:textId="77777777" w:rsidR="003F46B9" w:rsidRDefault="0065662E">
            <w:pPr>
              <w:pStyle w:val="P68B1DB1-Normal5"/>
              <w:spacing w:after="0" w:line="240" w:lineRule="auto"/>
              <w:jc w:val="both"/>
              <w:rPr>
                <w:rFonts w:eastAsia="Times New Roman" w:cs="Times New Roman"/>
                <w:noProof/>
              </w:rPr>
            </w:pPr>
            <w:r>
              <w:rPr>
                <w:noProof/>
              </w:rPr>
              <w:t>Reforma 1. Operacionalizacija organizacija za upravljanje odredištima</w:t>
            </w:r>
          </w:p>
        </w:tc>
        <w:tc>
          <w:tcPr>
            <w:tcW w:w="1278" w:type="dxa"/>
            <w:tcBorders>
              <w:top w:val="nil"/>
              <w:left w:val="nil"/>
              <w:bottom w:val="single" w:sz="4" w:space="0" w:color="auto"/>
              <w:right w:val="single" w:sz="4" w:space="0" w:color="auto"/>
            </w:tcBorders>
            <w:shd w:val="clear" w:color="auto" w:fill="C6EFCE"/>
            <w:noWrap/>
          </w:tcPr>
          <w:p w14:paraId="70CF6BD6"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6068EBEC" w14:textId="77777777" w:rsidR="003F46B9" w:rsidRDefault="0065662E">
            <w:pPr>
              <w:pStyle w:val="P68B1DB1-Normal5"/>
              <w:spacing w:after="0" w:line="240" w:lineRule="auto"/>
              <w:jc w:val="both"/>
              <w:rPr>
                <w:rFonts w:eastAsia="Times New Roman" w:cs="Times New Roman"/>
                <w:noProof/>
              </w:rPr>
            </w:pPr>
            <w:r>
              <w:rPr>
                <w:noProof/>
              </w:rPr>
              <w:t xml:space="preserve">Osnovani AUO-ovi </w:t>
            </w:r>
          </w:p>
        </w:tc>
        <w:tc>
          <w:tcPr>
            <w:tcW w:w="1628" w:type="dxa"/>
            <w:tcBorders>
              <w:top w:val="nil"/>
              <w:left w:val="nil"/>
              <w:bottom w:val="single" w:sz="4" w:space="0" w:color="auto"/>
              <w:right w:val="single" w:sz="4" w:space="0" w:color="auto"/>
            </w:tcBorders>
            <w:shd w:val="clear" w:color="auto" w:fill="C6EFCE"/>
            <w:noWrap/>
          </w:tcPr>
          <w:p w14:paraId="342FAE40"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243CAE36" w14:textId="77777777" w:rsidR="003F46B9" w:rsidRDefault="0065662E">
            <w:pPr>
              <w:pStyle w:val="P68B1DB1-Normal5"/>
              <w:spacing w:after="0" w:line="240" w:lineRule="auto"/>
              <w:rPr>
                <w:rFonts w:eastAsia="Times New Roman" w:cs="Times New Roman"/>
                <w:noProof/>
              </w:rPr>
            </w:pPr>
            <w:r>
              <w:rPr>
                <w:noProof/>
              </w:rPr>
              <w:t xml:space="preserve">Broj </w:t>
            </w:r>
          </w:p>
        </w:tc>
        <w:tc>
          <w:tcPr>
            <w:tcW w:w="1136" w:type="dxa"/>
            <w:tcBorders>
              <w:top w:val="nil"/>
              <w:left w:val="nil"/>
              <w:bottom w:val="single" w:sz="4" w:space="0" w:color="auto"/>
              <w:right w:val="single" w:sz="4" w:space="0" w:color="auto"/>
            </w:tcBorders>
            <w:shd w:val="clear" w:color="auto" w:fill="C6EFCE"/>
            <w:noWrap/>
          </w:tcPr>
          <w:p w14:paraId="46F402BE" w14:textId="77777777" w:rsidR="003F46B9" w:rsidRDefault="0065662E">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1A1A048C" w14:textId="77777777" w:rsidR="003F46B9" w:rsidRDefault="0065662E">
            <w:pPr>
              <w:pStyle w:val="P68B1DB1-Normal5"/>
              <w:spacing w:after="0" w:line="240" w:lineRule="auto"/>
              <w:jc w:val="right"/>
              <w:rPr>
                <w:rFonts w:eastAsia="Times New Roman" w:cs="Times New Roman"/>
                <w:noProof/>
              </w:rPr>
            </w:pPr>
            <w:r>
              <w:rPr>
                <w:noProof/>
              </w:rPr>
              <w:t xml:space="preserve">8 </w:t>
            </w:r>
          </w:p>
        </w:tc>
        <w:tc>
          <w:tcPr>
            <w:tcW w:w="1102" w:type="dxa"/>
            <w:tcBorders>
              <w:top w:val="nil"/>
              <w:left w:val="nil"/>
              <w:bottom w:val="single" w:sz="4" w:space="0" w:color="auto"/>
              <w:right w:val="single" w:sz="4" w:space="0" w:color="auto"/>
            </w:tcBorders>
            <w:shd w:val="clear" w:color="auto" w:fill="C6EFCE"/>
            <w:noWrap/>
          </w:tcPr>
          <w:p w14:paraId="732D3A4F"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58" w:type="dxa"/>
            <w:tcBorders>
              <w:top w:val="nil"/>
              <w:left w:val="nil"/>
              <w:bottom w:val="single" w:sz="4" w:space="0" w:color="auto"/>
              <w:right w:val="single" w:sz="4" w:space="0" w:color="auto"/>
            </w:tcBorders>
            <w:shd w:val="clear" w:color="auto" w:fill="C6EFCE"/>
            <w:noWrap/>
          </w:tcPr>
          <w:p w14:paraId="2922E588" w14:textId="77777777" w:rsidR="003F46B9" w:rsidRDefault="0065662E">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3ACC5D8F" w14:textId="77777777" w:rsidR="003F46B9" w:rsidRDefault="0065662E">
            <w:pPr>
              <w:pStyle w:val="P68B1DB1-Normal5"/>
              <w:spacing w:after="0" w:line="240" w:lineRule="auto"/>
              <w:jc w:val="both"/>
              <w:rPr>
                <w:rFonts w:eastAsia="Times New Roman" w:cs="Times New Roman"/>
                <w:noProof/>
              </w:rPr>
            </w:pPr>
            <w:r>
              <w:rPr>
                <w:noProof/>
              </w:rPr>
              <w:t xml:space="preserve">8 Organizacije za upravljanje odredištima osniva vlada (u skladu s </w:t>
            </w:r>
            <w:r>
              <w:rPr>
                <w:noProof/>
              </w:rPr>
              <w:t>ključnom etapom 328), uključujući sve relevantne subjekte aktivne u turizmu i kulturi na određenom području, a njima upravlja Izvršni odbor AUO-a. Odgovornost za rezultate organizacija za upravljanje odredištima dijeli Ministarstvo gospodarstva, poduzetniš</w:t>
            </w:r>
            <w:r>
              <w:rPr>
                <w:noProof/>
              </w:rPr>
              <w:t>tva i turizma i Izvršni odbor AUO-ova.</w:t>
            </w:r>
          </w:p>
          <w:p w14:paraId="4D2E17E8" w14:textId="558DB052" w:rsidR="003F46B9" w:rsidRDefault="0065662E">
            <w:pPr>
              <w:pStyle w:val="P68B1DB1-Normal5"/>
              <w:spacing w:after="0" w:line="240" w:lineRule="auto"/>
              <w:jc w:val="both"/>
              <w:rPr>
                <w:rFonts w:eastAsia="Times New Roman" w:cs="Times New Roman"/>
                <w:noProof/>
              </w:rPr>
            </w:pPr>
            <w:r>
              <w:rPr>
                <w:noProof/>
              </w:rPr>
              <w:t>Osnivanje i operacionalizacija organizacija za upravljanje odredištima temelji se na preporukama Organizacije za gospodarsku suradnju i razvoj (OECD) uključenima u studiju „Operacionalizacija organizacija za upravljan</w:t>
            </w:r>
            <w:r>
              <w:rPr>
                <w:noProof/>
              </w:rPr>
              <w:t xml:space="preserve">je odredištima”. </w:t>
            </w:r>
          </w:p>
        </w:tc>
      </w:tr>
      <w:tr w:rsidR="003F46B9" w14:paraId="7C55C84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63C2916" w14:textId="77777777" w:rsidR="003F46B9" w:rsidRDefault="0065662E">
            <w:pPr>
              <w:pStyle w:val="P68B1DB1-Normal5"/>
              <w:spacing w:after="0" w:line="240" w:lineRule="auto"/>
              <w:jc w:val="center"/>
              <w:rPr>
                <w:rFonts w:eastAsia="Times New Roman" w:cs="Times New Roman"/>
                <w:noProof/>
              </w:rPr>
            </w:pPr>
            <w:r>
              <w:rPr>
                <w:noProof/>
              </w:rPr>
              <w:t>330</w:t>
            </w:r>
          </w:p>
        </w:tc>
        <w:tc>
          <w:tcPr>
            <w:tcW w:w="1558" w:type="dxa"/>
            <w:tcBorders>
              <w:top w:val="nil"/>
              <w:left w:val="nil"/>
              <w:bottom w:val="single" w:sz="4" w:space="0" w:color="auto"/>
              <w:right w:val="single" w:sz="4" w:space="0" w:color="auto"/>
            </w:tcBorders>
            <w:shd w:val="clear" w:color="auto" w:fill="C6EFCE"/>
            <w:noWrap/>
          </w:tcPr>
          <w:p w14:paraId="5D0122CF" w14:textId="472627F6" w:rsidR="003F46B9" w:rsidRDefault="0065662E">
            <w:pPr>
              <w:pStyle w:val="P68B1DB1-Normal5"/>
              <w:spacing w:after="0" w:line="240" w:lineRule="auto"/>
              <w:jc w:val="both"/>
              <w:rPr>
                <w:rFonts w:eastAsia="Times New Roman" w:cs="Times New Roman"/>
                <w:noProof/>
              </w:rPr>
            </w:pPr>
            <w:r>
              <w:rPr>
                <w:noProof/>
              </w:rPr>
              <w:t>Reforma 1. Operacionalizacija organizacija za upravljanje odredištima</w:t>
            </w:r>
          </w:p>
        </w:tc>
        <w:tc>
          <w:tcPr>
            <w:tcW w:w="1278" w:type="dxa"/>
            <w:tcBorders>
              <w:top w:val="nil"/>
              <w:left w:val="nil"/>
              <w:bottom w:val="single" w:sz="4" w:space="0" w:color="auto"/>
              <w:right w:val="single" w:sz="4" w:space="0" w:color="auto"/>
            </w:tcBorders>
            <w:shd w:val="clear" w:color="auto" w:fill="C6EFCE"/>
            <w:noWrap/>
          </w:tcPr>
          <w:p w14:paraId="0FA135A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3694AC20" w14:textId="77777777" w:rsidR="003F46B9" w:rsidRDefault="0065662E">
            <w:pPr>
              <w:pStyle w:val="P68B1DB1-Normal5"/>
              <w:spacing w:after="0" w:line="240" w:lineRule="auto"/>
              <w:jc w:val="both"/>
              <w:rPr>
                <w:rFonts w:eastAsia="Times New Roman" w:cs="Times New Roman"/>
                <w:noProof/>
              </w:rPr>
            </w:pPr>
            <w:r>
              <w:rPr>
                <w:noProof/>
              </w:rPr>
              <w:t xml:space="preserve">Povećani udio stranih turista u županijama koje su dio regionalnih AUO-ova </w:t>
            </w:r>
          </w:p>
        </w:tc>
        <w:tc>
          <w:tcPr>
            <w:tcW w:w="1628" w:type="dxa"/>
            <w:tcBorders>
              <w:top w:val="nil"/>
              <w:left w:val="nil"/>
              <w:bottom w:val="single" w:sz="4" w:space="0" w:color="auto"/>
              <w:right w:val="single" w:sz="4" w:space="0" w:color="auto"/>
            </w:tcBorders>
            <w:shd w:val="clear" w:color="auto" w:fill="C6EFCE"/>
            <w:noWrap/>
          </w:tcPr>
          <w:p w14:paraId="009C1AA6"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7FB70FAB" w14:textId="77777777" w:rsidR="003F46B9" w:rsidRDefault="0065662E">
            <w:pPr>
              <w:pStyle w:val="P68B1DB1-Normal5"/>
              <w:spacing w:after="0" w:line="240" w:lineRule="auto"/>
              <w:rPr>
                <w:rFonts w:eastAsia="Times New Roman" w:cs="Times New Roman"/>
                <w:noProof/>
              </w:rPr>
            </w:pPr>
            <w:r>
              <w:rPr>
                <w:noProof/>
              </w:rPr>
              <w:t>Postotak (%)</w:t>
            </w:r>
          </w:p>
        </w:tc>
        <w:tc>
          <w:tcPr>
            <w:tcW w:w="1136" w:type="dxa"/>
            <w:tcBorders>
              <w:top w:val="nil"/>
              <w:left w:val="nil"/>
              <w:bottom w:val="single" w:sz="4" w:space="0" w:color="auto"/>
              <w:right w:val="single" w:sz="4" w:space="0" w:color="auto"/>
            </w:tcBorders>
            <w:shd w:val="clear" w:color="auto" w:fill="C6EFCE"/>
            <w:noWrap/>
          </w:tcPr>
          <w:p w14:paraId="2CE10A42" w14:textId="77777777" w:rsidR="003F46B9" w:rsidRDefault="0065662E">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50536403" w14:textId="3B98D11D" w:rsidR="003F46B9" w:rsidRDefault="0065662E">
            <w:pPr>
              <w:pStyle w:val="P68B1DB1-Normal5"/>
              <w:spacing w:after="0" w:line="240" w:lineRule="auto"/>
              <w:jc w:val="right"/>
              <w:rPr>
                <w:rFonts w:eastAsia="Times New Roman" w:cs="Times New Roman"/>
                <w:noProof/>
              </w:rPr>
            </w:pPr>
            <w:r>
              <w:rPr>
                <w:noProof/>
              </w:rPr>
              <w:t xml:space="preserve">5 % </w:t>
            </w:r>
          </w:p>
        </w:tc>
        <w:tc>
          <w:tcPr>
            <w:tcW w:w="1102" w:type="dxa"/>
            <w:tcBorders>
              <w:top w:val="nil"/>
              <w:left w:val="nil"/>
              <w:bottom w:val="single" w:sz="4" w:space="0" w:color="auto"/>
              <w:right w:val="single" w:sz="4" w:space="0" w:color="auto"/>
            </w:tcBorders>
            <w:shd w:val="clear" w:color="auto" w:fill="C6EFCE"/>
            <w:noWrap/>
          </w:tcPr>
          <w:p w14:paraId="2A309F5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265E3EDA" w14:textId="77777777" w:rsidR="003F46B9" w:rsidRDefault="0065662E">
            <w:pPr>
              <w:pStyle w:val="P68B1DB1-Normal5"/>
              <w:spacing w:after="0" w:line="240" w:lineRule="auto"/>
              <w:jc w:val="center"/>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2DC1BBFE" w14:textId="77DB45D3" w:rsidR="003F46B9" w:rsidRDefault="0065662E">
            <w:pPr>
              <w:pStyle w:val="P68B1DB1-Normal5"/>
              <w:spacing w:after="0" w:line="240" w:lineRule="auto"/>
              <w:jc w:val="both"/>
              <w:rPr>
                <w:rFonts w:eastAsia="Times New Roman" w:cs="Times New Roman"/>
                <w:noProof/>
              </w:rPr>
            </w:pPr>
            <w:r>
              <w:rPr>
                <w:noProof/>
              </w:rPr>
              <w:t>Broj stranih turista povećava se za najmanje 5 % do kraja 2025. u odnosu na 2019. u županijama koje su dio regionalnih AUO-ova, na temelju službenih podataka Nacionalnog zavoda za statistiku i podataka koje je prikupilo Ministarstvo gospodarstva, poduzetni</w:t>
            </w:r>
            <w:r>
              <w:rPr>
                <w:noProof/>
              </w:rPr>
              <w:t xml:space="preserve">štva i turizma. </w:t>
            </w:r>
          </w:p>
        </w:tc>
      </w:tr>
      <w:tr w:rsidR="003F46B9" w14:paraId="1567B65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01F03C4F" w14:textId="77777777" w:rsidR="003F46B9" w:rsidRDefault="0065662E">
            <w:pPr>
              <w:pStyle w:val="P68B1DB1-Normal5"/>
              <w:spacing w:after="0" w:line="240" w:lineRule="auto"/>
              <w:jc w:val="center"/>
              <w:rPr>
                <w:rFonts w:eastAsia="Times New Roman" w:cs="Times New Roman"/>
                <w:noProof/>
              </w:rPr>
            </w:pPr>
            <w:r>
              <w:rPr>
                <w:noProof/>
              </w:rPr>
              <w:t>331</w:t>
            </w:r>
          </w:p>
        </w:tc>
        <w:tc>
          <w:tcPr>
            <w:tcW w:w="1558" w:type="dxa"/>
            <w:tcBorders>
              <w:top w:val="nil"/>
              <w:left w:val="nil"/>
              <w:bottom w:val="single" w:sz="4" w:space="0" w:color="auto"/>
              <w:right w:val="single" w:sz="4" w:space="0" w:color="auto"/>
            </w:tcBorders>
            <w:shd w:val="clear" w:color="auto" w:fill="C6EFCE"/>
            <w:noWrap/>
            <w:hideMark/>
          </w:tcPr>
          <w:p w14:paraId="78465C51" w14:textId="7C5610B6" w:rsidR="003F46B9" w:rsidRDefault="0065662E">
            <w:pPr>
              <w:pStyle w:val="P68B1DB1-Normal5"/>
              <w:spacing w:after="0" w:line="240" w:lineRule="auto"/>
              <w:jc w:val="both"/>
              <w:rPr>
                <w:rFonts w:eastAsia="Times New Roman" w:cs="Times New Roman"/>
                <w:noProof/>
              </w:rPr>
            </w:pPr>
            <w:r>
              <w:rPr>
                <w:noProof/>
              </w:rPr>
              <w:t>Ulaganje 1. Promicanje 12 turističkih/kulturnih ruta</w:t>
            </w:r>
          </w:p>
        </w:tc>
        <w:tc>
          <w:tcPr>
            <w:tcW w:w="1278" w:type="dxa"/>
            <w:tcBorders>
              <w:top w:val="nil"/>
              <w:left w:val="nil"/>
              <w:bottom w:val="single" w:sz="4" w:space="0" w:color="auto"/>
              <w:right w:val="single" w:sz="4" w:space="0" w:color="auto"/>
            </w:tcBorders>
            <w:shd w:val="clear" w:color="auto" w:fill="C6EFCE"/>
            <w:noWrap/>
            <w:hideMark/>
          </w:tcPr>
          <w:p w14:paraId="3E50836B"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hideMark/>
          </w:tcPr>
          <w:p w14:paraId="31CE7152" w14:textId="77777777" w:rsidR="003F46B9" w:rsidRDefault="0065662E">
            <w:pPr>
              <w:pStyle w:val="P68B1DB1-Normal5"/>
              <w:spacing w:after="0" w:line="240" w:lineRule="auto"/>
              <w:jc w:val="both"/>
              <w:rPr>
                <w:rFonts w:cs="Times New Roman"/>
                <w:noProof/>
              </w:rPr>
            </w:pPr>
            <w:r>
              <w:rPr>
                <w:noProof/>
              </w:rPr>
              <w:t>Lokaliteti koji će biti uključeni u kulturne rute</w:t>
            </w:r>
          </w:p>
          <w:p w14:paraId="57DE1B46" w14:textId="77777777" w:rsidR="003F46B9" w:rsidRDefault="003F46B9">
            <w:pPr>
              <w:spacing w:after="0" w:line="240" w:lineRule="auto"/>
              <w:jc w:val="both"/>
              <w:rPr>
                <w:rFonts w:ascii="Times New Roman" w:hAnsi="Times New Roman" w:cs="Times New Roman"/>
                <w:noProof/>
                <w:sz w:val="24"/>
              </w:rPr>
            </w:pPr>
          </w:p>
          <w:p w14:paraId="7EC92704" w14:textId="77777777" w:rsidR="003F46B9" w:rsidRDefault="003F46B9">
            <w:pPr>
              <w:spacing w:after="0" w:line="240" w:lineRule="auto"/>
              <w:jc w:val="both"/>
              <w:rPr>
                <w:rFonts w:ascii="Times New Roman" w:hAnsi="Times New Roman" w:cs="Times New Roman"/>
                <w:noProof/>
                <w:sz w:val="24"/>
              </w:rPr>
            </w:pPr>
          </w:p>
          <w:p w14:paraId="05EAB573" w14:textId="77777777" w:rsidR="003F46B9" w:rsidRDefault="003F46B9">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hideMark/>
          </w:tcPr>
          <w:p w14:paraId="183FACF6"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5DDB04F9" w14:textId="77777777" w:rsidR="003F46B9" w:rsidRDefault="0065662E">
            <w:pPr>
              <w:pStyle w:val="P68B1DB1-Normal5"/>
              <w:spacing w:after="0" w:line="240" w:lineRule="auto"/>
              <w:rPr>
                <w:rFonts w:eastAsia="Times New Roman" w:cs="Times New Roman"/>
                <w:noProof/>
              </w:rPr>
            </w:pPr>
            <w:r>
              <w:rPr>
                <w:noProof/>
              </w:rPr>
              <w:t>Broj</w:t>
            </w:r>
          </w:p>
        </w:tc>
        <w:tc>
          <w:tcPr>
            <w:tcW w:w="1136" w:type="dxa"/>
            <w:tcBorders>
              <w:top w:val="nil"/>
              <w:left w:val="nil"/>
              <w:bottom w:val="single" w:sz="4" w:space="0" w:color="auto"/>
              <w:right w:val="single" w:sz="4" w:space="0" w:color="auto"/>
            </w:tcBorders>
            <w:shd w:val="clear" w:color="auto" w:fill="C6EFCE"/>
            <w:noWrap/>
            <w:hideMark/>
          </w:tcPr>
          <w:p w14:paraId="365AB9B9" w14:textId="77777777" w:rsidR="003F46B9" w:rsidRDefault="0065662E">
            <w:pPr>
              <w:pStyle w:val="P68B1DB1-Normal5"/>
              <w:spacing w:after="0" w:line="240" w:lineRule="auto"/>
              <w:jc w:val="right"/>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5193ABF2" w14:textId="77777777" w:rsidR="003F46B9" w:rsidRDefault="0065662E">
            <w:pPr>
              <w:pStyle w:val="P68B1DB1-Normal5"/>
              <w:spacing w:after="0" w:line="240" w:lineRule="auto"/>
              <w:jc w:val="right"/>
              <w:rPr>
                <w:rFonts w:eastAsia="Times New Roman" w:cs="Times New Roman"/>
                <w:noProof/>
              </w:rPr>
            </w:pPr>
            <w:r>
              <w:rPr>
                <w:noProof/>
              </w:rPr>
              <w:t>225</w:t>
            </w:r>
          </w:p>
        </w:tc>
        <w:tc>
          <w:tcPr>
            <w:tcW w:w="1102" w:type="dxa"/>
            <w:tcBorders>
              <w:top w:val="nil"/>
              <w:left w:val="nil"/>
              <w:bottom w:val="single" w:sz="4" w:space="0" w:color="auto"/>
              <w:right w:val="single" w:sz="4" w:space="0" w:color="auto"/>
            </w:tcBorders>
            <w:shd w:val="clear" w:color="auto" w:fill="C6EFCE"/>
            <w:noWrap/>
            <w:hideMark/>
          </w:tcPr>
          <w:p w14:paraId="29385688"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hideMark/>
          </w:tcPr>
          <w:p w14:paraId="715C5D4B"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hideMark/>
          </w:tcPr>
          <w:p w14:paraId="7F7407CB" w14:textId="77777777" w:rsidR="003F46B9" w:rsidRDefault="0065662E">
            <w:pPr>
              <w:pStyle w:val="P68B1DB1-Normal5"/>
              <w:spacing w:after="0" w:line="240" w:lineRule="auto"/>
              <w:jc w:val="both"/>
              <w:rPr>
                <w:rFonts w:cs="Times New Roman"/>
                <w:noProof/>
              </w:rPr>
            </w:pPr>
            <w:r>
              <w:rPr>
                <w:noProof/>
              </w:rPr>
              <w:t>U kulturne rute mora biti uključeno najmanje 225 lokacija koje se odabiru na temelju mapiranja i nalaze se uglavnom u ruralnim područjima i područjima u nepovoljnom položaju kako bi se privukli turisti i stvorila nova radna mjesta u turističkoj industriji.</w:t>
            </w:r>
            <w:r>
              <w:rPr>
                <w:noProof/>
              </w:rPr>
              <w:t xml:space="preserve"> </w:t>
            </w:r>
          </w:p>
          <w:p w14:paraId="215BF933" w14:textId="77777777" w:rsidR="003F46B9" w:rsidRDefault="0065662E">
            <w:pPr>
              <w:pStyle w:val="P68B1DB1-Normal5"/>
              <w:spacing w:after="0" w:line="240" w:lineRule="auto"/>
              <w:jc w:val="both"/>
              <w:rPr>
                <w:rFonts w:cs="Times New Roman"/>
                <w:noProof/>
              </w:rPr>
            </w:pPr>
            <w:r>
              <w:rPr>
                <w:noProof/>
              </w:rPr>
              <w:t>„Lokacije” su turističke atrakcije (kao što su dvorci, obogaćivanja, samostani, tradicionalne kuće) koje su uključene u 12 kulturnih ruta, odabire ih odbor i temelje se na postupku savjetovanja.</w:t>
            </w:r>
          </w:p>
          <w:p w14:paraId="6073D625" w14:textId="77777777" w:rsidR="003F46B9" w:rsidRDefault="0065662E">
            <w:pPr>
              <w:pStyle w:val="P68B1DB1-Normal5"/>
              <w:spacing w:after="0" w:line="240" w:lineRule="auto"/>
              <w:jc w:val="both"/>
              <w:rPr>
                <w:rFonts w:cs="Times New Roman"/>
                <w:noProof/>
              </w:rPr>
            </w:pPr>
            <w:r>
              <w:rPr>
                <w:noProof/>
              </w:rPr>
              <w:t xml:space="preserve">Minimalni kriteriji odabira su sljedeći: a) teritorijalni, </w:t>
            </w:r>
            <w:r>
              <w:rPr>
                <w:noProof/>
              </w:rPr>
              <w:t>gospodarski i socijalni kriteriji, uključujući rast, radna mjesta usmjerena na slabije razvijene regije; b) sposobnost projekta da utječe na privlačnost turizma i povećanje sudjelovanja u kulturi, jedinstvenost na nacionalnoj razini, komparativne i konkure</w:t>
            </w:r>
            <w:r>
              <w:rPr>
                <w:noProof/>
              </w:rPr>
              <w:t>ntne prednosti; c) uključivanje lokacija povezanih s temom linija koje su prethodno financirane u okviru regionalnog operativnog programa i Nacionalnog programa za ruralni razvoj d) uključivanje lokacija na UNESCO-ov popis svjetske baštine ili na privremen</w:t>
            </w:r>
            <w:r>
              <w:rPr>
                <w:noProof/>
              </w:rPr>
              <w:t>i ili indikativni popis, e) uključivanje lokacija u kategoriju povijesnih zgrada koje se ne smatraju povijesnim spomenicima.</w:t>
            </w:r>
          </w:p>
          <w:p w14:paraId="56EB2142" w14:textId="77777777" w:rsidR="003F46B9" w:rsidRDefault="0065662E">
            <w:pPr>
              <w:pStyle w:val="P68B1DB1-Normal5"/>
              <w:spacing w:after="0" w:line="240" w:lineRule="auto"/>
              <w:jc w:val="both"/>
              <w:rPr>
                <w:rFonts w:eastAsia="Times New Roman" w:cs="Times New Roman"/>
                <w:noProof/>
              </w:rPr>
            </w:pPr>
            <w:r>
              <w:rPr>
                <w:noProof/>
              </w:rPr>
              <w:t xml:space="preserve">U kulturne rute uključene su samo one lokacije koje trenutačno pružaju pristup turistima. </w:t>
            </w:r>
          </w:p>
        </w:tc>
      </w:tr>
      <w:tr w:rsidR="003F46B9" w14:paraId="50C4A805"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46CA3D5B" w14:textId="77777777" w:rsidR="003F46B9" w:rsidRDefault="0065662E">
            <w:pPr>
              <w:pStyle w:val="P68B1DB1-Normal5"/>
              <w:spacing w:after="0" w:line="240" w:lineRule="auto"/>
              <w:jc w:val="center"/>
              <w:rPr>
                <w:rFonts w:eastAsia="Times New Roman" w:cs="Times New Roman"/>
                <w:noProof/>
              </w:rPr>
            </w:pPr>
            <w:r>
              <w:rPr>
                <w:noProof/>
              </w:rPr>
              <w:t>332</w:t>
            </w:r>
          </w:p>
        </w:tc>
        <w:tc>
          <w:tcPr>
            <w:tcW w:w="1558" w:type="dxa"/>
            <w:tcBorders>
              <w:top w:val="nil"/>
              <w:left w:val="nil"/>
              <w:bottom w:val="single" w:sz="4" w:space="0" w:color="auto"/>
              <w:right w:val="single" w:sz="4" w:space="0" w:color="auto"/>
            </w:tcBorders>
            <w:shd w:val="clear" w:color="auto" w:fill="C6EFCE"/>
            <w:noWrap/>
            <w:hideMark/>
          </w:tcPr>
          <w:p w14:paraId="57A0B688" w14:textId="09311F9E" w:rsidR="003F46B9" w:rsidRDefault="0065662E">
            <w:pPr>
              <w:pStyle w:val="P68B1DB1-Normal5"/>
              <w:spacing w:after="0" w:line="240" w:lineRule="auto"/>
              <w:jc w:val="both"/>
              <w:rPr>
                <w:rFonts w:eastAsia="Times New Roman" w:cs="Times New Roman"/>
                <w:noProof/>
              </w:rPr>
            </w:pPr>
            <w:r>
              <w:rPr>
                <w:noProof/>
              </w:rPr>
              <w:t xml:space="preserve">Ulaganje 1. Promicanje 12 </w:t>
            </w:r>
            <w:r>
              <w:rPr>
                <w:noProof/>
              </w:rPr>
              <w:t>turističkih/kulturnih ruta</w:t>
            </w:r>
          </w:p>
        </w:tc>
        <w:tc>
          <w:tcPr>
            <w:tcW w:w="1278" w:type="dxa"/>
            <w:tcBorders>
              <w:top w:val="nil"/>
              <w:left w:val="nil"/>
              <w:bottom w:val="single" w:sz="4" w:space="0" w:color="auto"/>
              <w:right w:val="single" w:sz="4" w:space="0" w:color="auto"/>
            </w:tcBorders>
            <w:shd w:val="clear" w:color="auto" w:fill="C6EFCE"/>
            <w:noWrap/>
            <w:hideMark/>
          </w:tcPr>
          <w:p w14:paraId="4B875D8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hideMark/>
          </w:tcPr>
          <w:p w14:paraId="231B7030"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promicanje 12 linija </w:t>
            </w:r>
          </w:p>
        </w:tc>
        <w:tc>
          <w:tcPr>
            <w:tcW w:w="1628" w:type="dxa"/>
            <w:tcBorders>
              <w:top w:val="nil"/>
              <w:left w:val="nil"/>
              <w:bottom w:val="single" w:sz="4" w:space="0" w:color="auto"/>
              <w:right w:val="single" w:sz="4" w:space="0" w:color="auto"/>
            </w:tcBorders>
            <w:shd w:val="clear" w:color="auto" w:fill="C6EFCE"/>
            <w:noWrap/>
            <w:hideMark/>
          </w:tcPr>
          <w:p w14:paraId="6EABB61B"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274" w:type="dxa"/>
            <w:tcBorders>
              <w:top w:val="nil"/>
              <w:left w:val="nil"/>
              <w:bottom w:val="single" w:sz="4" w:space="0" w:color="auto"/>
              <w:right w:val="single" w:sz="4" w:space="0" w:color="auto"/>
            </w:tcBorders>
            <w:shd w:val="clear" w:color="auto" w:fill="C6EFCE"/>
            <w:noWrap/>
            <w:hideMark/>
          </w:tcPr>
          <w:p w14:paraId="4C760D63"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67EC783D"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75CD9DDD"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6C2E2217"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hideMark/>
          </w:tcPr>
          <w:p w14:paraId="40DEC178"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hideMark/>
          </w:tcPr>
          <w:p w14:paraId="3CB0EED6" w14:textId="77777777" w:rsidR="003F46B9" w:rsidRDefault="0065662E">
            <w:pPr>
              <w:pStyle w:val="P68B1DB1-Normal5"/>
              <w:spacing w:after="0" w:line="240" w:lineRule="auto"/>
              <w:jc w:val="both"/>
              <w:rPr>
                <w:rFonts w:cs="Times New Roman"/>
                <w:noProof/>
              </w:rPr>
            </w:pPr>
            <w:r>
              <w:rPr>
                <w:noProof/>
              </w:rPr>
              <w:t>Potpisivanje ugovora za razvoj turizma na svakoj kulturnoj ruti. Uključuju se sljedeće aktivnosti:</w:t>
            </w:r>
          </w:p>
          <w:p w14:paraId="6AC76434" w14:textId="77777777" w:rsidR="003F46B9" w:rsidRDefault="0065662E">
            <w:pPr>
              <w:pStyle w:val="P68B1DB1-Normal5"/>
              <w:spacing w:after="0" w:line="240" w:lineRule="auto"/>
              <w:jc w:val="both"/>
              <w:rPr>
                <w:rFonts w:cs="Times New Roman"/>
                <w:noProof/>
              </w:rPr>
            </w:pPr>
            <w:r>
              <w:rPr>
                <w:noProof/>
              </w:rPr>
              <w:t>Digitalizacija lokacija uključe</w:t>
            </w:r>
            <w:r>
              <w:rPr>
                <w:noProof/>
              </w:rPr>
              <w:t>nih u rutu</w:t>
            </w:r>
          </w:p>
          <w:p w14:paraId="7E5BFE45" w14:textId="77777777" w:rsidR="003F46B9" w:rsidRDefault="0065662E">
            <w:pPr>
              <w:pStyle w:val="P68B1DB1-Normal5"/>
              <w:spacing w:after="0" w:line="240" w:lineRule="auto"/>
              <w:jc w:val="both"/>
              <w:rPr>
                <w:rFonts w:cs="Times New Roman"/>
                <w:noProof/>
              </w:rPr>
            </w:pPr>
            <w:r>
              <w:rPr>
                <w:noProof/>
              </w:rPr>
              <w:t>—Stvaranje aplikacije namijenjene posjetiteljima</w:t>
            </w:r>
          </w:p>
          <w:p w14:paraId="2A36A61D" w14:textId="77777777" w:rsidR="003F46B9" w:rsidRDefault="0065662E">
            <w:pPr>
              <w:pStyle w:val="P68B1DB1-Normal5"/>
              <w:spacing w:after="0" w:line="240" w:lineRule="auto"/>
              <w:jc w:val="both"/>
              <w:rPr>
                <w:rFonts w:cs="Times New Roman"/>
                <w:noProof/>
              </w:rPr>
            </w:pPr>
            <w:r>
              <w:rPr>
                <w:noProof/>
              </w:rPr>
              <w:t>—Označivanje i upozoravanje na trasu/lokacije uključene u trasu;</w:t>
            </w:r>
          </w:p>
          <w:p w14:paraId="0D8F628E" w14:textId="77777777" w:rsidR="003F46B9" w:rsidRDefault="0065662E">
            <w:pPr>
              <w:pStyle w:val="P68B1DB1-Normal5"/>
              <w:spacing w:after="0" w:line="240" w:lineRule="auto"/>
              <w:jc w:val="both"/>
              <w:rPr>
                <w:rFonts w:cs="Times New Roman"/>
                <w:noProof/>
              </w:rPr>
            </w:pPr>
            <w:r>
              <w:rPr>
                <w:noProof/>
              </w:rPr>
              <w:t xml:space="preserve">—Stvaranje zajedničke kulturne ponude </w:t>
            </w:r>
          </w:p>
        </w:tc>
      </w:tr>
      <w:tr w:rsidR="003F46B9" w14:paraId="5E012A74"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36E97C4" w14:textId="77777777" w:rsidR="003F46B9" w:rsidRDefault="0065662E">
            <w:pPr>
              <w:pStyle w:val="P68B1DB1-Normal5"/>
              <w:spacing w:after="0" w:line="240" w:lineRule="auto"/>
              <w:jc w:val="center"/>
              <w:rPr>
                <w:rFonts w:eastAsia="Times New Roman" w:cs="Times New Roman"/>
                <w:noProof/>
              </w:rPr>
            </w:pPr>
            <w:r>
              <w:rPr>
                <w:noProof/>
              </w:rPr>
              <w:t>333</w:t>
            </w:r>
          </w:p>
        </w:tc>
        <w:tc>
          <w:tcPr>
            <w:tcW w:w="1558" w:type="dxa"/>
            <w:tcBorders>
              <w:top w:val="nil"/>
              <w:left w:val="nil"/>
              <w:bottom w:val="single" w:sz="4" w:space="0" w:color="auto"/>
              <w:right w:val="single" w:sz="4" w:space="0" w:color="auto"/>
            </w:tcBorders>
            <w:shd w:val="clear" w:color="auto" w:fill="C6EFCE"/>
            <w:noWrap/>
            <w:hideMark/>
          </w:tcPr>
          <w:p w14:paraId="64C10CC6" w14:textId="783F4F62" w:rsidR="003F46B9" w:rsidRDefault="0065662E">
            <w:pPr>
              <w:pStyle w:val="P68B1DB1-Normal5"/>
              <w:spacing w:after="0" w:line="240" w:lineRule="auto"/>
              <w:jc w:val="both"/>
              <w:rPr>
                <w:rFonts w:eastAsia="Times New Roman" w:cs="Times New Roman"/>
                <w:noProof/>
              </w:rPr>
            </w:pPr>
            <w:r>
              <w:rPr>
                <w:noProof/>
              </w:rPr>
              <w:t>Ulaganje 1. Promicanje 12 turističkih/kulturnih ruta</w:t>
            </w:r>
          </w:p>
        </w:tc>
        <w:tc>
          <w:tcPr>
            <w:tcW w:w="1278" w:type="dxa"/>
            <w:tcBorders>
              <w:top w:val="nil"/>
              <w:left w:val="nil"/>
              <w:bottom w:val="single" w:sz="4" w:space="0" w:color="auto"/>
              <w:right w:val="single" w:sz="4" w:space="0" w:color="auto"/>
            </w:tcBorders>
            <w:shd w:val="clear" w:color="auto" w:fill="C6EFCE"/>
            <w:noWrap/>
            <w:hideMark/>
          </w:tcPr>
          <w:p w14:paraId="5D13E836"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hideMark/>
          </w:tcPr>
          <w:p w14:paraId="5FC0491D" w14:textId="77777777" w:rsidR="003F46B9" w:rsidRDefault="0065662E">
            <w:pPr>
              <w:pStyle w:val="P68B1DB1-Normal5"/>
              <w:spacing w:after="0" w:line="240" w:lineRule="auto"/>
              <w:jc w:val="both"/>
              <w:rPr>
                <w:rFonts w:eastAsia="Times New Roman" w:cs="Times New Roman"/>
                <w:noProof/>
              </w:rPr>
            </w:pPr>
            <w:r>
              <w:rPr>
                <w:noProof/>
              </w:rPr>
              <w:t>Otvaranje 12 kulturnih</w:t>
            </w:r>
            <w:r>
              <w:rPr>
                <w:noProof/>
              </w:rPr>
              <w:t xml:space="preserve"> ruta</w:t>
            </w:r>
          </w:p>
        </w:tc>
        <w:tc>
          <w:tcPr>
            <w:tcW w:w="1628" w:type="dxa"/>
            <w:tcBorders>
              <w:top w:val="nil"/>
              <w:left w:val="nil"/>
              <w:bottom w:val="single" w:sz="4" w:space="0" w:color="auto"/>
              <w:right w:val="single" w:sz="4" w:space="0" w:color="auto"/>
            </w:tcBorders>
            <w:shd w:val="clear" w:color="auto" w:fill="C6EFCE"/>
            <w:noWrap/>
            <w:hideMark/>
          </w:tcPr>
          <w:p w14:paraId="6EC1D425" w14:textId="2695BD85" w:rsidR="003F46B9" w:rsidRDefault="0065662E">
            <w:pPr>
              <w:pStyle w:val="P68B1DB1-Normal5"/>
              <w:spacing w:after="0" w:line="240" w:lineRule="auto"/>
              <w:jc w:val="both"/>
              <w:rPr>
                <w:rFonts w:eastAsia="Times New Roman" w:cs="Times New Roman"/>
                <w:noProof/>
              </w:rPr>
            </w:pPr>
            <w:r>
              <w:rPr>
                <w:noProof/>
              </w:rPr>
              <w:t xml:space="preserve">Otvaranje 12 kulturnih ruta dostupnih turistima. </w:t>
            </w:r>
          </w:p>
        </w:tc>
        <w:tc>
          <w:tcPr>
            <w:tcW w:w="1274" w:type="dxa"/>
            <w:tcBorders>
              <w:top w:val="nil"/>
              <w:left w:val="nil"/>
              <w:bottom w:val="single" w:sz="4" w:space="0" w:color="auto"/>
              <w:right w:val="single" w:sz="4" w:space="0" w:color="auto"/>
            </w:tcBorders>
            <w:shd w:val="clear" w:color="auto" w:fill="C6EFCE"/>
            <w:noWrap/>
            <w:hideMark/>
          </w:tcPr>
          <w:p w14:paraId="1CF47DE3"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6A8E3D69"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6DD6DE14"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6712858C"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hideMark/>
          </w:tcPr>
          <w:p w14:paraId="4C9A356F" w14:textId="77777777" w:rsidR="003F46B9" w:rsidRDefault="0065662E">
            <w:pPr>
              <w:pStyle w:val="P68B1DB1-Normal5"/>
              <w:spacing w:after="0" w:line="240" w:lineRule="auto"/>
              <w:jc w:val="center"/>
              <w:rPr>
                <w:rFonts w:eastAsia="Times New Roman" w:cs="Times New Roman"/>
                <w:noProof/>
              </w:rPr>
            </w:pPr>
            <w:r>
              <w:rPr>
                <w:noProof/>
              </w:rPr>
              <w:t>2024</w:t>
            </w:r>
          </w:p>
        </w:tc>
        <w:tc>
          <w:tcPr>
            <w:tcW w:w="3568" w:type="dxa"/>
            <w:tcBorders>
              <w:top w:val="nil"/>
              <w:left w:val="nil"/>
              <w:bottom w:val="single" w:sz="4" w:space="0" w:color="auto"/>
              <w:right w:val="single" w:sz="4" w:space="0" w:color="auto"/>
            </w:tcBorders>
            <w:shd w:val="clear" w:color="auto" w:fill="C6EFCE"/>
            <w:noWrap/>
            <w:hideMark/>
          </w:tcPr>
          <w:p w14:paraId="5300BA8A" w14:textId="77777777" w:rsidR="003F46B9" w:rsidRDefault="0065662E">
            <w:pPr>
              <w:pStyle w:val="P68B1DB1-Normal5"/>
              <w:spacing w:after="0" w:line="240" w:lineRule="auto"/>
              <w:jc w:val="both"/>
              <w:rPr>
                <w:rFonts w:cs="Times New Roman"/>
                <w:noProof/>
              </w:rPr>
            </w:pPr>
            <w:r>
              <w:rPr>
                <w:noProof/>
              </w:rPr>
              <w:t>Lokacije se otvaraju za javnost, a rute postaju funkcionalne u skladu s ugovorima u ključnoj etapi 331. Mjesta na kojima će se izvoditi radovi na obnovi moraju biti otvorena samo d</w:t>
            </w:r>
            <w:r>
              <w:rPr>
                <w:noProof/>
              </w:rPr>
              <w:t xml:space="preserve">jelomično, do završetka obnove. </w:t>
            </w:r>
          </w:p>
        </w:tc>
      </w:tr>
      <w:tr w:rsidR="003F46B9" w14:paraId="4AB517DC"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DC69AAD" w14:textId="77777777" w:rsidR="003F46B9" w:rsidRDefault="0065662E">
            <w:pPr>
              <w:pStyle w:val="P68B1DB1-Normal5"/>
              <w:spacing w:after="0" w:line="240" w:lineRule="auto"/>
              <w:jc w:val="center"/>
              <w:rPr>
                <w:rFonts w:eastAsia="Times New Roman" w:cs="Times New Roman"/>
                <w:noProof/>
              </w:rPr>
            </w:pPr>
            <w:r>
              <w:rPr>
                <w:noProof/>
              </w:rPr>
              <w:t>334</w:t>
            </w:r>
          </w:p>
        </w:tc>
        <w:tc>
          <w:tcPr>
            <w:tcW w:w="1558" w:type="dxa"/>
            <w:tcBorders>
              <w:top w:val="nil"/>
              <w:left w:val="nil"/>
              <w:bottom w:val="single" w:sz="4" w:space="0" w:color="auto"/>
              <w:right w:val="single" w:sz="4" w:space="0" w:color="auto"/>
            </w:tcBorders>
            <w:shd w:val="clear" w:color="auto" w:fill="C6EFCE"/>
            <w:noWrap/>
          </w:tcPr>
          <w:p w14:paraId="7728C652" w14:textId="2D810BD2" w:rsidR="003F46B9" w:rsidRDefault="0065662E">
            <w:pPr>
              <w:pStyle w:val="P68B1DB1-Normal5"/>
              <w:spacing w:after="0" w:line="240" w:lineRule="auto"/>
              <w:jc w:val="both"/>
              <w:rPr>
                <w:rFonts w:eastAsia="Times New Roman" w:cs="Times New Roman"/>
                <w:noProof/>
              </w:rPr>
            </w:pPr>
            <w:r>
              <w:rPr>
                <w:noProof/>
              </w:rPr>
              <w:t>Ulaganje 1. Promicanje 12 turističkih/kulturnih ruta</w:t>
            </w:r>
          </w:p>
        </w:tc>
        <w:tc>
          <w:tcPr>
            <w:tcW w:w="1278" w:type="dxa"/>
            <w:tcBorders>
              <w:top w:val="nil"/>
              <w:left w:val="nil"/>
              <w:bottom w:val="single" w:sz="4" w:space="0" w:color="auto"/>
              <w:right w:val="single" w:sz="4" w:space="0" w:color="auto"/>
            </w:tcBorders>
            <w:shd w:val="clear" w:color="auto" w:fill="C6EFCE"/>
            <w:noWrap/>
          </w:tcPr>
          <w:p w14:paraId="724D3225"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1689A71C" w14:textId="77777777" w:rsidR="003F46B9" w:rsidRDefault="0065662E">
            <w:pPr>
              <w:pStyle w:val="P68B1DB1-Normal5"/>
              <w:spacing w:after="0" w:line="240" w:lineRule="auto"/>
              <w:jc w:val="both"/>
              <w:rPr>
                <w:rFonts w:cs="Times New Roman"/>
                <w:noProof/>
              </w:rPr>
            </w:pPr>
            <w:r>
              <w:rPr>
                <w:noProof/>
              </w:rPr>
              <w:t xml:space="preserve">Potpisivanje ugovora za radove obnove/obnove lokaliteta uključenih u 12 kulturnih ruta </w:t>
            </w:r>
          </w:p>
          <w:p w14:paraId="39DCA5C7" w14:textId="77777777" w:rsidR="003F46B9" w:rsidRDefault="003F46B9">
            <w:pPr>
              <w:spacing w:after="0" w:line="240" w:lineRule="auto"/>
              <w:jc w:val="both"/>
              <w:rPr>
                <w:rFonts w:ascii="Times New Roman" w:hAnsi="Times New Roman" w:cs="Times New Roman"/>
                <w:noProof/>
                <w:sz w:val="24"/>
              </w:rPr>
            </w:pPr>
          </w:p>
          <w:p w14:paraId="60D09D81" w14:textId="77777777" w:rsidR="003F46B9" w:rsidRDefault="003F46B9">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3E375261"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274" w:type="dxa"/>
            <w:tcBorders>
              <w:top w:val="nil"/>
              <w:left w:val="nil"/>
              <w:bottom w:val="single" w:sz="4" w:space="0" w:color="auto"/>
              <w:right w:val="single" w:sz="4" w:space="0" w:color="auto"/>
            </w:tcBorders>
            <w:shd w:val="clear" w:color="auto" w:fill="C6EFCE"/>
            <w:noWrap/>
          </w:tcPr>
          <w:p w14:paraId="6B601805" w14:textId="77777777" w:rsidR="003F46B9" w:rsidRDefault="0065662E">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60866E47" w14:textId="77777777" w:rsidR="003F46B9" w:rsidRDefault="0065662E">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20417A61" w14:textId="77777777" w:rsidR="003F46B9" w:rsidRDefault="0065662E">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0B0093E3" w14:textId="3EE9A78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30362B3B" w14:textId="24CCC32E" w:rsidR="003F46B9" w:rsidRDefault="0065662E">
            <w:pPr>
              <w:pStyle w:val="P68B1DB1-Normal5"/>
              <w:spacing w:after="0" w:line="240" w:lineRule="auto"/>
              <w:jc w:val="both"/>
              <w:rPr>
                <w:rFonts w:cs="Times New Roman"/>
                <w:noProof/>
              </w:rPr>
            </w:pPr>
            <w:r>
              <w:rPr>
                <w:noProof/>
              </w:rPr>
              <w:t>2026</w:t>
            </w:r>
          </w:p>
          <w:p w14:paraId="29254004" w14:textId="77777777" w:rsidR="003F46B9" w:rsidRDefault="003F46B9">
            <w:pPr>
              <w:spacing w:after="0" w:line="240" w:lineRule="auto"/>
              <w:jc w:val="both"/>
              <w:rPr>
                <w:rFonts w:ascii="Times New Roman" w:hAnsi="Times New Roman" w:cs="Times New Roman"/>
                <w:noProof/>
                <w:sz w:val="24"/>
              </w:rPr>
            </w:pPr>
          </w:p>
          <w:p w14:paraId="15159B2B" w14:textId="77777777" w:rsidR="003F46B9" w:rsidRDefault="003F46B9">
            <w:pPr>
              <w:spacing w:after="0" w:line="240" w:lineRule="auto"/>
              <w:jc w:val="center"/>
              <w:rPr>
                <w:rFonts w:ascii="Times New Roman" w:eastAsia="Times New Roman" w:hAnsi="Times New Roman" w:cs="Times New Roman"/>
                <w:noProof/>
                <w:sz w:val="24"/>
              </w:rPr>
            </w:pPr>
          </w:p>
        </w:tc>
        <w:tc>
          <w:tcPr>
            <w:tcW w:w="3568" w:type="dxa"/>
            <w:tcBorders>
              <w:top w:val="nil"/>
              <w:left w:val="nil"/>
              <w:bottom w:val="single" w:sz="4" w:space="0" w:color="auto"/>
              <w:right w:val="single" w:sz="4" w:space="0" w:color="auto"/>
            </w:tcBorders>
            <w:shd w:val="clear" w:color="auto" w:fill="C6EFCE"/>
            <w:noWrap/>
          </w:tcPr>
          <w:p w14:paraId="78EE7F8F" w14:textId="77777777" w:rsidR="003F46B9" w:rsidRDefault="0065662E">
            <w:pPr>
              <w:pStyle w:val="P68B1DB1-Normal5"/>
              <w:spacing w:after="0" w:line="240" w:lineRule="auto"/>
              <w:jc w:val="both"/>
              <w:rPr>
                <w:rFonts w:cs="Times New Roman"/>
                <w:noProof/>
              </w:rPr>
            </w:pPr>
            <w:r>
              <w:rPr>
                <w:noProof/>
              </w:rPr>
              <w:t xml:space="preserve">Potpisivanje </w:t>
            </w:r>
            <w:r>
              <w:rPr>
                <w:noProof/>
              </w:rPr>
              <w:t>ugovora o financiranju radova na obnovi zgrada (kastle, crkve, tvrđava) uključenih u 12 kulturnih ruta.</w:t>
            </w:r>
          </w:p>
          <w:p w14:paraId="70A080F7" w14:textId="77777777" w:rsidR="003F46B9" w:rsidRDefault="0065662E">
            <w:pPr>
              <w:pStyle w:val="P68B1DB1-Normal5"/>
              <w:spacing w:after="0" w:line="240" w:lineRule="auto"/>
              <w:jc w:val="both"/>
              <w:rPr>
                <w:rFonts w:cs="Times New Roman"/>
                <w:noProof/>
              </w:rPr>
            </w:pPr>
            <w:r>
              <w:rPr>
                <w:noProof/>
              </w:rPr>
              <w:t xml:space="preserve">Za lokalitete koji su dio 12 radova restauracije kulturnih ruta uključuje se sljedeće: </w:t>
            </w:r>
          </w:p>
          <w:p w14:paraId="588072D9" w14:textId="77777777" w:rsidR="003F46B9" w:rsidRDefault="0065662E">
            <w:pPr>
              <w:pStyle w:val="P68B1DB1-Normal5"/>
              <w:numPr>
                <w:ilvl w:val="0"/>
                <w:numId w:val="86"/>
              </w:numPr>
              <w:spacing w:before="120" w:after="0" w:line="240" w:lineRule="auto"/>
              <w:ind w:left="173" w:hanging="173"/>
              <w:contextualSpacing/>
              <w:jc w:val="both"/>
              <w:rPr>
                <w:rFonts w:cs="Times New Roman"/>
                <w:noProof/>
              </w:rPr>
            </w:pPr>
            <w:r>
              <w:rPr>
                <w:noProof/>
              </w:rPr>
              <w:t xml:space="preserve">obnova zgrada, po potrebi stvaranje pristupne ceste i prijema </w:t>
            </w:r>
            <w:r>
              <w:rPr>
                <w:noProof/>
              </w:rPr>
              <w:t>posjetitelja.</w:t>
            </w:r>
          </w:p>
          <w:p w14:paraId="52C2D70E" w14:textId="77777777" w:rsidR="003F46B9" w:rsidRDefault="0065662E">
            <w:pPr>
              <w:pStyle w:val="P68B1DB1-Normal5"/>
              <w:numPr>
                <w:ilvl w:val="0"/>
                <w:numId w:val="86"/>
              </w:numPr>
              <w:spacing w:before="120" w:after="0" w:line="240" w:lineRule="auto"/>
              <w:ind w:left="173" w:hanging="173"/>
              <w:contextualSpacing/>
              <w:jc w:val="both"/>
              <w:rPr>
                <w:rFonts w:cs="Times New Roman"/>
                <w:noProof/>
              </w:rPr>
            </w:pPr>
            <w:r>
              <w:rPr>
                <w:noProof/>
              </w:rPr>
              <w:t>postavljanje pristupnih cesta minimalni su radovi na intervencijama kojima se omogućuje barem pješački pristup. Ne uključuju se radovi asfaltiranja.</w:t>
            </w:r>
          </w:p>
          <w:p w14:paraId="17C12754" w14:textId="5E688D15" w:rsidR="003F46B9" w:rsidRDefault="0065662E">
            <w:pPr>
              <w:pStyle w:val="P68B1DB1-Normal5"/>
              <w:spacing w:after="0" w:line="240" w:lineRule="auto"/>
              <w:jc w:val="both"/>
              <w:rPr>
                <w:noProof/>
              </w:rPr>
            </w:pPr>
            <w:r>
              <w:rPr>
                <w:noProof/>
              </w:rPr>
              <w:t>Za odabrane projekte trebale bi biti dovršene barem studije izvedivosti te studija izvedivost</w:t>
            </w:r>
            <w:r>
              <w:rPr>
                <w:noProof/>
              </w:rPr>
              <w:t>i i svi relevantni dokumenti dovršeni prije potpisivanja ugovora o financiranju.</w:t>
            </w:r>
          </w:p>
          <w:p w14:paraId="680E82ED" w14:textId="77777777" w:rsidR="003F46B9" w:rsidRDefault="0065662E">
            <w:pPr>
              <w:pStyle w:val="P68B1DB1-Normal5"/>
              <w:spacing w:after="0" w:line="240" w:lineRule="auto"/>
              <w:jc w:val="both"/>
              <w:rPr>
                <w:rFonts w:cs="Times New Roman"/>
                <w:noProof/>
              </w:rPr>
            </w:pPr>
            <w:r>
              <w:rPr>
                <w:noProof/>
              </w:rPr>
              <w:t>Za muzej i komemoracijski lanac posvećen ugnjetavanju i ugovorima o sukobu uključuju radove restauracije zgrada, centara za posjetitelje i digitalizaciju.</w:t>
            </w:r>
          </w:p>
          <w:p w14:paraId="33A87E6F" w14:textId="77777777" w:rsidR="003F46B9" w:rsidRDefault="0065662E">
            <w:pPr>
              <w:pStyle w:val="P68B1DB1-Normal5"/>
              <w:spacing w:after="0" w:line="240" w:lineRule="auto"/>
              <w:jc w:val="both"/>
              <w:rPr>
                <w:rFonts w:cs="Times New Roman"/>
                <w:noProof/>
              </w:rPr>
            </w:pPr>
            <w:r>
              <w:rPr>
                <w:noProof/>
              </w:rPr>
              <w:t>Ugovori uključuju mi</w:t>
            </w:r>
            <w:r>
              <w:rPr>
                <w:noProof/>
              </w:rPr>
              <w:t>nimalni zahtjev za smanjenje potrošnje energije za najmanje 50 % u usporedbi s godišnjom potrošnjom energije prije obnove zgrade, čime se ostvaruje povećanje od 30 % uštede primarne energije u odnosu na stanje prije obnove i osigurava usklađenost s Tehničk</w:t>
            </w:r>
            <w:r>
              <w:rPr>
                <w:noProof/>
              </w:rPr>
              <w:t>im smjernicama o nenanošenju bitne štete (2021/C58/01).</w:t>
            </w:r>
          </w:p>
          <w:p w14:paraId="62073F04" w14:textId="77777777" w:rsidR="003F46B9" w:rsidRDefault="0065662E">
            <w:pPr>
              <w:pStyle w:val="P68B1DB1-Normal5"/>
              <w:spacing w:after="0" w:line="240" w:lineRule="auto"/>
              <w:jc w:val="both"/>
              <w:rPr>
                <w:rFonts w:eastAsia="Times New Roman" w:cs="Times New Roman"/>
                <w:noProof/>
              </w:rPr>
            </w:pPr>
            <w:r>
              <w:rPr>
                <w:noProof/>
              </w:rPr>
              <w:t>Ugovori će se temeljiti na otvorenim natječajnim postupcima i sadržavati sljedeće elemente:</w:t>
            </w:r>
          </w:p>
          <w:p w14:paraId="4B095C5C" w14:textId="77777777" w:rsidR="003F46B9" w:rsidRDefault="0065662E">
            <w:pPr>
              <w:pStyle w:val="P68B1DB1-ListParagraph13"/>
              <w:numPr>
                <w:ilvl w:val="0"/>
                <w:numId w:val="92"/>
              </w:numPr>
              <w:spacing w:after="0" w:line="240" w:lineRule="auto"/>
              <w:ind w:left="202" w:hanging="142"/>
              <w:jc w:val="both"/>
              <w:rPr>
                <w:rFonts w:eastAsia="Times New Roman" w:cs="Times New Roman"/>
                <w:noProof/>
              </w:rPr>
            </w:pPr>
            <w:r>
              <w:rPr>
                <w:noProof/>
              </w:rPr>
              <w:t>popis aktivnosti koje treba provesti u vezi s razvojem lokacije (obnova, pristup posjetitelja i sve aktivnos</w:t>
            </w:r>
            <w:r>
              <w:rPr>
                <w:noProof/>
              </w:rPr>
              <w:t xml:space="preserve">ti opisane u glavnom dokumentu) </w:t>
            </w:r>
          </w:p>
          <w:p w14:paraId="41292271" w14:textId="77777777" w:rsidR="003F46B9" w:rsidRDefault="0065662E">
            <w:pPr>
              <w:pStyle w:val="P68B1DB1-ListParagraph13"/>
              <w:numPr>
                <w:ilvl w:val="0"/>
                <w:numId w:val="92"/>
              </w:numPr>
              <w:spacing w:after="0" w:line="240" w:lineRule="auto"/>
              <w:ind w:left="202" w:hanging="142"/>
              <w:jc w:val="both"/>
              <w:rPr>
                <w:rFonts w:eastAsia="Times New Roman" w:cs="Times New Roman"/>
                <w:noProof/>
              </w:rPr>
            </w:pPr>
            <w:r>
              <w:rPr>
                <w:noProof/>
              </w:rPr>
              <w:t>rokovi za dovršetak radova</w:t>
            </w:r>
          </w:p>
          <w:p w14:paraId="621B2DE7" w14:textId="77777777" w:rsidR="003F46B9" w:rsidRDefault="0065662E">
            <w:pPr>
              <w:pStyle w:val="P68B1DB1-ListParagraph13"/>
              <w:numPr>
                <w:ilvl w:val="0"/>
                <w:numId w:val="92"/>
              </w:numPr>
              <w:spacing w:after="0" w:line="240" w:lineRule="auto"/>
              <w:ind w:left="202" w:hanging="142"/>
              <w:jc w:val="both"/>
              <w:rPr>
                <w:rFonts w:eastAsia="Times New Roman" w:cs="Times New Roman"/>
                <w:noProof/>
              </w:rPr>
            </w:pPr>
            <w:r>
              <w:rPr>
                <w:noProof/>
              </w:rPr>
              <w:t>—mehanizam za jasno financiranje</w:t>
            </w:r>
          </w:p>
          <w:p w14:paraId="47BCE37D" w14:textId="77777777" w:rsidR="003F46B9" w:rsidRDefault="0065662E">
            <w:pPr>
              <w:pStyle w:val="P68B1DB1-ListParagraph13"/>
              <w:numPr>
                <w:ilvl w:val="0"/>
                <w:numId w:val="92"/>
              </w:numPr>
              <w:spacing w:after="0" w:line="240" w:lineRule="auto"/>
              <w:ind w:left="202" w:hanging="142"/>
              <w:jc w:val="both"/>
              <w:rPr>
                <w:rFonts w:eastAsia="Times New Roman" w:cs="Times New Roman"/>
                <w:noProof/>
              </w:rPr>
            </w:pPr>
            <w:r>
              <w:rPr>
                <w:noProof/>
              </w:rPr>
              <w:t>—tehnički zahtjevi i standardi</w:t>
            </w:r>
          </w:p>
          <w:p w14:paraId="347013D1" w14:textId="77777777" w:rsidR="003F46B9" w:rsidRDefault="0065662E">
            <w:pPr>
              <w:pStyle w:val="P68B1DB1-Normal5"/>
              <w:spacing w:after="0" w:line="240" w:lineRule="auto"/>
              <w:jc w:val="both"/>
              <w:rPr>
                <w:rFonts w:eastAsia="Times New Roman" w:cs="Times New Roman"/>
                <w:noProof/>
              </w:rPr>
            </w:pPr>
            <w:r>
              <w:rPr>
                <w:noProof/>
              </w:rPr>
              <w:t xml:space="preserve">Popis aktivnosti i svi elementi svakog ugovora o radu utvrdit će se na temelju opisa intervencija (navedenih u glavnom dokumentu) u </w:t>
            </w:r>
            <w:r>
              <w:rPr>
                <w:noProof/>
              </w:rPr>
              <w:t>dokumentaciji o nabavi, ovisno o posebnostima radova. Ti će elementi biti opisani u dokumentaciji o javnoj nabavi.</w:t>
            </w:r>
          </w:p>
        </w:tc>
      </w:tr>
      <w:tr w:rsidR="003F46B9" w14:paraId="5BF3AE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0613215" w14:textId="77777777" w:rsidR="003F46B9" w:rsidRDefault="0065662E">
            <w:pPr>
              <w:pStyle w:val="P68B1DB1-Normal5"/>
              <w:spacing w:after="0" w:line="240" w:lineRule="auto"/>
              <w:jc w:val="center"/>
              <w:rPr>
                <w:rFonts w:eastAsia="Times New Roman" w:cs="Times New Roman"/>
                <w:noProof/>
              </w:rPr>
            </w:pPr>
            <w:r>
              <w:rPr>
                <w:noProof/>
              </w:rPr>
              <w:t>335</w:t>
            </w:r>
          </w:p>
        </w:tc>
        <w:tc>
          <w:tcPr>
            <w:tcW w:w="1558" w:type="dxa"/>
            <w:tcBorders>
              <w:top w:val="nil"/>
              <w:left w:val="nil"/>
              <w:bottom w:val="single" w:sz="4" w:space="0" w:color="auto"/>
              <w:right w:val="single" w:sz="4" w:space="0" w:color="auto"/>
            </w:tcBorders>
            <w:shd w:val="clear" w:color="auto" w:fill="C6EFCE"/>
            <w:noWrap/>
          </w:tcPr>
          <w:p w14:paraId="4BCB1D54" w14:textId="77777777" w:rsidR="003F46B9" w:rsidRDefault="0065662E">
            <w:pPr>
              <w:pStyle w:val="P68B1DB1-Normal5"/>
              <w:spacing w:after="0" w:line="240" w:lineRule="auto"/>
              <w:jc w:val="both"/>
              <w:rPr>
                <w:rFonts w:cs="Times New Roman"/>
                <w:noProof/>
              </w:rPr>
            </w:pPr>
            <w:r>
              <w:rPr>
                <w:noProof/>
              </w:rPr>
              <w:t>Ulaganje 1. Promicanje 12 turističkih/kulturnih ruta</w:t>
            </w:r>
          </w:p>
          <w:p w14:paraId="4A310737" w14:textId="77777777" w:rsidR="003F46B9" w:rsidRDefault="003F46B9">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55EEB1CE"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41280A19" w14:textId="77777777" w:rsidR="003F46B9" w:rsidRDefault="0065662E">
            <w:pPr>
              <w:pStyle w:val="P68B1DB1-Normal5"/>
              <w:spacing w:after="0" w:line="240" w:lineRule="auto"/>
              <w:jc w:val="both"/>
              <w:rPr>
                <w:rFonts w:eastAsia="Times New Roman" w:cs="Times New Roman"/>
                <w:noProof/>
              </w:rPr>
            </w:pPr>
            <w:r>
              <w:rPr>
                <w:noProof/>
              </w:rPr>
              <w:t>Otvorene novoobnovljene lokacije</w:t>
            </w:r>
          </w:p>
        </w:tc>
        <w:tc>
          <w:tcPr>
            <w:tcW w:w="1628" w:type="dxa"/>
            <w:tcBorders>
              <w:top w:val="nil"/>
              <w:left w:val="nil"/>
              <w:bottom w:val="single" w:sz="4" w:space="0" w:color="auto"/>
              <w:right w:val="single" w:sz="4" w:space="0" w:color="auto"/>
            </w:tcBorders>
            <w:shd w:val="clear" w:color="auto" w:fill="C6EFCE"/>
            <w:noWrap/>
          </w:tcPr>
          <w:p w14:paraId="381827E4"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11BF2242" w14:textId="77777777" w:rsidR="003F46B9" w:rsidRDefault="0065662E">
            <w:pPr>
              <w:pStyle w:val="P68B1DB1-Normal5"/>
              <w:spacing w:after="0" w:line="240" w:lineRule="auto"/>
              <w:rPr>
                <w:rFonts w:eastAsia="Times New Roman" w:cs="Times New Roman"/>
                <w:noProof/>
              </w:rPr>
            </w:pPr>
            <w:r>
              <w:rPr>
                <w:noProof/>
              </w:rPr>
              <w:t>Broj</w:t>
            </w:r>
          </w:p>
        </w:tc>
        <w:tc>
          <w:tcPr>
            <w:tcW w:w="1136" w:type="dxa"/>
            <w:tcBorders>
              <w:top w:val="nil"/>
              <w:left w:val="nil"/>
              <w:bottom w:val="single" w:sz="4" w:space="0" w:color="auto"/>
              <w:right w:val="single" w:sz="4" w:space="0" w:color="auto"/>
            </w:tcBorders>
            <w:shd w:val="clear" w:color="auto" w:fill="C6EFCE"/>
            <w:noWrap/>
          </w:tcPr>
          <w:p w14:paraId="6C91FBF1" w14:textId="77777777" w:rsidR="003F46B9" w:rsidRDefault="0065662E">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377B2EB5" w14:textId="77777777" w:rsidR="003F46B9" w:rsidRDefault="0065662E">
            <w:pPr>
              <w:pStyle w:val="P68B1DB1-Normal5"/>
              <w:spacing w:after="0" w:line="240" w:lineRule="auto"/>
              <w:jc w:val="both"/>
              <w:rPr>
                <w:rFonts w:cs="Times New Roman"/>
                <w:noProof/>
              </w:rPr>
            </w:pPr>
            <w:r>
              <w:rPr>
                <w:noProof/>
              </w:rPr>
              <w:t>225</w:t>
            </w:r>
          </w:p>
        </w:tc>
        <w:tc>
          <w:tcPr>
            <w:tcW w:w="1102" w:type="dxa"/>
            <w:tcBorders>
              <w:top w:val="nil"/>
              <w:left w:val="nil"/>
              <w:bottom w:val="single" w:sz="4" w:space="0" w:color="auto"/>
              <w:right w:val="single" w:sz="4" w:space="0" w:color="auto"/>
            </w:tcBorders>
            <w:shd w:val="clear" w:color="auto" w:fill="C6EFCE"/>
            <w:noWrap/>
          </w:tcPr>
          <w:p w14:paraId="0BBBADCC"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3A072EFF" w14:textId="77777777" w:rsidR="003F46B9" w:rsidRDefault="0065662E">
            <w:pPr>
              <w:pStyle w:val="P68B1DB1-Normal5"/>
              <w:spacing w:after="0" w:line="240" w:lineRule="auto"/>
              <w:jc w:val="both"/>
              <w:rPr>
                <w:rFonts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40A2B5D8" w14:textId="77777777" w:rsidR="003F46B9" w:rsidRDefault="0065662E">
            <w:pPr>
              <w:pStyle w:val="P68B1DB1-Normal5"/>
              <w:spacing w:after="0" w:line="240" w:lineRule="auto"/>
              <w:jc w:val="both"/>
              <w:rPr>
                <w:rFonts w:cs="Times New Roman"/>
                <w:noProof/>
              </w:rPr>
            </w:pPr>
            <w:r>
              <w:rPr>
                <w:noProof/>
              </w:rPr>
              <w:t xml:space="preserve">Turistima se </w:t>
            </w:r>
            <w:r>
              <w:rPr>
                <w:noProof/>
              </w:rPr>
              <w:t>otvara 225 obnovljenih lokaliteta.</w:t>
            </w:r>
          </w:p>
          <w:p w14:paraId="3D26E4B4" w14:textId="77777777" w:rsidR="003F46B9" w:rsidRDefault="0065662E">
            <w:pPr>
              <w:pStyle w:val="P68B1DB1-Normal5"/>
              <w:spacing w:after="0" w:line="240" w:lineRule="auto"/>
              <w:jc w:val="both"/>
              <w:rPr>
                <w:rFonts w:cs="Times New Roman"/>
                <w:noProof/>
              </w:rPr>
            </w:pPr>
            <w:r>
              <w:rPr>
                <w:noProof/>
              </w:rPr>
              <w:t xml:space="preserve">Od 12 kulturnih ruta obnavljaju se sljedeće lokacije (kako bi bile u potpunosti dostupne turistima i javnosti): </w:t>
            </w:r>
          </w:p>
          <w:p w14:paraId="1820A0F0"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dvoraca</w:t>
            </w:r>
          </w:p>
          <w:p w14:paraId="36CADEF8"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kuriji</w:t>
            </w:r>
          </w:p>
          <w:p w14:paraId="1FD8AA62"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10 drvenih crkava</w:t>
            </w:r>
          </w:p>
          <w:p w14:paraId="560D46B8"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„cula” (stambeni objekti rumunjskih plemnika)</w:t>
            </w:r>
          </w:p>
          <w:p w14:paraId="565EE7DE"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Moldavskih samostana</w:t>
            </w:r>
          </w:p>
          <w:p w14:paraId="11F2267D"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crkava/lokacija na ruti Svetog Ladislausa</w:t>
            </w:r>
          </w:p>
          <w:p w14:paraId="11BB4009"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rimskih kastra</w:t>
            </w:r>
          </w:p>
          <w:p w14:paraId="57945CB4" w14:textId="77777777"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trezora</w:t>
            </w:r>
          </w:p>
          <w:p w14:paraId="71B55182" w14:textId="57B68BA0"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8 tradicionalnih kuća u delti Dunava</w:t>
            </w:r>
          </w:p>
          <w:p w14:paraId="5404EC8D" w14:textId="11175883" w:rsidR="003F46B9" w:rsidRDefault="0065662E">
            <w:pPr>
              <w:pStyle w:val="P68B1DB1-Normal5"/>
              <w:numPr>
                <w:ilvl w:val="0"/>
                <w:numId w:val="89"/>
              </w:numPr>
              <w:spacing w:before="120" w:after="0" w:line="240" w:lineRule="auto"/>
              <w:ind w:left="202" w:hanging="180"/>
              <w:contextualSpacing/>
              <w:jc w:val="both"/>
              <w:rPr>
                <w:noProof/>
              </w:rPr>
            </w:pPr>
            <w:r>
              <w:rPr>
                <w:noProof/>
              </w:rPr>
              <w:t>172 tradicionalna kuća u ruralnim područjima</w:t>
            </w:r>
          </w:p>
        </w:tc>
      </w:tr>
      <w:tr w:rsidR="003F46B9" w14:paraId="4F226EC2"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E80C0F8" w14:textId="77777777" w:rsidR="003F46B9" w:rsidRDefault="0065662E">
            <w:pPr>
              <w:pStyle w:val="P68B1DB1-Normal5"/>
              <w:spacing w:after="0" w:line="240" w:lineRule="auto"/>
              <w:jc w:val="center"/>
              <w:rPr>
                <w:rFonts w:eastAsia="Times New Roman" w:cs="Times New Roman"/>
                <w:noProof/>
              </w:rPr>
            </w:pPr>
            <w:r>
              <w:rPr>
                <w:noProof/>
              </w:rPr>
              <w:t>336</w:t>
            </w:r>
          </w:p>
        </w:tc>
        <w:tc>
          <w:tcPr>
            <w:tcW w:w="1558" w:type="dxa"/>
            <w:tcBorders>
              <w:top w:val="nil"/>
              <w:left w:val="nil"/>
              <w:bottom w:val="single" w:sz="4" w:space="0" w:color="auto"/>
              <w:right w:val="single" w:sz="4" w:space="0" w:color="auto"/>
            </w:tcBorders>
            <w:shd w:val="clear" w:color="auto" w:fill="C6EFCE"/>
            <w:noWrap/>
          </w:tcPr>
          <w:p w14:paraId="1C77C4AF" w14:textId="77777777" w:rsidR="003F46B9" w:rsidRDefault="0065662E">
            <w:pPr>
              <w:pStyle w:val="P68B1DB1-Normal5"/>
              <w:spacing w:after="0" w:line="240" w:lineRule="auto"/>
              <w:jc w:val="both"/>
              <w:rPr>
                <w:rFonts w:eastAsia="Times New Roman" w:cs="Times New Roman"/>
                <w:noProof/>
              </w:rPr>
            </w:pPr>
            <w:r>
              <w:rPr>
                <w:noProof/>
              </w:rPr>
              <w:t>Ulaganje 2. Modernizacija/stvaranje muzeja i spomenika</w:t>
            </w:r>
          </w:p>
        </w:tc>
        <w:tc>
          <w:tcPr>
            <w:tcW w:w="1278" w:type="dxa"/>
            <w:tcBorders>
              <w:top w:val="nil"/>
              <w:left w:val="nil"/>
              <w:bottom w:val="single" w:sz="4" w:space="0" w:color="auto"/>
              <w:right w:val="single" w:sz="4" w:space="0" w:color="auto"/>
            </w:tcBorders>
            <w:shd w:val="clear" w:color="auto" w:fill="C6EFCE"/>
            <w:noWrap/>
          </w:tcPr>
          <w:p w14:paraId="39C13834"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4495F96F" w14:textId="77777777" w:rsidR="003F46B9" w:rsidRDefault="0065662E">
            <w:pPr>
              <w:pStyle w:val="P68B1DB1-Normal5"/>
              <w:spacing w:after="0" w:line="240" w:lineRule="auto"/>
              <w:jc w:val="both"/>
              <w:rPr>
                <w:rFonts w:eastAsia="Times New Roman" w:cs="Times New Roman"/>
                <w:noProof/>
              </w:rPr>
            </w:pPr>
            <w:r>
              <w:rPr>
                <w:noProof/>
              </w:rPr>
              <w:t>Potpisivanje ugovora za građevinske radove muzeja</w:t>
            </w:r>
          </w:p>
        </w:tc>
        <w:tc>
          <w:tcPr>
            <w:tcW w:w="1628" w:type="dxa"/>
            <w:tcBorders>
              <w:top w:val="nil"/>
              <w:left w:val="nil"/>
              <w:bottom w:val="single" w:sz="4" w:space="0" w:color="auto"/>
              <w:right w:val="single" w:sz="4" w:space="0" w:color="auto"/>
            </w:tcBorders>
            <w:shd w:val="clear" w:color="auto" w:fill="C6EFCE"/>
            <w:noWrap/>
          </w:tcPr>
          <w:p w14:paraId="488EE94C"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274" w:type="dxa"/>
            <w:tcBorders>
              <w:top w:val="nil"/>
              <w:left w:val="nil"/>
              <w:bottom w:val="single" w:sz="4" w:space="0" w:color="auto"/>
              <w:right w:val="single" w:sz="4" w:space="0" w:color="auto"/>
            </w:tcBorders>
            <w:shd w:val="clear" w:color="auto" w:fill="C6EFCE"/>
            <w:noWrap/>
          </w:tcPr>
          <w:p w14:paraId="2D98D783"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B907A54"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0B1DC21"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5256C23E"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65669FB6" w14:textId="77777777" w:rsidR="003F46B9" w:rsidRDefault="0065662E">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2D09E521" w14:textId="77777777" w:rsidR="003F46B9" w:rsidRDefault="0065662E">
            <w:pPr>
              <w:pStyle w:val="P68B1DB1-Normal5"/>
              <w:spacing w:after="0" w:line="240" w:lineRule="auto"/>
              <w:jc w:val="both"/>
              <w:rPr>
                <w:rFonts w:cs="Times New Roman"/>
                <w:noProof/>
              </w:rPr>
            </w:pPr>
            <w:r>
              <w:rPr>
                <w:noProof/>
              </w:rPr>
              <w:t>Potpisivanje ugovora za građevinske radove novih muzeja posvećenih ugnjetavanju i sukobima. Lokacije se odabiru na temelju njihove simbolične vrijednosti i povezanos</w:t>
            </w:r>
            <w:r>
              <w:rPr>
                <w:noProof/>
              </w:rPr>
              <w:t>ti s totalitarnim režimima (mjesta koja su ključna za međuetničke sukobe i razvoj dobrih međukulturnih odnosa). Dodjela ugovora provodi se na temelju otvorenog i konkurentnog natječajnog postupka uz poštovanje postupaka izgradnje zgrada približno nulte ene</w:t>
            </w:r>
            <w:r>
              <w:rPr>
                <w:noProof/>
              </w:rPr>
              <w:t>rgije. Nove zgrade moraju biti usklađene s ciljem postizanja potražnje za primarnom energijom koja je najmanje 20 % niža od zahtjeva za zgrade gotovo nulte energije (NZEB) u skladu s nacionalnim smjernicama, što se osigurava energetskim certifikatima.</w:t>
            </w:r>
          </w:p>
          <w:p w14:paraId="6FA7FEEC" w14:textId="77777777" w:rsidR="003F46B9" w:rsidRDefault="0065662E">
            <w:pPr>
              <w:pStyle w:val="P68B1DB1-Normal5"/>
              <w:spacing w:after="0" w:line="240" w:lineRule="auto"/>
              <w:jc w:val="both"/>
              <w:rPr>
                <w:rFonts w:cs="Times New Roman"/>
                <w:noProof/>
              </w:rPr>
            </w:pPr>
            <w:r>
              <w:rPr>
                <w:noProof/>
              </w:rPr>
              <w:t>Novi</w:t>
            </w:r>
            <w:r>
              <w:rPr>
                <w:noProof/>
              </w:rPr>
              <w:t xml:space="preserve"> muzeji su sljedeći: </w:t>
            </w:r>
          </w:p>
          <w:p w14:paraId="1AEB9F12" w14:textId="0BC463E5" w:rsidR="003F46B9" w:rsidRDefault="0065662E">
            <w:pPr>
              <w:pStyle w:val="P68B1DB1-Normal5"/>
              <w:numPr>
                <w:ilvl w:val="0"/>
                <w:numId w:val="88"/>
              </w:numPr>
              <w:spacing w:before="120" w:after="0" w:line="240" w:lineRule="auto"/>
              <w:ind w:left="343"/>
              <w:contextualSpacing/>
              <w:jc w:val="both"/>
              <w:rPr>
                <w:rFonts w:cs="Times New Roman"/>
                <w:noProof/>
              </w:rPr>
            </w:pPr>
            <w:r>
              <w:rPr>
                <w:noProof/>
              </w:rPr>
              <w:t xml:space="preserve">Povijesna galerija Transilvanije (nekadašnji Mutra – Muzej transilvanskih identiteta i sukoba) koja će se izgraditi u predgrađu Cluj-Napoce. Digitalizacija svih vrijednosti i nabava muzejske opreme dio su razvoja. </w:t>
            </w:r>
          </w:p>
          <w:p w14:paraId="5C42286A" w14:textId="77777777" w:rsidR="003F46B9" w:rsidRDefault="0065662E">
            <w:pPr>
              <w:pStyle w:val="P68B1DB1-Normal5"/>
              <w:numPr>
                <w:ilvl w:val="0"/>
                <w:numId w:val="88"/>
              </w:numPr>
              <w:spacing w:before="120" w:after="0" w:line="240" w:lineRule="auto"/>
              <w:ind w:left="343"/>
              <w:contextualSpacing/>
              <w:jc w:val="both"/>
              <w:rPr>
                <w:rFonts w:cs="Times New Roman"/>
                <w:noProof/>
              </w:rPr>
            </w:pPr>
            <w:r>
              <w:rPr>
                <w:noProof/>
              </w:rPr>
              <w:t>Rapa Robilor, komem</w:t>
            </w:r>
            <w:r>
              <w:rPr>
                <w:noProof/>
              </w:rPr>
              <w:t xml:space="preserve">oracijsko mjesto za zatvorenike u okrugu Aiud u okrugu Alba. U okviru ovog projekta na lokaciji se gradi i centar za posjetitelje. </w:t>
            </w:r>
          </w:p>
          <w:p w14:paraId="71155128" w14:textId="1308A7B8" w:rsidR="003F46B9" w:rsidRDefault="0065662E">
            <w:pPr>
              <w:pStyle w:val="P68B1DB1-Normal5"/>
              <w:numPr>
                <w:ilvl w:val="0"/>
                <w:numId w:val="88"/>
              </w:numPr>
              <w:spacing w:before="120" w:after="0" w:line="240" w:lineRule="auto"/>
              <w:ind w:left="343"/>
              <w:contextualSpacing/>
              <w:jc w:val="both"/>
              <w:rPr>
                <w:rFonts w:cs="Times New Roman"/>
                <w:noProof/>
              </w:rPr>
            </w:pPr>
            <w:r>
              <w:rPr>
                <w:noProof/>
              </w:rPr>
              <w:t>Sjećanje na prisilno raseljavanje ljudi i prekomjernu industrijalizaciju, Satu Mare.</w:t>
            </w:r>
          </w:p>
          <w:p w14:paraId="376CA722" w14:textId="4E17016E" w:rsidR="003F46B9" w:rsidRDefault="0065662E">
            <w:pPr>
              <w:pStyle w:val="P68B1DB1-Normal5"/>
              <w:spacing w:before="120" w:after="0" w:line="240" w:lineRule="auto"/>
              <w:contextualSpacing/>
              <w:jc w:val="both"/>
              <w:rPr>
                <w:noProof/>
              </w:rPr>
            </w:pPr>
            <w:r>
              <w:rPr>
                <w:noProof/>
              </w:rPr>
              <w:t>Za muzeje i spomenike posvećene ugnjeta</w:t>
            </w:r>
            <w:r>
              <w:rPr>
                <w:noProof/>
              </w:rPr>
              <w:t xml:space="preserve">vanju i sukobima ugovori uključuju radove na obnovi zgrada, centara za posjetitelje i digitalizaciju. </w:t>
            </w:r>
          </w:p>
          <w:p w14:paraId="5E548BE1" w14:textId="77777777" w:rsidR="003F46B9" w:rsidRDefault="0065662E">
            <w:pPr>
              <w:pStyle w:val="P68B1DB1-Normal5"/>
              <w:spacing w:before="120" w:after="0" w:line="240" w:lineRule="auto"/>
              <w:contextualSpacing/>
              <w:jc w:val="both"/>
              <w:rPr>
                <w:rFonts w:cs="Times New Roman"/>
                <w:noProof/>
              </w:rPr>
            </w:pPr>
            <w:r>
              <w:rPr>
                <w:noProof/>
              </w:rPr>
              <w:t xml:space="preserve">Uključeni su sljedeći muzeji i spomenici: </w:t>
            </w:r>
          </w:p>
          <w:p w14:paraId="6C873058" w14:textId="59527EBF" w:rsidR="003F46B9" w:rsidRDefault="0065662E">
            <w:pPr>
              <w:pStyle w:val="P68B1DB1-ListParagraph13"/>
              <w:numPr>
                <w:ilvl w:val="0"/>
                <w:numId w:val="84"/>
              </w:numPr>
              <w:spacing w:before="120" w:after="0" w:line="240" w:lineRule="auto"/>
              <w:jc w:val="both"/>
              <w:rPr>
                <w:rFonts w:ascii="Calibri" w:eastAsia="Calibri" w:hAnsi="Calibri" w:cs="Arial"/>
                <w:noProof/>
              </w:rPr>
            </w:pPr>
            <w:r>
              <w:rPr>
                <w:noProof/>
              </w:rPr>
              <w:t>Nacionalni muzej židovske povijesti i holokausta, Bukurešt</w:t>
            </w:r>
          </w:p>
          <w:p w14:paraId="1956989B" w14:textId="307C30FA" w:rsidR="003F46B9" w:rsidRDefault="0065662E">
            <w:pPr>
              <w:pStyle w:val="P68B1DB1-ListParagraph13"/>
              <w:numPr>
                <w:ilvl w:val="0"/>
                <w:numId w:val="84"/>
              </w:numPr>
              <w:spacing w:before="120" w:after="0" w:line="240" w:lineRule="auto"/>
              <w:jc w:val="both"/>
              <w:rPr>
                <w:rFonts w:ascii="Calibri" w:eastAsia="Calibri" w:hAnsi="Calibri" w:cs="Arial"/>
                <w:noProof/>
              </w:rPr>
            </w:pPr>
            <w:r>
              <w:rPr>
                <w:noProof/>
              </w:rPr>
              <w:t>Spomen na 89 revoluciju, Temišvar</w:t>
            </w:r>
          </w:p>
          <w:p w14:paraId="2A2936DF" w14:textId="276FC6CE" w:rsidR="003F46B9" w:rsidRDefault="0065662E">
            <w:pPr>
              <w:pStyle w:val="P68B1DB1-ListParagraph13"/>
              <w:numPr>
                <w:ilvl w:val="0"/>
                <w:numId w:val="84"/>
              </w:numPr>
              <w:spacing w:before="120" w:after="0" w:line="240" w:lineRule="auto"/>
              <w:jc w:val="both"/>
              <w:rPr>
                <w:rFonts w:ascii="Calibri" w:eastAsia="Calibri" w:hAnsi="Calibri" w:cs="Arial"/>
                <w:noProof/>
              </w:rPr>
            </w:pPr>
            <w:r>
              <w:rPr>
                <w:noProof/>
              </w:rPr>
              <w:t xml:space="preserve">Sjećanje na </w:t>
            </w:r>
            <w:r>
              <w:rPr>
                <w:noProof/>
              </w:rPr>
              <w:t>žrtve, Sighet</w:t>
            </w:r>
          </w:p>
          <w:p w14:paraId="0A2AC435" w14:textId="77777777" w:rsidR="003F46B9" w:rsidRDefault="0065662E">
            <w:pPr>
              <w:pStyle w:val="P68B1DB1-ListParagraph13"/>
              <w:numPr>
                <w:ilvl w:val="0"/>
                <w:numId w:val="84"/>
              </w:numPr>
              <w:spacing w:before="120" w:after="0" w:line="240" w:lineRule="auto"/>
              <w:jc w:val="both"/>
              <w:rPr>
                <w:rFonts w:ascii="Calibri" w:eastAsia="Calibri" w:hAnsi="Calibri" w:cs="Arial"/>
                <w:noProof/>
              </w:rPr>
            </w:pPr>
            <w:r>
              <w:rPr>
                <w:noProof/>
              </w:rPr>
              <w:t>Zatvor šutnje Râmnicu Sărat</w:t>
            </w:r>
          </w:p>
          <w:p w14:paraId="25B5EBC3" w14:textId="062A9A77" w:rsidR="003F46B9" w:rsidRDefault="0065662E">
            <w:pPr>
              <w:pStyle w:val="P68B1DB1-ListParagraph13"/>
              <w:numPr>
                <w:ilvl w:val="0"/>
                <w:numId w:val="84"/>
              </w:numPr>
              <w:spacing w:before="120" w:after="0" w:line="240" w:lineRule="auto"/>
              <w:jc w:val="both"/>
              <w:rPr>
                <w:rFonts w:ascii="Calibri" w:eastAsia="Calibri" w:hAnsi="Calibri" w:cs="Arial"/>
                <w:noProof/>
              </w:rPr>
            </w:pPr>
            <w:r>
              <w:rPr>
                <w:noProof/>
              </w:rPr>
              <w:t>Muzej strahota komunizma, Sfântu Gheorghe.</w:t>
            </w:r>
          </w:p>
        </w:tc>
      </w:tr>
      <w:tr w:rsidR="003F46B9" w14:paraId="3F84F62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76FFD6EC" w14:textId="77777777" w:rsidR="003F46B9" w:rsidRDefault="0065662E">
            <w:pPr>
              <w:pStyle w:val="P68B1DB1-Normal5"/>
              <w:spacing w:after="0" w:line="240" w:lineRule="auto"/>
              <w:jc w:val="center"/>
              <w:rPr>
                <w:rFonts w:eastAsia="Times New Roman" w:cs="Times New Roman"/>
                <w:noProof/>
              </w:rPr>
            </w:pPr>
            <w:r>
              <w:rPr>
                <w:noProof/>
              </w:rPr>
              <w:t>337</w:t>
            </w:r>
          </w:p>
        </w:tc>
        <w:tc>
          <w:tcPr>
            <w:tcW w:w="1558" w:type="dxa"/>
            <w:tcBorders>
              <w:top w:val="nil"/>
              <w:left w:val="nil"/>
              <w:bottom w:val="single" w:sz="4" w:space="0" w:color="auto"/>
              <w:right w:val="single" w:sz="4" w:space="0" w:color="auto"/>
            </w:tcBorders>
            <w:shd w:val="clear" w:color="auto" w:fill="C6EFCE"/>
            <w:noWrap/>
          </w:tcPr>
          <w:p w14:paraId="4FE522C1" w14:textId="77777777" w:rsidR="003F46B9" w:rsidRDefault="0065662E">
            <w:pPr>
              <w:pStyle w:val="P68B1DB1-Normal5"/>
              <w:spacing w:after="0" w:line="240" w:lineRule="auto"/>
              <w:jc w:val="both"/>
              <w:rPr>
                <w:rFonts w:cs="Times New Roman"/>
                <w:noProof/>
              </w:rPr>
            </w:pPr>
            <w:r>
              <w:rPr>
                <w:noProof/>
              </w:rPr>
              <w:t>Ulaganje 2. Modernizacija/stvaranje muzeja i spomenika</w:t>
            </w:r>
          </w:p>
          <w:p w14:paraId="24732C3E" w14:textId="77777777" w:rsidR="003F46B9" w:rsidRDefault="003F46B9">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7175101A"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32F79D86" w14:textId="77777777" w:rsidR="003F46B9" w:rsidRDefault="0065662E">
            <w:pPr>
              <w:pStyle w:val="P68B1DB1-Normal5"/>
              <w:spacing w:after="0" w:line="240" w:lineRule="auto"/>
              <w:jc w:val="both"/>
              <w:rPr>
                <w:rFonts w:eastAsia="Times New Roman" w:cs="Times New Roman"/>
                <w:noProof/>
              </w:rPr>
            </w:pPr>
            <w:r>
              <w:rPr>
                <w:noProof/>
              </w:rPr>
              <w:t>Otvoreni su novoizgrađeni i obnovljeni muzeji</w:t>
            </w:r>
          </w:p>
        </w:tc>
        <w:tc>
          <w:tcPr>
            <w:tcW w:w="1628" w:type="dxa"/>
            <w:tcBorders>
              <w:top w:val="nil"/>
              <w:left w:val="nil"/>
              <w:bottom w:val="single" w:sz="4" w:space="0" w:color="auto"/>
              <w:right w:val="single" w:sz="4" w:space="0" w:color="auto"/>
            </w:tcBorders>
            <w:shd w:val="clear" w:color="auto" w:fill="C6EFCE"/>
            <w:noWrap/>
          </w:tcPr>
          <w:p w14:paraId="6062DCB1"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4BB96949" w14:textId="77777777" w:rsidR="003F46B9" w:rsidRDefault="0065662E">
            <w:pPr>
              <w:pStyle w:val="P68B1DB1-Normal5"/>
              <w:spacing w:after="0" w:line="240" w:lineRule="auto"/>
              <w:rPr>
                <w:rFonts w:eastAsia="Times New Roman" w:cs="Times New Roman"/>
                <w:noProof/>
              </w:rPr>
            </w:pPr>
            <w:r>
              <w:rPr>
                <w:noProof/>
              </w:rPr>
              <w:t>Broj</w:t>
            </w:r>
          </w:p>
        </w:tc>
        <w:tc>
          <w:tcPr>
            <w:tcW w:w="1136" w:type="dxa"/>
            <w:tcBorders>
              <w:top w:val="nil"/>
              <w:left w:val="nil"/>
              <w:bottom w:val="single" w:sz="4" w:space="0" w:color="auto"/>
              <w:right w:val="single" w:sz="4" w:space="0" w:color="auto"/>
            </w:tcBorders>
            <w:shd w:val="clear" w:color="auto" w:fill="C6EFCE"/>
            <w:noWrap/>
          </w:tcPr>
          <w:p w14:paraId="23090072" w14:textId="77777777" w:rsidR="003F46B9" w:rsidRDefault="0065662E">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2B62D09C" w14:textId="2B74819A" w:rsidR="003F46B9" w:rsidRDefault="0065662E">
            <w:pPr>
              <w:pStyle w:val="P68B1DB1-Normal5"/>
              <w:spacing w:after="0" w:line="240" w:lineRule="auto"/>
              <w:jc w:val="both"/>
              <w:rPr>
                <w:rFonts w:eastAsia="Times New Roman" w:cs="Times New Roman"/>
                <w:noProof/>
              </w:rPr>
            </w:pPr>
            <w:r>
              <w:rPr>
                <w:noProof/>
              </w:rPr>
              <w:t>8</w:t>
            </w:r>
          </w:p>
        </w:tc>
        <w:tc>
          <w:tcPr>
            <w:tcW w:w="1102" w:type="dxa"/>
            <w:tcBorders>
              <w:top w:val="nil"/>
              <w:left w:val="nil"/>
              <w:bottom w:val="single" w:sz="4" w:space="0" w:color="auto"/>
              <w:right w:val="single" w:sz="4" w:space="0" w:color="auto"/>
            </w:tcBorders>
            <w:shd w:val="clear" w:color="auto" w:fill="C6EFCE"/>
            <w:noWrap/>
          </w:tcPr>
          <w:p w14:paraId="08E9B72F"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092536A2" w14:textId="77777777" w:rsidR="003F46B9" w:rsidRDefault="0065662E">
            <w:pPr>
              <w:pStyle w:val="P68B1DB1-Normal5"/>
              <w:spacing w:after="0" w:line="240" w:lineRule="auto"/>
              <w:jc w:val="both"/>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73AD8CEF" w14:textId="2A3993EE" w:rsidR="003F46B9" w:rsidRDefault="0065662E">
            <w:pPr>
              <w:pStyle w:val="P68B1DB1-Normal5"/>
              <w:spacing w:after="0" w:line="240" w:lineRule="auto"/>
              <w:jc w:val="both"/>
              <w:rPr>
                <w:rFonts w:cs="Times New Roman"/>
                <w:noProof/>
              </w:rPr>
            </w:pPr>
            <w:r>
              <w:rPr>
                <w:noProof/>
              </w:rPr>
              <w:t xml:space="preserve">Za javnost se otvara osam </w:t>
            </w:r>
            <w:r>
              <w:rPr>
                <w:noProof/>
              </w:rPr>
              <w:t>novoizgrađenih ili obnovljenih muzeja i spomenika:</w:t>
            </w:r>
          </w:p>
          <w:p w14:paraId="6404B3D8" w14:textId="7DECDBC9"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3 muzeja – nova građevina</w:t>
            </w:r>
          </w:p>
          <w:p w14:paraId="23744B99" w14:textId="02B8B56B" w:rsidR="003F46B9" w:rsidRDefault="0065662E">
            <w:pPr>
              <w:pStyle w:val="P68B1DB1-Normal5"/>
              <w:numPr>
                <w:ilvl w:val="0"/>
                <w:numId w:val="89"/>
              </w:numPr>
              <w:spacing w:before="120" w:after="0" w:line="240" w:lineRule="auto"/>
              <w:ind w:left="202" w:hanging="180"/>
              <w:contextualSpacing/>
              <w:jc w:val="both"/>
              <w:rPr>
                <w:rFonts w:cs="Times New Roman"/>
                <w:noProof/>
              </w:rPr>
            </w:pPr>
            <w:r>
              <w:rPr>
                <w:noProof/>
              </w:rPr>
              <w:t>5 muzeja – obnova, obnova, modernizacija.</w:t>
            </w:r>
          </w:p>
        </w:tc>
      </w:tr>
      <w:tr w:rsidR="003F46B9" w14:paraId="1FFBE11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AE46AF8" w14:textId="77777777" w:rsidR="003F46B9" w:rsidRDefault="0065662E">
            <w:pPr>
              <w:pStyle w:val="P68B1DB1-Normal5"/>
              <w:spacing w:after="0" w:line="240" w:lineRule="auto"/>
              <w:jc w:val="center"/>
              <w:rPr>
                <w:rFonts w:eastAsia="Times New Roman" w:cs="Times New Roman"/>
                <w:noProof/>
              </w:rPr>
            </w:pPr>
            <w:r>
              <w:rPr>
                <w:noProof/>
              </w:rPr>
              <w:t>338</w:t>
            </w:r>
          </w:p>
        </w:tc>
        <w:tc>
          <w:tcPr>
            <w:tcW w:w="1558" w:type="dxa"/>
            <w:tcBorders>
              <w:top w:val="nil"/>
              <w:left w:val="nil"/>
              <w:bottom w:val="single" w:sz="4" w:space="0" w:color="auto"/>
              <w:right w:val="single" w:sz="4" w:space="0" w:color="auto"/>
            </w:tcBorders>
            <w:shd w:val="clear" w:color="auto" w:fill="C6EFCE"/>
            <w:noWrap/>
          </w:tcPr>
          <w:p w14:paraId="57E89165" w14:textId="77777777" w:rsidR="003F46B9" w:rsidRDefault="0065662E">
            <w:pPr>
              <w:pStyle w:val="P68B1DB1-Normal5"/>
              <w:spacing w:after="0" w:line="240" w:lineRule="auto"/>
              <w:jc w:val="both"/>
              <w:rPr>
                <w:rFonts w:eastAsia="Times New Roman" w:cs="Times New Roman"/>
                <w:noProof/>
              </w:rPr>
            </w:pPr>
            <w:r>
              <w:rPr>
                <w:noProof/>
              </w:rPr>
              <w:t>Reforma 2. Okvir za operacionalizaciju biciklističkih ruta na nacionalnoj razini</w:t>
            </w:r>
          </w:p>
        </w:tc>
        <w:tc>
          <w:tcPr>
            <w:tcW w:w="1278" w:type="dxa"/>
            <w:tcBorders>
              <w:top w:val="nil"/>
              <w:left w:val="nil"/>
              <w:bottom w:val="single" w:sz="4" w:space="0" w:color="auto"/>
              <w:right w:val="single" w:sz="4" w:space="0" w:color="auto"/>
            </w:tcBorders>
            <w:shd w:val="clear" w:color="auto" w:fill="C6EFCE"/>
            <w:noWrap/>
          </w:tcPr>
          <w:p w14:paraId="101EBFB6"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06AD71CD" w14:textId="77777777" w:rsidR="003F46B9" w:rsidRDefault="0065662E">
            <w:pPr>
              <w:pStyle w:val="P68B1DB1-Normal5"/>
              <w:spacing w:after="0" w:line="240" w:lineRule="auto"/>
              <w:jc w:val="both"/>
              <w:rPr>
                <w:rFonts w:eastAsia="Times New Roman" w:cs="Times New Roman"/>
                <w:noProof/>
              </w:rPr>
            </w:pPr>
            <w:r>
              <w:rPr>
                <w:noProof/>
              </w:rPr>
              <w:t xml:space="preserve">Stupanje na snagu regulatornog okvira o biciklističkom turizmu </w:t>
            </w:r>
          </w:p>
        </w:tc>
        <w:tc>
          <w:tcPr>
            <w:tcW w:w="1628" w:type="dxa"/>
            <w:tcBorders>
              <w:top w:val="nil"/>
              <w:left w:val="nil"/>
              <w:bottom w:val="single" w:sz="4" w:space="0" w:color="auto"/>
              <w:right w:val="single" w:sz="4" w:space="0" w:color="auto"/>
            </w:tcBorders>
            <w:shd w:val="clear" w:color="auto" w:fill="C6EFCE"/>
            <w:noWrap/>
          </w:tcPr>
          <w:p w14:paraId="46F3804B" w14:textId="77777777" w:rsidR="003F46B9" w:rsidRDefault="0065662E">
            <w:pPr>
              <w:pStyle w:val="P68B1DB1-Normal5"/>
              <w:spacing w:after="0" w:line="240" w:lineRule="auto"/>
              <w:jc w:val="both"/>
              <w:rPr>
                <w:rFonts w:eastAsia="Times New Roman" w:cs="Times New Roman"/>
                <w:noProof/>
              </w:rPr>
            </w:pPr>
            <w:r>
              <w:rPr>
                <w:noProof/>
              </w:rPr>
              <w:t>Odredba u zakonu o stupanju na snagu regulatornog okvira o biciklističkom turizmu</w:t>
            </w:r>
          </w:p>
        </w:tc>
        <w:tc>
          <w:tcPr>
            <w:tcW w:w="1274" w:type="dxa"/>
            <w:tcBorders>
              <w:top w:val="nil"/>
              <w:left w:val="nil"/>
              <w:bottom w:val="single" w:sz="4" w:space="0" w:color="auto"/>
              <w:right w:val="single" w:sz="4" w:space="0" w:color="auto"/>
            </w:tcBorders>
            <w:shd w:val="clear" w:color="auto" w:fill="C6EFCE"/>
            <w:noWrap/>
          </w:tcPr>
          <w:p w14:paraId="068D8747" w14:textId="77777777" w:rsidR="003F46B9" w:rsidRDefault="0065662E">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7E8B73F3" w14:textId="77777777" w:rsidR="003F46B9" w:rsidRDefault="0065662E">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46EC2438" w14:textId="77777777" w:rsidR="003F46B9" w:rsidRDefault="0065662E">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6C364465"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78EABE8A"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09CAB0B" w14:textId="77777777" w:rsidR="003F46B9" w:rsidRDefault="0065662E">
            <w:pPr>
              <w:pStyle w:val="P68B1DB1-Normal5"/>
              <w:spacing w:after="0" w:line="240" w:lineRule="auto"/>
              <w:jc w:val="both"/>
              <w:rPr>
                <w:rFonts w:cs="Times New Roman"/>
                <w:noProof/>
              </w:rPr>
            </w:pPr>
            <w:r>
              <w:rPr>
                <w:noProof/>
              </w:rPr>
              <w:t>Regulatorni okvir (odluke Vlade) za operacionalizaciju biciklističkih ruta uključuje sl</w:t>
            </w:r>
            <w:r>
              <w:rPr>
                <w:noProof/>
              </w:rPr>
              <w:t xml:space="preserve">jedeće elemente: </w:t>
            </w:r>
          </w:p>
          <w:p w14:paraId="755AA906" w14:textId="77777777" w:rsidR="003F46B9" w:rsidRDefault="0065662E">
            <w:pPr>
              <w:pStyle w:val="P68B1DB1-Normal5"/>
              <w:spacing w:after="0" w:line="240" w:lineRule="auto"/>
              <w:jc w:val="both"/>
              <w:rPr>
                <w:rFonts w:cs="Times New Roman"/>
                <w:noProof/>
              </w:rPr>
            </w:pPr>
            <w:r>
              <w:rPr>
                <w:noProof/>
              </w:rPr>
              <w:t>—osnivanje institucija odgovornih za operacionalizaciju i praćenje infrastrukture biciklističkog turizma (uključujući Nacionalni koordinacijski centar za biciklističke rute)</w:t>
            </w:r>
          </w:p>
          <w:p w14:paraId="321337D4" w14:textId="77777777" w:rsidR="003F46B9" w:rsidRDefault="0065662E">
            <w:pPr>
              <w:pStyle w:val="P68B1DB1-Normal5"/>
              <w:spacing w:after="0" w:line="240" w:lineRule="auto"/>
              <w:jc w:val="both"/>
              <w:rPr>
                <w:rFonts w:cs="Times New Roman"/>
                <w:noProof/>
              </w:rPr>
            </w:pPr>
            <w:r>
              <w:rPr>
                <w:noProof/>
              </w:rPr>
              <w:t>—utvrđivanje tipologija i značajki biciklističkih staza;</w:t>
            </w:r>
          </w:p>
          <w:p w14:paraId="2651822E" w14:textId="77777777" w:rsidR="003F46B9" w:rsidRDefault="0065662E">
            <w:pPr>
              <w:pStyle w:val="P68B1DB1-Normal5"/>
              <w:spacing w:after="0" w:line="240" w:lineRule="auto"/>
              <w:jc w:val="both"/>
              <w:rPr>
                <w:rFonts w:eastAsia="Times New Roman" w:cs="Times New Roman"/>
                <w:noProof/>
              </w:rPr>
            </w:pPr>
            <w:r>
              <w:rPr>
                <w:noProof/>
              </w:rPr>
              <w:t>—regula</w:t>
            </w:r>
            <w:r>
              <w:rPr>
                <w:noProof/>
              </w:rPr>
              <w:t>torne poticaje za korištenje biciklističkog turizma.</w:t>
            </w:r>
          </w:p>
        </w:tc>
      </w:tr>
      <w:tr w:rsidR="003F46B9" w14:paraId="36332CF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CF75360" w14:textId="77777777" w:rsidR="003F46B9" w:rsidRDefault="0065662E">
            <w:pPr>
              <w:pStyle w:val="P68B1DB1-Normal5"/>
              <w:spacing w:after="0" w:line="240" w:lineRule="auto"/>
              <w:jc w:val="center"/>
              <w:rPr>
                <w:rFonts w:eastAsia="Times New Roman" w:cs="Times New Roman"/>
                <w:noProof/>
              </w:rPr>
            </w:pPr>
            <w:r>
              <w:rPr>
                <w:noProof/>
              </w:rPr>
              <w:t>339</w:t>
            </w:r>
          </w:p>
        </w:tc>
        <w:tc>
          <w:tcPr>
            <w:tcW w:w="1558" w:type="dxa"/>
            <w:tcBorders>
              <w:top w:val="nil"/>
              <w:left w:val="nil"/>
              <w:bottom w:val="single" w:sz="4" w:space="0" w:color="auto"/>
              <w:right w:val="single" w:sz="4" w:space="0" w:color="auto"/>
            </w:tcBorders>
            <w:shd w:val="clear" w:color="auto" w:fill="C6EFCE"/>
            <w:noWrap/>
          </w:tcPr>
          <w:p w14:paraId="574654CD" w14:textId="77777777" w:rsidR="003F46B9" w:rsidRDefault="0065662E">
            <w:pPr>
              <w:pStyle w:val="P68B1DB1-Normal5"/>
              <w:spacing w:after="0" w:line="240" w:lineRule="auto"/>
              <w:jc w:val="both"/>
              <w:rPr>
                <w:rFonts w:eastAsia="Times New Roman" w:cs="Times New Roman"/>
                <w:noProof/>
              </w:rPr>
            </w:pPr>
            <w:r>
              <w:rPr>
                <w:noProof/>
              </w:rPr>
              <w:t>Reforma 2. Okvir za operacionalizaciju biciklističkih ruta na nacionalnoj razini</w:t>
            </w:r>
          </w:p>
        </w:tc>
        <w:tc>
          <w:tcPr>
            <w:tcW w:w="1278" w:type="dxa"/>
            <w:tcBorders>
              <w:top w:val="nil"/>
              <w:left w:val="nil"/>
              <w:bottom w:val="single" w:sz="4" w:space="0" w:color="auto"/>
              <w:right w:val="single" w:sz="4" w:space="0" w:color="auto"/>
            </w:tcBorders>
            <w:shd w:val="clear" w:color="auto" w:fill="C6EFCE"/>
            <w:noWrap/>
          </w:tcPr>
          <w:p w14:paraId="40302EE3"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1383A252" w14:textId="77777777" w:rsidR="003F46B9" w:rsidRDefault="0065662E">
            <w:pPr>
              <w:pStyle w:val="P68B1DB1-Normal5"/>
              <w:spacing w:after="0" w:line="240" w:lineRule="auto"/>
              <w:jc w:val="both"/>
              <w:rPr>
                <w:rFonts w:eastAsia="Times New Roman" w:cs="Times New Roman"/>
                <w:noProof/>
              </w:rPr>
            </w:pPr>
            <w:r>
              <w:rPr>
                <w:noProof/>
              </w:rPr>
              <w:t xml:space="preserve">Uspostavljen i operativan nacionalni koordinacijski centar Velo Routes </w:t>
            </w:r>
          </w:p>
        </w:tc>
        <w:tc>
          <w:tcPr>
            <w:tcW w:w="1628" w:type="dxa"/>
            <w:tcBorders>
              <w:top w:val="nil"/>
              <w:left w:val="nil"/>
              <w:bottom w:val="single" w:sz="4" w:space="0" w:color="auto"/>
              <w:right w:val="single" w:sz="4" w:space="0" w:color="auto"/>
            </w:tcBorders>
            <w:shd w:val="clear" w:color="auto" w:fill="C6EFCE"/>
            <w:noWrap/>
          </w:tcPr>
          <w:p w14:paraId="3BF6CDD3" w14:textId="77777777" w:rsidR="003F46B9" w:rsidRDefault="0065662E">
            <w:pPr>
              <w:pStyle w:val="P68B1DB1-Normal5"/>
              <w:spacing w:after="0" w:line="240" w:lineRule="auto"/>
              <w:jc w:val="both"/>
              <w:rPr>
                <w:rFonts w:cs="Times New Roman"/>
                <w:noProof/>
              </w:rPr>
            </w:pPr>
            <w:r>
              <w:rPr>
                <w:noProof/>
              </w:rPr>
              <w:t xml:space="preserve">Donošenje odluke Vlade o osnivanju Nacionalnog koordinacijskog centra za biciklističke rute </w:t>
            </w:r>
          </w:p>
          <w:p w14:paraId="0642EDAD"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50A4A70A"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7A91661"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0CCC68B9"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18DA40C0"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07F2BA6E"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05E6B5AD" w14:textId="77777777" w:rsidR="003F46B9" w:rsidRDefault="0065662E">
            <w:pPr>
              <w:pStyle w:val="P68B1DB1-Normal5"/>
              <w:spacing w:after="0" w:line="240" w:lineRule="auto"/>
              <w:jc w:val="both"/>
              <w:rPr>
                <w:rFonts w:eastAsia="Times New Roman" w:cs="Times New Roman"/>
                <w:noProof/>
              </w:rPr>
            </w:pPr>
            <w:r>
              <w:rPr>
                <w:noProof/>
              </w:rPr>
              <w:t>Nacionalni koordinacijski centar (NCC) za rute Velo osniva se u Ministarstvu razvoja, javnih radova i uprave. Nacionalni koordinacijski centar</w:t>
            </w:r>
            <w:r>
              <w:rPr>
                <w:noProof/>
              </w:rPr>
              <w:t xml:space="preserve"> postaje operativan i započinje razradu studije i aplikacije eVelo.</w:t>
            </w:r>
          </w:p>
          <w:p w14:paraId="7ED46BA9"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0A6B5196"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645152F4" w14:textId="77777777" w:rsidR="003F46B9" w:rsidRDefault="0065662E">
            <w:pPr>
              <w:pStyle w:val="P68B1DB1-Normal5"/>
              <w:spacing w:after="0" w:line="240" w:lineRule="auto"/>
              <w:jc w:val="center"/>
              <w:rPr>
                <w:rFonts w:eastAsia="Times New Roman" w:cs="Times New Roman"/>
                <w:noProof/>
              </w:rPr>
            </w:pPr>
            <w:r>
              <w:rPr>
                <w:noProof/>
              </w:rPr>
              <w:t>340</w:t>
            </w:r>
          </w:p>
        </w:tc>
        <w:tc>
          <w:tcPr>
            <w:tcW w:w="1558" w:type="dxa"/>
            <w:tcBorders>
              <w:top w:val="nil"/>
              <w:left w:val="nil"/>
              <w:bottom w:val="single" w:sz="4" w:space="0" w:color="auto"/>
              <w:right w:val="single" w:sz="4" w:space="0" w:color="auto"/>
            </w:tcBorders>
            <w:shd w:val="clear" w:color="auto" w:fill="C6EFCE"/>
            <w:noWrap/>
          </w:tcPr>
          <w:p w14:paraId="1EE83635" w14:textId="77777777" w:rsidR="003F46B9" w:rsidRDefault="0065662E">
            <w:pPr>
              <w:pStyle w:val="P68B1DB1-Normal5"/>
              <w:spacing w:after="0" w:line="240" w:lineRule="auto"/>
              <w:jc w:val="both"/>
              <w:rPr>
                <w:rFonts w:cs="Times New Roman"/>
                <w:noProof/>
              </w:rPr>
            </w:pPr>
            <w:r>
              <w:rPr>
                <w:noProof/>
              </w:rPr>
              <w:t>Reforma 2. Okvir za operacionalizaciju biciklističkih ruta na nacionalnoj razini</w:t>
            </w:r>
          </w:p>
        </w:tc>
        <w:tc>
          <w:tcPr>
            <w:tcW w:w="1278" w:type="dxa"/>
            <w:tcBorders>
              <w:top w:val="nil"/>
              <w:left w:val="nil"/>
              <w:bottom w:val="single" w:sz="4" w:space="0" w:color="auto"/>
              <w:right w:val="single" w:sz="4" w:space="0" w:color="auto"/>
            </w:tcBorders>
            <w:shd w:val="clear" w:color="auto" w:fill="C6EFCE"/>
            <w:noWrap/>
          </w:tcPr>
          <w:p w14:paraId="4D744161" w14:textId="77777777" w:rsidR="003F46B9" w:rsidRDefault="0065662E">
            <w:pPr>
              <w:pStyle w:val="P68B1DB1-Normal5"/>
              <w:spacing w:after="0" w:line="240" w:lineRule="auto"/>
              <w:jc w:val="center"/>
              <w:rPr>
                <w:rFonts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7FFD13EE" w14:textId="77777777" w:rsidR="003F46B9" w:rsidRDefault="0065662E">
            <w:pPr>
              <w:pStyle w:val="P68B1DB1-Normal5"/>
              <w:spacing w:after="0" w:line="240" w:lineRule="auto"/>
              <w:jc w:val="both"/>
              <w:rPr>
                <w:rFonts w:cs="Times New Roman"/>
                <w:noProof/>
              </w:rPr>
            </w:pPr>
            <w:r>
              <w:rPr>
                <w:noProof/>
              </w:rPr>
              <w:t>Sveobuhvatna studija o teritorijalnoj raspodjeli nacionalnih biciklističkih staza</w:t>
            </w:r>
          </w:p>
        </w:tc>
        <w:tc>
          <w:tcPr>
            <w:tcW w:w="1628" w:type="dxa"/>
            <w:tcBorders>
              <w:top w:val="nil"/>
              <w:left w:val="nil"/>
              <w:bottom w:val="single" w:sz="4" w:space="0" w:color="auto"/>
              <w:right w:val="single" w:sz="4" w:space="0" w:color="auto"/>
            </w:tcBorders>
            <w:shd w:val="clear" w:color="auto" w:fill="C6EFCE"/>
            <w:noWrap/>
          </w:tcPr>
          <w:p w14:paraId="2AF28EAB" w14:textId="77777777" w:rsidR="003F46B9" w:rsidRDefault="0065662E">
            <w:pPr>
              <w:pStyle w:val="P68B1DB1-Normal5"/>
              <w:spacing w:after="0" w:line="240" w:lineRule="auto"/>
              <w:jc w:val="both"/>
              <w:rPr>
                <w:rFonts w:cs="Times New Roman"/>
                <w:noProof/>
              </w:rPr>
            </w:pPr>
            <w:r>
              <w:rPr>
                <w:noProof/>
              </w:rPr>
              <w:t>Objavljena studija</w:t>
            </w:r>
          </w:p>
        </w:tc>
        <w:tc>
          <w:tcPr>
            <w:tcW w:w="1274" w:type="dxa"/>
            <w:tcBorders>
              <w:top w:val="nil"/>
              <w:left w:val="nil"/>
              <w:bottom w:val="single" w:sz="4" w:space="0" w:color="auto"/>
              <w:right w:val="single" w:sz="4" w:space="0" w:color="auto"/>
            </w:tcBorders>
            <w:shd w:val="clear" w:color="auto" w:fill="C6EFCE"/>
            <w:noWrap/>
          </w:tcPr>
          <w:p w14:paraId="3657FDAE"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8ABC198"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202EC5B4"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3D6349EE"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25180A80"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26579E94" w14:textId="45670201" w:rsidR="003F46B9" w:rsidRDefault="0065662E">
            <w:pPr>
              <w:pStyle w:val="P68B1DB1-Normal5"/>
              <w:spacing w:after="0" w:line="240" w:lineRule="auto"/>
              <w:jc w:val="both"/>
              <w:rPr>
                <w:rFonts w:eastAsia="Times New Roman" w:cs="Times New Roman"/>
                <w:noProof/>
              </w:rPr>
            </w:pPr>
            <w:r>
              <w:rPr>
                <w:noProof/>
              </w:rPr>
              <w:t>Detaljnom studijom utvrđuje se teritorijalna raspodjela biciklističkih turističkih staza (2 404 km biciklističkih ruta) na temelju ključnih kriterija (npr. smanjenje zagušenja, promicanje ekoturizma) utvrđuju relevant</w:t>
            </w:r>
            <w:r>
              <w:rPr>
                <w:noProof/>
              </w:rPr>
              <w:t>ni akteri i integriraju postojeće inicijative za poboljšanje prirodne i kulturne baštine, u skladu sa zahtjevima u okviru ključne etape 338. Na temelju rezultata studije pokreće se postupak nabave za uvođenje biciklističkih staza.</w:t>
            </w:r>
          </w:p>
        </w:tc>
      </w:tr>
      <w:tr w:rsidR="003F46B9" w14:paraId="73A7D14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2259559" w14:textId="77777777" w:rsidR="003F46B9" w:rsidRDefault="0065662E">
            <w:pPr>
              <w:pStyle w:val="P68B1DB1-Normal5"/>
              <w:spacing w:after="0" w:line="240" w:lineRule="auto"/>
              <w:jc w:val="center"/>
              <w:rPr>
                <w:rFonts w:eastAsia="Times New Roman" w:cs="Times New Roman"/>
                <w:noProof/>
              </w:rPr>
            </w:pPr>
            <w:r>
              <w:rPr>
                <w:noProof/>
              </w:rPr>
              <w:t>341</w:t>
            </w:r>
          </w:p>
        </w:tc>
        <w:tc>
          <w:tcPr>
            <w:tcW w:w="1558" w:type="dxa"/>
            <w:tcBorders>
              <w:top w:val="nil"/>
              <w:left w:val="nil"/>
              <w:bottom w:val="single" w:sz="4" w:space="0" w:color="auto"/>
              <w:right w:val="single" w:sz="4" w:space="0" w:color="auto"/>
            </w:tcBorders>
            <w:shd w:val="clear" w:color="auto" w:fill="C6EFCE"/>
            <w:noWrap/>
          </w:tcPr>
          <w:p w14:paraId="06DF5778" w14:textId="77777777" w:rsidR="003F46B9" w:rsidRDefault="0065662E">
            <w:pPr>
              <w:pStyle w:val="P68B1DB1-Normal5"/>
              <w:spacing w:after="0" w:line="240" w:lineRule="auto"/>
              <w:jc w:val="both"/>
              <w:rPr>
                <w:rFonts w:eastAsia="Times New Roman" w:cs="Times New Roman"/>
                <w:noProof/>
              </w:rPr>
            </w:pPr>
            <w:r>
              <w:rPr>
                <w:noProof/>
              </w:rPr>
              <w:t xml:space="preserve">Ulaganje 3. </w:t>
            </w:r>
            <w:r>
              <w:rPr>
                <w:noProof/>
              </w:rPr>
              <w:t>Uspostava i operacionalizacija Nacionalnog koordinacijskog centra Velo</w:t>
            </w:r>
          </w:p>
        </w:tc>
        <w:tc>
          <w:tcPr>
            <w:tcW w:w="1278" w:type="dxa"/>
            <w:tcBorders>
              <w:top w:val="nil"/>
              <w:left w:val="nil"/>
              <w:bottom w:val="single" w:sz="4" w:space="0" w:color="auto"/>
              <w:right w:val="single" w:sz="4" w:space="0" w:color="auto"/>
            </w:tcBorders>
            <w:shd w:val="clear" w:color="auto" w:fill="C6EFCE"/>
            <w:noWrap/>
          </w:tcPr>
          <w:p w14:paraId="412B4BCB"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3507833D" w14:textId="77777777" w:rsidR="003F46B9" w:rsidRDefault="0065662E">
            <w:pPr>
              <w:pStyle w:val="P68B1DB1-Normal5"/>
              <w:spacing w:after="0" w:line="240" w:lineRule="auto"/>
              <w:jc w:val="both"/>
              <w:rPr>
                <w:rFonts w:eastAsia="Times New Roman" w:cs="Times New Roman"/>
                <w:noProof/>
              </w:rPr>
            </w:pPr>
            <w:r>
              <w:rPr>
                <w:noProof/>
              </w:rPr>
              <w:t>Integrirana nacionalna platforma eVelo i aplikacija za pametne telefone</w:t>
            </w:r>
          </w:p>
        </w:tc>
        <w:tc>
          <w:tcPr>
            <w:tcW w:w="1628" w:type="dxa"/>
            <w:tcBorders>
              <w:top w:val="nil"/>
              <w:left w:val="nil"/>
              <w:bottom w:val="single" w:sz="4" w:space="0" w:color="auto"/>
              <w:right w:val="single" w:sz="4" w:space="0" w:color="auto"/>
            </w:tcBorders>
            <w:shd w:val="clear" w:color="auto" w:fill="C6EFCE"/>
            <w:noWrap/>
          </w:tcPr>
          <w:p w14:paraId="7C42827D" w14:textId="77777777" w:rsidR="003F46B9" w:rsidRDefault="0065662E">
            <w:pPr>
              <w:pStyle w:val="P68B1DB1-Normal5"/>
              <w:spacing w:after="0" w:line="240" w:lineRule="auto"/>
              <w:jc w:val="both"/>
              <w:rPr>
                <w:rFonts w:eastAsia="Times New Roman" w:cs="Times New Roman"/>
                <w:noProof/>
              </w:rPr>
            </w:pPr>
            <w:r>
              <w:rPr>
                <w:noProof/>
              </w:rPr>
              <w:t>Razvoj i objava platforme i aplikacije</w:t>
            </w:r>
          </w:p>
        </w:tc>
        <w:tc>
          <w:tcPr>
            <w:tcW w:w="1274" w:type="dxa"/>
            <w:tcBorders>
              <w:top w:val="nil"/>
              <w:left w:val="nil"/>
              <w:bottom w:val="single" w:sz="4" w:space="0" w:color="auto"/>
              <w:right w:val="single" w:sz="4" w:space="0" w:color="auto"/>
            </w:tcBorders>
            <w:shd w:val="clear" w:color="auto" w:fill="C6EFCE"/>
            <w:noWrap/>
          </w:tcPr>
          <w:p w14:paraId="1E94F29E"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32C5EF4"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6843A263"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05B99173"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3B0DA851"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15FF0677" w14:textId="77777777" w:rsidR="003F46B9" w:rsidRDefault="0065662E">
            <w:pPr>
              <w:pStyle w:val="P68B1DB1-Normal5"/>
              <w:spacing w:after="0" w:line="240" w:lineRule="auto"/>
              <w:jc w:val="both"/>
              <w:rPr>
                <w:rFonts w:eastAsia="Times New Roman" w:cs="Times New Roman"/>
                <w:noProof/>
              </w:rPr>
            </w:pPr>
            <w:r>
              <w:rPr>
                <w:noProof/>
              </w:rPr>
              <w:t>Razvoj i objavljivanje integrirane digital</w:t>
            </w:r>
            <w:r>
              <w:rPr>
                <w:noProof/>
              </w:rPr>
              <w:t xml:space="preserve">ne aplikacije za pružanje tematskih informacija povezanih s biciklističkim turizmom. Integrirana aplikacija uključuje uspostavu nacionalne platforme eVelo (internetske stranice za nacionalne biciklističke rute) i tematske aplikacije za pametne telefone, u </w:t>
            </w:r>
            <w:r>
              <w:rPr>
                <w:noProof/>
              </w:rPr>
              <w:t>skladu sa zahtjevima u ključnoj etapi 340.</w:t>
            </w:r>
          </w:p>
        </w:tc>
      </w:tr>
      <w:tr w:rsidR="003F46B9" w14:paraId="46E300A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8158185" w14:textId="77777777" w:rsidR="003F46B9" w:rsidRDefault="0065662E">
            <w:pPr>
              <w:pStyle w:val="P68B1DB1-Normal5"/>
              <w:spacing w:after="0" w:line="240" w:lineRule="auto"/>
              <w:jc w:val="center"/>
              <w:rPr>
                <w:rFonts w:eastAsia="Times New Roman" w:cs="Times New Roman"/>
                <w:noProof/>
              </w:rPr>
            </w:pPr>
            <w:r>
              <w:rPr>
                <w:noProof/>
              </w:rPr>
              <w:t>342</w:t>
            </w:r>
          </w:p>
        </w:tc>
        <w:tc>
          <w:tcPr>
            <w:tcW w:w="1558" w:type="dxa"/>
            <w:tcBorders>
              <w:top w:val="nil"/>
              <w:left w:val="nil"/>
              <w:bottom w:val="single" w:sz="4" w:space="0" w:color="auto"/>
              <w:right w:val="single" w:sz="4" w:space="0" w:color="auto"/>
            </w:tcBorders>
            <w:shd w:val="clear" w:color="auto" w:fill="C6EFCE"/>
            <w:noWrap/>
          </w:tcPr>
          <w:p w14:paraId="3C16793F" w14:textId="77777777" w:rsidR="003F46B9" w:rsidRDefault="0065662E">
            <w:pPr>
              <w:pStyle w:val="P68B1DB1-Normal5"/>
              <w:spacing w:after="0" w:line="240" w:lineRule="auto"/>
              <w:jc w:val="both"/>
              <w:rPr>
                <w:rFonts w:cs="Times New Roman"/>
                <w:noProof/>
              </w:rPr>
            </w:pPr>
            <w:r>
              <w:rPr>
                <w:noProof/>
              </w:rPr>
              <w:t>Ulaganje 4.</w:t>
            </w:r>
          </w:p>
          <w:p w14:paraId="45364CFD" w14:textId="7CBD520D" w:rsidR="003F46B9" w:rsidRDefault="0065662E">
            <w:pPr>
              <w:pStyle w:val="P68B1DB1-Normal5"/>
              <w:spacing w:after="0" w:line="240" w:lineRule="auto"/>
              <w:jc w:val="both"/>
              <w:rPr>
                <w:rFonts w:eastAsia="Times New Roman" w:cs="Times New Roman"/>
                <w:noProof/>
              </w:rPr>
            </w:pPr>
            <w:r>
              <w:rPr>
                <w:noProof/>
              </w:rPr>
              <w:t>Uvođenje 2 404 km biciklističkih staza</w:t>
            </w:r>
          </w:p>
        </w:tc>
        <w:tc>
          <w:tcPr>
            <w:tcW w:w="1278" w:type="dxa"/>
            <w:tcBorders>
              <w:top w:val="nil"/>
              <w:left w:val="nil"/>
              <w:bottom w:val="single" w:sz="4" w:space="0" w:color="auto"/>
              <w:right w:val="single" w:sz="4" w:space="0" w:color="auto"/>
            </w:tcBorders>
            <w:shd w:val="clear" w:color="auto" w:fill="C6EFCE"/>
            <w:noWrap/>
          </w:tcPr>
          <w:p w14:paraId="4F345D5A"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26EE1E90" w14:textId="77777777" w:rsidR="003F46B9" w:rsidRDefault="0065662E">
            <w:pPr>
              <w:pStyle w:val="P68B1DB1-Normal5"/>
              <w:spacing w:after="0" w:line="240" w:lineRule="auto"/>
              <w:jc w:val="both"/>
              <w:rPr>
                <w:rFonts w:eastAsia="Times New Roman" w:cs="Times New Roman"/>
                <w:noProof/>
              </w:rPr>
            </w:pPr>
            <w:r>
              <w:rPr>
                <w:noProof/>
              </w:rPr>
              <w:t xml:space="preserve">Potpisivanje ugovora za biciklističke rute </w:t>
            </w:r>
          </w:p>
        </w:tc>
        <w:tc>
          <w:tcPr>
            <w:tcW w:w="1628" w:type="dxa"/>
            <w:tcBorders>
              <w:top w:val="nil"/>
              <w:left w:val="nil"/>
              <w:bottom w:val="single" w:sz="4" w:space="0" w:color="auto"/>
              <w:right w:val="single" w:sz="4" w:space="0" w:color="auto"/>
            </w:tcBorders>
            <w:shd w:val="clear" w:color="auto" w:fill="C6EFCE"/>
            <w:noWrap/>
          </w:tcPr>
          <w:p w14:paraId="18173E20" w14:textId="77777777" w:rsidR="003F46B9" w:rsidRDefault="0065662E">
            <w:pPr>
              <w:pStyle w:val="P68B1DB1-Normal5"/>
              <w:spacing w:after="0" w:line="240" w:lineRule="auto"/>
              <w:jc w:val="both"/>
              <w:rPr>
                <w:rFonts w:eastAsia="Times New Roman" w:cs="Times New Roman"/>
                <w:noProof/>
              </w:rPr>
            </w:pPr>
            <w:r>
              <w:rPr>
                <w:noProof/>
              </w:rPr>
              <w:t>Potpisivanje ugovora</w:t>
            </w:r>
          </w:p>
        </w:tc>
        <w:tc>
          <w:tcPr>
            <w:tcW w:w="1274" w:type="dxa"/>
            <w:tcBorders>
              <w:top w:val="nil"/>
              <w:left w:val="nil"/>
              <w:bottom w:val="single" w:sz="4" w:space="0" w:color="auto"/>
              <w:right w:val="single" w:sz="4" w:space="0" w:color="auto"/>
            </w:tcBorders>
            <w:shd w:val="clear" w:color="auto" w:fill="C6EFCE"/>
            <w:noWrap/>
          </w:tcPr>
          <w:p w14:paraId="4EB713DC"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081CEA3"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6EE13CBF"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51E45D0D"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58" w:type="dxa"/>
            <w:tcBorders>
              <w:top w:val="nil"/>
              <w:left w:val="nil"/>
              <w:bottom w:val="single" w:sz="4" w:space="0" w:color="auto"/>
              <w:right w:val="single" w:sz="4" w:space="0" w:color="auto"/>
            </w:tcBorders>
            <w:shd w:val="clear" w:color="auto" w:fill="C6EFCE"/>
            <w:noWrap/>
          </w:tcPr>
          <w:p w14:paraId="40D2AAB1"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CEB2283" w14:textId="19FE710F" w:rsidR="003F46B9" w:rsidRDefault="0065662E">
            <w:pPr>
              <w:pStyle w:val="P68B1DB1-Normal5"/>
              <w:spacing w:after="0" w:line="240" w:lineRule="auto"/>
              <w:jc w:val="both"/>
              <w:rPr>
                <w:rFonts w:eastAsia="Times New Roman" w:cs="Times New Roman"/>
                <w:noProof/>
              </w:rPr>
            </w:pPr>
            <w:r>
              <w:rPr>
                <w:noProof/>
              </w:rPr>
              <w:t>Potpisivanje ugovora o financiranju za izgradnju 2 404 km novih biciklističkih linija nakon otvorenog i konkurentnog natječajnog postupka. Natječajni postupak započinje objavom programa financiranja u kojem se utvrđuju prihvatljivost, kriteriji i uvjeti za</w:t>
            </w:r>
            <w:r>
              <w:rPr>
                <w:noProof/>
              </w:rPr>
              <w:t xml:space="preserve"> dodjelu ugovora. Financijski program razvija Nacionalni koordinacijski centar za rute Velo. </w:t>
            </w:r>
          </w:p>
          <w:p w14:paraId="1397F01B" w14:textId="58AC88CB" w:rsidR="003F46B9" w:rsidRDefault="0065662E">
            <w:pPr>
              <w:pStyle w:val="P68B1DB1-Normal5"/>
              <w:spacing w:after="0" w:line="240" w:lineRule="auto"/>
              <w:jc w:val="both"/>
              <w:rPr>
                <w:rFonts w:eastAsia="Times New Roman" w:cs="Times New Roman"/>
                <w:noProof/>
              </w:rPr>
            </w:pPr>
            <w:r>
              <w:rPr>
                <w:noProof/>
              </w:rPr>
              <w:t>Nakon završetka natječajnog postupka radovi započinju na 2 404 km biciklističkih staza.</w:t>
            </w:r>
          </w:p>
        </w:tc>
      </w:tr>
      <w:tr w:rsidR="003F46B9" w14:paraId="6E5A8DB9"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D9D7731" w14:textId="77777777" w:rsidR="003F46B9" w:rsidRDefault="0065662E">
            <w:pPr>
              <w:pStyle w:val="P68B1DB1-Normal5"/>
              <w:spacing w:after="0" w:line="240" w:lineRule="auto"/>
              <w:jc w:val="center"/>
              <w:rPr>
                <w:rFonts w:eastAsia="Times New Roman" w:cs="Times New Roman"/>
                <w:noProof/>
              </w:rPr>
            </w:pPr>
            <w:r>
              <w:rPr>
                <w:noProof/>
              </w:rPr>
              <w:t>343</w:t>
            </w:r>
          </w:p>
        </w:tc>
        <w:tc>
          <w:tcPr>
            <w:tcW w:w="1558" w:type="dxa"/>
            <w:tcBorders>
              <w:top w:val="nil"/>
              <w:left w:val="nil"/>
              <w:bottom w:val="single" w:sz="4" w:space="0" w:color="auto"/>
              <w:right w:val="single" w:sz="4" w:space="0" w:color="auto"/>
            </w:tcBorders>
            <w:shd w:val="clear" w:color="auto" w:fill="C6EFCE"/>
            <w:noWrap/>
          </w:tcPr>
          <w:p w14:paraId="6CF248D2" w14:textId="77777777" w:rsidR="003F46B9" w:rsidRDefault="0065662E">
            <w:pPr>
              <w:pStyle w:val="P68B1DB1-Normal5"/>
              <w:spacing w:after="0" w:line="240" w:lineRule="auto"/>
              <w:jc w:val="both"/>
              <w:rPr>
                <w:rFonts w:cs="Times New Roman"/>
                <w:noProof/>
              </w:rPr>
            </w:pPr>
            <w:r>
              <w:rPr>
                <w:noProof/>
              </w:rPr>
              <w:t>Ulaganje 4.</w:t>
            </w:r>
          </w:p>
          <w:p w14:paraId="25E09F12" w14:textId="5F2037D8" w:rsidR="003F46B9" w:rsidRDefault="0065662E">
            <w:pPr>
              <w:pStyle w:val="P68B1DB1-Normal5"/>
              <w:spacing w:after="0" w:line="240" w:lineRule="auto"/>
              <w:jc w:val="both"/>
              <w:rPr>
                <w:rFonts w:eastAsia="Times New Roman" w:cs="Times New Roman"/>
                <w:noProof/>
              </w:rPr>
            </w:pPr>
            <w:r>
              <w:rPr>
                <w:noProof/>
              </w:rPr>
              <w:t>Uvođenje 2 404 km biciklističkih staza</w:t>
            </w:r>
          </w:p>
        </w:tc>
        <w:tc>
          <w:tcPr>
            <w:tcW w:w="1278" w:type="dxa"/>
            <w:tcBorders>
              <w:top w:val="nil"/>
              <w:left w:val="nil"/>
              <w:bottom w:val="single" w:sz="4" w:space="0" w:color="auto"/>
              <w:right w:val="single" w:sz="4" w:space="0" w:color="auto"/>
            </w:tcBorders>
            <w:shd w:val="clear" w:color="auto" w:fill="C6EFCE"/>
            <w:noWrap/>
          </w:tcPr>
          <w:p w14:paraId="354335E7"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6E77B9E1" w14:textId="77777777" w:rsidR="003F46B9" w:rsidRDefault="0065662E">
            <w:pPr>
              <w:pStyle w:val="P68B1DB1-Normal5"/>
              <w:spacing w:after="0" w:line="240" w:lineRule="auto"/>
              <w:jc w:val="both"/>
              <w:rPr>
                <w:rFonts w:eastAsia="Times New Roman" w:cs="Times New Roman"/>
                <w:noProof/>
              </w:rPr>
            </w:pPr>
            <w:r>
              <w:rPr>
                <w:noProof/>
              </w:rPr>
              <w:t xml:space="preserve">Kilometri </w:t>
            </w:r>
            <w:r>
              <w:rPr>
                <w:noProof/>
              </w:rPr>
              <w:t>biciklističkih staza izgrađenih i dostupnih za biciklizam</w:t>
            </w:r>
          </w:p>
        </w:tc>
        <w:tc>
          <w:tcPr>
            <w:tcW w:w="1628" w:type="dxa"/>
            <w:tcBorders>
              <w:top w:val="nil"/>
              <w:left w:val="nil"/>
              <w:bottom w:val="single" w:sz="4" w:space="0" w:color="auto"/>
              <w:right w:val="single" w:sz="4" w:space="0" w:color="auto"/>
            </w:tcBorders>
            <w:shd w:val="clear" w:color="auto" w:fill="C6EFCE"/>
            <w:noWrap/>
          </w:tcPr>
          <w:p w14:paraId="0222DA36"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0E1A0BA2" w14:textId="77777777" w:rsidR="003F46B9" w:rsidRDefault="0065662E">
            <w:pPr>
              <w:pStyle w:val="P68B1DB1-Normal5"/>
              <w:spacing w:after="0" w:line="240" w:lineRule="auto"/>
              <w:rPr>
                <w:rFonts w:eastAsia="Times New Roman" w:cs="Times New Roman"/>
                <w:noProof/>
              </w:rPr>
            </w:pPr>
            <w:r>
              <w:rPr>
                <w:noProof/>
              </w:rPr>
              <w:t>Kilometri (km)</w:t>
            </w:r>
          </w:p>
        </w:tc>
        <w:tc>
          <w:tcPr>
            <w:tcW w:w="1136" w:type="dxa"/>
            <w:tcBorders>
              <w:top w:val="nil"/>
              <w:left w:val="nil"/>
              <w:bottom w:val="single" w:sz="4" w:space="0" w:color="auto"/>
              <w:right w:val="single" w:sz="4" w:space="0" w:color="auto"/>
            </w:tcBorders>
            <w:shd w:val="clear" w:color="auto" w:fill="C6EFCE"/>
            <w:noWrap/>
          </w:tcPr>
          <w:p w14:paraId="183CFA4E" w14:textId="77777777" w:rsidR="003F46B9" w:rsidRDefault="0065662E">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765B5282" w14:textId="0157C8E3" w:rsidR="003F46B9" w:rsidRDefault="0065662E">
            <w:pPr>
              <w:pStyle w:val="P68B1DB1-Normal5"/>
              <w:spacing w:after="0" w:line="240" w:lineRule="auto"/>
              <w:rPr>
                <w:rFonts w:eastAsia="Times New Roman" w:cs="Times New Roman"/>
                <w:noProof/>
              </w:rPr>
            </w:pPr>
            <w:r>
              <w:rPr>
                <w:noProof/>
              </w:rPr>
              <w:t>2 404</w:t>
            </w:r>
          </w:p>
        </w:tc>
        <w:tc>
          <w:tcPr>
            <w:tcW w:w="1102" w:type="dxa"/>
            <w:tcBorders>
              <w:top w:val="nil"/>
              <w:left w:val="nil"/>
              <w:bottom w:val="single" w:sz="4" w:space="0" w:color="auto"/>
              <w:right w:val="single" w:sz="4" w:space="0" w:color="auto"/>
            </w:tcBorders>
            <w:shd w:val="clear" w:color="auto" w:fill="C6EFCE"/>
            <w:noWrap/>
          </w:tcPr>
          <w:p w14:paraId="28792CB4"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4BB4C963" w14:textId="77777777" w:rsidR="003F46B9" w:rsidRDefault="0065662E">
            <w:pPr>
              <w:pStyle w:val="P68B1DB1-Normal5"/>
              <w:spacing w:after="0" w:line="240" w:lineRule="auto"/>
              <w:jc w:val="center"/>
              <w:rPr>
                <w:rFonts w:eastAsia="Times New Roman" w:cs="Times New Roman"/>
                <w:noProof/>
              </w:rPr>
            </w:pPr>
            <w:r>
              <w:rPr>
                <w:noProof/>
              </w:rPr>
              <w:t>2026</w:t>
            </w:r>
          </w:p>
        </w:tc>
        <w:tc>
          <w:tcPr>
            <w:tcW w:w="3568" w:type="dxa"/>
            <w:tcBorders>
              <w:top w:val="nil"/>
              <w:left w:val="nil"/>
              <w:bottom w:val="single" w:sz="4" w:space="0" w:color="auto"/>
              <w:right w:val="single" w:sz="4" w:space="0" w:color="auto"/>
            </w:tcBorders>
            <w:shd w:val="clear" w:color="auto" w:fill="C6EFCE"/>
            <w:noWrap/>
          </w:tcPr>
          <w:p w14:paraId="719EA631" w14:textId="324EF449" w:rsidR="003F46B9" w:rsidRDefault="0065662E">
            <w:pPr>
              <w:pStyle w:val="P68B1DB1-Normal5"/>
              <w:spacing w:after="0" w:line="240" w:lineRule="auto"/>
              <w:jc w:val="both"/>
              <w:rPr>
                <w:rFonts w:eastAsia="Times New Roman" w:cs="Times New Roman"/>
                <w:noProof/>
              </w:rPr>
            </w:pPr>
            <w:r>
              <w:rPr>
                <w:noProof/>
              </w:rPr>
              <w:t xml:space="preserve">Najmanje 2 404 km novoizgrađenih i pristupačnih biciklističkih staza na lokacijama određenima na temelju rezultata studije. </w:t>
            </w:r>
          </w:p>
        </w:tc>
      </w:tr>
      <w:tr w:rsidR="003F46B9" w14:paraId="2CEB70F0"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22FBF004" w14:textId="77777777" w:rsidR="003F46B9" w:rsidRDefault="0065662E">
            <w:pPr>
              <w:pStyle w:val="P68B1DB1-Normal5"/>
              <w:spacing w:after="0" w:line="240" w:lineRule="auto"/>
              <w:jc w:val="center"/>
              <w:rPr>
                <w:rFonts w:eastAsia="Times New Roman" w:cs="Times New Roman"/>
                <w:noProof/>
              </w:rPr>
            </w:pPr>
            <w:r>
              <w:rPr>
                <w:noProof/>
              </w:rPr>
              <w:t>344</w:t>
            </w:r>
          </w:p>
        </w:tc>
        <w:tc>
          <w:tcPr>
            <w:tcW w:w="1558" w:type="dxa"/>
            <w:tcBorders>
              <w:top w:val="nil"/>
              <w:left w:val="nil"/>
              <w:bottom w:val="single" w:sz="4" w:space="0" w:color="auto"/>
              <w:right w:val="single" w:sz="4" w:space="0" w:color="auto"/>
            </w:tcBorders>
            <w:shd w:val="clear" w:color="auto" w:fill="C6EFCE"/>
            <w:noWrap/>
          </w:tcPr>
          <w:p w14:paraId="36337C08" w14:textId="77777777" w:rsidR="003F46B9" w:rsidRDefault="0065662E">
            <w:pPr>
              <w:pStyle w:val="P68B1DB1-Normal5"/>
              <w:spacing w:after="0" w:line="240" w:lineRule="auto"/>
              <w:jc w:val="both"/>
              <w:rPr>
                <w:rFonts w:cs="Times New Roman"/>
                <w:noProof/>
              </w:rPr>
            </w:pPr>
            <w:r>
              <w:rPr>
                <w:noProof/>
              </w:rPr>
              <w:t xml:space="preserve">Reforma 3. Reforma sustava </w:t>
            </w:r>
            <w:r>
              <w:rPr>
                <w:noProof/>
              </w:rPr>
              <w:t>financiranja kulturnog sektora</w:t>
            </w:r>
          </w:p>
          <w:p w14:paraId="702A09AF" w14:textId="77777777" w:rsidR="003F46B9" w:rsidRDefault="003F46B9">
            <w:pPr>
              <w:spacing w:after="0" w:line="240" w:lineRule="auto"/>
              <w:jc w:val="both"/>
              <w:rPr>
                <w:rFonts w:ascii="Times New Roman" w:hAnsi="Times New Roman" w:cs="Times New Roman"/>
                <w:noProof/>
                <w:sz w:val="24"/>
              </w:rPr>
            </w:pPr>
          </w:p>
          <w:p w14:paraId="17C2630E" w14:textId="77777777" w:rsidR="003F46B9" w:rsidRDefault="003F46B9">
            <w:pPr>
              <w:spacing w:after="0" w:line="240" w:lineRule="auto"/>
              <w:jc w:val="both"/>
              <w:rPr>
                <w:rFonts w:ascii="Times New Roman" w:hAnsi="Times New Roman" w:cs="Times New Roman"/>
                <w:noProof/>
                <w:sz w:val="24"/>
              </w:rPr>
            </w:pPr>
          </w:p>
          <w:p w14:paraId="175ED9E5" w14:textId="77777777" w:rsidR="003F46B9" w:rsidRDefault="003F46B9">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2CD9D672"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3C04AC5B" w14:textId="77777777" w:rsidR="003F46B9" w:rsidRDefault="0065662E">
            <w:pPr>
              <w:pStyle w:val="P68B1DB1-Normal5"/>
              <w:spacing w:after="0" w:line="240" w:lineRule="auto"/>
              <w:jc w:val="both"/>
              <w:rPr>
                <w:rFonts w:cs="Times New Roman"/>
                <w:noProof/>
              </w:rPr>
            </w:pPr>
            <w:r>
              <w:rPr>
                <w:noProof/>
              </w:rPr>
              <w:t>Stupanje na snagu zakona o sustavu financiranja kulturnog sektora</w:t>
            </w:r>
          </w:p>
          <w:p w14:paraId="1A54E9D7" w14:textId="77777777" w:rsidR="003F46B9" w:rsidRDefault="003F46B9">
            <w:pPr>
              <w:spacing w:after="0" w:line="240" w:lineRule="auto"/>
              <w:jc w:val="both"/>
              <w:rPr>
                <w:rFonts w:ascii="Times New Roman" w:hAnsi="Times New Roman" w:cs="Times New Roman"/>
                <w:noProof/>
                <w:sz w:val="24"/>
              </w:rPr>
            </w:pPr>
          </w:p>
          <w:p w14:paraId="469B9B39" w14:textId="77777777" w:rsidR="003F46B9" w:rsidRDefault="003F46B9">
            <w:pPr>
              <w:spacing w:after="0" w:line="240" w:lineRule="auto"/>
              <w:jc w:val="both"/>
              <w:rPr>
                <w:rFonts w:ascii="Times New Roman" w:hAnsi="Times New Roman" w:cs="Times New Roman"/>
                <w:noProof/>
                <w:sz w:val="24"/>
              </w:rPr>
            </w:pPr>
          </w:p>
          <w:p w14:paraId="5A9EA36F" w14:textId="77777777" w:rsidR="003F46B9" w:rsidRDefault="003F46B9">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12F0CF57" w14:textId="77777777" w:rsidR="003F46B9" w:rsidRDefault="0065662E">
            <w:pPr>
              <w:pStyle w:val="P68B1DB1-Normal5"/>
              <w:spacing w:after="0" w:line="240" w:lineRule="auto"/>
              <w:jc w:val="both"/>
              <w:rPr>
                <w:rFonts w:eastAsia="Times New Roman" w:cs="Times New Roman"/>
                <w:noProof/>
              </w:rPr>
            </w:pPr>
            <w:r>
              <w:rPr>
                <w:noProof/>
              </w:rPr>
              <w:t xml:space="preserve">Zakonska odredba o stupanju na snagu zakonodavnog okvira za financiranje kulturnog sektora </w:t>
            </w:r>
          </w:p>
        </w:tc>
        <w:tc>
          <w:tcPr>
            <w:tcW w:w="1274" w:type="dxa"/>
            <w:tcBorders>
              <w:top w:val="nil"/>
              <w:left w:val="nil"/>
              <w:bottom w:val="single" w:sz="4" w:space="0" w:color="auto"/>
              <w:right w:val="single" w:sz="4" w:space="0" w:color="auto"/>
            </w:tcBorders>
            <w:shd w:val="clear" w:color="auto" w:fill="C6EFCE"/>
            <w:noWrap/>
          </w:tcPr>
          <w:p w14:paraId="3B4EF34E" w14:textId="77777777" w:rsidR="003F46B9" w:rsidRDefault="0065662E">
            <w:pPr>
              <w:pStyle w:val="P68B1DB1-Normal5"/>
              <w:spacing w:after="0" w:line="240" w:lineRule="auto"/>
              <w:rPr>
                <w:rFonts w:eastAsia="Times New Roman" w:cs="Times New Roman"/>
                <w:noProof/>
              </w:rPr>
            </w:pPr>
            <w:r>
              <w:rPr>
                <w:noProof/>
              </w:rPr>
              <w:t xml:space="preserve"> </w:t>
            </w:r>
          </w:p>
        </w:tc>
        <w:tc>
          <w:tcPr>
            <w:tcW w:w="1136" w:type="dxa"/>
            <w:tcBorders>
              <w:top w:val="nil"/>
              <w:left w:val="nil"/>
              <w:bottom w:val="single" w:sz="4" w:space="0" w:color="auto"/>
              <w:right w:val="single" w:sz="4" w:space="0" w:color="auto"/>
            </w:tcBorders>
            <w:shd w:val="clear" w:color="auto" w:fill="C6EFCE"/>
            <w:noWrap/>
          </w:tcPr>
          <w:p w14:paraId="5ED8C1BD" w14:textId="77777777" w:rsidR="003F46B9" w:rsidRDefault="0065662E">
            <w:pPr>
              <w:pStyle w:val="P68B1DB1-Normal5"/>
              <w:spacing w:after="0" w:line="240" w:lineRule="auto"/>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3C8D57A9" w14:textId="77777777" w:rsidR="003F46B9" w:rsidRDefault="0065662E">
            <w:pPr>
              <w:pStyle w:val="P68B1DB1-Normal5"/>
              <w:spacing w:after="0" w:line="240" w:lineRule="auto"/>
              <w:rPr>
                <w:rFonts w:eastAsia="Times New Roman" w:cs="Times New Roman"/>
                <w:noProof/>
              </w:rPr>
            </w:pPr>
            <w:r>
              <w:rPr>
                <w:noProof/>
              </w:rPr>
              <w:t xml:space="preserve"> </w:t>
            </w:r>
          </w:p>
        </w:tc>
        <w:tc>
          <w:tcPr>
            <w:tcW w:w="1102" w:type="dxa"/>
            <w:tcBorders>
              <w:top w:val="nil"/>
              <w:left w:val="nil"/>
              <w:bottom w:val="single" w:sz="4" w:space="0" w:color="auto"/>
              <w:right w:val="single" w:sz="4" w:space="0" w:color="auto"/>
            </w:tcBorders>
            <w:shd w:val="clear" w:color="auto" w:fill="C6EFCE"/>
            <w:noWrap/>
          </w:tcPr>
          <w:p w14:paraId="1568CCB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7082EFB5" w14:textId="77777777" w:rsidR="003F46B9" w:rsidRDefault="0065662E">
            <w:pPr>
              <w:pStyle w:val="P68B1DB1-Normal5"/>
              <w:spacing w:after="0" w:line="240" w:lineRule="auto"/>
              <w:jc w:val="center"/>
              <w:rPr>
                <w:rFonts w:eastAsia="Times New Roman" w:cs="Times New Roman"/>
                <w:noProof/>
              </w:rPr>
            </w:pPr>
            <w:r>
              <w:rPr>
                <w:noProof/>
              </w:rPr>
              <w:t>2022</w:t>
            </w:r>
          </w:p>
        </w:tc>
        <w:tc>
          <w:tcPr>
            <w:tcW w:w="3568" w:type="dxa"/>
            <w:tcBorders>
              <w:top w:val="nil"/>
              <w:left w:val="nil"/>
              <w:bottom w:val="single" w:sz="4" w:space="0" w:color="auto"/>
              <w:right w:val="single" w:sz="4" w:space="0" w:color="auto"/>
            </w:tcBorders>
            <w:shd w:val="clear" w:color="auto" w:fill="C6EFCE"/>
            <w:noWrap/>
          </w:tcPr>
          <w:p w14:paraId="6A32E16C" w14:textId="77777777" w:rsidR="003F46B9" w:rsidRDefault="0065662E">
            <w:pPr>
              <w:pStyle w:val="P68B1DB1-Normal5"/>
              <w:spacing w:after="0" w:line="240" w:lineRule="auto"/>
              <w:jc w:val="both"/>
              <w:rPr>
                <w:rFonts w:eastAsia="Times New Roman" w:cs="Times New Roman"/>
                <w:noProof/>
              </w:rPr>
            </w:pPr>
            <w:r>
              <w:rPr>
                <w:noProof/>
              </w:rPr>
              <w:t xml:space="preserve">Ključna etapa usmjerena je na osiguravanje stabilnog sustava financiranja kulturnih projekata. </w:t>
            </w:r>
          </w:p>
          <w:p w14:paraId="3CFED103" w14:textId="3DC34A78" w:rsidR="003F46B9" w:rsidRDefault="0065662E">
            <w:pPr>
              <w:pStyle w:val="P68B1DB1-Normal5"/>
              <w:spacing w:after="0" w:line="240" w:lineRule="auto"/>
              <w:jc w:val="both"/>
              <w:rPr>
                <w:rFonts w:cs="Times New Roman"/>
                <w:noProof/>
              </w:rPr>
            </w:pPr>
            <w:r>
              <w:rPr>
                <w:noProof/>
              </w:rPr>
              <w:t>Ažuriranim zakonom utvrđuje se stabilan mehanizam financiranja iz državnog proračuna za kulturni sektor usmjeren na: smanjenje jaza u pristupu kulturi između ru</w:t>
            </w:r>
            <w:r>
              <w:rPr>
                <w:noProof/>
              </w:rPr>
              <w:t xml:space="preserve">ralnih/malih gradova i velikih urbanih područja, podupiranje kulturne raznolikosti, socijalne uključenosti i rodne ravnopravnosti, podupiranje kreativnih industrija i povećanje gospodarskog potencijala kulturnog sektora. </w:t>
            </w:r>
          </w:p>
          <w:p w14:paraId="16A545B2" w14:textId="77777777" w:rsidR="003F46B9" w:rsidRDefault="0065662E">
            <w:pPr>
              <w:pStyle w:val="P68B1DB1-Normal5"/>
              <w:spacing w:after="0" w:line="240" w:lineRule="auto"/>
              <w:jc w:val="both"/>
              <w:rPr>
                <w:rFonts w:cs="Times New Roman"/>
                <w:noProof/>
              </w:rPr>
            </w:pPr>
            <w:r>
              <w:rPr>
                <w:noProof/>
              </w:rPr>
              <w:t>Zakoni koji se odobravaju i stupaj</w:t>
            </w:r>
            <w:r>
              <w:rPr>
                <w:noProof/>
              </w:rPr>
              <w:t xml:space="preserve">u na snagu jesu: </w:t>
            </w:r>
          </w:p>
          <w:p w14:paraId="5D6F7CD4" w14:textId="77777777" w:rsidR="003F46B9" w:rsidRDefault="0065662E">
            <w:pPr>
              <w:pStyle w:val="P68B1DB1-Normal5"/>
              <w:spacing w:after="0" w:line="240" w:lineRule="auto"/>
              <w:jc w:val="both"/>
              <w:rPr>
                <w:rFonts w:cs="Times New Roman"/>
                <w:noProof/>
              </w:rPr>
            </w:pPr>
            <w:r>
              <w:rPr>
                <w:noProof/>
              </w:rPr>
              <w:t>—Zakonodavnom okviru o nepovratnom financiranju u kulturi (Uredba Vlade 51/1998);</w:t>
            </w:r>
          </w:p>
          <w:p w14:paraId="1914AF94" w14:textId="77777777" w:rsidR="003F46B9" w:rsidRDefault="0065662E">
            <w:pPr>
              <w:pStyle w:val="P68B1DB1-Normal5"/>
              <w:spacing w:after="0" w:line="240" w:lineRule="auto"/>
              <w:jc w:val="both"/>
              <w:rPr>
                <w:rFonts w:cs="Times New Roman"/>
                <w:noProof/>
              </w:rPr>
            </w:pPr>
            <w:r>
              <w:rPr>
                <w:noProof/>
              </w:rPr>
              <w:t>—Financiranje u audiovizualnom području u skladu sa smjernicama Zajednice.</w:t>
            </w:r>
          </w:p>
          <w:p w14:paraId="49A07D15" w14:textId="6AEE8E9B" w:rsidR="003F46B9" w:rsidRDefault="0065662E">
            <w:pPr>
              <w:pStyle w:val="P68B1DB1-Normal5"/>
              <w:spacing w:after="0" w:line="240" w:lineRule="auto"/>
              <w:jc w:val="both"/>
              <w:rPr>
                <w:rFonts w:cs="Times New Roman"/>
                <w:noProof/>
              </w:rPr>
            </w:pPr>
            <w:r>
              <w:rPr>
                <w:noProof/>
              </w:rPr>
              <w:t>Zakonodavne promjene temeljit će se, među ostalim, na rezultatima mapiranja javni</w:t>
            </w:r>
            <w:r>
              <w:rPr>
                <w:noProof/>
              </w:rPr>
              <w:t>h i privatnih ponuda kulturnih usluga na nacionalnoj i lokalnoj razini, na utvrđivanju i pružanju dodatnih predvidivih i transparentnih izvora financiranja, mehanizma upravljanja s jasnim odgovornostima koje se dodjeljuju javnim tijelima na nacionalnoj i l</w:t>
            </w:r>
            <w:r>
              <w:rPr>
                <w:noProof/>
              </w:rPr>
              <w:t>okalnoj razini; mehanizam isplate sredstava uvjetovan je postizanjem ključnih pokazatelja uspješnosti povezanih s ciljevima politike.</w:t>
            </w:r>
          </w:p>
        </w:tc>
      </w:tr>
      <w:tr w:rsidR="003F46B9" w14:paraId="1220EFD3"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5F5866A6" w14:textId="77777777" w:rsidR="003F46B9" w:rsidRDefault="0065662E">
            <w:pPr>
              <w:pStyle w:val="P68B1DB1-Normal5"/>
              <w:spacing w:after="0" w:line="240" w:lineRule="auto"/>
              <w:jc w:val="center"/>
              <w:rPr>
                <w:rFonts w:eastAsia="Times New Roman" w:cs="Times New Roman"/>
                <w:noProof/>
              </w:rPr>
            </w:pPr>
            <w:r>
              <w:rPr>
                <w:noProof/>
              </w:rPr>
              <w:t>345</w:t>
            </w:r>
          </w:p>
        </w:tc>
        <w:tc>
          <w:tcPr>
            <w:tcW w:w="1558" w:type="dxa"/>
            <w:tcBorders>
              <w:top w:val="nil"/>
              <w:left w:val="nil"/>
              <w:bottom w:val="single" w:sz="4" w:space="0" w:color="auto"/>
              <w:right w:val="single" w:sz="4" w:space="0" w:color="auto"/>
            </w:tcBorders>
            <w:shd w:val="clear" w:color="auto" w:fill="C6EFCE"/>
            <w:noWrap/>
          </w:tcPr>
          <w:p w14:paraId="5D66E8BC" w14:textId="77777777" w:rsidR="003F46B9" w:rsidRDefault="0065662E">
            <w:pPr>
              <w:pStyle w:val="P68B1DB1-Normal5"/>
              <w:spacing w:after="0" w:line="240" w:lineRule="auto"/>
              <w:jc w:val="both"/>
              <w:rPr>
                <w:rFonts w:cs="Times New Roman"/>
                <w:noProof/>
              </w:rPr>
            </w:pPr>
            <w:r>
              <w:rPr>
                <w:noProof/>
              </w:rPr>
              <w:t>Reforma 3. Reforma sustava financiranja kulturnog sektora</w:t>
            </w:r>
          </w:p>
          <w:p w14:paraId="4FFB6CDB" w14:textId="77777777" w:rsidR="003F46B9" w:rsidRDefault="003F46B9">
            <w:pPr>
              <w:spacing w:after="0" w:line="240" w:lineRule="auto"/>
              <w:jc w:val="both"/>
              <w:rPr>
                <w:rFonts w:ascii="Times New Roman" w:eastAsia="Times New Roman" w:hAnsi="Times New Roman" w:cs="Times New Roman"/>
                <w:noProof/>
                <w:sz w:val="24"/>
              </w:rPr>
            </w:pPr>
          </w:p>
        </w:tc>
        <w:tc>
          <w:tcPr>
            <w:tcW w:w="1278" w:type="dxa"/>
            <w:tcBorders>
              <w:top w:val="nil"/>
              <w:left w:val="nil"/>
              <w:bottom w:val="single" w:sz="4" w:space="0" w:color="auto"/>
              <w:right w:val="single" w:sz="4" w:space="0" w:color="auto"/>
            </w:tcBorders>
            <w:shd w:val="clear" w:color="auto" w:fill="C6EFCE"/>
            <w:noWrap/>
          </w:tcPr>
          <w:p w14:paraId="7B8BF15C"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42B75487" w14:textId="77777777" w:rsidR="003F46B9" w:rsidRDefault="0065662E">
            <w:pPr>
              <w:pStyle w:val="P68B1DB1-Normal5"/>
              <w:spacing w:after="0" w:line="240" w:lineRule="auto"/>
              <w:jc w:val="both"/>
              <w:rPr>
                <w:rFonts w:eastAsia="Times New Roman" w:cs="Times New Roman"/>
                <w:noProof/>
              </w:rPr>
            </w:pPr>
            <w:r>
              <w:rPr>
                <w:noProof/>
              </w:rPr>
              <w:t xml:space="preserve">Stupanje na snagu zakona o statutu kulturnih </w:t>
            </w:r>
            <w:r>
              <w:rPr>
                <w:noProof/>
              </w:rPr>
              <w:t>radnika</w:t>
            </w:r>
          </w:p>
        </w:tc>
        <w:tc>
          <w:tcPr>
            <w:tcW w:w="1628" w:type="dxa"/>
            <w:tcBorders>
              <w:top w:val="nil"/>
              <w:left w:val="nil"/>
              <w:bottom w:val="single" w:sz="4" w:space="0" w:color="auto"/>
              <w:right w:val="single" w:sz="4" w:space="0" w:color="auto"/>
            </w:tcBorders>
            <w:shd w:val="clear" w:color="auto" w:fill="C6EFCE"/>
            <w:noWrap/>
          </w:tcPr>
          <w:p w14:paraId="0E328D7F"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zakonodavnog okvira statuta kulturnih radnika</w:t>
            </w:r>
          </w:p>
        </w:tc>
        <w:tc>
          <w:tcPr>
            <w:tcW w:w="1274" w:type="dxa"/>
            <w:tcBorders>
              <w:top w:val="nil"/>
              <w:left w:val="nil"/>
              <w:bottom w:val="single" w:sz="4" w:space="0" w:color="auto"/>
              <w:right w:val="single" w:sz="4" w:space="0" w:color="auto"/>
            </w:tcBorders>
            <w:shd w:val="clear" w:color="auto" w:fill="C6EFCE"/>
            <w:noWrap/>
          </w:tcPr>
          <w:p w14:paraId="446AFB6E"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573C90F0"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49912932"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60E62D1E"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795DBC73" w14:textId="77777777" w:rsidR="003F46B9" w:rsidRDefault="0065662E">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1C137ED7" w14:textId="77777777" w:rsidR="003F46B9" w:rsidRDefault="0065662E">
            <w:pPr>
              <w:pStyle w:val="P68B1DB1-Normal5"/>
              <w:spacing w:after="0" w:line="240" w:lineRule="auto"/>
              <w:jc w:val="both"/>
              <w:rPr>
                <w:rFonts w:cs="Times New Roman"/>
                <w:noProof/>
              </w:rPr>
            </w:pPr>
            <w:r>
              <w:rPr>
                <w:noProof/>
              </w:rPr>
              <w:t>Novi zakonodavni okvir o statutu kulturnih radnika stupa na snagu i uključuje širok raspon politika i predlaže konkretne mjere kojima se rješavaj</w:t>
            </w:r>
            <w:r>
              <w:rPr>
                <w:noProof/>
              </w:rPr>
              <w:t>u posebni izazovi s kojima se umjetnici suočavaju i koje su namijenjene zaštiti umjetnika, kao što su:</w:t>
            </w:r>
          </w:p>
          <w:p w14:paraId="32F5C9B6" w14:textId="77777777" w:rsidR="003F46B9" w:rsidRDefault="0065662E">
            <w:pPr>
              <w:pStyle w:val="P68B1DB1-Normal5"/>
              <w:numPr>
                <w:ilvl w:val="0"/>
                <w:numId w:val="90"/>
              </w:numPr>
              <w:spacing w:before="120" w:after="0" w:line="240" w:lineRule="auto"/>
              <w:ind w:left="202" w:hanging="219"/>
              <w:contextualSpacing/>
              <w:jc w:val="both"/>
              <w:rPr>
                <w:rFonts w:cs="Times New Roman"/>
                <w:noProof/>
              </w:rPr>
            </w:pPr>
            <w:r>
              <w:rPr>
                <w:noProof/>
              </w:rPr>
              <w:t>jasnu definiciju zapošljavanja u „umjetničkom radu” i „kulturnom radu” kako je definirano u svim državama članicama i dokumentima EU-a;</w:t>
            </w:r>
          </w:p>
          <w:p w14:paraId="1A480929" w14:textId="77777777" w:rsidR="003F46B9" w:rsidRDefault="0065662E">
            <w:pPr>
              <w:pStyle w:val="P68B1DB1-Normal5"/>
              <w:numPr>
                <w:ilvl w:val="0"/>
                <w:numId w:val="90"/>
              </w:numPr>
              <w:spacing w:before="120" w:after="0" w:line="240" w:lineRule="auto"/>
              <w:ind w:left="202" w:hanging="219"/>
              <w:contextualSpacing/>
              <w:jc w:val="both"/>
              <w:rPr>
                <w:rFonts w:cs="Times New Roman"/>
                <w:noProof/>
              </w:rPr>
            </w:pPr>
            <w:r>
              <w:rPr>
                <w:noProof/>
              </w:rPr>
              <w:t>minimalni standar</w:t>
            </w:r>
            <w:r>
              <w:rPr>
                <w:noProof/>
              </w:rPr>
              <w:t>di i zahtjevi u okviru područja primjene zakonodavnog okvira i okvira socijalne zaštite (npr. radni uvjeti, oporezivanje i pristup socijalnoj sigurnosti i drugim naknadama, pravedna naknada);</w:t>
            </w:r>
          </w:p>
          <w:p w14:paraId="58942CA8" w14:textId="77777777" w:rsidR="003F46B9" w:rsidRDefault="0065662E">
            <w:pPr>
              <w:pStyle w:val="P68B1DB1-Normal5"/>
              <w:numPr>
                <w:ilvl w:val="0"/>
                <w:numId w:val="90"/>
              </w:numPr>
              <w:spacing w:before="120" w:after="0" w:line="240" w:lineRule="auto"/>
              <w:ind w:left="202" w:hanging="219"/>
              <w:contextualSpacing/>
              <w:jc w:val="both"/>
              <w:rPr>
                <w:rFonts w:cs="Times New Roman"/>
                <w:noProof/>
              </w:rPr>
            </w:pPr>
            <w:r>
              <w:rPr>
                <w:noProof/>
              </w:rPr>
              <w:t>odredbe u sustavima socijalne zaštite kojima se kulturnim radnic</w:t>
            </w:r>
            <w:r>
              <w:rPr>
                <w:noProof/>
              </w:rPr>
              <w:t>ima omogućuje pristup naknadama, kao što su nezaposlenost, zdravstvena zaštita, bankovni zajmovi, financiranje, mirovina.</w:t>
            </w:r>
          </w:p>
          <w:p w14:paraId="4781FCCD" w14:textId="77777777" w:rsidR="003F46B9" w:rsidRDefault="0065662E">
            <w:pPr>
              <w:pStyle w:val="P68B1DB1-Normal5"/>
              <w:numPr>
                <w:ilvl w:val="0"/>
                <w:numId w:val="90"/>
              </w:numPr>
              <w:spacing w:before="120" w:after="0" w:line="240" w:lineRule="auto"/>
              <w:ind w:left="202" w:hanging="219"/>
              <w:contextualSpacing/>
              <w:jc w:val="both"/>
              <w:rPr>
                <w:rFonts w:cs="Times New Roman"/>
                <w:noProof/>
              </w:rPr>
            </w:pPr>
            <w:r>
              <w:rPr>
                <w:noProof/>
              </w:rPr>
              <w:t>alati za (pravnu) identifikaciju samostalnih kulturnih umjetnika (umjetnika i povezanih zanimanja) i za stvaranje mehanizama uključiva</w:t>
            </w:r>
            <w:r>
              <w:rPr>
                <w:noProof/>
              </w:rPr>
              <w:t>nja u sustav socijalne zaštite.</w:t>
            </w:r>
          </w:p>
          <w:p w14:paraId="60CC2128" w14:textId="5C1D7960" w:rsidR="003F46B9" w:rsidRDefault="0065662E">
            <w:pPr>
              <w:pStyle w:val="P68B1DB1-Normal5"/>
              <w:numPr>
                <w:ilvl w:val="0"/>
                <w:numId w:val="90"/>
              </w:numPr>
              <w:spacing w:before="120" w:after="0" w:line="240" w:lineRule="auto"/>
              <w:ind w:left="202" w:hanging="219"/>
              <w:contextualSpacing/>
              <w:jc w:val="both"/>
              <w:rPr>
                <w:rFonts w:cs="Times New Roman"/>
                <w:noProof/>
              </w:rPr>
            </w:pPr>
            <w:r>
              <w:rPr>
                <w:noProof/>
              </w:rPr>
              <w:t xml:space="preserve">druge metode za poboljšanje socio-profesionalnih statusa i uvjeta kulturnog radnika. </w:t>
            </w:r>
          </w:p>
        </w:tc>
      </w:tr>
      <w:tr w:rsidR="003F46B9" w14:paraId="4FD3A6E7"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149D2189" w14:textId="77777777" w:rsidR="003F46B9" w:rsidRDefault="0065662E">
            <w:pPr>
              <w:pStyle w:val="P68B1DB1-Normal5"/>
              <w:spacing w:after="0" w:line="240" w:lineRule="auto"/>
              <w:jc w:val="center"/>
              <w:rPr>
                <w:rFonts w:eastAsia="Times New Roman" w:cs="Times New Roman"/>
                <w:noProof/>
              </w:rPr>
            </w:pPr>
            <w:r>
              <w:rPr>
                <w:noProof/>
              </w:rPr>
              <w:t>346</w:t>
            </w:r>
          </w:p>
        </w:tc>
        <w:tc>
          <w:tcPr>
            <w:tcW w:w="1558" w:type="dxa"/>
            <w:tcBorders>
              <w:top w:val="nil"/>
              <w:left w:val="nil"/>
              <w:bottom w:val="single" w:sz="4" w:space="0" w:color="auto"/>
              <w:right w:val="single" w:sz="4" w:space="0" w:color="auto"/>
            </w:tcBorders>
            <w:shd w:val="clear" w:color="auto" w:fill="C6EFCE"/>
            <w:noWrap/>
          </w:tcPr>
          <w:p w14:paraId="6B1C3ADE" w14:textId="77777777" w:rsidR="003F46B9" w:rsidRDefault="0065662E">
            <w:pPr>
              <w:pStyle w:val="P68B1DB1-Normal5"/>
              <w:spacing w:after="0" w:line="240" w:lineRule="auto"/>
              <w:jc w:val="both"/>
              <w:rPr>
                <w:rFonts w:eastAsia="Times New Roman" w:cs="Times New Roman"/>
                <w:noProof/>
              </w:rPr>
            </w:pPr>
            <w:r>
              <w:rPr>
                <w:noProof/>
              </w:rPr>
              <w:t>Ulaganje 5. Povećanje pristupa kulturi u područjima zahvaćenima kulturom</w:t>
            </w:r>
          </w:p>
        </w:tc>
        <w:tc>
          <w:tcPr>
            <w:tcW w:w="1278" w:type="dxa"/>
            <w:tcBorders>
              <w:top w:val="nil"/>
              <w:left w:val="nil"/>
              <w:bottom w:val="single" w:sz="4" w:space="0" w:color="auto"/>
              <w:right w:val="single" w:sz="4" w:space="0" w:color="auto"/>
            </w:tcBorders>
            <w:shd w:val="clear" w:color="auto" w:fill="C6EFCE"/>
            <w:noWrap/>
          </w:tcPr>
          <w:p w14:paraId="350B3608"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0A24B397" w14:textId="77777777" w:rsidR="003F46B9" w:rsidRDefault="0065662E">
            <w:pPr>
              <w:pStyle w:val="P68B1DB1-Normal5"/>
              <w:spacing w:after="0" w:line="240" w:lineRule="auto"/>
              <w:jc w:val="both"/>
              <w:rPr>
                <w:rFonts w:eastAsia="Times New Roman" w:cs="Times New Roman"/>
                <w:noProof/>
              </w:rPr>
            </w:pPr>
            <w:r>
              <w:rPr>
                <w:noProof/>
              </w:rPr>
              <w:t>Potpisivanje ugovora o financiranju</w:t>
            </w:r>
          </w:p>
        </w:tc>
        <w:tc>
          <w:tcPr>
            <w:tcW w:w="1628" w:type="dxa"/>
            <w:tcBorders>
              <w:top w:val="nil"/>
              <w:left w:val="nil"/>
              <w:bottom w:val="single" w:sz="4" w:space="0" w:color="auto"/>
              <w:right w:val="single" w:sz="4" w:space="0" w:color="auto"/>
            </w:tcBorders>
            <w:shd w:val="clear" w:color="auto" w:fill="C6EFCE"/>
            <w:noWrap/>
          </w:tcPr>
          <w:p w14:paraId="3D0A63CC" w14:textId="77777777" w:rsidR="003F46B9" w:rsidRDefault="0065662E">
            <w:pPr>
              <w:pStyle w:val="P68B1DB1-Normal5"/>
              <w:spacing w:after="0" w:line="240" w:lineRule="auto"/>
              <w:jc w:val="both"/>
              <w:rPr>
                <w:rFonts w:eastAsia="Times New Roman" w:cs="Times New Roman"/>
                <w:noProof/>
              </w:rPr>
            </w:pPr>
            <w:r>
              <w:rPr>
                <w:noProof/>
              </w:rPr>
              <w:t>Potpisivanje</w:t>
            </w:r>
            <w:r>
              <w:rPr>
                <w:noProof/>
              </w:rPr>
              <w:t xml:space="preserve"> ugovora</w:t>
            </w:r>
          </w:p>
        </w:tc>
        <w:tc>
          <w:tcPr>
            <w:tcW w:w="1274" w:type="dxa"/>
            <w:tcBorders>
              <w:top w:val="nil"/>
              <w:left w:val="nil"/>
              <w:bottom w:val="single" w:sz="4" w:space="0" w:color="auto"/>
              <w:right w:val="single" w:sz="4" w:space="0" w:color="auto"/>
            </w:tcBorders>
            <w:shd w:val="clear" w:color="auto" w:fill="C6EFCE"/>
            <w:noWrap/>
          </w:tcPr>
          <w:p w14:paraId="52A36EF0"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62E3C141"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679D32C"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1AA722C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18EE7720" w14:textId="77777777" w:rsidR="003F46B9" w:rsidRDefault="0065662E">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0F5CD501" w14:textId="77777777" w:rsidR="003F46B9" w:rsidRDefault="0065662E">
            <w:pPr>
              <w:pStyle w:val="P68B1DB1-Normal5"/>
              <w:spacing w:after="0" w:line="240" w:lineRule="auto"/>
              <w:jc w:val="both"/>
              <w:rPr>
                <w:rFonts w:eastAsia="Times New Roman" w:cs="Times New Roman"/>
                <w:noProof/>
              </w:rPr>
            </w:pPr>
            <w:r>
              <w:rPr>
                <w:noProof/>
              </w:rPr>
              <w:t>Ugovori će se potpisivati između kulturnih subjekata i javnog tijela za financiranje kako bi se utvrdio pravni okvir za potrošnju potpore za pristup kulturi u ruralnim i malim gradskim područjima s malo ili uopće nepostojećim j</w:t>
            </w:r>
            <w:r>
              <w:rPr>
                <w:noProof/>
              </w:rPr>
              <w:t xml:space="preserve">avnim kulturnim uslugama putem kulturnih projekata. </w:t>
            </w:r>
          </w:p>
          <w:p w14:paraId="77643AB0" w14:textId="77777777" w:rsidR="003F46B9" w:rsidRDefault="0065662E">
            <w:pPr>
              <w:pStyle w:val="P68B1DB1-Normal5"/>
              <w:spacing w:after="0" w:line="240" w:lineRule="auto"/>
              <w:jc w:val="both"/>
              <w:rPr>
                <w:rFonts w:eastAsia="Times New Roman" w:cs="Times New Roman"/>
                <w:noProof/>
              </w:rPr>
            </w:pPr>
            <w:r>
              <w:rPr>
                <w:noProof/>
              </w:rPr>
              <w:t xml:space="preserve">Ugovore dodjeljuje Nacionalna uprava fonda za kulturu nakon otvorenog i konkurentnog natječajnog postupka. </w:t>
            </w:r>
          </w:p>
          <w:p w14:paraId="5B2C5C09" w14:textId="77777777" w:rsidR="003F46B9" w:rsidRDefault="0065662E">
            <w:pPr>
              <w:pStyle w:val="P68B1DB1-Normal5"/>
              <w:spacing w:after="0" w:line="240" w:lineRule="auto"/>
              <w:jc w:val="both"/>
              <w:rPr>
                <w:rFonts w:eastAsia="Times New Roman" w:cs="Times New Roman"/>
                <w:noProof/>
              </w:rPr>
            </w:pPr>
            <w:r>
              <w:rPr>
                <w:noProof/>
              </w:rPr>
              <w:t>Kriteriji za odabir za dodjelu ugovora: Broj/vrste korisnika/sudionika, kratkoročna, srednjoroč</w:t>
            </w:r>
            <w:r>
              <w:rPr>
                <w:noProof/>
              </w:rPr>
              <w:t>na i dugoročna obrazovna korist, obrazovni ciljevi (povijest, geografija, logika itd.), umjetnički kriteriji/kriteriji kreativnosti, ekološka/bioraznolikost/priroda/okolišni kriteriji, kriteriji uključivanja.</w:t>
            </w:r>
          </w:p>
        </w:tc>
      </w:tr>
      <w:tr w:rsidR="003F46B9" w14:paraId="694C050A"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5B6B966" w14:textId="77777777" w:rsidR="003F46B9" w:rsidRDefault="0065662E">
            <w:pPr>
              <w:pStyle w:val="P68B1DB1-Normal5"/>
              <w:spacing w:after="0" w:line="240" w:lineRule="auto"/>
              <w:jc w:val="center"/>
              <w:rPr>
                <w:rFonts w:eastAsia="Times New Roman" w:cs="Times New Roman"/>
                <w:noProof/>
              </w:rPr>
            </w:pPr>
            <w:r>
              <w:rPr>
                <w:noProof/>
              </w:rPr>
              <w:t>347</w:t>
            </w:r>
          </w:p>
        </w:tc>
        <w:tc>
          <w:tcPr>
            <w:tcW w:w="1558" w:type="dxa"/>
            <w:tcBorders>
              <w:top w:val="nil"/>
              <w:left w:val="nil"/>
              <w:bottom w:val="single" w:sz="4" w:space="0" w:color="auto"/>
              <w:right w:val="single" w:sz="4" w:space="0" w:color="auto"/>
            </w:tcBorders>
            <w:shd w:val="clear" w:color="auto" w:fill="C6EFCE"/>
            <w:noWrap/>
          </w:tcPr>
          <w:p w14:paraId="4DF32A7D" w14:textId="77777777" w:rsidR="003F46B9" w:rsidRDefault="0065662E">
            <w:pPr>
              <w:pStyle w:val="P68B1DB1-Normal5"/>
              <w:spacing w:after="0" w:line="240" w:lineRule="auto"/>
              <w:jc w:val="both"/>
              <w:rPr>
                <w:rFonts w:eastAsia="Times New Roman" w:cs="Times New Roman"/>
                <w:noProof/>
              </w:rPr>
            </w:pPr>
            <w:r>
              <w:rPr>
                <w:noProof/>
              </w:rPr>
              <w:t xml:space="preserve">Ulaganje 5. Povećanje pristupa kulturi u </w:t>
            </w:r>
            <w:r>
              <w:rPr>
                <w:noProof/>
              </w:rPr>
              <w:t>područjima zahvaćenima kulturom</w:t>
            </w:r>
          </w:p>
        </w:tc>
        <w:tc>
          <w:tcPr>
            <w:tcW w:w="1278" w:type="dxa"/>
            <w:tcBorders>
              <w:top w:val="nil"/>
              <w:left w:val="nil"/>
              <w:bottom w:val="single" w:sz="4" w:space="0" w:color="auto"/>
              <w:right w:val="single" w:sz="4" w:space="0" w:color="auto"/>
            </w:tcBorders>
            <w:shd w:val="clear" w:color="auto" w:fill="C6EFCE"/>
            <w:noWrap/>
          </w:tcPr>
          <w:p w14:paraId="04B1CC3D" w14:textId="77777777" w:rsidR="003F46B9" w:rsidRDefault="0065662E">
            <w:pPr>
              <w:pStyle w:val="P68B1DB1-Normal5"/>
              <w:spacing w:after="0" w:line="240" w:lineRule="auto"/>
              <w:jc w:val="center"/>
              <w:rPr>
                <w:rFonts w:eastAsia="Times New Roman"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33F4F6EF" w14:textId="77777777" w:rsidR="003F46B9" w:rsidRDefault="0065662E">
            <w:pPr>
              <w:pStyle w:val="P68B1DB1-Normal5"/>
              <w:spacing w:after="0" w:line="240" w:lineRule="auto"/>
              <w:jc w:val="both"/>
              <w:rPr>
                <w:rFonts w:eastAsia="Times New Roman" w:cs="Times New Roman"/>
                <w:noProof/>
              </w:rPr>
            </w:pPr>
            <w:r>
              <w:rPr>
                <w:noProof/>
              </w:rPr>
              <w:t>Mala mjesta s povećanim pristupom kulturi</w:t>
            </w:r>
          </w:p>
        </w:tc>
        <w:tc>
          <w:tcPr>
            <w:tcW w:w="1628" w:type="dxa"/>
            <w:tcBorders>
              <w:top w:val="nil"/>
              <w:left w:val="nil"/>
              <w:bottom w:val="single" w:sz="4" w:space="0" w:color="auto"/>
              <w:right w:val="single" w:sz="4" w:space="0" w:color="auto"/>
            </w:tcBorders>
            <w:shd w:val="clear" w:color="auto" w:fill="C6EFCE"/>
            <w:noWrap/>
          </w:tcPr>
          <w:p w14:paraId="57B20032"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tcPr>
          <w:p w14:paraId="62BE620B" w14:textId="77777777" w:rsidR="003F46B9" w:rsidRDefault="0065662E">
            <w:pPr>
              <w:pStyle w:val="P68B1DB1-Normal5"/>
              <w:spacing w:after="0" w:line="240" w:lineRule="auto"/>
              <w:rPr>
                <w:rFonts w:eastAsia="Times New Roman" w:cs="Times New Roman"/>
                <w:noProof/>
              </w:rPr>
            </w:pPr>
            <w:r>
              <w:rPr>
                <w:noProof/>
              </w:rPr>
              <w:t>Broj</w:t>
            </w:r>
          </w:p>
        </w:tc>
        <w:tc>
          <w:tcPr>
            <w:tcW w:w="1136" w:type="dxa"/>
            <w:tcBorders>
              <w:top w:val="nil"/>
              <w:left w:val="nil"/>
              <w:bottom w:val="single" w:sz="4" w:space="0" w:color="auto"/>
              <w:right w:val="single" w:sz="4" w:space="0" w:color="auto"/>
            </w:tcBorders>
            <w:shd w:val="clear" w:color="auto" w:fill="C6EFCE"/>
            <w:noWrap/>
          </w:tcPr>
          <w:p w14:paraId="3CC41EB5" w14:textId="77777777" w:rsidR="003F46B9" w:rsidRDefault="0065662E">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ADAD002" w14:textId="77777777" w:rsidR="003F46B9" w:rsidRDefault="0065662E">
            <w:pPr>
              <w:pStyle w:val="P68B1DB1-Normal5"/>
              <w:spacing w:after="0" w:line="240" w:lineRule="auto"/>
              <w:rPr>
                <w:rFonts w:eastAsia="Times New Roman" w:cs="Times New Roman"/>
                <w:noProof/>
              </w:rPr>
            </w:pPr>
            <w:r>
              <w:rPr>
                <w:noProof/>
              </w:rPr>
              <w:t>50</w:t>
            </w:r>
          </w:p>
        </w:tc>
        <w:tc>
          <w:tcPr>
            <w:tcW w:w="1102" w:type="dxa"/>
            <w:tcBorders>
              <w:top w:val="nil"/>
              <w:left w:val="nil"/>
              <w:bottom w:val="single" w:sz="4" w:space="0" w:color="auto"/>
              <w:right w:val="single" w:sz="4" w:space="0" w:color="auto"/>
            </w:tcBorders>
            <w:shd w:val="clear" w:color="auto" w:fill="C6EFCE"/>
            <w:noWrap/>
          </w:tcPr>
          <w:p w14:paraId="476AB6CA"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63F349F5" w14:textId="77777777" w:rsidR="003F46B9" w:rsidRDefault="0065662E">
            <w:pPr>
              <w:pStyle w:val="P68B1DB1-Normal5"/>
              <w:spacing w:after="0" w:line="240" w:lineRule="auto"/>
              <w:jc w:val="center"/>
              <w:rPr>
                <w:rFonts w:eastAsia="Times New Roman" w:cs="Times New Roman"/>
                <w:noProof/>
              </w:rPr>
            </w:pPr>
            <w:r>
              <w:rPr>
                <w:noProof/>
              </w:rPr>
              <w:t>2024</w:t>
            </w:r>
          </w:p>
        </w:tc>
        <w:tc>
          <w:tcPr>
            <w:tcW w:w="3568" w:type="dxa"/>
            <w:tcBorders>
              <w:top w:val="nil"/>
              <w:left w:val="nil"/>
              <w:bottom w:val="single" w:sz="4" w:space="0" w:color="auto"/>
              <w:right w:val="single" w:sz="4" w:space="0" w:color="auto"/>
            </w:tcBorders>
            <w:shd w:val="clear" w:color="auto" w:fill="C6EFCE"/>
            <w:noWrap/>
          </w:tcPr>
          <w:p w14:paraId="07692F66" w14:textId="0838EEC9" w:rsidR="003F46B9" w:rsidRDefault="0065662E">
            <w:pPr>
              <w:pStyle w:val="P68B1DB1-Normal5"/>
              <w:spacing w:after="0" w:line="240" w:lineRule="auto"/>
              <w:jc w:val="both"/>
              <w:rPr>
                <w:rFonts w:eastAsia="Times New Roman" w:cs="Times New Roman"/>
                <w:noProof/>
              </w:rPr>
            </w:pPr>
            <w:r>
              <w:rPr>
                <w:noProof/>
              </w:rPr>
              <w:t>50 lokaliteta s manje od 50000 stanovnika imat će koristi od provedbe dvaju pilot-programa financiranja u kojima će se razviti projekti kulturnog i</w:t>
            </w:r>
            <w:r>
              <w:rPr>
                <w:noProof/>
              </w:rPr>
              <w:t>/ili kulturnog obrazovanja.</w:t>
            </w:r>
          </w:p>
        </w:tc>
      </w:tr>
      <w:tr w:rsidR="003F46B9" w14:paraId="5A3F6B38"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hideMark/>
          </w:tcPr>
          <w:p w14:paraId="246A3830" w14:textId="77777777" w:rsidR="003F46B9" w:rsidRDefault="0065662E">
            <w:pPr>
              <w:pStyle w:val="P68B1DB1-Normal5"/>
              <w:spacing w:after="0" w:line="240" w:lineRule="auto"/>
              <w:jc w:val="center"/>
              <w:rPr>
                <w:rFonts w:eastAsia="Times New Roman" w:cs="Times New Roman"/>
                <w:noProof/>
              </w:rPr>
            </w:pPr>
            <w:r>
              <w:rPr>
                <w:noProof/>
              </w:rPr>
              <w:t>348</w:t>
            </w:r>
          </w:p>
        </w:tc>
        <w:tc>
          <w:tcPr>
            <w:tcW w:w="1558" w:type="dxa"/>
            <w:tcBorders>
              <w:top w:val="nil"/>
              <w:left w:val="nil"/>
              <w:bottom w:val="single" w:sz="4" w:space="0" w:color="auto"/>
              <w:right w:val="single" w:sz="4" w:space="0" w:color="auto"/>
            </w:tcBorders>
            <w:shd w:val="clear" w:color="auto" w:fill="C6EFCE"/>
            <w:noWrap/>
            <w:hideMark/>
          </w:tcPr>
          <w:p w14:paraId="19FA3DF7" w14:textId="77777777" w:rsidR="003F46B9" w:rsidRDefault="0065662E">
            <w:pPr>
              <w:pStyle w:val="P68B1DB1-Normal5"/>
              <w:spacing w:after="0" w:line="240" w:lineRule="auto"/>
              <w:jc w:val="both"/>
              <w:rPr>
                <w:rFonts w:eastAsia="Times New Roman" w:cs="Times New Roman"/>
                <w:noProof/>
              </w:rPr>
            </w:pPr>
            <w:r>
              <w:rPr>
                <w:noProof/>
              </w:rPr>
              <w:t>Ulaganje 6. Razvoj digitalnog sustava za procese financiranja kulture</w:t>
            </w:r>
          </w:p>
        </w:tc>
        <w:tc>
          <w:tcPr>
            <w:tcW w:w="1278" w:type="dxa"/>
            <w:tcBorders>
              <w:top w:val="nil"/>
              <w:left w:val="nil"/>
              <w:bottom w:val="single" w:sz="4" w:space="0" w:color="auto"/>
              <w:right w:val="single" w:sz="4" w:space="0" w:color="auto"/>
            </w:tcBorders>
            <w:shd w:val="clear" w:color="auto" w:fill="C6EFCE"/>
            <w:noWrap/>
            <w:hideMark/>
          </w:tcPr>
          <w:p w14:paraId="3027ECDF" w14:textId="77777777" w:rsidR="003F46B9" w:rsidRDefault="0065662E">
            <w:pPr>
              <w:pStyle w:val="P68B1DB1-Normal5"/>
              <w:spacing w:after="0" w:line="240" w:lineRule="auto"/>
              <w:jc w:val="center"/>
              <w:rPr>
                <w:rFonts w:eastAsia="Times New Roman"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hideMark/>
          </w:tcPr>
          <w:p w14:paraId="06B6ED13" w14:textId="77777777" w:rsidR="003F46B9" w:rsidRDefault="0065662E">
            <w:pPr>
              <w:pStyle w:val="P68B1DB1-Normal5"/>
              <w:spacing w:after="0" w:line="240" w:lineRule="auto"/>
              <w:jc w:val="both"/>
              <w:rPr>
                <w:rFonts w:cs="Times New Roman"/>
                <w:noProof/>
              </w:rPr>
            </w:pPr>
            <w:r>
              <w:rPr>
                <w:noProof/>
              </w:rPr>
              <w:t>Digitalni sustav operacionaliziran</w:t>
            </w:r>
          </w:p>
          <w:p w14:paraId="32B19F03" w14:textId="77777777" w:rsidR="003F46B9" w:rsidRDefault="003F46B9">
            <w:pPr>
              <w:spacing w:after="0" w:line="240" w:lineRule="auto"/>
              <w:jc w:val="both"/>
              <w:rPr>
                <w:rFonts w:ascii="Times New Roman" w:eastAsia="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hideMark/>
          </w:tcPr>
          <w:p w14:paraId="632DF6E7" w14:textId="77777777" w:rsidR="003F46B9" w:rsidRDefault="0065662E">
            <w:pPr>
              <w:pStyle w:val="P68B1DB1-Normal5"/>
              <w:spacing w:after="0" w:line="240" w:lineRule="auto"/>
              <w:jc w:val="both"/>
              <w:rPr>
                <w:rFonts w:cs="Times New Roman"/>
                <w:noProof/>
              </w:rPr>
            </w:pPr>
            <w:r>
              <w:rPr>
                <w:noProof/>
              </w:rPr>
              <w:t>Operacionalizirane platforme i digitalni sustavi</w:t>
            </w:r>
          </w:p>
          <w:p w14:paraId="7565DA53" w14:textId="77777777" w:rsidR="003F46B9" w:rsidRDefault="003F46B9">
            <w:pPr>
              <w:spacing w:after="0" w:line="240" w:lineRule="auto"/>
              <w:jc w:val="both"/>
              <w:rPr>
                <w:rFonts w:ascii="Times New Roman" w:eastAsia="Times New Roman" w:hAnsi="Times New Roman" w:cs="Times New Roman"/>
                <w:noProof/>
                <w:sz w:val="24"/>
              </w:rPr>
            </w:pPr>
          </w:p>
        </w:tc>
        <w:tc>
          <w:tcPr>
            <w:tcW w:w="1274" w:type="dxa"/>
            <w:tcBorders>
              <w:top w:val="nil"/>
              <w:left w:val="nil"/>
              <w:bottom w:val="single" w:sz="4" w:space="0" w:color="auto"/>
              <w:right w:val="single" w:sz="4" w:space="0" w:color="auto"/>
            </w:tcBorders>
            <w:shd w:val="clear" w:color="auto" w:fill="C6EFCE"/>
            <w:noWrap/>
            <w:hideMark/>
          </w:tcPr>
          <w:p w14:paraId="5F759D42"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hideMark/>
          </w:tcPr>
          <w:p w14:paraId="3E1ED79A"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4041F4A1"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hideMark/>
          </w:tcPr>
          <w:p w14:paraId="3D529B7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hideMark/>
          </w:tcPr>
          <w:p w14:paraId="2523931B" w14:textId="77777777" w:rsidR="003F46B9" w:rsidRDefault="0065662E">
            <w:pPr>
              <w:pStyle w:val="P68B1DB1-Normal5"/>
              <w:spacing w:after="0" w:line="240" w:lineRule="auto"/>
              <w:jc w:val="center"/>
              <w:rPr>
                <w:rFonts w:eastAsia="Times New Roman"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hideMark/>
          </w:tcPr>
          <w:p w14:paraId="60CF28FB" w14:textId="77777777" w:rsidR="003F46B9" w:rsidRDefault="0065662E">
            <w:pPr>
              <w:pStyle w:val="P68B1DB1-Normal5"/>
              <w:spacing w:after="0" w:line="240" w:lineRule="auto"/>
              <w:jc w:val="both"/>
              <w:rPr>
                <w:rFonts w:eastAsia="Times New Roman" w:cs="Times New Roman"/>
                <w:noProof/>
              </w:rPr>
            </w:pPr>
            <w:r>
              <w:rPr>
                <w:noProof/>
              </w:rPr>
              <w:t xml:space="preserve">Ta ključna etapa odnosi se na </w:t>
            </w:r>
            <w:r>
              <w:rPr>
                <w:noProof/>
              </w:rPr>
              <w:t>razvoj digitalnih sustava koji:</w:t>
            </w:r>
          </w:p>
          <w:p w14:paraId="06640B8A" w14:textId="77777777" w:rsidR="003F46B9" w:rsidRDefault="0065662E">
            <w:pPr>
              <w:pStyle w:val="P68B1DB1-Normal5"/>
              <w:spacing w:after="0" w:line="240" w:lineRule="auto"/>
              <w:jc w:val="both"/>
              <w:rPr>
                <w:rFonts w:eastAsia="Times New Roman" w:cs="Times New Roman"/>
                <w:noProof/>
              </w:rPr>
            </w:pPr>
            <w:r>
              <w:rPr>
                <w:noProof/>
              </w:rPr>
              <w:t>—olakšati pristup financiranju za nacionalne kulturne subjekte pojednostavnjenim i digitaliziranim prijavama za financiranje, procjenom projekata, ugovaranjem, praćenjem i evaluacijom, isplatom financiranja, ex post procjeno</w:t>
            </w:r>
            <w:r>
              <w:rPr>
                <w:noProof/>
              </w:rPr>
              <w:t>m;</w:t>
            </w:r>
          </w:p>
          <w:p w14:paraId="471B6541" w14:textId="77777777" w:rsidR="003F46B9" w:rsidRDefault="0065662E">
            <w:pPr>
              <w:pStyle w:val="P68B1DB1-Normal5"/>
              <w:spacing w:after="0" w:line="240" w:lineRule="auto"/>
              <w:jc w:val="both"/>
              <w:rPr>
                <w:rFonts w:eastAsia="Times New Roman" w:cs="Times New Roman"/>
                <w:noProof/>
              </w:rPr>
            </w:pPr>
            <w:r>
              <w:rPr>
                <w:noProof/>
              </w:rPr>
              <w:t xml:space="preserve">—registrirati sva javna bespovratna sredstva za kulturu koja su već dodijeljena kako bi se spriječilo dvostruko financiranje; </w:t>
            </w:r>
          </w:p>
          <w:p w14:paraId="01084A54" w14:textId="77777777" w:rsidR="003F46B9" w:rsidRDefault="0065662E">
            <w:pPr>
              <w:pStyle w:val="P68B1DB1-Normal5"/>
              <w:spacing w:after="0" w:line="240" w:lineRule="auto"/>
              <w:jc w:val="both"/>
              <w:rPr>
                <w:rFonts w:eastAsia="Times New Roman" w:cs="Times New Roman"/>
                <w:noProof/>
              </w:rPr>
            </w:pPr>
            <w:r>
              <w:rPr>
                <w:noProof/>
              </w:rPr>
              <w:t>—upotrebljava se kao instrument za prikupljanje podataka o potrošnji za kulturu na razini svih i svih lokaliteta i regija, o t</w:t>
            </w:r>
            <w:r>
              <w:rPr>
                <w:noProof/>
              </w:rPr>
              <w:t>roškovima kulture po vrsti projekata i omogućuje donošenje odluka na temelju dokaza u području kulturne politike;</w:t>
            </w:r>
          </w:p>
          <w:p w14:paraId="36183895" w14:textId="77777777" w:rsidR="003F46B9" w:rsidRDefault="0065662E">
            <w:pPr>
              <w:pStyle w:val="P68B1DB1-Normal5"/>
              <w:spacing w:after="0" w:line="240" w:lineRule="auto"/>
              <w:jc w:val="both"/>
              <w:rPr>
                <w:rFonts w:eastAsia="Times New Roman" w:cs="Times New Roman"/>
                <w:noProof/>
              </w:rPr>
            </w:pPr>
            <w:r>
              <w:rPr>
                <w:noProof/>
              </w:rPr>
              <w:t>— omogućiti transparentan pristup projektima koji nisu povjerljivi, informacijama za promotore projekata i širu javnost.</w:t>
            </w:r>
          </w:p>
        </w:tc>
      </w:tr>
      <w:tr w:rsidR="003F46B9" w14:paraId="0AEF023B"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4E012666" w14:textId="77777777" w:rsidR="003F46B9" w:rsidRDefault="0065662E">
            <w:pPr>
              <w:pStyle w:val="P68B1DB1-Normal5"/>
              <w:spacing w:after="0" w:line="240" w:lineRule="auto"/>
              <w:jc w:val="center"/>
              <w:rPr>
                <w:rFonts w:eastAsia="Times New Roman" w:cs="Times New Roman"/>
                <w:noProof/>
              </w:rPr>
            </w:pPr>
            <w:r>
              <w:rPr>
                <w:noProof/>
              </w:rPr>
              <w:t>349</w:t>
            </w:r>
          </w:p>
        </w:tc>
        <w:tc>
          <w:tcPr>
            <w:tcW w:w="1558" w:type="dxa"/>
            <w:tcBorders>
              <w:top w:val="nil"/>
              <w:left w:val="nil"/>
              <w:bottom w:val="single" w:sz="4" w:space="0" w:color="auto"/>
              <w:right w:val="single" w:sz="4" w:space="0" w:color="auto"/>
            </w:tcBorders>
            <w:shd w:val="clear" w:color="auto" w:fill="C6EFCE"/>
            <w:noWrap/>
          </w:tcPr>
          <w:p w14:paraId="1D2AF5D7" w14:textId="77777777" w:rsidR="003F46B9" w:rsidRDefault="0065662E">
            <w:pPr>
              <w:pStyle w:val="P68B1DB1-Normal5"/>
              <w:spacing w:after="0" w:line="240" w:lineRule="auto"/>
              <w:jc w:val="both"/>
              <w:rPr>
                <w:rFonts w:cs="Times New Roman"/>
                <w:noProof/>
              </w:rPr>
            </w:pPr>
            <w:r>
              <w:rPr>
                <w:noProof/>
              </w:rPr>
              <w:t xml:space="preserve">Ulaganje 7. </w:t>
            </w:r>
            <w:r>
              <w:rPr>
                <w:noProof/>
              </w:rPr>
              <w:t>Ubrzavanje digitalizacije produkcije i distribucije filmova</w:t>
            </w:r>
          </w:p>
        </w:tc>
        <w:tc>
          <w:tcPr>
            <w:tcW w:w="1278" w:type="dxa"/>
            <w:tcBorders>
              <w:top w:val="nil"/>
              <w:left w:val="nil"/>
              <w:bottom w:val="single" w:sz="4" w:space="0" w:color="auto"/>
              <w:right w:val="single" w:sz="4" w:space="0" w:color="auto"/>
            </w:tcBorders>
            <w:shd w:val="clear" w:color="auto" w:fill="C6EFCE"/>
            <w:noWrap/>
          </w:tcPr>
          <w:p w14:paraId="14260A55" w14:textId="77777777" w:rsidR="003F46B9" w:rsidRDefault="0065662E">
            <w:pPr>
              <w:pStyle w:val="P68B1DB1-Normal5"/>
              <w:spacing w:after="0" w:line="240" w:lineRule="auto"/>
              <w:jc w:val="center"/>
              <w:rPr>
                <w:rFonts w:cs="Times New Roman"/>
                <w:noProof/>
              </w:rPr>
            </w:pPr>
            <w:r>
              <w:rPr>
                <w:noProof/>
              </w:rPr>
              <w:t>Prekretnica</w:t>
            </w:r>
          </w:p>
        </w:tc>
        <w:tc>
          <w:tcPr>
            <w:tcW w:w="1490" w:type="dxa"/>
            <w:tcBorders>
              <w:top w:val="nil"/>
              <w:left w:val="nil"/>
              <w:bottom w:val="single" w:sz="4" w:space="0" w:color="auto"/>
              <w:right w:val="single" w:sz="4" w:space="0" w:color="auto"/>
            </w:tcBorders>
            <w:shd w:val="clear" w:color="auto" w:fill="C6EFCE"/>
            <w:noWrap/>
          </w:tcPr>
          <w:p w14:paraId="12670E76" w14:textId="77777777" w:rsidR="003F46B9" w:rsidRDefault="0065662E">
            <w:pPr>
              <w:pStyle w:val="P68B1DB1-Normal5"/>
              <w:spacing w:after="0" w:line="240" w:lineRule="auto"/>
              <w:jc w:val="both"/>
              <w:rPr>
                <w:rFonts w:cs="Times New Roman"/>
                <w:noProof/>
              </w:rPr>
            </w:pPr>
            <w:r>
              <w:rPr>
                <w:noProof/>
              </w:rPr>
              <w:t>Potpisivanje ugovora o financiranju</w:t>
            </w:r>
          </w:p>
          <w:p w14:paraId="16A28575" w14:textId="77777777" w:rsidR="003F46B9" w:rsidRDefault="003F46B9">
            <w:pPr>
              <w:spacing w:after="0" w:line="240" w:lineRule="auto"/>
              <w:jc w:val="both"/>
              <w:rPr>
                <w:rFonts w:ascii="Times New Roman" w:hAnsi="Times New Roman" w:cs="Times New Roman"/>
                <w:noProof/>
                <w:sz w:val="24"/>
              </w:rPr>
            </w:pPr>
          </w:p>
        </w:tc>
        <w:tc>
          <w:tcPr>
            <w:tcW w:w="1628" w:type="dxa"/>
            <w:tcBorders>
              <w:top w:val="nil"/>
              <w:left w:val="nil"/>
              <w:bottom w:val="single" w:sz="4" w:space="0" w:color="auto"/>
              <w:right w:val="single" w:sz="4" w:space="0" w:color="auto"/>
            </w:tcBorders>
            <w:shd w:val="clear" w:color="auto" w:fill="C6EFCE"/>
            <w:noWrap/>
          </w:tcPr>
          <w:p w14:paraId="73E6A301" w14:textId="77777777" w:rsidR="003F46B9" w:rsidRDefault="0065662E">
            <w:pPr>
              <w:pStyle w:val="P68B1DB1-Normal5"/>
              <w:spacing w:after="0" w:line="240" w:lineRule="auto"/>
              <w:jc w:val="both"/>
              <w:rPr>
                <w:rFonts w:cs="Times New Roman"/>
                <w:noProof/>
              </w:rPr>
            </w:pPr>
            <w:r>
              <w:rPr>
                <w:noProof/>
              </w:rPr>
              <w:t>Potpisivanje ugovora</w:t>
            </w:r>
          </w:p>
        </w:tc>
        <w:tc>
          <w:tcPr>
            <w:tcW w:w="1274" w:type="dxa"/>
            <w:tcBorders>
              <w:top w:val="nil"/>
              <w:left w:val="nil"/>
              <w:bottom w:val="single" w:sz="4" w:space="0" w:color="auto"/>
              <w:right w:val="single" w:sz="4" w:space="0" w:color="auto"/>
            </w:tcBorders>
            <w:shd w:val="clear" w:color="auto" w:fill="C6EFCE"/>
            <w:noWrap/>
          </w:tcPr>
          <w:p w14:paraId="720864D5" w14:textId="77777777" w:rsidR="003F46B9" w:rsidRDefault="003F46B9">
            <w:pPr>
              <w:spacing w:after="0" w:line="240" w:lineRule="auto"/>
              <w:rPr>
                <w:rFonts w:ascii="Times New Roman" w:eastAsia="Times New Roman" w:hAnsi="Times New Roman" w:cs="Times New Roman"/>
                <w:noProof/>
                <w:sz w:val="24"/>
              </w:rPr>
            </w:pPr>
          </w:p>
        </w:tc>
        <w:tc>
          <w:tcPr>
            <w:tcW w:w="1136" w:type="dxa"/>
            <w:tcBorders>
              <w:top w:val="nil"/>
              <w:left w:val="nil"/>
              <w:bottom w:val="single" w:sz="4" w:space="0" w:color="auto"/>
              <w:right w:val="single" w:sz="4" w:space="0" w:color="auto"/>
            </w:tcBorders>
            <w:shd w:val="clear" w:color="auto" w:fill="C6EFCE"/>
            <w:noWrap/>
          </w:tcPr>
          <w:p w14:paraId="471128CE" w14:textId="77777777" w:rsidR="003F46B9" w:rsidRDefault="003F46B9">
            <w:pPr>
              <w:spacing w:after="0" w:line="240" w:lineRule="auto"/>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78573030" w14:textId="77777777" w:rsidR="003F46B9" w:rsidRDefault="003F46B9">
            <w:pPr>
              <w:spacing w:after="0" w:line="240" w:lineRule="auto"/>
              <w:rPr>
                <w:rFonts w:ascii="Times New Roman" w:eastAsia="Times New Roman" w:hAnsi="Times New Roman" w:cs="Times New Roman"/>
                <w:noProof/>
                <w:sz w:val="24"/>
              </w:rPr>
            </w:pPr>
          </w:p>
        </w:tc>
        <w:tc>
          <w:tcPr>
            <w:tcW w:w="1102" w:type="dxa"/>
            <w:tcBorders>
              <w:top w:val="nil"/>
              <w:left w:val="nil"/>
              <w:bottom w:val="single" w:sz="4" w:space="0" w:color="auto"/>
              <w:right w:val="single" w:sz="4" w:space="0" w:color="auto"/>
            </w:tcBorders>
            <w:shd w:val="clear" w:color="auto" w:fill="C6EFCE"/>
            <w:noWrap/>
          </w:tcPr>
          <w:p w14:paraId="43E09AF9" w14:textId="77777777" w:rsidR="003F46B9" w:rsidRDefault="0065662E">
            <w:pPr>
              <w:pStyle w:val="P68B1DB1-Normal5"/>
              <w:spacing w:after="0" w:line="240" w:lineRule="auto"/>
              <w:jc w:val="center"/>
              <w:rPr>
                <w:rFonts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1AA60DEA" w14:textId="77777777" w:rsidR="003F46B9" w:rsidRDefault="0065662E">
            <w:pPr>
              <w:pStyle w:val="P68B1DB1-Normal5"/>
              <w:spacing w:after="0" w:line="240" w:lineRule="auto"/>
              <w:jc w:val="center"/>
              <w:rPr>
                <w:rFonts w:cs="Times New Roman"/>
                <w:noProof/>
              </w:rPr>
            </w:pPr>
            <w:r>
              <w:rPr>
                <w:noProof/>
              </w:rPr>
              <w:t>2023</w:t>
            </w:r>
          </w:p>
        </w:tc>
        <w:tc>
          <w:tcPr>
            <w:tcW w:w="3568" w:type="dxa"/>
            <w:tcBorders>
              <w:top w:val="nil"/>
              <w:left w:val="nil"/>
              <w:bottom w:val="single" w:sz="4" w:space="0" w:color="auto"/>
              <w:right w:val="single" w:sz="4" w:space="0" w:color="auto"/>
            </w:tcBorders>
            <w:shd w:val="clear" w:color="auto" w:fill="C6EFCE"/>
            <w:noWrap/>
          </w:tcPr>
          <w:p w14:paraId="6F707A1C" w14:textId="10C12B0B" w:rsidR="003F46B9" w:rsidRDefault="0065662E">
            <w:pPr>
              <w:pStyle w:val="P68B1DB1-Normal5"/>
              <w:spacing w:after="0" w:line="240" w:lineRule="auto"/>
              <w:jc w:val="both"/>
              <w:rPr>
                <w:rFonts w:eastAsia="Times New Roman" w:cs="Times New Roman"/>
                <w:noProof/>
              </w:rPr>
            </w:pPr>
            <w:r>
              <w:rPr>
                <w:noProof/>
              </w:rPr>
              <w:t>Ugovori se potpisuju s filmskim producentima i distributerima nakon poziva na podnošenje projekata s admin</w:t>
            </w:r>
            <w:r>
              <w:rPr>
                <w:noProof/>
              </w:rPr>
              <w:t xml:space="preserve">istrativnim kontrolama, uključujući uvjete za dodjelu de minimis potpora. </w:t>
            </w:r>
          </w:p>
          <w:p w14:paraId="4909758A" w14:textId="77777777" w:rsidR="003F46B9" w:rsidRDefault="0065662E">
            <w:pPr>
              <w:pStyle w:val="P68B1DB1-Normal5"/>
              <w:spacing w:after="0" w:line="240" w:lineRule="auto"/>
              <w:jc w:val="both"/>
              <w:rPr>
                <w:rFonts w:eastAsia="Times New Roman" w:cs="Times New Roman"/>
                <w:noProof/>
              </w:rPr>
            </w:pPr>
            <w:r>
              <w:rPr>
                <w:noProof/>
              </w:rPr>
              <w:t>Financiranje se uvjetuje privlačenjem/zadržavanjem minimalnog broja zaposlenika specijaliziranih za digitalna područja. Prihvatljive aktivnosti uključuju razvoj kapaciteta za uređiv</w:t>
            </w:r>
            <w:r>
              <w:rPr>
                <w:noProof/>
              </w:rPr>
              <w:t>anje/postprodukciju digitalnih proizvoda, stvaranje mikroplatformi za video na zahtjev, marketing i digitalizaciju (nabava informatičke opreme – uređivanje videozapisa, digitalno titlovanje, digitalno arhiviranje), razvoj i distribucija audiovizualnog kult</w:t>
            </w:r>
            <w:r>
              <w:rPr>
                <w:noProof/>
              </w:rPr>
              <w:t>urnog sadržaja, osposobljavanje osoblja za stjecanje digitalnih vještina. Ulaganje koje treba poduprijeti uključuje i potporu za proizvodnju i distribuciju digitalnog sadržaja.</w:t>
            </w:r>
          </w:p>
        </w:tc>
      </w:tr>
      <w:tr w:rsidR="003F46B9" w14:paraId="0F078C9E" w14:textId="77777777">
        <w:trPr>
          <w:trHeight w:val="309"/>
          <w:jc w:val="center"/>
        </w:trPr>
        <w:tc>
          <w:tcPr>
            <w:tcW w:w="845" w:type="dxa"/>
            <w:tcBorders>
              <w:top w:val="nil"/>
              <w:left w:val="single" w:sz="4" w:space="0" w:color="auto"/>
              <w:bottom w:val="single" w:sz="4" w:space="0" w:color="auto"/>
              <w:right w:val="single" w:sz="4" w:space="0" w:color="auto"/>
            </w:tcBorders>
            <w:shd w:val="clear" w:color="auto" w:fill="C6EFCE"/>
            <w:noWrap/>
          </w:tcPr>
          <w:p w14:paraId="0E3555C6" w14:textId="77777777" w:rsidR="003F46B9" w:rsidRDefault="0065662E">
            <w:pPr>
              <w:pStyle w:val="P68B1DB1-Normal5"/>
              <w:spacing w:after="0" w:line="240" w:lineRule="auto"/>
              <w:jc w:val="center"/>
              <w:rPr>
                <w:rFonts w:eastAsia="Times New Roman" w:cs="Times New Roman"/>
                <w:noProof/>
              </w:rPr>
            </w:pPr>
            <w:r>
              <w:rPr>
                <w:noProof/>
              </w:rPr>
              <w:t>350</w:t>
            </w:r>
          </w:p>
        </w:tc>
        <w:tc>
          <w:tcPr>
            <w:tcW w:w="1558" w:type="dxa"/>
            <w:tcBorders>
              <w:top w:val="nil"/>
              <w:left w:val="nil"/>
              <w:bottom w:val="single" w:sz="4" w:space="0" w:color="auto"/>
              <w:right w:val="single" w:sz="4" w:space="0" w:color="auto"/>
            </w:tcBorders>
            <w:shd w:val="clear" w:color="auto" w:fill="C6EFCE"/>
            <w:noWrap/>
          </w:tcPr>
          <w:p w14:paraId="2F283338" w14:textId="77777777" w:rsidR="003F46B9" w:rsidRDefault="0065662E">
            <w:pPr>
              <w:pStyle w:val="P68B1DB1-Normal5"/>
              <w:spacing w:after="0" w:line="240" w:lineRule="auto"/>
              <w:jc w:val="both"/>
              <w:rPr>
                <w:rFonts w:cs="Times New Roman"/>
                <w:noProof/>
              </w:rPr>
            </w:pPr>
            <w:r>
              <w:rPr>
                <w:noProof/>
              </w:rPr>
              <w:t>Ulaganje 7. Ubrzavanje digitalizacije produkcije i distribucije filmova</w:t>
            </w:r>
          </w:p>
        </w:tc>
        <w:tc>
          <w:tcPr>
            <w:tcW w:w="1278" w:type="dxa"/>
            <w:tcBorders>
              <w:top w:val="nil"/>
              <w:left w:val="nil"/>
              <w:bottom w:val="single" w:sz="4" w:space="0" w:color="auto"/>
              <w:right w:val="single" w:sz="4" w:space="0" w:color="auto"/>
            </w:tcBorders>
            <w:shd w:val="clear" w:color="auto" w:fill="C6EFCE"/>
            <w:noWrap/>
          </w:tcPr>
          <w:p w14:paraId="3441BE37" w14:textId="77777777" w:rsidR="003F46B9" w:rsidRDefault="0065662E">
            <w:pPr>
              <w:pStyle w:val="P68B1DB1-Normal5"/>
              <w:spacing w:after="0" w:line="240" w:lineRule="auto"/>
              <w:jc w:val="center"/>
              <w:rPr>
                <w:rFonts w:cs="Times New Roman"/>
                <w:noProof/>
              </w:rPr>
            </w:pPr>
            <w:r>
              <w:rPr>
                <w:noProof/>
              </w:rPr>
              <w:t>Ciljna</w:t>
            </w:r>
          </w:p>
        </w:tc>
        <w:tc>
          <w:tcPr>
            <w:tcW w:w="1490" w:type="dxa"/>
            <w:tcBorders>
              <w:top w:val="nil"/>
              <w:left w:val="nil"/>
              <w:bottom w:val="single" w:sz="4" w:space="0" w:color="auto"/>
              <w:right w:val="single" w:sz="4" w:space="0" w:color="auto"/>
            </w:tcBorders>
            <w:shd w:val="clear" w:color="auto" w:fill="C6EFCE"/>
            <w:noWrap/>
          </w:tcPr>
          <w:p w14:paraId="592B19C6" w14:textId="77777777" w:rsidR="003F46B9" w:rsidRDefault="0065662E">
            <w:pPr>
              <w:pStyle w:val="P68B1DB1-Normal5"/>
              <w:spacing w:after="0" w:line="240" w:lineRule="auto"/>
              <w:jc w:val="both"/>
              <w:rPr>
                <w:rFonts w:cs="Times New Roman"/>
                <w:noProof/>
              </w:rPr>
            </w:pPr>
            <w:r>
              <w:rPr>
                <w:noProof/>
              </w:rPr>
              <w:t>Filmski producenti i distributeri s povećanim digitalnim kompetencijama</w:t>
            </w:r>
          </w:p>
        </w:tc>
        <w:tc>
          <w:tcPr>
            <w:tcW w:w="1628" w:type="dxa"/>
            <w:tcBorders>
              <w:top w:val="nil"/>
              <w:left w:val="nil"/>
              <w:bottom w:val="single" w:sz="4" w:space="0" w:color="auto"/>
              <w:right w:val="single" w:sz="4" w:space="0" w:color="auto"/>
            </w:tcBorders>
            <w:shd w:val="clear" w:color="auto" w:fill="C6EFCE"/>
            <w:noWrap/>
          </w:tcPr>
          <w:p w14:paraId="658899F1" w14:textId="77777777" w:rsidR="003F46B9" w:rsidRDefault="0065662E">
            <w:pPr>
              <w:pStyle w:val="P68B1DB1-Normal5"/>
              <w:spacing w:after="0" w:line="240" w:lineRule="auto"/>
              <w:jc w:val="both"/>
              <w:rPr>
                <w:rFonts w:cs="Times New Roman"/>
                <w:noProof/>
              </w:rPr>
            </w:pPr>
            <w:r>
              <w:rPr>
                <w:noProof/>
              </w:rPr>
              <w:t xml:space="preserve"> </w:t>
            </w:r>
          </w:p>
        </w:tc>
        <w:tc>
          <w:tcPr>
            <w:tcW w:w="1274" w:type="dxa"/>
            <w:tcBorders>
              <w:top w:val="nil"/>
              <w:left w:val="nil"/>
              <w:bottom w:val="single" w:sz="4" w:space="0" w:color="auto"/>
              <w:right w:val="single" w:sz="4" w:space="0" w:color="auto"/>
            </w:tcBorders>
            <w:shd w:val="clear" w:color="auto" w:fill="C6EFCE"/>
            <w:noWrap/>
          </w:tcPr>
          <w:p w14:paraId="4486AAA9" w14:textId="77777777" w:rsidR="003F46B9" w:rsidRDefault="0065662E">
            <w:pPr>
              <w:pStyle w:val="P68B1DB1-Normal5"/>
              <w:spacing w:after="0" w:line="240" w:lineRule="auto"/>
              <w:rPr>
                <w:rFonts w:eastAsia="Times New Roman" w:cs="Times New Roman"/>
                <w:noProof/>
              </w:rPr>
            </w:pPr>
            <w:r>
              <w:rPr>
                <w:noProof/>
              </w:rPr>
              <w:t>Broj</w:t>
            </w:r>
          </w:p>
        </w:tc>
        <w:tc>
          <w:tcPr>
            <w:tcW w:w="1136" w:type="dxa"/>
            <w:tcBorders>
              <w:top w:val="nil"/>
              <w:left w:val="nil"/>
              <w:bottom w:val="single" w:sz="4" w:space="0" w:color="auto"/>
              <w:right w:val="single" w:sz="4" w:space="0" w:color="auto"/>
            </w:tcBorders>
            <w:shd w:val="clear" w:color="auto" w:fill="C6EFCE"/>
            <w:noWrap/>
          </w:tcPr>
          <w:p w14:paraId="7D4DF5C0" w14:textId="77777777" w:rsidR="003F46B9" w:rsidRDefault="0065662E">
            <w:pPr>
              <w:pStyle w:val="P68B1DB1-Normal5"/>
              <w:spacing w:after="0" w:line="240" w:lineRule="auto"/>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32D9B738" w14:textId="77777777" w:rsidR="003F46B9" w:rsidRDefault="0065662E">
            <w:pPr>
              <w:pStyle w:val="P68B1DB1-Normal5"/>
              <w:spacing w:after="0" w:line="240" w:lineRule="auto"/>
              <w:rPr>
                <w:rFonts w:eastAsia="Times New Roman" w:cs="Times New Roman"/>
                <w:noProof/>
              </w:rPr>
            </w:pPr>
            <w:r>
              <w:rPr>
                <w:noProof/>
              </w:rPr>
              <w:t>40</w:t>
            </w:r>
          </w:p>
        </w:tc>
        <w:tc>
          <w:tcPr>
            <w:tcW w:w="1102" w:type="dxa"/>
            <w:tcBorders>
              <w:top w:val="nil"/>
              <w:left w:val="nil"/>
              <w:bottom w:val="single" w:sz="4" w:space="0" w:color="auto"/>
              <w:right w:val="single" w:sz="4" w:space="0" w:color="auto"/>
            </w:tcBorders>
            <w:shd w:val="clear" w:color="auto" w:fill="C6EFCE"/>
            <w:noWrap/>
          </w:tcPr>
          <w:p w14:paraId="6556AB8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58" w:type="dxa"/>
            <w:tcBorders>
              <w:top w:val="nil"/>
              <w:left w:val="nil"/>
              <w:bottom w:val="single" w:sz="4" w:space="0" w:color="auto"/>
              <w:right w:val="single" w:sz="4" w:space="0" w:color="auto"/>
            </w:tcBorders>
            <w:shd w:val="clear" w:color="auto" w:fill="C6EFCE"/>
            <w:noWrap/>
          </w:tcPr>
          <w:p w14:paraId="48FFE948" w14:textId="77777777" w:rsidR="003F46B9" w:rsidRDefault="0065662E">
            <w:pPr>
              <w:pStyle w:val="P68B1DB1-Normal5"/>
              <w:spacing w:after="0" w:line="240" w:lineRule="auto"/>
              <w:jc w:val="center"/>
              <w:rPr>
                <w:rFonts w:eastAsia="Times New Roman" w:cs="Times New Roman"/>
                <w:noProof/>
              </w:rPr>
            </w:pPr>
            <w:r>
              <w:rPr>
                <w:noProof/>
              </w:rPr>
              <w:t>2025</w:t>
            </w:r>
          </w:p>
        </w:tc>
        <w:tc>
          <w:tcPr>
            <w:tcW w:w="3568" w:type="dxa"/>
            <w:tcBorders>
              <w:top w:val="nil"/>
              <w:left w:val="nil"/>
              <w:bottom w:val="single" w:sz="4" w:space="0" w:color="auto"/>
              <w:right w:val="single" w:sz="4" w:space="0" w:color="auto"/>
            </w:tcBorders>
            <w:shd w:val="clear" w:color="auto" w:fill="C6EFCE"/>
            <w:noWrap/>
          </w:tcPr>
          <w:p w14:paraId="1CA55DAE" w14:textId="0C0BD236" w:rsidR="003F46B9" w:rsidRDefault="0065662E">
            <w:pPr>
              <w:pStyle w:val="P68B1DB1-Normal5"/>
              <w:spacing w:after="0" w:line="240" w:lineRule="auto"/>
              <w:jc w:val="both"/>
              <w:rPr>
                <w:rFonts w:eastAsia="Times New Roman" w:cs="Times New Roman"/>
                <w:noProof/>
              </w:rPr>
            </w:pPr>
            <w:r>
              <w:rPr>
                <w:noProof/>
              </w:rPr>
              <w:t xml:space="preserve">40 mikro, malih i srednjih poduzeća i drugih pravnih osoba (uključujući nevladine organizacije i velika poduzeća) koje se bave proizvodnjom i </w:t>
            </w:r>
            <w:r>
              <w:rPr>
                <w:noProof/>
              </w:rPr>
              <w:t>distribucijom filmova, uključujući kinematografske filmove, koji su razvili digitalni sadržaj, stekli digitalne vještine za uređivanje i postprodukciju digitalnih proizvoda.</w:t>
            </w:r>
          </w:p>
        </w:tc>
      </w:tr>
    </w:tbl>
    <w:p w14:paraId="2FAA49EA"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247"/>
          <w:headerReference w:type="default" r:id="rId248"/>
          <w:footerReference w:type="even" r:id="rId249"/>
          <w:footerReference w:type="default" r:id="rId250"/>
          <w:headerReference w:type="first" r:id="rId251"/>
          <w:footerReference w:type="first" r:id="rId252"/>
          <w:pgSz w:w="16839" w:h="11907" w:orient="landscape"/>
          <w:pgMar w:top="720" w:right="720" w:bottom="720" w:left="720" w:header="709" w:footer="709" w:gutter="0"/>
          <w:cols w:space="720"/>
          <w:docGrid w:linePitch="360"/>
        </w:sectPr>
      </w:pPr>
    </w:p>
    <w:p w14:paraId="3B387938"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 DIO 12.: </w:t>
      </w:r>
      <w:r>
        <w:rPr>
          <w:noProof/>
        </w:rPr>
        <w:t>Zdravstvo</w:t>
      </w:r>
    </w:p>
    <w:p w14:paraId="008F28B2" w14:textId="77777777" w:rsidR="003F46B9" w:rsidRDefault="0065662E">
      <w:pPr>
        <w:pStyle w:val="P68B1DB1-Normal5"/>
        <w:spacing w:before="120" w:after="120" w:line="240" w:lineRule="auto"/>
        <w:ind w:left="850"/>
        <w:jc w:val="both"/>
        <w:rPr>
          <w:rFonts w:cs="Times New Roman"/>
          <w:noProof/>
        </w:rPr>
      </w:pPr>
      <w:r>
        <w:rPr>
          <w:noProof/>
        </w:rPr>
        <w:t>Komponenta Zdravstvene skrbi u planu za oporavak i otpornost sastoji se od triju reformi i dvaju ulaganja kojima se rješavaju ključni izazovi u zdravstvenom sustavu. Glavni su ciljevi smanjenje stope smrtnosti koja se može izbjeći, smanjenje regi</w:t>
      </w:r>
      <w:r>
        <w:rPr>
          <w:noProof/>
        </w:rPr>
        <w:t>onalnih, socijalnih i ruralnih i urbanih razlika u pristupu osnovnim zdravstvenim uslugama, povećanje pristupa kvalitetnim zdravstvenim uslugama, poboljšanje bolničke i prebolničke infrastrukture te optimizacija rashoda za zdravstvenu skrb i upravljanje re</w:t>
      </w:r>
      <w:r>
        <w:rPr>
          <w:noProof/>
        </w:rPr>
        <w:t>sursima.</w:t>
      </w:r>
    </w:p>
    <w:p w14:paraId="0F18F5DB" w14:textId="77777777" w:rsidR="003F46B9" w:rsidRDefault="0065662E">
      <w:pPr>
        <w:pStyle w:val="P68B1DB1-Normal5"/>
        <w:spacing w:before="120" w:after="120" w:line="240" w:lineRule="auto"/>
        <w:ind w:left="850"/>
        <w:jc w:val="both"/>
        <w:rPr>
          <w:rFonts w:cs="Times New Roman"/>
          <w:noProof/>
        </w:rPr>
      </w:pPr>
      <w:r>
        <w:rPr>
          <w:noProof/>
        </w:rPr>
        <w:t>Komponenta pridonosi ispunjavanju preporuke Rumunjske za poboljšanje pristupa zdravstvenoj skrbi i njezine troškovne učinkovitosti, među ostalim prelaskom na izvanbolničku skrb (preporuka za pojedinu zemlju br. 3, 2019.). U njemu se razmatra i pre</w:t>
      </w:r>
      <w:r>
        <w:rPr>
          <w:noProof/>
        </w:rPr>
        <w:t>poruka o jačanju otpornosti zdravstvenog sustava, među ostalim u područjima zdravstvenih radnika i medicinskih proizvoda, te poboljšanju pristupa zdravstvenim uslugama (preporuka za pojedinu zemlju 1., 2020.).</w:t>
      </w:r>
    </w:p>
    <w:p w14:paraId="4B9C8716" w14:textId="77777777" w:rsidR="003F46B9" w:rsidRDefault="0065662E">
      <w:pPr>
        <w:pStyle w:val="P68B1DB1-Normal5"/>
        <w:spacing w:before="120" w:after="120" w:line="240" w:lineRule="auto"/>
        <w:ind w:left="850"/>
        <w:jc w:val="both"/>
        <w:rPr>
          <w:rFonts w:cs="Times New Roman"/>
          <w:noProof/>
        </w:rPr>
      </w:pPr>
      <w:r>
        <w:rPr>
          <w:noProof/>
        </w:rPr>
        <w:t>Očekuje se da se nijednom mjerom u ovoj kompon</w:t>
      </w:r>
      <w:r>
        <w:rPr>
          <w:noProof/>
        </w:rPr>
        <w:t>enti ne nanosi znatna šteta okolišnim ciljevima u smislu članka 17. Uredbe (EU) 2020/852, uzimajući u obzir opis mjera i korake ublažavanja utvrđene u planu za oporavak i otpornost u skladu s Tehničkim smjernicama DNSH-a (2021/C58/01).</w:t>
      </w:r>
    </w:p>
    <w:p w14:paraId="4EF722A2" w14:textId="77777777" w:rsidR="003F46B9" w:rsidRDefault="0065662E">
      <w:pPr>
        <w:keepNext/>
        <w:spacing w:before="120" w:after="120" w:line="240" w:lineRule="auto"/>
        <w:ind w:left="851"/>
        <w:jc w:val="both"/>
        <w:outlineLvl w:val="1"/>
        <w:rPr>
          <w:rFonts w:ascii="Times New Roman" w:eastAsiaTheme="majorEastAsia" w:hAnsi="Times New Roman" w:cs="Times New Roman"/>
          <w:b/>
          <w:noProof/>
          <w:sz w:val="24"/>
        </w:rPr>
      </w:pPr>
      <w:r>
        <w:rPr>
          <w:rFonts w:ascii="Times New Roman" w:hAnsi="Times New Roman"/>
          <w:b/>
          <w:noProof/>
          <w:sz w:val="24"/>
        </w:rPr>
        <w:t xml:space="preserve">L.1. </w:t>
      </w:r>
      <w:r>
        <w:rPr>
          <w:noProof/>
        </w:rPr>
        <w:tab/>
      </w:r>
      <w:r>
        <w:rPr>
          <w:rFonts w:ascii="Times New Roman" w:hAnsi="Times New Roman"/>
          <w:b/>
          <w:noProof/>
          <w:sz w:val="24"/>
        </w:rPr>
        <w:t>Opis reformi i</w:t>
      </w:r>
      <w:r>
        <w:rPr>
          <w:rFonts w:ascii="Times New Roman" w:hAnsi="Times New Roman"/>
          <w:b/>
          <w:noProof/>
          <w:sz w:val="24"/>
        </w:rPr>
        <w:t xml:space="preserve"> ulaganja za programe bespovratne financijske potpore</w:t>
      </w:r>
    </w:p>
    <w:p w14:paraId="79F87584" w14:textId="77777777" w:rsidR="003F46B9" w:rsidRDefault="0065662E">
      <w:pPr>
        <w:pStyle w:val="P68B1DB1-Standard6"/>
        <w:spacing w:before="240"/>
        <w:ind w:left="130" w:firstLine="720"/>
        <w:jc w:val="both"/>
        <w:rPr>
          <w:rFonts w:ascii="Times New Roman" w:eastAsiaTheme="majorEastAsia" w:hAnsi="Times New Roman" w:cs="Times New Roman"/>
          <w:noProof/>
        </w:rPr>
      </w:pPr>
      <w:r>
        <w:rPr>
          <w:noProof/>
        </w:rPr>
        <w:t>Reforma 1. Povećani kapacitet za upravljanje fondovima za javno zdravstvo</w:t>
      </w:r>
    </w:p>
    <w:p w14:paraId="4BC152E5" w14:textId="77777777" w:rsidR="003F46B9" w:rsidRDefault="0065662E">
      <w:pPr>
        <w:pStyle w:val="P68B1DB1-Normal5"/>
        <w:spacing w:before="120" w:after="120" w:line="240" w:lineRule="auto"/>
        <w:ind w:left="850"/>
        <w:jc w:val="both"/>
        <w:rPr>
          <w:rFonts w:cs="Times New Roman"/>
          <w:noProof/>
        </w:rPr>
      </w:pPr>
      <w:r>
        <w:rPr>
          <w:noProof/>
        </w:rPr>
        <w:t>Cilj je te reforme povećati učinkovitost potrošnje za javno zdravstvo provedbom niza zakonodavnih izmjena i pilot-projektom prog</w:t>
      </w:r>
      <w:r>
        <w:rPr>
          <w:noProof/>
        </w:rPr>
        <w:t>rama bespovratnih sredstava za nagrađivanje najuspješnijih pružatelja zdravstvene zaštite na temelju objektivnih i mjerljivih kriterija.</w:t>
      </w:r>
    </w:p>
    <w:p w14:paraId="52960477" w14:textId="77777777" w:rsidR="003F46B9" w:rsidRDefault="0065662E">
      <w:pPr>
        <w:pStyle w:val="P68B1DB1-Normal5"/>
        <w:spacing w:before="120" w:after="120" w:line="240" w:lineRule="auto"/>
        <w:ind w:left="850"/>
        <w:jc w:val="both"/>
        <w:rPr>
          <w:rFonts w:cs="Times New Roman"/>
          <w:noProof/>
        </w:rPr>
      </w:pPr>
      <w:r>
        <w:rPr>
          <w:noProof/>
        </w:rPr>
        <w:t>Ta se reforma sastoji od dva dijela. Prvi se provodi provedbom pilot-programa usmjerenog na poticanje poboljšanja kvali</w:t>
      </w:r>
      <w:r>
        <w:rPr>
          <w:noProof/>
        </w:rPr>
        <w:t>tete i isplativosti zdravstvenih usluga stvaranjem, pokusnim izvođenjem i provedbom financijskih mehanizama kojima se nagrađuje uspješnost pružatelja zdravstvene zaštite (putem „Fonda za kvalitetu zdravstvenih usluga”). U tu svrhu Ministarstvo zdravstva, u</w:t>
      </w:r>
      <w:r>
        <w:rPr>
          <w:noProof/>
        </w:rPr>
        <w:t xml:space="preserve"> suradnji s nacionalnim agencijama i tijelima i koristeći se vanjskim stručnim znanjem, razvija pokazatelje kvalitete zdravstvenih usluga, modele plaćanja na temelju uspješnosti i digitalne alate za prikupljanje i praćenje pokazatelja, uspostavlja potreban</w:t>
      </w:r>
      <w:r>
        <w:rPr>
          <w:noProof/>
        </w:rPr>
        <w:t xml:space="preserve"> zakonodavni okvir, ocjenjuje izvješća o kvaliteti i izvršava plaćanja u skladu s razvijenim modelima i rezultatima procjena. Kako bi se povećala kvaliteta zdravstvenih usluga, isplate (nagrade) isplaćene iz „Fonda za kvalitetu zdravstvenih usluga” dodjelj</w:t>
      </w:r>
      <w:r>
        <w:rPr>
          <w:noProof/>
        </w:rPr>
        <w:t>uju se pružateljima s najvišim pokazateljima kvalitete. Program obuhvaća bolnice u prvoj fazi, a zatim se proširuje na druge razine zdravstvenog sustava: izvanbolničkim pacijentima i pružateljima primarne zdravstvene zaštite, kako bi se ona proširila na sv</w:t>
      </w:r>
      <w:r>
        <w:rPr>
          <w:noProof/>
        </w:rPr>
        <w:t>e vrste pružatelja zdravstvene zaštite, nakon završetka pilot-programa. Druga podreforma sastoji se od razvoja novog predloška okvirnog ugovora kojim se uređuju uvjeti pružanja zdravstvene zaštite i njegova provedbena pravila. Očekivani je učinak te reform</w:t>
      </w:r>
      <w:r>
        <w:rPr>
          <w:noProof/>
        </w:rPr>
        <w:t>e smanjenje ukupnog udjela stanovništva koje izvješćuje o nezadovoljenim zdravstvenim potrebama.</w:t>
      </w:r>
    </w:p>
    <w:p w14:paraId="60362AEF" w14:textId="77777777" w:rsidR="003F46B9" w:rsidRDefault="0065662E">
      <w:pPr>
        <w:pStyle w:val="P68B1DB1-Normal5"/>
        <w:spacing w:before="120" w:after="120" w:line="240" w:lineRule="auto"/>
        <w:ind w:left="850"/>
        <w:jc w:val="both"/>
        <w:rPr>
          <w:rFonts w:cs="Times New Roman"/>
          <w:noProof/>
        </w:rPr>
      </w:pPr>
      <w:r>
        <w:rPr>
          <w:noProof/>
        </w:rPr>
        <w:t>Ta će reforma biti usmjerena i na usluge informiranja i promidžbe, uključujući kampanje za podizanje svijesti, koje su povezane s priopćenjima za medije objavl</w:t>
      </w:r>
      <w:r>
        <w:rPr>
          <w:noProof/>
        </w:rPr>
        <w:t xml:space="preserve">jenima u pisanom i internetskom tisku, informativnim i promidžbenim materijalima o aktivnostima i dobivenim rezultatima, promidžbom na internetu (na internetskim stranicama i kanalima društvenih medija). Priopćeni materijali razrađuju se i promiču tijekom </w:t>
      </w:r>
      <w:r>
        <w:rPr>
          <w:noProof/>
        </w:rPr>
        <w:t>provedbe reforme, izvješćivanje o postupku, uključujući, među ostalim, donošenje zakonodavnog okvira, glavne rezultate pilot-projekta, uvođenje programa na javne bolnice i proširenje programa na ambulantne pacijente i pružatelje primarne zdravstvene zaštit</w:t>
      </w:r>
      <w:r>
        <w:rPr>
          <w:noProof/>
        </w:rPr>
        <w:t>e. Javno izvješćivanje dobro je uhodana metoda za promicanje modela pružanja zdravstvene skrbi koji se temelji na kvaliteti.</w:t>
      </w:r>
    </w:p>
    <w:p w14:paraId="191A0DA2" w14:textId="77777777" w:rsidR="003F46B9" w:rsidRDefault="0065662E">
      <w:pPr>
        <w:pStyle w:val="P68B1DB1-Normal5"/>
        <w:spacing w:before="120" w:after="120" w:line="240" w:lineRule="auto"/>
        <w:ind w:left="850"/>
        <w:jc w:val="both"/>
        <w:rPr>
          <w:rFonts w:cs="Times New Roman"/>
          <w:noProof/>
        </w:rPr>
      </w:pPr>
      <w:r>
        <w:rPr>
          <w:noProof/>
        </w:rPr>
        <w:t>Provedba reforme mora biti dovršena do 30. lipnja 2026.</w:t>
      </w:r>
    </w:p>
    <w:p w14:paraId="1789CE87" w14:textId="77777777" w:rsidR="003F46B9" w:rsidRDefault="0065662E">
      <w:pPr>
        <w:pStyle w:val="P68B1DB1-Standard6"/>
        <w:spacing w:before="240"/>
        <w:ind w:left="130" w:firstLine="720"/>
        <w:jc w:val="both"/>
        <w:rPr>
          <w:rFonts w:ascii="Times New Roman" w:eastAsiaTheme="majorEastAsia" w:hAnsi="Times New Roman" w:cs="Times New Roman"/>
          <w:noProof/>
        </w:rPr>
      </w:pPr>
      <w:r>
        <w:rPr>
          <w:noProof/>
        </w:rPr>
        <w:t>Reforma 2. Povećani kapacitet za ulaganja u zdravstvenu infrastrukturu</w:t>
      </w:r>
    </w:p>
    <w:p w14:paraId="1CC4E03F" w14:textId="77777777" w:rsidR="003F46B9" w:rsidRDefault="0065662E">
      <w:pPr>
        <w:pStyle w:val="P68B1DB1-Normal5"/>
        <w:spacing w:before="120" w:after="120" w:line="240" w:lineRule="auto"/>
        <w:ind w:left="850"/>
        <w:jc w:val="both"/>
        <w:rPr>
          <w:rFonts w:cs="Times New Roman"/>
          <w:noProof/>
        </w:rPr>
      </w:pPr>
      <w:r>
        <w:rPr>
          <w:noProof/>
        </w:rPr>
        <w:t>Refo</w:t>
      </w:r>
      <w:r>
        <w:rPr>
          <w:noProof/>
        </w:rPr>
        <w:t>rmom se nastoji povećati administrativni kapacitet središnjih i lokalnih vlasti za učinkovito upravljanje projektima zdravstvene infrastrukture osnivanjem i puštanjem u rad Nacionalne agencije za razvoj zdravstvene infrastrukture (ANDIS) kao javne instituc</w:t>
      </w:r>
      <w:r>
        <w:rPr>
          <w:noProof/>
        </w:rPr>
        <w:t xml:space="preserve">ije s pravnom osobnošću koja je podređena Ministarstvu zdravstva. ANDIS će, uz puni institucionalni kapacitet, moći upravljati velikim infrastrukturnim projektima u području javnog zdravstva te pružati tehničko stručno znanje na zahtjev lokalnih vlasti. </w:t>
      </w:r>
    </w:p>
    <w:p w14:paraId="47DB8423" w14:textId="77777777" w:rsidR="003F46B9" w:rsidRDefault="0065662E">
      <w:pPr>
        <w:pStyle w:val="P68B1DB1-Normal5"/>
        <w:spacing w:before="120" w:after="120" w:line="240" w:lineRule="auto"/>
        <w:ind w:left="850"/>
        <w:jc w:val="both"/>
        <w:rPr>
          <w:rFonts w:cs="Times New Roman"/>
          <w:noProof/>
        </w:rPr>
      </w:pPr>
      <w:r>
        <w:rPr>
          <w:noProof/>
        </w:rPr>
        <w:t>P</w:t>
      </w:r>
      <w:r>
        <w:rPr>
          <w:noProof/>
        </w:rPr>
        <w:t xml:space="preserve">rovedba reforme sastoji se od uspostave ANDIS-a, njegove dodjele sjedišta i osoblja (uključujući imenovanje predsjednika i upravnog odbora), aktivnosti osposobljavanja osoblja te savjetovanja i tehničke pomoći za projekte iz portfelja ANDIS-a. </w:t>
      </w:r>
    </w:p>
    <w:p w14:paraId="4B6915D8" w14:textId="77777777" w:rsidR="003F46B9" w:rsidRDefault="0065662E">
      <w:pPr>
        <w:pStyle w:val="P68B1DB1-Normal5"/>
        <w:spacing w:before="120" w:after="120" w:line="240" w:lineRule="auto"/>
        <w:ind w:left="850"/>
        <w:jc w:val="both"/>
        <w:rPr>
          <w:rFonts w:cs="Times New Roman"/>
          <w:noProof/>
        </w:rPr>
      </w:pPr>
      <w:r>
        <w:rPr>
          <w:noProof/>
        </w:rPr>
        <w:t>Provedba re</w:t>
      </w:r>
      <w:r>
        <w:rPr>
          <w:noProof/>
        </w:rPr>
        <w:t>forme mora biti dovršena do 30. lipnja 2022.</w:t>
      </w:r>
    </w:p>
    <w:p w14:paraId="1977E539" w14:textId="77777777" w:rsidR="003F46B9" w:rsidRDefault="0065662E">
      <w:pPr>
        <w:pStyle w:val="P68B1DB1-Standard27"/>
        <w:spacing w:before="240"/>
        <w:ind w:left="130" w:firstLine="720"/>
        <w:jc w:val="both"/>
        <w:rPr>
          <w:rFonts w:eastAsiaTheme="majorEastAsia" w:cs="Times New Roman"/>
          <w:noProof/>
        </w:rPr>
      </w:pPr>
      <w:r>
        <w:rPr>
          <w:noProof/>
        </w:rPr>
        <w:t>Reforma 3. Povećani kapaciteti za upravljanje zdravljem i ljudske resurse u zdravstvu</w:t>
      </w:r>
    </w:p>
    <w:p w14:paraId="27A188CF" w14:textId="77777777" w:rsidR="003F46B9" w:rsidRDefault="0065662E">
      <w:pPr>
        <w:pStyle w:val="P68B1DB1-Normal5"/>
        <w:spacing w:before="120" w:after="120" w:line="240" w:lineRule="auto"/>
        <w:ind w:left="850"/>
        <w:jc w:val="both"/>
        <w:rPr>
          <w:rFonts w:cs="Times New Roman"/>
          <w:noProof/>
        </w:rPr>
      </w:pPr>
      <w:r>
        <w:rPr>
          <w:noProof/>
        </w:rPr>
        <w:t>Reforma obuhvaća tri podreforme.</w:t>
      </w:r>
    </w:p>
    <w:p w14:paraId="7B0A4383" w14:textId="77777777" w:rsidR="003F46B9" w:rsidRDefault="0065662E">
      <w:pPr>
        <w:pStyle w:val="P68B1DB1-Normal26"/>
        <w:spacing w:before="120" w:after="120" w:line="240" w:lineRule="auto"/>
        <w:ind w:left="130" w:firstLine="720"/>
        <w:jc w:val="both"/>
        <w:rPr>
          <w:rFonts w:cs="Times New Roman"/>
          <w:noProof/>
        </w:rPr>
      </w:pPr>
      <w:r>
        <w:rPr>
          <w:noProof/>
        </w:rPr>
        <w:t>R.3.1. Reforma upravljanja zdravstvenim službama</w:t>
      </w:r>
    </w:p>
    <w:p w14:paraId="53CD0262" w14:textId="77777777" w:rsidR="003F46B9" w:rsidRDefault="0065662E">
      <w:pPr>
        <w:pStyle w:val="P68B1DB1-Normal5"/>
        <w:spacing w:before="120" w:after="120" w:line="240" w:lineRule="auto"/>
        <w:ind w:left="850"/>
        <w:jc w:val="both"/>
        <w:rPr>
          <w:rFonts w:cs="Times New Roman"/>
          <w:noProof/>
        </w:rPr>
      </w:pPr>
      <w:r>
        <w:rPr>
          <w:noProof/>
        </w:rPr>
        <w:t xml:space="preserve">Cilj je ove podreforme poboljšati znanje, </w:t>
      </w:r>
      <w:r>
        <w:rPr>
          <w:noProof/>
        </w:rPr>
        <w:t>vještine i kompetencije ljudskih resursa u upravljanju zdravstvenim uslugama na svim razinama rumunjskog zdravstvenog sustava.</w:t>
      </w:r>
    </w:p>
    <w:p w14:paraId="7AE144F0" w14:textId="77777777" w:rsidR="003F46B9" w:rsidRDefault="0065662E">
      <w:pPr>
        <w:pStyle w:val="P68B1DB1-Normal5"/>
        <w:spacing w:before="120" w:after="120" w:line="240" w:lineRule="auto"/>
        <w:ind w:left="850"/>
        <w:jc w:val="both"/>
        <w:rPr>
          <w:rFonts w:cs="Times New Roman"/>
          <w:noProof/>
        </w:rPr>
      </w:pPr>
      <w:r>
        <w:rPr>
          <w:noProof/>
        </w:rPr>
        <w:t>Podreforma se provodi zakonodavnom izmjenom glavnog zakona kojim se uređuje zdravstveni sektor (Zakon br. 95 iz 2006.). Kako bi s</w:t>
      </w:r>
      <w:r>
        <w:rPr>
          <w:noProof/>
        </w:rPr>
        <w:t>e podržale promjene ovog zakona, donosi se niz vladinih odluka. Nakon toga, centar izvrsnosti u području upravljanja zdravstvenim uslugama postaje operativni i akreditirani programi osposobljavanja za predmetne ljudske resurse u upravljanju (koji uključuju</w:t>
      </w:r>
      <w:r>
        <w:rPr>
          <w:noProof/>
        </w:rPr>
        <w:t xml:space="preserve"> članove upravnih odbora bolnica, voditelje odjela, voditelje laboratorija u zdravstvenim ustanovama, izvršne direktore, glavne liječnike, rukovoditelje) provode se u suradnji s akademskim institucijama s vodećim portfeljem u području osposobljavanja i raz</w:t>
      </w:r>
      <w:r>
        <w:rPr>
          <w:noProof/>
        </w:rPr>
        <w:t>voja ljudskih resursa odgovornih za upravljanje zdravstvenim uslugama. Očekuje se da će Ministarstvo zdravstva tijekom razdoblja provedbe reforme imati koristi od tehničke pomoći i savjetovanja koje pružaju stručnjaci.</w:t>
      </w:r>
    </w:p>
    <w:p w14:paraId="49FFEC7D" w14:textId="77777777" w:rsidR="003F46B9" w:rsidRDefault="0065662E">
      <w:pPr>
        <w:pStyle w:val="P68B1DB1-Normal5"/>
        <w:spacing w:before="120" w:after="120" w:line="240" w:lineRule="auto"/>
        <w:ind w:left="850"/>
        <w:rPr>
          <w:noProof/>
        </w:rPr>
      </w:pPr>
      <w:r>
        <w:rPr>
          <w:noProof/>
        </w:rPr>
        <w:t>Provedba podreforme mora biti dovršen</w:t>
      </w:r>
      <w:r>
        <w:rPr>
          <w:noProof/>
        </w:rPr>
        <w:t>a do 30. lipnja 2025.</w:t>
      </w:r>
    </w:p>
    <w:p w14:paraId="434C338F" w14:textId="0B7CB387" w:rsidR="003F46B9" w:rsidRDefault="0065662E">
      <w:pPr>
        <w:pStyle w:val="P68B1DB1-Normal26"/>
        <w:spacing w:before="120" w:after="120" w:line="240" w:lineRule="auto"/>
        <w:ind w:left="850"/>
        <w:rPr>
          <w:rFonts w:cs="Times New Roman"/>
          <w:noProof/>
        </w:rPr>
      </w:pPr>
      <w:r>
        <w:rPr>
          <w:noProof/>
        </w:rPr>
        <w:t>R.3.2. Razvoj ljudskih potencijala u području zdravstvene skrbi</w:t>
      </w:r>
    </w:p>
    <w:p w14:paraId="5D62D89A" w14:textId="77777777" w:rsidR="003F46B9" w:rsidRDefault="0065662E">
      <w:pPr>
        <w:pStyle w:val="P68B1DB1-Normal5"/>
        <w:spacing w:before="120" w:after="120" w:line="240" w:lineRule="auto"/>
        <w:ind w:left="850"/>
        <w:jc w:val="both"/>
        <w:rPr>
          <w:rFonts w:cs="Times New Roman"/>
          <w:noProof/>
        </w:rPr>
      </w:pPr>
      <w:r>
        <w:rPr>
          <w:noProof/>
        </w:rPr>
        <w:t xml:space="preserve">Cilj je ove podreforme ojačati kapacitete rumunjskog zdravstvenog sustava za obrazovanje, zapošljavanje, zadržavanje i motiviranje radne snage koja je spremna odgovoriti </w:t>
      </w:r>
      <w:r>
        <w:rPr>
          <w:noProof/>
        </w:rPr>
        <w:t>na trenutačne i buduće zdravstvene potrebe stanovništva.</w:t>
      </w:r>
    </w:p>
    <w:p w14:paraId="341C7C1D" w14:textId="73A49A40" w:rsidR="003F46B9" w:rsidRDefault="0065662E">
      <w:pPr>
        <w:pStyle w:val="P68B1DB1-Normal5"/>
        <w:spacing w:before="120" w:after="120" w:line="240" w:lineRule="auto"/>
        <w:ind w:left="850"/>
        <w:jc w:val="both"/>
        <w:rPr>
          <w:rFonts w:cs="Times New Roman"/>
          <w:noProof/>
        </w:rPr>
      </w:pPr>
      <w:r>
        <w:rPr>
          <w:noProof/>
        </w:rPr>
        <w:t>Podreforma se sastoji od razvoja novog strateškog okvira i prilagodbe zakonodavstva kojim se uređuje razvoj ljudskih resursa u zdravstvu te diferenciranog priznavanja profesionalnih zasluga i nagrada</w:t>
      </w:r>
      <w:r>
        <w:rPr>
          <w:noProof/>
        </w:rPr>
        <w:t xml:space="preserve"> zdravstvenih djelatnika. U okviru iste reforme uključeni su izgradnja i opremanje dvaju centara za razvoj sposobnosti i aktivnosti povezanih s osposobljavanjem 1000 zaposlenika u ustanovama javnog zdravstva koje pružaju primarnu, socijalnu i izvanbolničku</w:t>
      </w:r>
      <w:r>
        <w:rPr>
          <w:noProof/>
        </w:rPr>
        <w:t xml:space="preserve"> skrb, bolnice i druge ustanove javnog zdravstva. Nakon 2026. osposobljavanje zdravstvenih djelatnika i dalje će se financirati iz državnog proračuna.    </w:t>
      </w:r>
    </w:p>
    <w:p w14:paraId="43D23B27" w14:textId="77777777" w:rsidR="003F46B9" w:rsidRDefault="0065662E">
      <w:pPr>
        <w:pStyle w:val="P68B1DB1-Normal5"/>
        <w:spacing w:before="120" w:after="120" w:line="240" w:lineRule="auto"/>
        <w:ind w:left="850"/>
        <w:jc w:val="both"/>
        <w:rPr>
          <w:rFonts w:cs="Times New Roman"/>
          <w:noProof/>
        </w:rPr>
      </w:pPr>
      <w:r>
        <w:rPr>
          <w:noProof/>
        </w:rPr>
        <w:t>Provedba podreforme mora biti dovršena do 30. lipnja 2025.</w:t>
      </w:r>
    </w:p>
    <w:p w14:paraId="7334201B" w14:textId="77777777" w:rsidR="003F46B9" w:rsidRDefault="0065662E">
      <w:pPr>
        <w:pStyle w:val="P68B1DB1-Normal26"/>
        <w:spacing w:before="120" w:after="120" w:line="240" w:lineRule="auto"/>
        <w:ind w:left="850"/>
        <w:jc w:val="both"/>
        <w:rPr>
          <w:rFonts w:cs="Times New Roman"/>
          <w:noProof/>
        </w:rPr>
      </w:pPr>
      <w:r>
        <w:rPr>
          <w:noProof/>
        </w:rPr>
        <w:t>R.3.3. Povećanje integriteta, smanjenje ra</w:t>
      </w:r>
      <w:r>
        <w:rPr>
          <w:noProof/>
        </w:rPr>
        <w:t>njivosti i rizika od korupcije u zdravstvenom sustavu</w:t>
      </w:r>
    </w:p>
    <w:p w14:paraId="31C09CF4" w14:textId="77777777" w:rsidR="003F46B9" w:rsidRDefault="0065662E">
      <w:pPr>
        <w:pStyle w:val="P68B1DB1-Normal5"/>
        <w:spacing w:before="120" w:after="120" w:line="240" w:lineRule="auto"/>
        <w:ind w:left="850"/>
        <w:jc w:val="both"/>
        <w:rPr>
          <w:rFonts w:cs="Times New Roman"/>
          <w:noProof/>
        </w:rPr>
      </w:pPr>
      <w:r>
        <w:rPr>
          <w:noProof/>
        </w:rPr>
        <w:t xml:space="preserve">Cilj je ove podreforme poboljšati definiciju i reguliranje sukoba interesa u rumunjskom zdravstvenom sustavu te osnažiti osoblje da spriječi okolnosti koje mogu dovesti do korupcije i/ili sukoba </w:t>
      </w:r>
      <w:r>
        <w:rPr>
          <w:noProof/>
        </w:rPr>
        <w:t>interesa.</w:t>
      </w:r>
    </w:p>
    <w:p w14:paraId="4551FAE8" w14:textId="77777777" w:rsidR="003F46B9" w:rsidRDefault="0065662E">
      <w:pPr>
        <w:pStyle w:val="P68B1DB1-Normal5"/>
        <w:spacing w:before="120" w:after="120" w:line="240" w:lineRule="auto"/>
        <w:ind w:left="850"/>
        <w:jc w:val="both"/>
        <w:rPr>
          <w:rFonts w:cs="Times New Roman"/>
          <w:noProof/>
        </w:rPr>
      </w:pPr>
      <w:r>
        <w:rPr>
          <w:noProof/>
        </w:rPr>
        <w:t>Podreforma se sastoji od provedbe novog mehanizma za davanje prednosti proračunskim sredstvima Ministarstva zdravstva i Nacionalnog zavoda za zdravstveno osiguranje (CNAS) te osposobljavanja o integritetu za 3000 zaposlenika koji rade u područjim</w:t>
      </w:r>
      <w:r>
        <w:rPr>
          <w:noProof/>
        </w:rPr>
        <w:t>a povezanima sa zdravljem u središnjoj upravi, decentraliziranim ustanovama, upravljanju zdravstvenim jedinicama i osoblju koje pruža izravnu skrb pacijentima.</w:t>
      </w:r>
    </w:p>
    <w:p w14:paraId="75136DF2" w14:textId="77777777" w:rsidR="003F46B9" w:rsidRDefault="0065662E">
      <w:pPr>
        <w:pStyle w:val="P68B1DB1-Normal5"/>
        <w:spacing w:before="120" w:after="120" w:line="240" w:lineRule="auto"/>
        <w:ind w:left="850"/>
        <w:jc w:val="both"/>
        <w:rPr>
          <w:rFonts w:cs="Times New Roman"/>
          <w:noProof/>
        </w:rPr>
      </w:pPr>
      <w:r>
        <w:rPr>
          <w:noProof/>
        </w:rPr>
        <w:t>Ta će reforma biti usmjerena i na usluge informiranja i promidžbe, uključujući kampanje za podiz</w:t>
      </w:r>
      <w:r>
        <w:rPr>
          <w:noProof/>
        </w:rPr>
        <w:t>anje svijesti, koje su povezane s priopćenjima za medije objavljenima u pisanom i internetskom tisku, informativnim i promidžbenim materijalima o aktivnostima i dobivenim rezultatima, promidžbom na internetu (na internetskim stranicama i kanalima društveni</w:t>
      </w:r>
      <w:r>
        <w:rPr>
          <w:noProof/>
        </w:rPr>
        <w:t>h medija). Priopćeni materijali razrađuju se i promiču tijekom provedbe reforme, pri čemu se izvješćuje o postupku i glavnom postignutom napretku, kao što su donošenje zakonodavnog okvira, dovršetak i operacionalizacija centra izvrsnosti, uvođenje programa</w:t>
      </w:r>
      <w:r>
        <w:rPr>
          <w:noProof/>
        </w:rPr>
        <w:t xml:space="preserve"> osposobljavanja, izgradnja i opremanje dvaju centara za razvoj sposobnosti.</w:t>
      </w:r>
    </w:p>
    <w:p w14:paraId="056DCAB0" w14:textId="77777777" w:rsidR="003F46B9" w:rsidRDefault="0065662E">
      <w:pPr>
        <w:pStyle w:val="P68B1DB1-Normal5"/>
        <w:spacing w:before="120" w:after="120" w:line="240" w:lineRule="auto"/>
        <w:ind w:left="850"/>
        <w:jc w:val="both"/>
        <w:rPr>
          <w:rFonts w:cs="Times New Roman"/>
          <w:noProof/>
        </w:rPr>
      </w:pPr>
      <w:r>
        <w:rPr>
          <w:noProof/>
        </w:rPr>
        <w:t>Provedba podreforme mora biti dovršena do 30. lipnja 2025.</w:t>
      </w:r>
    </w:p>
    <w:p w14:paraId="60057975" w14:textId="77777777" w:rsidR="003F46B9" w:rsidRDefault="0065662E">
      <w:pPr>
        <w:pStyle w:val="P68B1DB1-Standard27"/>
        <w:spacing w:before="240"/>
        <w:ind w:left="130" w:firstLine="720"/>
        <w:jc w:val="both"/>
        <w:rPr>
          <w:rFonts w:eastAsiaTheme="majorEastAsia" w:cs="Times New Roman"/>
          <w:noProof/>
        </w:rPr>
      </w:pPr>
      <w:r>
        <w:rPr>
          <w:noProof/>
        </w:rPr>
        <w:t>Ulaganje 1. Razvoj pretbolničke medicinske infrastrukture</w:t>
      </w:r>
    </w:p>
    <w:p w14:paraId="4D116E32" w14:textId="77777777" w:rsidR="003F46B9" w:rsidRDefault="0065662E">
      <w:pPr>
        <w:pStyle w:val="P68B1DB1-Normal5"/>
        <w:spacing w:before="120" w:after="120" w:line="240" w:lineRule="auto"/>
        <w:ind w:left="850"/>
        <w:jc w:val="both"/>
        <w:rPr>
          <w:rFonts w:cs="Times New Roman"/>
          <w:noProof/>
        </w:rPr>
      </w:pPr>
      <w:r>
        <w:rPr>
          <w:noProof/>
        </w:rPr>
        <w:t>Cilj je tog ulaganja poboljšati pristup osoba u ruralnim podru</w:t>
      </w:r>
      <w:r>
        <w:rPr>
          <w:noProof/>
        </w:rPr>
        <w:t xml:space="preserve">čjima u nepovoljnom položaju i marginaliziranim područjima osnovnoj zdravstvenoj skrbi, uključujući prevenciju i ranu dijagnozu i usluge liječenja, te povećati složenost zdravstvenih usluga u primarnoj i izvanbolničkoj skrbi te skrbi u zajednici. Ulaganje </w:t>
      </w:r>
      <w:r>
        <w:rPr>
          <w:noProof/>
        </w:rPr>
        <w:t>uključuje sljedećih pet podulaganja. Marginalizirane regije/općine su one bez ili s ograničenim pristupom primarnoj zdravstvenoj zaštiti. Klasifikaciju marginaliziranih regija ili općina proveo je tim Svjetske banke na temelju analize stupnja oskudice u po</w:t>
      </w:r>
      <w:r>
        <w:rPr>
          <w:noProof/>
        </w:rPr>
        <w:t>gledu ljudskog kapitala, formalnog zapošljavanja i neodgovarajućih životnih uvjeta, rizika od siromaštva i socijalne isključenosti te smanjenog pristupa uslugama, zdravlju i pružanju drugih temeljnih prava kojima je pristup ograničen ili ne postoji.</w:t>
      </w:r>
    </w:p>
    <w:p w14:paraId="30BD5533" w14:textId="77777777" w:rsidR="003F46B9" w:rsidRDefault="0065662E">
      <w:pPr>
        <w:pStyle w:val="P68B1DB1-Normal5"/>
        <w:spacing w:before="120" w:after="120" w:line="240" w:lineRule="auto"/>
        <w:ind w:left="850"/>
        <w:jc w:val="both"/>
        <w:rPr>
          <w:rFonts w:cs="Times New Roman"/>
          <w:noProof/>
        </w:rPr>
      </w:pPr>
      <w:r>
        <w:rPr>
          <w:noProof/>
        </w:rPr>
        <w:t>Kriter</w:t>
      </w:r>
      <w:r>
        <w:rPr>
          <w:noProof/>
        </w:rPr>
        <w:t>iji marginalizacije i stupnja marginalizacije utvrđuju se na regionalnoj razini u skladu s metodologijama za izračun lokalnog indeksa ljudskog razvoja i indeksa razvoja predstavljenima u Atlasu marginaliziranih ruralnih područja i lokalnog ljudskog razvoja</w:t>
      </w:r>
      <w:r>
        <w:rPr>
          <w:noProof/>
        </w:rPr>
        <w:t xml:space="preserve"> u Rumunjskoj, u Atlasu marginaliziranih urbanih područja u Rumunjskoj i u znanstvenoj studiji za Nacionalnu strategiju za socijalnu uključenost i smanjenje siromaštva – prema podacima Svjetske banke. </w:t>
      </w:r>
    </w:p>
    <w:p w14:paraId="6A7A419E" w14:textId="77777777" w:rsidR="003F46B9" w:rsidRDefault="0065662E">
      <w:pPr>
        <w:pStyle w:val="P68B1DB1-Normal26"/>
        <w:spacing w:before="120" w:after="120" w:line="240" w:lineRule="auto"/>
        <w:ind w:left="130" w:firstLine="720"/>
        <w:jc w:val="both"/>
        <w:rPr>
          <w:rFonts w:cs="Times New Roman"/>
          <w:noProof/>
        </w:rPr>
      </w:pPr>
      <w:r>
        <w:rPr>
          <w:noProof/>
        </w:rPr>
        <w:t>I.1.1. Prakse obiteljskih liječnika ili udruga za prim</w:t>
      </w:r>
      <w:r>
        <w:rPr>
          <w:noProof/>
        </w:rPr>
        <w:t>arnu zdravstvenu zaštitu</w:t>
      </w:r>
    </w:p>
    <w:p w14:paraId="6F343E29" w14:textId="4725AB70" w:rsidR="003F46B9" w:rsidRDefault="0065662E">
      <w:pPr>
        <w:pStyle w:val="P68B1DB1-Normal5"/>
        <w:spacing w:before="120" w:after="120" w:line="240" w:lineRule="auto"/>
        <w:ind w:left="850"/>
        <w:jc w:val="both"/>
        <w:rPr>
          <w:rFonts w:cs="Times New Roman"/>
          <w:noProof/>
        </w:rPr>
      </w:pPr>
      <w:r>
        <w:rPr>
          <w:noProof/>
        </w:rPr>
        <w:t xml:space="preserve">Podulaganje se sastoji od obnove ili opremanja najmanje 2000 udruga za praksu ili praksu obiteljskih liječnika. To se provodi na temelju otvorenog poziva i putem centraliziranog sustava nabave. </w:t>
      </w:r>
    </w:p>
    <w:p w14:paraId="42419D16" w14:textId="77777777" w:rsidR="003F46B9" w:rsidRDefault="0065662E">
      <w:pPr>
        <w:pStyle w:val="P68B1DB1-Normal5"/>
        <w:spacing w:before="120" w:after="120" w:line="240" w:lineRule="auto"/>
        <w:ind w:left="850"/>
        <w:jc w:val="both"/>
        <w:rPr>
          <w:rFonts w:cs="Times New Roman"/>
          <w:noProof/>
        </w:rPr>
      </w:pPr>
      <w:r>
        <w:rPr>
          <w:noProof/>
        </w:rPr>
        <w:t xml:space="preserve">Provedba podulaganja mora biti </w:t>
      </w:r>
      <w:r>
        <w:rPr>
          <w:noProof/>
        </w:rPr>
        <w:t>dovršena do 30. lipnja 2023.</w:t>
      </w:r>
    </w:p>
    <w:p w14:paraId="6A3427F0" w14:textId="77777777" w:rsidR="003F46B9" w:rsidRDefault="0065662E">
      <w:pPr>
        <w:pStyle w:val="P68B1DB1-Normal26"/>
        <w:spacing w:before="120" w:after="120" w:line="240" w:lineRule="auto"/>
        <w:ind w:left="130" w:firstLine="720"/>
        <w:jc w:val="both"/>
        <w:rPr>
          <w:rFonts w:cs="Times New Roman"/>
          <w:noProof/>
        </w:rPr>
      </w:pPr>
      <w:r>
        <w:rPr>
          <w:noProof/>
        </w:rPr>
        <w:t>I.1.2. Mobilne medicinske jedinice</w:t>
      </w:r>
    </w:p>
    <w:p w14:paraId="6DECFEF2" w14:textId="77777777" w:rsidR="003F46B9" w:rsidRDefault="0065662E">
      <w:pPr>
        <w:pStyle w:val="P68B1DB1-Normal5"/>
        <w:spacing w:before="120" w:after="120" w:line="240" w:lineRule="auto"/>
        <w:ind w:left="850"/>
        <w:jc w:val="both"/>
        <w:rPr>
          <w:rFonts w:cs="Times New Roman"/>
          <w:b/>
          <w:noProof/>
        </w:rPr>
      </w:pPr>
      <w:r>
        <w:rPr>
          <w:noProof/>
        </w:rPr>
        <w:t>Podulaganje se sastoji od kupnje 10 medicinskih kamp-kućica opremljenih medicinskim proizvodima koji omogućuju obavljanje aktivnosti probira raka dojke i vrata maternice u područjima s ogranič</w:t>
      </w:r>
      <w:r>
        <w:rPr>
          <w:noProof/>
        </w:rPr>
        <w:t>enim pristupom specijaliziranim zdravstvenim uslugama. Očekuje se da se tom mjerom ne nanosi znatna šteta okolišnim ciljevima u smislu članka 17. Uredbe (EU) 2020/852, uzimajući u obzir opis mjere i korake ublažavanja utvrđene u planu za oporavak i otporno</w:t>
      </w:r>
      <w:r>
        <w:rPr>
          <w:noProof/>
        </w:rPr>
        <w:t>st u skladu s Tehničkim smjernicama DNSH-a (2021/C58/01). Konkretno, kamp-kućice koje se kupuju moraju biti najbolja dostupna tehnologija sa stajališta zaštite okoliša.</w:t>
      </w:r>
    </w:p>
    <w:p w14:paraId="37FD852C"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30. lipnja 2023.</w:t>
      </w:r>
    </w:p>
    <w:p w14:paraId="13EABB2F" w14:textId="77777777" w:rsidR="003F46B9" w:rsidRDefault="0065662E">
      <w:pPr>
        <w:pStyle w:val="P68B1DB1-Normal26"/>
        <w:spacing w:before="120" w:after="120" w:line="240" w:lineRule="auto"/>
        <w:ind w:left="130" w:firstLine="720"/>
        <w:jc w:val="both"/>
        <w:rPr>
          <w:rFonts w:cs="Times New Roman"/>
          <w:noProof/>
        </w:rPr>
      </w:pPr>
      <w:r>
        <w:rPr>
          <w:noProof/>
        </w:rPr>
        <w:t>Jedinice za izvanbolničku s</w:t>
      </w:r>
      <w:r>
        <w:rPr>
          <w:noProof/>
        </w:rPr>
        <w:t xml:space="preserve">krb </w:t>
      </w:r>
    </w:p>
    <w:p w14:paraId="2F1BB784" w14:textId="77777777" w:rsidR="003F46B9" w:rsidRDefault="0065662E">
      <w:pPr>
        <w:pStyle w:val="P68B1DB1-Normal5"/>
        <w:spacing w:before="120" w:after="120" w:line="240" w:lineRule="auto"/>
        <w:ind w:left="850"/>
        <w:jc w:val="both"/>
        <w:rPr>
          <w:rFonts w:cs="Times New Roman"/>
          <w:noProof/>
        </w:rPr>
      </w:pPr>
      <w:r>
        <w:rPr>
          <w:noProof/>
        </w:rPr>
        <w:t xml:space="preserve">Ulaganje se sastoji od sanacije, modernizacije, proširenja (među ostalim izgradnjom novih zgrada) najmanje 30 jedinica za izvanbolničku skrb. Pri odabiru se također uzima u obzir popis projekata koji se nalaze na rezervnom popisu poziva za projekte u </w:t>
      </w:r>
      <w:r>
        <w:rPr>
          <w:noProof/>
        </w:rPr>
        <w:t>regionalnom operativnom programu (2014. – 2020.) i drugih projekata u skladu s njihovom razinom razvijenosti. Najmanje 20 jedinica izvanbolničke skrbi nalazi se u slabije razvijenim regijama ili općinama (definiranima kao regije/općine u kojima je BDP po s</w:t>
      </w:r>
      <w:r>
        <w:rPr>
          <w:noProof/>
        </w:rPr>
        <w:t>tanovniku ilt; 75 % prosjeka EU-27).</w:t>
      </w:r>
    </w:p>
    <w:p w14:paraId="555C1AB1"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31. prosinca 2024.</w:t>
      </w:r>
    </w:p>
    <w:p w14:paraId="4978ED0A" w14:textId="77777777" w:rsidR="003F46B9" w:rsidRDefault="0065662E">
      <w:pPr>
        <w:pStyle w:val="P68B1DB1-Normal5"/>
        <w:spacing w:before="120" w:after="120" w:line="240" w:lineRule="auto"/>
        <w:ind w:left="130" w:firstLine="720"/>
        <w:jc w:val="both"/>
        <w:rPr>
          <w:rFonts w:cs="Times New Roman"/>
          <w:noProof/>
        </w:rPr>
      </w:pPr>
      <w:r>
        <w:rPr>
          <w:i/>
          <w:noProof/>
        </w:rPr>
        <w:t>I.1.4 Integrirani društveni centri</w:t>
      </w:r>
      <w:r>
        <w:rPr>
          <w:noProof/>
        </w:rPr>
        <w:t xml:space="preserve"> </w:t>
      </w:r>
    </w:p>
    <w:p w14:paraId="3F2A7253" w14:textId="77777777" w:rsidR="003F46B9" w:rsidRDefault="0065662E">
      <w:pPr>
        <w:pStyle w:val="P68B1DB1-Normal5"/>
        <w:spacing w:before="120" w:after="120" w:line="240" w:lineRule="auto"/>
        <w:ind w:left="850"/>
        <w:jc w:val="both"/>
        <w:rPr>
          <w:rFonts w:cs="Times New Roman"/>
          <w:noProof/>
        </w:rPr>
      </w:pPr>
      <w:r>
        <w:rPr>
          <w:noProof/>
        </w:rPr>
        <w:t>Podulaganje se sastoji od izgradnje/obnove 200 integriranih centara zajednice (centri integrirane zajednice dio su tijela</w:t>
      </w:r>
      <w:r>
        <w:rPr>
          <w:noProof/>
        </w:rPr>
        <w:t xml:space="preserve"> programa zdravstvene zaštite zajednice koje vodi Ministarstvo zdravstva, s glavnim ciljem povećanja pristupa kvalitetnim zdravstvenim uslugama za stanovništvo, a posebno za ranjive skupine), kao i njihova potpunog opremanja, u skladu s minimalnim zahtjevi</w:t>
      </w:r>
      <w:r>
        <w:rPr>
          <w:noProof/>
        </w:rPr>
        <w:t>ma utvrđenima Odlukom Vlade br. 324/2019. Infrastruktura i/ili zgrade moraju biti u skladu s kriterijima energetske učinkovitosti. Nove zgrade moraju biti usklađene s ciljem postizanja potražnje za primarnom energijom koja je najmanje 20 % niža od zahtjeva</w:t>
      </w:r>
      <w:r>
        <w:rPr>
          <w:noProof/>
        </w:rPr>
        <w:t xml:space="preserve"> za zgrade gotovo nulte energije (NZEB) u skladu s nacionalnim smjernicama, što se osigurava energetskim certifikatima. </w:t>
      </w:r>
    </w:p>
    <w:p w14:paraId="5A709DE3" w14:textId="77777777" w:rsidR="003F46B9" w:rsidRDefault="0065662E">
      <w:pPr>
        <w:pStyle w:val="P68B1DB1-Normal5"/>
        <w:spacing w:before="120" w:after="120" w:line="240" w:lineRule="auto"/>
        <w:ind w:left="850"/>
        <w:rPr>
          <w:rFonts w:cs="Times New Roman"/>
          <w:noProof/>
        </w:rPr>
      </w:pPr>
      <w:r>
        <w:rPr>
          <w:noProof/>
        </w:rPr>
        <w:t>Provedba podulaganja mora biti dovršena do 30. lipnja 2025.</w:t>
      </w:r>
    </w:p>
    <w:p w14:paraId="2D65EF19" w14:textId="77777777" w:rsidR="003F46B9" w:rsidRDefault="0065662E">
      <w:pPr>
        <w:pStyle w:val="P68B1DB1-Normal26"/>
        <w:spacing w:before="120" w:after="120" w:line="240" w:lineRule="auto"/>
        <w:ind w:left="850"/>
        <w:rPr>
          <w:rFonts w:cs="Times New Roman"/>
          <w:noProof/>
        </w:rPr>
      </w:pPr>
      <w:r>
        <w:rPr>
          <w:noProof/>
        </w:rPr>
        <w:t xml:space="preserve">Uredi za planiranje obitelji </w:t>
      </w:r>
    </w:p>
    <w:p w14:paraId="3A925F8F" w14:textId="5AC6B147" w:rsidR="003F46B9" w:rsidRDefault="0065662E">
      <w:pPr>
        <w:pStyle w:val="P68B1DB1-Normal5"/>
        <w:spacing w:before="120" w:after="120" w:line="240" w:lineRule="auto"/>
        <w:ind w:left="850"/>
        <w:jc w:val="both"/>
        <w:rPr>
          <w:rFonts w:cs="Times New Roman"/>
          <w:b/>
          <w:noProof/>
        </w:rPr>
      </w:pPr>
      <w:r>
        <w:rPr>
          <w:noProof/>
        </w:rPr>
        <w:t>Ulaganje se sastoji od rehabilitacije ili opr</w:t>
      </w:r>
      <w:r>
        <w:rPr>
          <w:noProof/>
        </w:rPr>
        <w:t>emanja 79 praksi planiranja obitelji s dijagnostikom za spolno prenosive bolesti, ultrazvučnim skenerom s ultraprenosivim ginekološkim sondi, mikroskopom, informatičkom opremom, hladnjakom, prijevoznim vozilima (električnim ili biciklima). Ulaganjem se pok</w:t>
      </w:r>
      <w:r>
        <w:rPr>
          <w:noProof/>
        </w:rPr>
        <w:t>rivaju i troškovi osposobljavanja medicinskog osoblja koje radi u ormarićima za planiranje obitelji.</w:t>
      </w:r>
    </w:p>
    <w:p w14:paraId="1C68C3BF"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31. prosinca 2025.</w:t>
      </w:r>
    </w:p>
    <w:p w14:paraId="7A2A4535" w14:textId="77777777" w:rsidR="003F46B9" w:rsidRDefault="0065662E">
      <w:pPr>
        <w:pStyle w:val="P68B1DB1-Standard27"/>
        <w:spacing w:before="240"/>
        <w:ind w:left="130" w:firstLine="720"/>
        <w:jc w:val="both"/>
        <w:rPr>
          <w:rFonts w:eastAsiaTheme="majorEastAsia" w:cs="Times New Roman"/>
          <w:noProof/>
        </w:rPr>
      </w:pPr>
      <w:r>
        <w:rPr>
          <w:noProof/>
        </w:rPr>
        <w:t>Ulaganje 2. Razvoj javne bolničke infrastrukture</w:t>
      </w:r>
    </w:p>
    <w:p w14:paraId="42AE05C1" w14:textId="138BD4D3" w:rsidR="003F46B9" w:rsidRDefault="0065662E">
      <w:pPr>
        <w:pStyle w:val="P68B1DB1-Normal5"/>
        <w:spacing w:before="120" w:after="120" w:line="240" w:lineRule="auto"/>
        <w:ind w:left="850"/>
        <w:jc w:val="both"/>
        <w:rPr>
          <w:rFonts w:cs="Times New Roman"/>
          <w:noProof/>
        </w:rPr>
      </w:pPr>
      <w:r>
        <w:rPr>
          <w:noProof/>
        </w:rPr>
        <w:t>Cilj je tog ulaganja povećati sigurnost paci</w:t>
      </w:r>
      <w:r>
        <w:rPr>
          <w:noProof/>
        </w:rPr>
        <w:t>jenata u zdravstvenim ustanovama intervencijama kojima se osigurava zaštita od požara, strukturalna izgradnja i seizmička sigurnost te poboljšati energetska učinkovitost i spriječiti infekcije povezane sa zdravstvenom skrbi. Ulaganje uključuje sljedeća čet</w:t>
      </w:r>
      <w:r>
        <w:rPr>
          <w:noProof/>
        </w:rPr>
        <w:t xml:space="preserve">iri podulaganja, a najmanje 42,51 milijuna EUR od tog ulaganja dodjeljuje se informatičkoj opremi. </w:t>
      </w:r>
    </w:p>
    <w:p w14:paraId="291F8E90" w14:textId="77777777" w:rsidR="003F46B9" w:rsidRDefault="0065662E">
      <w:pPr>
        <w:pStyle w:val="P68B1DB1-Normal26"/>
        <w:spacing w:before="120" w:after="120" w:line="240" w:lineRule="auto"/>
        <w:ind w:left="130" w:firstLine="720"/>
        <w:jc w:val="both"/>
        <w:rPr>
          <w:rFonts w:cs="Times New Roman"/>
          <w:b/>
          <w:noProof/>
        </w:rPr>
      </w:pPr>
      <w:r>
        <w:rPr>
          <w:noProof/>
        </w:rPr>
        <w:t>I.2.1. Nova javna bolnička infrastruktura</w:t>
      </w:r>
    </w:p>
    <w:p w14:paraId="3AACEECC" w14:textId="5F4B7A25" w:rsidR="003F46B9" w:rsidRDefault="0065662E">
      <w:pPr>
        <w:pStyle w:val="P68B1DB1-Normal5"/>
        <w:spacing w:before="120" w:after="120" w:line="240" w:lineRule="auto"/>
        <w:ind w:left="850"/>
        <w:jc w:val="both"/>
        <w:rPr>
          <w:rFonts w:cs="Times New Roman"/>
          <w:noProof/>
        </w:rPr>
      </w:pPr>
      <w:r>
        <w:rPr>
          <w:noProof/>
        </w:rPr>
        <w:t xml:space="preserve">Podulaganje se sastoji od djelomičnog financiranja izgradnje 19 novih bolnica ili bolničkih jedinica. Od 19 novih </w:t>
      </w:r>
      <w:r>
        <w:rPr>
          <w:noProof/>
        </w:rPr>
        <w:t>bolnica ili bolničkih jedinica, 15 zgrada mora ispunjavati zahtjev zgrade gotovo nulte energije (NZEB) u skladu s nacionalnim smjernicama, a 4 mora biti u skladu s ciljem postizanja potražnje za primarnom energijom koja je najmanje 20 % niža od zahtjeva za</w:t>
      </w:r>
      <w:r>
        <w:rPr>
          <w:noProof/>
        </w:rPr>
        <w:t xml:space="preserve"> zgradu gotovo nulte energije (NZEB) u skladu s nacionalnim smjernicama, što se osigurava energetskim certifikatima.</w:t>
      </w:r>
    </w:p>
    <w:p w14:paraId="1751E2B3"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30. lipnja 2026.</w:t>
      </w:r>
    </w:p>
    <w:p w14:paraId="3B72B7A8" w14:textId="77777777" w:rsidR="003F46B9" w:rsidRDefault="0065662E">
      <w:pPr>
        <w:pStyle w:val="P68B1DB1-Normal5"/>
        <w:spacing w:before="120" w:after="120" w:line="240" w:lineRule="auto"/>
        <w:ind w:left="130" w:firstLine="720"/>
        <w:jc w:val="both"/>
        <w:rPr>
          <w:rFonts w:cs="Times New Roman"/>
          <w:noProof/>
        </w:rPr>
      </w:pPr>
      <w:r>
        <w:rPr>
          <w:i/>
          <w:noProof/>
        </w:rPr>
        <w:t>I.2.2. Medicinska oprema i proizvodi</w:t>
      </w:r>
      <w:r>
        <w:rPr>
          <w:noProof/>
        </w:rPr>
        <w:t xml:space="preserve"> </w:t>
      </w:r>
    </w:p>
    <w:p w14:paraId="3AFC7E93" w14:textId="77777777" w:rsidR="003F46B9" w:rsidRDefault="0065662E">
      <w:pPr>
        <w:pStyle w:val="P68B1DB1-Normal5"/>
        <w:spacing w:before="120" w:after="120" w:line="240" w:lineRule="auto"/>
        <w:ind w:left="850"/>
        <w:jc w:val="both"/>
        <w:rPr>
          <w:rFonts w:cs="Times New Roman"/>
          <w:noProof/>
        </w:rPr>
      </w:pPr>
      <w:r>
        <w:rPr>
          <w:noProof/>
        </w:rPr>
        <w:t>Potinvesticija se sastoji od</w:t>
      </w:r>
      <w:r>
        <w:rPr>
          <w:b/>
          <w:noProof/>
        </w:rPr>
        <w:t xml:space="preserve"> </w:t>
      </w:r>
      <w:r>
        <w:rPr>
          <w:noProof/>
        </w:rPr>
        <w:t>opremanja</w:t>
      </w:r>
      <w:r>
        <w:rPr>
          <w:b/>
          <w:noProof/>
        </w:rPr>
        <w:t xml:space="preserve"> </w:t>
      </w:r>
      <w:r>
        <w:rPr>
          <w:noProof/>
        </w:rPr>
        <w:t>novoizgrađenih bolnica ili bolničkih jedinica medicinskim proizvodima (kao što su oprema za posebne i opće odjele za kirurgiju, prostorije za liječenje, izolacijski prostori, među ostalim za zarazne bolesti i spaljene jedinice, prostorije za pacijente, sta</w:t>
      </w:r>
      <w:r>
        <w:rPr>
          <w:noProof/>
        </w:rPr>
        <w:t>nice za medicinsku njegu, prostorije za lijekove, prostorije za čistu pripremu, prostorije za izolaciju zatvorenih prostora, prostorije za rehabilitaciju, zbrinjavanje otpada i skladištenja, objekti za hitne slučajeve i oživljavanje) i medicinska oprema (k</w:t>
      </w:r>
      <w:r>
        <w:rPr>
          <w:noProof/>
        </w:rPr>
        <w:t>ao što su: krevete, jedinice za dekontaminaciju, informatičku opremu, krizna vozila, defibrilatore, infuzijske pumpe, sustave za fiziološko praćenje, uključujući središnju konzolu, fiziološke sustave za praćenje akutne skrbi, respiratore za jedinice intenz</w:t>
      </w:r>
      <w:r>
        <w:rPr>
          <w:noProof/>
        </w:rPr>
        <w:t>ivne njege, sustave skeniranja opće namjene).</w:t>
      </w:r>
    </w:p>
    <w:p w14:paraId="03909F61"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30. lipnja 2026.</w:t>
      </w:r>
    </w:p>
    <w:p w14:paraId="5E3EF4C6" w14:textId="77777777" w:rsidR="003F46B9" w:rsidRDefault="0065662E">
      <w:pPr>
        <w:pStyle w:val="P68B1DB1-Normal26"/>
        <w:spacing w:before="120" w:after="120" w:line="240" w:lineRule="auto"/>
        <w:ind w:left="130" w:firstLine="720"/>
        <w:jc w:val="both"/>
        <w:rPr>
          <w:rFonts w:cs="Times New Roman"/>
          <w:noProof/>
        </w:rPr>
      </w:pPr>
      <w:r>
        <w:rPr>
          <w:noProof/>
        </w:rPr>
        <w:t>I.2.3. Ustanove za intenzivnu skrb za novorođenčad</w:t>
      </w:r>
    </w:p>
    <w:p w14:paraId="30413409" w14:textId="77777777" w:rsidR="003F46B9" w:rsidRDefault="0065662E">
      <w:pPr>
        <w:pStyle w:val="P68B1DB1-Normal5"/>
        <w:spacing w:before="120" w:after="120" w:line="240" w:lineRule="auto"/>
        <w:ind w:left="850"/>
        <w:jc w:val="both"/>
        <w:rPr>
          <w:rFonts w:cs="Times New Roman"/>
          <w:noProof/>
        </w:rPr>
      </w:pPr>
      <w:r>
        <w:rPr>
          <w:noProof/>
        </w:rPr>
        <w:t>Podulaganje se sastoji od</w:t>
      </w:r>
      <w:r>
        <w:rPr>
          <w:b/>
          <w:noProof/>
        </w:rPr>
        <w:t xml:space="preserve">  </w:t>
      </w:r>
      <w:r>
        <w:rPr>
          <w:noProof/>
        </w:rPr>
        <w:t>modernizacije, proširenja i nabave nove opreme za 25 neonatalnih jedinic</w:t>
      </w:r>
      <w:r>
        <w:rPr>
          <w:noProof/>
        </w:rPr>
        <w:t>a intenzivne njege za pacijente koji su kritični za ranu dijagnozu, prenatalno, neonatalno i postnatalno liječenje. Konkretno, podulaganje obuhvaća proširenje kapaciteta bolničke infrastrukture namijenjene neonatalnim kritičnim pacijentima sa 124 dodatna k</w:t>
      </w:r>
      <w:r>
        <w:rPr>
          <w:noProof/>
        </w:rPr>
        <w:t>reveta (uključujući povezanu infrastrukturu i opremu), opremu 90 postojećih kreveta odgovarajućim medicinskim proizvodima, kao i poboljšanje programa probira opremanjem postojeće infrastrukture relevantnim medicinskim proizvodima, nabavu 12 mobilnih neonat</w:t>
      </w:r>
      <w:r>
        <w:rPr>
          <w:noProof/>
        </w:rPr>
        <w:t>alnih jedinica intenzivne njege te izgradnju i opremanje osam regionalnih centara za osposobljavanje za ključne neonatalne pacijente.</w:t>
      </w:r>
    </w:p>
    <w:p w14:paraId="50760A85" w14:textId="77777777" w:rsidR="003F46B9" w:rsidRDefault="0065662E">
      <w:pPr>
        <w:pStyle w:val="P68B1DB1-Normal5"/>
        <w:spacing w:before="120" w:after="120" w:line="240" w:lineRule="auto"/>
        <w:ind w:left="850"/>
        <w:jc w:val="both"/>
        <w:rPr>
          <w:rFonts w:cs="Times New Roman"/>
          <w:noProof/>
        </w:rPr>
      </w:pPr>
      <w:r>
        <w:rPr>
          <w:noProof/>
        </w:rPr>
        <w:t>Provedba podulaganja mora biti dovršena do 31. prosinca 2024.</w:t>
      </w:r>
    </w:p>
    <w:p w14:paraId="5B7E7492" w14:textId="77777777" w:rsidR="003F46B9" w:rsidRDefault="0065662E">
      <w:pPr>
        <w:pStyle w:val="P68B1DB1-Normal26"/>
        <w:spacing w:before="120" w:after="120" w:line="240" w:lineRule="auto"/>
        <w:ind w:left="130" w:firstLine="720"/>
        <w:jc w:val="both"/>
        <w:rPr>
          <w:rFonts w:cs="Times New Roman"/>
          <w:noProof/>
        </w:rPr>
      </w:pPr>
      <w:r>
        <w:rPr>
          <w:noProof/>
        </w:rPr>
        <w:t>Oprema i materijali za smanjenje rizika od bolničkih infekci</w:t>
      </w:r>
      <w:r>
        <w:rPr>
          <w:noProof/>
        </w:rPr>
        <w:t xml:space="preserve">ja </w:t>
      </w:r>
    </w:p>
    <w:p w14:paraId="1D4AE03B" w14:textId="77777777" w:rsidR="003F46B9" w:rsidRDefault="0065662E">
      <w:pPr>
        <w:pStyle w:val="P68B1DB1-Normal5"/>
        <w:spacing w:before="120" w:after="120" w:line="240" w:lineRule="auto"/>
        <w:ind w:left="850"/>
        <w:jc w:val="both"/>
        <w:rPr>
          <w:rFonts w:cs="Times New Roman"/>
          <w:noProof/>
        </w:rPr>
      </w:pPr>
      <w:r>
        <w:rPr>
          <w:noProof/>
        </w:rPr>
        <w:t>Podulaganje se sastoji od opremanja najmanje 25 javnih bolnica opremom za mikrobiološku kontrolu zraka u operativnim blokovima i jedinicama intenzivne njege putem posebnih uređaja za klimatizaciju, kao i objekata za dezinfekciju medicinskog osoblja.</w:t>
      </w:r>
    </w:p>
    <w:p w14:paraId="5C88ED15" w14:textId="77777777" w:rsidR="003F46B9" w:rsidRDefault="0065662E">
      <w:pPr>
        <w:pStyle w:val="P68B1DB1-Normal5"/>
        <w:spacing w:before="120" w:after="120" w:line="240" w:lineRule="auto"/>
        <w:ind w:left="850"/>
        <w:rPr>
          <w:rFonts w:cs="Times New Roman"/>
          <w:noProof/>
        </w:rPr>
        <w:sectPr w:rsidR="003F46B9">
          <w:headerReference w:type="even" r:id="rId253"/>
          <w:headerReference w:type="default" r:id="rId254"/>
          <w:footerReference w:type="even" r:id="rId255"/>
          <w:footerReference w:type="default" r:id="rId256"/>
          <w:headerReference w:type="first" r:id="rId257"/>
          <w:footerReference w:type="first" r:id="rId258"/>
          <w:pgSz w:w="11907" w:h="16839"/>
          <w:pgMar w:top="1134" w:right="1418" w:bottom="1134" w:left="1418" w:header="709" w:footer="709" w:gutter="0"/>
          <w:cols w:space="720"/>
          <w:docGrid w:linePitch="326"/>
        </w:sectPr>
      </w:pPr>
      <w:r>
        <w:rPr>
          <w:noProof/>
        </w:rPr>
        <w:t xml:space="preserve">Provedba podulaganja mora biti dovršena do 30. lipnja 2024. </w:t>
      </w:r>
    </w:p>
    <w:p w14:paraId="0BFC1A92" w14:textId="77777777" w:rsidR="003F46B9" w:rsidRDefault="0065662E">
      <w:pPr>
        <w:keepNext/>
        <w:spacing w:before="120" w:after="120" w:line="240" w:lineRule="auto"/>
        <w:ind w:left="851"/>
        <w:jc w:val="both"/>
        <w:outlineLvl w:val="1"/>
        <w:rPr>
          <w:rFonts w:ascii="Times New Roman" w:eastAsiaTheme="majorEastAsia" w:hAnsi="Times New Roman" w:cs="Times New Roman"/>
          <w:b/>
          <w:noProof/>
          <w:sz w:val="24"/>
        </w:rPr>
      </w:pPr>
      <w:r>
        <w:rPr>
          <w:rFonts w:ascii="Times New Roman" w:hAnsi="Times New Roman"/>
          <w:b/>
          <w:noProof/>
          <w:sz w:val="24"/>
        </w:rPr>
        <w:t xml:space="preserve">L.2. </w:t>
      </w:r>
      <w:r>
        <w:rPr>
          <w:noProof/>
        </w:rPr>
        <w:tab/>
      </w:r>
      <w:r>
        <w:rPr>
          <w:rFonts w:ascii="Times New Roman" w:hAnsi="Times New Roman"/>
          <w:b/>
          <w:noProof/>
          <w:sz w:val="24"/>
        </w:rPr>
        <w:t>Ključne etape, ciljne vrijednosti i vremenski raspored za praćenje i provedbu programa bespovratne financijske potpore</w:t>
      </w:r>
    </w:p>
    <w:tbl>
      <w:tblPr>
        <w:tblW w:w="15876" w:type="dxa"/>
        <w:jc w:val="center"/>
        <w:tblLayout w:type="fixed"/>
        <w:tblCellMar>
          <w:left w:w="28" w:type="dxa"/>
          <w:right w:w="28" w:type="dxa"/>
        </w:tblCellMar>
        <w:tblLook w:val="04A0" w:firstRow="1" w:lastRow="0" w:firstColumn="1" w:lastColumn="0" w:noHBand="0" w:noVBand="1"/>
      </w:tblPr>
      <w:tblGrid>
        <w:gridCol w:w="729"/>
        <w:gridCol w:w="1656"/>
        <w:gridCol w:w="1123"/>
        <w:gridCol w:w="1992"/>
        <w:gridCol w:w="2104"/>
        <w:gridCol w:w="1180"/>
        <w:gridCol w:w="992"/>
        <w:gridCol w:w="797"/>
        <w:gridCol w:w="982"/>
        <w:gridCol w:w="773"/>
        <w:gridCol w:w="3548"/>
      </w:tblGrid>
      <w:tr w:rsidR="003F46B9" w14:paraId="61796ACE" w14:textId="77777777">
        <w:trPr>
          <w:trHeight w:val="927"/>
          <w:tblHeader/>
          <w:jc w:val="center"/>
        </w:trPr>
        <w:tc>
          <w:tcPr>
            <w:tcW w:w="7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9401A5" w14:textId="77777777" w:rsidR="003F46B9" w:rsidRDefault="0065662E">
            <w:pPr>
              <w:pStyle w:val="P68B1DB1-Normal1"/>
              <w:spacing w:after="0" w:line="240" w:lineRule="auto"/>
              <w:jc w:val="center"/>
              <w:rPr>
                <w:rFonts w:cs="Times New Roman"/>
                <w:noProof/>
              </w:rPr>
            </w:pPr>
            <w:r>
              <w:rPr>
                <w:noProof/>
              </w:rPr>
              <w:t>Sljedeće NUM.</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0FF009" w14:textId="77777777" w:rsidR="003F46B9" w:rsidRDefault="0065662E">
            <w:pPr>
              <w:pStyle w:val="P68B1DB1-Normal1"/>
              <w:spacing w:after="0" w:line="240" w:lineRule="auto"/>
              <w:jc w:val="center"/>
              <w:rPr>
                <w:rFonts w:cs="Times New Roman"/>
                <w:noProof/>
              </w:rPr>
            </w:pPr>
            <w:r>
              <w:rPr>
                <w:noProof/>
              </w:rPr>
              <w:t>Povezana mjera (reforma ili ulaganje)</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783B9F" w14:textId="77777777" w:rsidR="003F46B9" w:rsidRDefault="0065662E">
            <w:pPr>
              <w:pStyle w:val="P68B1DB1-Normal1"/>
              <w:spacing w:after="0" w:line="240" w:lineRule="auto"/>
              <w:jc w:val="center"/>
              <w:rPr>
                <w:rFonts w:cs="Times New Roman"/>
                <w:noProof/>
              </w:rPr>
            </w:pPr>
            <w:r>
              <w:rPr>
                <w:noProof/>
              </w:rPr>
              <w:t>Ključna etapa/ciljna vrijednost</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941F00" w14:textId="77777777" w:rsidR="003F46B9" w:rsidRDefault="0065662E">
            <w:pPr>
              <w:pStyle w:val="P68B1DB1-Normal1"/>
              <w:spacing w:after="0" w:line="240" w:lineRule="auto"/>
              <w:jc w:val="center"/>
              <w:rPr>
                <w:rFonts w:cs="Times New Roman"/>
                <w:noProof/>
              </w:rPr>
            </w:pPr>
            <w:r>
              <w:rPr>
                <w:noProof/>
              </w:rPr>
              <w:t>Ime</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C760D7B" w14:textId="77777777" w:rsidR="003F46B9" w:rsidRDefault="0065662E">
            <w:pPr>
              <w:pStyle w:val="P68B1DB1-Normal1"/>
              <w:spacing w:after="0" w:line="240" w:lineRule="auto"/>
              <w:jc w:val="center"/>
              <w:rPr>
                <w:rFonts w:cs="Times New Roman"/>
                <w:noProof/>
              </w:rPr>
            </w:pPr>
            <w:r>
              <w:rPr>
                <w:noProof/>
              </w:rPr>
              <w:t>Kvalitativna</w:t>
            </w:r>
          </w:p>
          <w:p w14:paraId="77EFF049" w14:textId="77777777" w:rsidR="003F46B9" w:rsidRDefault="0065662E">
            <w:pPr>
              <w:spacing w:after="0" w:line="240" w:lineRule="auto"/>
              <w:jc w:val="center"/>
              <w:rPr>
                <w:rFonts w:ascii="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296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4AE22119" w14:textId="77777777" w:rsidR="003F46B9" w:rsidRDefault="0065662E">
            <w:pPr>
              <w:pStyle w:val="P68B1DB1-Normal1"/>
              <w:spacing w:after="0" w:line="240" w:lineRule="auto"/>
              <w:jc w:val="center"/>
              <w:rPr>
                <w:rFonts w:cs="Times New Roman"/>
                <w:noProof/>
              </w:rPr>
            </w:pPr>
            <w:r>
              <w:rPr>
                <w:noProof/>
              </w:rPr>
              <w:t>Kvantitativne</w:t>
            </w:r>
          </w:p>
          <w:p w14:paraId="601C8A3B" w14:textId="01B51B09" w:rsidR="003F46B9" w:rsidRDefault="0065662E">
            <w:pPr>
              <w:spacing w:after="0" w:line="240" w:lineRule="auto"/>
              <w:jc w:val="center"/>
              <w:rPr>
                <w:rFonts w:ascii="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755" w:type="dxa"/>
            <w:gridSpan w:val="2"/>
            <w:tcBorders>
              <w:top w:val="single" w:sz="4" w:space="0" w:color="auto"/>
              <w:left w:val="nil"/>
              <w:bottom w:val="single" w:sz="4" w:space="0" w:color="auto"/>
              <w:right w:val="single" w:sz="4" w:space="0" w:color="auto"/>
            </w:tcBorders>
            <w:shd w:val="clear" w:color="auto" w:fill="BDD7EE"/>
            <w:vAlign w:val="center"/>
            <w:hideMark/>
          </w:tcPr>
          <w:p w14:paraId="41EFE495" w14:textId="77777777" w:rsidR="003F46B9" w:rsidRDefault="0065662E">
            <w:pPr>
              <w:pStyle w:val="P68B1DB1-Normal1"/>
              <w:spacing w:after="0" w:line="240" w:lineRule="auto"/>
              <w:jc w:val="center"/>
              <w:rPr>
                <w:rFonts w:cs="Times New Roman"/>
                <w:noProof/>
              </w:rPr>
            </w:pPr>
            <w:r>
              <w:rPr>
                <w:noProof/>
              </w:rPr>
              <w:t>Okvirni vremenski raspored</w:t>
            </w:r>
          </w:p>
          <w:p w14:paraId="2B20F83B" w14:textId="77777777" w:rsidR="003F46B9" w:rsidRDefault="0065662E">
            <w:pPr>
              <w:pStyle w:val="P68B1DB1-Normal1"/>
              <w:spacing w:after="0" w:line="240" w:lineRule="auto"/>
              <w:jc w:val="center"/>
              <w:rPr>
                <w:rFonts w:cs="Times New Roman"/>
                <w:noProof/>
              </w:rPr>
            </w:pPr>
            <w:r>
              <w:rPr>
                <w:noProof/>
              </w:rPr>
              <w:t>za završetak</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ADFA994" w14:textId="77777777" w:rsidR="003F46B9" w:rsidRDefault="0065662E">
            <w:pPr>
              <w:pStyle w:val="P68B1DB1-Normal1"/>
              <w:spacing w:after="0" w:line="240" w:lineRule="auto"/>
              <w:jc w:val="center"/>
              <w:rPr>
                <w:rFonts w:cs="Times New Roman"/>
                <w:noProof/>
              </w:rPr>
            </w:pPr>
            <w:r>
              <w:rPr>
                <w:noProof/>
              </w:rPr>
              <w:t>Opis svake ključne etape i ciljne vrijednosti</w:t>
            </w:r>
          </w:p>
        </w:tc>
      </w:tr>
      <w:tr w:rsidR="003F46B9" w14:paraId="025D04AA" w14:textId="77777777">
        <w:trPr>
          <w:trHeight w:val="624"/>
          <w:tblHeader/>
          <w:jc w:val="center"/>
        </w:trPr>
        <w:tc>
          <w:tcPr>
            <w:tcW w:w="729" w:type="dxa"/>
            <w:vMerge/>
            <w:tcBorders>
              <w:top w:val="single" w:sz="4" w:space="0" w:color="auto"/>
              <w:left w:val="single" w:sz="4" w:space="0" w:color="auto"/>
              <w:bottom w:val="single" w:sz="4" w:space="0" w:color="auto"/>
              <w:right w:val="single" w:sz="4" w:space="0" w:color="auto"/>
            </w:tcBorders>
            <w:vAlign w:val="center"/>
            <w:hideMark/>
          </w:tcPr>
          <w:p w14:paraId="0A034B16" w14:textId="77777777" w:rsidR="003F46B9" w:rsidRDefault="003F46B9">
            <w:pPr>
              <w:spacing w:after="0" w:line="240" w:lineRule="auto"/>
              <w:jc w:val="both"/>
              <w:rPr>
                <w:rFonts w:ascii="Times New Roman" w:hAnsi="Times New Roman" w:cs="Times New Roman"/>
                <w:b/>
                <w:noProof/>
                <w:sz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3B645433" w14:textId="77777777" w:rsidR="003F46B9" w:rsidRDefault="003F46B9">
            <w:pPr>
              <w:spacing w:after="0" w:line="240" w:lineRule="auto"/>
              <w:jc w:val="both"/>
              <w:rPr>
                <w:rFonts w:ascii="Times New Roman" w:hAnsi="Times New Roman" w:cs="Times New Roman"/>
                <w:b/>
                <w:noProof/>
                <w:sz w:val="24"/>
              </w:rPr>
            </w:pPr>
          </w:p>
        </w:tc>
        <w:tc>
          <w:tcPr>
            <w:tcW w:w="1123" w:type="dxa"/>
            <w:vMerge/>
            <w:tcBorders>
              <w:top w:val="single" w:sz="4" w:space="0" w:color="auto"/>
              <w:left w:val="single" w:sz="4" w:space="0" w:color="auto"/>
              <w:bottom w:val="single" w:sz="4" w:space="0" w:color="auto"/>
              <w:right w:val="single" w:sz="4" w:space="0" w:color="auto"/>
            </w:tcBorders>
            <w:vAlign w:val="center"/>
            <w:hideMark/>
          </w:tcPr>
          <w:p w14:paraId="12FEEDC4" w14:textId="77777777" w:rsidR="003F46B9" w:rsidRDefault="003F46B9">
            <w:pPr>
              <w:spacing w:after="0" w:line="240" w:lineRule="auto"/>
              <w:jc w:val="both"/>
              <w:rPr>
                <w:rFonts w:ascii="Times New Roman" w:hAnsi="Times New Roman" w:cs="Times New Roman"/>
                <w:b/>
                <w:noProof/>
                <w:sz w:val="24"/>
              </w:rPr>
            </w:pPr>
          </w:p>
        </w:tc>
        <w:tc>
          <w:tcPr>
            <w:tcW w:w="1992" w:type="dxa"/>
            <w:vMerge/>
            <w:tcBorders>
              <w:top w:val="single" w:sz="4" w:space="0" w:color="auto"/>
              <w:left w:val="single" w:sz="4" w:space="0" w:color="auto"/>
              <w:bottom w:val="single" w:sz="4" w:space="0" w:color="auto"/>
              <w:right w:val="single" w:sz="4" w:space="0" w:color="auto"/>
            </w:tcBorders>
            <w:vAlign w:val="center"/>
            <w:hideMark/>
          </w:tcPr>
          <w:p w14:paraId="58F42562" w14:textId="77777777" w:rsidR="003F46B9" w:rsidRDefault="003F46B9">
            <w:pPr>
              <w:spacing w:after="0" w:line="240" w:lineRule="auto"/>
              <w:jc w:val="both"/>
              <w:rPr>
                <w:rFonts w:ascii="Times New Roman" w:hAnsi="Times New Roman" w:cs="Times New Roman"/>
                <w:b/>
                <w:noProof/>
                <w:sz w:val="24"/>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14:paraId="294B0EBF" w14:textId="77777777" w:rsidR="003F46B9" w:rsidRDefault="003F46B9">
            <w:pPr>
              <w:spacing w:after="0" w:line="240" w:lineRule="auto"/>
              <w:jc w:val="both"/>
              <w:rPr>
                <w:rFonts w:ascii="Times New Roman" w:hAnsi="Times New Roman" w:cs="Times New Roman"/>
                <w:b/>
                <w:noProof/>
                <w:sz w:val="24"/>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3F818FAD" w14:textId="77777777" w:rsidR="003F46B9" w:rsidRDefault="0065662E">
            <w:pPr>
              <w:pStyle w:val="P68B1DB1-Normal1"/>
              <w:spacing w:after="0" w:line="240" w:lineRule="auto"/>
              <w:jc w:val="center"/>
              <w:rPr>
                <w:rFonts w:cs="Times New Roman"/>
                <w:noProof/>
              </w:rPr>
            </w:pPr>
            <w:r>
              <w:rPr>
                <w:noProof/>
              </w:rPr>
              <w:t>Odjel</w:t>
            </w:r>
          </w:p>
          <w:p w14:paraId="6871B4F7" w14:textId="77777777" w:rsidR="003F46B9" w:rsidRDefault="0065662E">
            <w:pPr>
              <w:pStyle w:val="P68B1DB1-Normal1"/>
              <w:spacing w:after="0" w:line="240" w:lineRule="auto"/>
              <w:jc w:val="center"/>
              <w:rPr>
                <w:rFonts w:cs="Times New Roman"/>
                <w:noProof/>
              </w:rPr>
            </w:pPr>
            <w:r>
              <w:rPr>
                <w:noProof/>
              </w:rPr>
              <w:t>od</w:t>
            </w:r>
          </w:p>
          <w:p w14:paraId="6D384EC1" w14:textId="77777777" w:rsidR="003F46B9" w:rsidRDefault="0065662E">
            <w:pPr>
              <w:pStyle w:val="P68B1DB1-Normal1"/>
              <w:spacing w:after="0" w:line="240" w:lineRule="auto"/>
              <w:jc w:val="center"/>
              <w:rPr>
                <w:rFonts w:cs="Times New Roman"/>
                <w:noProof/>
              </w:rPr>
            </w:pPr>
            <w:r>
              <w:rPr>
                <w:noProof/>
              </w:rPr>
              <w:t>mjera</w:t>
            </w:r>
          </w:p>
        </w:tc>
        <w:tc>
          <w:tcPr>
            <w:tcW w:w="992" w:type="dxa"/>
            <w:tcBorders>
              <w:top w:val="nil"/>
              <w:left w:val="nil"/>
              <w:bottom w:val="single" w:sz="4" w:space="0" w:color="auto"/>
              <w:right w:val="single" w:sz="4" w:space="0" w:color="auto"/>
            </w:tcBorders>
            <w:shd w:val="clear" w:color="auto" w:fill="BDD7EE"/>
            <w:vAlign w:val="center"/>
            <w:hideMark/>
          </w:tcPr>
          <w:p w14:paraId="35BF9F6A" w14:textId="2BC73A3E" w:rsidR="003F46B9" w:rsidRDefault="0065662E">
            <w:pPr>
              <w:pStyle w:val="P68B1DB1-Normal1"/>
              <w:spacing w:after="0" w:line="240" w:lineRule="auto"/>
              <w:jc w:val="center"/>
              <w:rPr>
                <w:rFonts w:cs="Times New Roman"/>
                <w:noProof/>
              </w:rPr>
            </w:pPr>
            <w:r>
              <w:rPr>
                <w:noProof/>
              </w:rPr>
              <w:t>Osnovna vrijednost</w:t>
            </w:r>
          </w:p>
        </w:tc>
        <w:tc>
          <w:tcPr>
            <w:tcW w:w="797" w:type="dxa"/>
            <w:tcBorders>
              <w:top w:val="nil"/>
              <w:left w:val="nil"/>
              <w:bottom w:val="single" w:sz="4" w:space="0" w:color="auto"/>
              <w:right w:val="single" w:sz="4" w:space="0" w:color="auto"/>
            </w:tcBorders>
            <w:shd w:val="clear" w:color="auto" w:fill="BDD7EE"/>
            <w:vAlign w:val="center"/>
            <w:hideMark/>
          </w:tcPr>
          <w:p w14:paraId="135376E2" w14:textId="77777777" w:rsidR="003F46B9" w:rsidRDefault="0065662E">
            <w:pPr>
              <w:pStyle w:val="P68B1DB1-Normal1"/>
              <w:spacing w:after="0" w:line="240" w:lineRule="auto"/>
              <w:jc w:val="center"/>
              <w:rPr>
                <w:rFonts w:cs="Times New Roman"/>
                <w:noProof/>
              </w:rPr>
            </w:pPr>
            <w:r>
              <w:rPr>
                <w:noProof/>
              </w:rPr>
              <w:t>Cilj</w:t>
            </w:r>
          </w:p>
        </w:tc>
        <w:tc>
          <w:tcPr>
            <w:tcW w:w="982" w:type="dxa"/>
            <w:tcBorders>
              <w:top w:val="nil"/>
              <w:left w:val="nil"/>
              <w:bottom w:val="single" w:sz="4" w:space="0" w:color="auto"/>
              <w:right w:val="single" w:sz="4" w:space="0" w:color="auto"/>
            </w:tcBorders>
            <w:shd w:val="clear" w:color="auto" w:fill="BDD7EE"/>
            <w:vAlign w:val="center"/>
            <w:hideMark/>
          </w:tcPr>
          <w:p w14:paraId="0404799F" w14:textId="77777777" w:rsidR="003F46B9" w:rsidRDefault="0065662E">
            <w:pPr>
              <w:pStyle w:val="P68B1DB1-Normal1"/>
              <w:spacing w:after="0" w:line="240" w:lineRule="auto"/>
              <w:jc w:val="center"/>
              <w:rPr>
                <w:rFonts w:cs="Times New Roman"/>
                <w:noProof/>
              </w:rPr>
            </w:pPr>
            <w:r>
              <w:rPr>
                <w:noProof/>
              </w:rPr>
              <w:t>Tromjesečje</w:t>
            </w:r>
          </w:p>
        </w:tc>
        <w:tc>
          <w:tcPr>
            <w:tcW w:w="773" w:type="dxa"/>
            <w:tcBorders>
              <w:top w:val="nil"/>
              <w:left w:val="nil"/>
              <w:bottom w:val="single" w:sz="4" w:space="0" w:color="auto"/>
              <w:right w:val="single" w:sz="4" w:space="0" w:color="auto"/>
            </w:tcBorders>
            <w:shd w:val="clear" w:color="auto" w:fill="BDD7EE"/>
            <w:vAlign w:val="center"/>
            <w:hideMark/>
          </w:tcPr>
          <w:p w14:paraId="3ABA811C" w14:textId="77777777" w:rsidR="003F46B9" w:rsidRDefault="0065662E">
            <w:pPr>
              <w:pStyle w:val="P68B1DB1-Normal1"/>
              <w:spacing w:after="0" w:line="240" w:lineRule="auto"/>
              <w:jc w:val="center"/>
              <w:rPr>
                <w:rFonts w:cs="Times New Roman"/>
                <w:noProof/>
              </w:rPr>
            </w:pPr>
            <w:r>
              <w:rPr>
                <w:noProof/>
              </w:rPr>
              <w:t>Godina</w:t>
            </w:r>
          </w:p>
        </w:tc>
        <w:tc>
          <w:tcPr>
            <w:tcW w:w="3548" w:type="dxa"/>
            <w:vMerge/>
            <w:tcBorders>
              <w:top w:val="single" w:sz="4" w:space="0" w:color="auto"/>
              <w:bottom w:val="single" w:sz="4" w:space="0" w:color="auto"/>
              <w:right w:val="single" w:sz="4" w:space="0" w:color="auto"/>
            </w:tcBorders>
            <w:vAlign w:val="center"/>
            <w:hideMark/>
          </w:tcPr>
          <w:p w14:paraId="1FF7D96E" w14:textId="77777777" w:rsidR="003F46B9" w:rsidRDefault="003F46B9">
            <w:pPr>
              <w:spacing w:after="0" w:line="240" w:lineRule="auto"/>
              <w:jc w:val="both"/>
              <w:rPr>
                <w:rFonts w:ascii="Times New Roman" w:hAnsi="Times New Roman" w:cs="Times New Roman"/>
                <w:b/>
                <w:noProof/>
                <w:sz w:val="24"/>
              </w:rPr>
            </w:pPr>
          </w:p>
        </w:tc>
      </w:tr>
      <w:tr w:rsidR="003F46B9" w14:paraId="273F0F35" w14:textId="77777777">
        <w:trPr>
          <w:trHeight w:val="309"/>
          <w:jc w:val="center"/>
        </w:trPr>
        <w:tc>
          <w:tcPr>
            <w:tcW w:w="72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C6EFCE"/>
            <w:noWrap/>
          </w:tcPr>
          <w:p w14:paraId="4588ADF9" w14:textId="77777777" w:rsidR="003F46B9" w:rsidRDefault="0065662E">
            <w:pPr>
              <w:pStyle w:val="P68B1DB1-Normal5"/>
              <w:spacing w:after="0" w:line="240" w:lineRule="auto"/>
              <w:jc w:val="center"/>
              <w:rPr>
                <w:rFonts w:cs="Times New Roman"/>
                <w:noProof/>
              </w:rPr>
            </w:pPr>
            <w:r>
              <w:rPr>
                <w:noProof/>
              </w:rPr>
              <w:t>351</w:t>
            </w:r>
          </w:p>
        </w:tc>
        <w:tc>
          <w:tcPr>
            <w:tcW w:w="1656" w:type="dxa"/>
            <w:tcBorders>
              <w:top w:val="single" w:sz="4" w:space="0" w:color="auto"/>
              <w:left w:val="nil"/>
              <w:bottom w:val="single" w:sz="4" w:space="0" w:color="000000" w:themeColor="text1"/>
              <w:right w:val="single" w:sz="4" w:space="0" w:color="000000" w:themeColor="text1"/>
            </w:tcBorders>
            <w:shd w:val="clear" w:color="auto" w:fill="C6EFCE"/>
            <w:noWrap/>
          </w:tcPr>
          <w:p w14:paraId="2786F67D" w14:textId="77777777" w:rsidR="003F46B9" w:rsidRDefault="0065662E">
            <w:pPr>
              <w:pStyle w:val="P68B1DB1-Normal5"/>
              <w:spacing w:after="0" w:line="240" w:lineRule="auto"/>
              <w:jc w:val="both"/>
              <w:rPr>
                <w:rFonts w:cs="Times New Roman"/>
                <w:noProof/>
              </w:rPr>
            </w:pPr>
            <w:r>
              <w:rPr>
                <w:noProof/>
              </w:rPr>
              <w:t xml:space="preserve">Reforma 1. Povećani kapacitet za upravljanje fondovima za javno zdravstvo </w:t>
            </w:r>
          </w:p>
        </w:tc>
        <w:tc>
          <w:tcPr>
            <w:tcW w:w="1123" w:type="dxa"/>
            <w:tcBorders>
              <w:top w:val="single" w:sz="4" w:space="0" w:color="auto"/>
              <w:left w:val="nil"/>
              <w:bottom w:val="single" w:sz="4" w:space="0" w:color="000000" w:themeColor="text1"/>
              <w:right w:val="single" w:sz="4" w:space="0" w:color="000000" w:themeColor="text1"/>
            </w:tcBorders>
            <w:shd w:val="clear" w:color="auto" w:fill="C6EFCE"/>
            <w:noWrap/>
          </w:tcPr>
          <w:p w14:paraId="7FAAD965"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auto"/>
              <w:left w:val="nil"/>
              <w:bottom w:val="single" w:sz="4" w:space="0" w:color="000000" w:themeColor="text1"/>
              <w:right w:val="single" w:sz="4" w:space="0" w:color="000000" w:themeColor="text1"/>
            </w:tcBorders>
            <w:shd w:val="clear" w:color="auto" w:fill="C6EFCE"/>
            <w:noWrap/>
          </w:tcPr>
          <w:p w14:paraId="5862FC8A" w14:textId="77777777" w:rsidR="003F46B9" w:rsidRDefault="0065662E">
            <w:pPr>
              <w:pStyle w:val="P68B1DB1-Normal5"/>
              <w:spacing w:after="0" w:line="240" w:lineRule="auto"/>
              <w:jc w:val="both"/>
              <w:rPr>
                <w:rFonts w:cs="Times New Roman"/>
                <w:noProof/>
              </w:rPr>
            </w:pPr>
            <w:r>
              <w:rPr>
                <w:noProof/>
              </w:rPr>
              <w:t xml:space="preserve">Stupanje na snagu ministarske odluke o pokazateljima uspješnosti i kvalitete koji će se upotrebljavati za </w:t>
            </w:r>
            <w:r>
              <w:rPr>
                <w:noProof/>
              </w:rPr>
              <w:t>odabir medicinskih jedinica koje imaju koristi od Fonda za kvalitetu zdravlja</w:t>
            </w:r>
          </w:p>
        </w:tc>
        <w:tc>
          <w:tcPr>
            <w:tcW w:w="2104" w:type="dxa"/>
            <w:tcBorders>
              <w:top w:val="single" w:sz="4" w:space="0" w:color="auto"/>
              <w:left w:val="nil"/>
              <w:bottom w:val="single" w:sz="4" w:space="0" w:color="000000" w:themeColor="text1"/>
              <w:right w:val="single" w:sz="4" w:space="0" w:color="000000" w:themeColor="text1"/>
            </w:tcBorders>
            <w:shd w:val="clear" w:color="auto" w:fill="C6EFCE"/>
            <w:noWrap/>
          </w:tcPr>
          <w:p w14:paraId="687F15EB" w14:textId="77777777" w:rsidR="003F46B9" w:rsidRDefault="0065662E">
            <w:pPr>
              <w:pStyle w:val="P68B1DB1-Normal5"/>
              <w:spacing w:after="0" w:line="240" w:lineRule="auto"/>
              <w:jc w:val="both"/>
              <w:rPr>
                <w:rFonts w:cs="Times New Roman"/>
                <w:noProof/>
              </w:rPr>
            </w:pPr>
            <w:r>
              <w:rPr>
                <w:noProof/>
              </w:rPr>
              <w:t>Odredba u ministarskoj odluci u kojoj se navodi stupanje na snagu ministarske odluke kojom se usvaja skup pokazatelja kvalitete skrbi i potrebna metodologija za odabir zdravstven</w:t>
            </w:r>
            <w:r>
              <w:rPr>
                <w:noProof/>
              </w:rPr>
              <w:t>ih ustanova korisnika</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6E78C5C4" w14:textId="77777777" w:rsidR="003F46B9" w:rsidRDefault="003F46B9">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2A47D189" w14:textId="77777777" w:rsidR="003F46B9" w:rsidRDefault="003F46B9">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203E4CD0" w14:textId="77777777" w:rsidR="003F46B9" w:rsidRDefault="003F46B9">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1158B73"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29383FD" w14:textId="77777777" w:rsidR="003F46B9" w:rsidRDefault="0065662E">
            <w:pPr>
              <w:pStyle w:val="P68B1DB1-Normal5"/>
              <w:spacing w:after="0" w:line="240" w:lineRule="auto"/>
              <w:jc w:val="both"/>
              <w:rPr>
                <w:rFonts w:cs="Times New Roman"/>
                <w:noProof/>
              </w:rPr>
            </w:pPr>
            <w:r>
              <w:rPr>
                <w:noProof/>
              </w:rPr>
              <w:t>2022</w:t>
            </w:r>
          </w:p>
        </w:tc>
        <w:tc>
          <w:tcPr>
            <w:tcW w:w="3548" w:type="dxa"/>
            <w:tcBorders>
              <w:top w:val="single" w:sz="4" w:space="0" w:color="auto"/>
              <w:left w:val="nil"/>
              <w:bottom w:val="single" w:sz="4" w:space="0" w:color="000000" w:themeColor="text1"/>
              <w:right w:val="single" w:sz="4" w:space="0" w:color="000000" w:themeColor="text1"/>
            </w:tcBorders>
            <w:shd w:val="clear" w:color="auto" w:fill="C6EFCE"/>
            <w:noWrap/>
          </w:tcPr>
          <w:p w14:paraId="703B1FC7" w14:textId="77777777" w:rsidR="003F46B9" w:rsidRDefault="0065662E">
            <w:pPr>
              <w:pStyle w:val="P68B1DB1-Normal5"/>
              <w:spacing w:after="0" w:line="240" w:lineRule="auto"/>
              <w:jc w:val="both"/>
              <w:rPr>
                <w:rFonts w:cs="Times New Roman"/>
                <w:noProof/>
              </w:rPr>
            </w:pPr>
            <w:r>
              <w:rPr>
                <w:noProof/>
              </w:rPr>
              <w:t>Ministarstvo zdravstva razvija i donosi niz pokazatelja procesa, pokazatelja ishoda i pokazatelja specifičnih za pacijente koji će se koristiti za evaluaciju pružatelja zdravstvene zaštite, kao i metodologiju za odabir ustanova primatelja koji se temelji n</w:t>
            </w:r>
            <w:r>
              <w:rPr>
                <w:noProof/>
              </w:rPr>
              <w:t xml:space="preserve">a uspješnosti. Skup pokazatelja uključuje pokazatelje kao što su: udio bolesnika sa štetnim događajima, poboljšanje ljestvice boli (potvrđena ljestvica pregleda), stopa bolničkih infekcija, informacije o kvaliteti dostupne pacijentima. </w:t>
            </w:r>
          </w:p>
        </w:tc>
      </w:tr>
      <w:tr w:rsidR="003F46B9" w14:paraId="1ABE3C13"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39371CAD" w14:textId="77777777" w:rsidR="003F46B9" w:rsidRDefault="0065662E">
            <w:pPr>
              <w:pStyle w:val="P68B1DB1-Normal5"/>
              <w:spacing w:after="0" w:line="240" w:lineRule="auto"/>
              <w:jc w:val="center"/>
              <w:rPr>
                <w:rFonts w:cs="Times New Roman"/>
                <w:noProof/>
              </w:rPr>
            </w:pPr>
            <w:r>
              <w:rPr>
                <w:noProof/>
              </w:rPr>
              <w:t>352</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1253EA13" w14:textId="33783F3B" w:rsidR="003F46B9" w:rsidRDefault="0065662E">
            <w:pPr>
              <w:pStyle w:val="P68B1DB1-Normal5"/>
              <w:spacing w:after="0" w:line="240" w:lineRule="auto"/>
              <w:jc w:val="both"/>
              <w:rPr>
                <w:rFonts w:cs="Times New Roman"/>
                <w:noProof/>
              </w:rPr>
            </w:pPr>
            <w:r>
              <w:rPr>
                <w:noProof/>
              </w:rPr>
              <w:t xml:space="preserve">Reforma 1. </w:t>
            </w:r>
            <w:r>
              <w:rPr>
                <w:noProof/>
              </w:rPr>
              <w:t>Povećani kapacitet za upravljanje fondovima za javno zdravstvo</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38478A7C"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B9877A3" w14:textId="77777777" w:rsidR="003F46B9" w:rsidRDefault="0065662E">
            <w:pPr>
              <w:pStyle w:val="P68B1DB1-Normal5"/>
              <w:spacing w:after="0" w:line="240" w:lineRule="auto"/>
              <w:jc w:val="both"/>
              <w:rPr>
                <w:rFonts w:cs="Times New Roman"/>
                <w:noProof/>
              </w:rPr>
            </w:pPr>
            <w:r>
              <w:rPr>
                <w:noProof/>
              </w:rPr>
              <w:t>Stupanje na snagu Odluke Vlade o novom predlošku okvirnog ugovora kojim se uređuju uvjeti za odobravanje medicinske pomoći, lijekova i medicinskih proizvoda, pomoćnih proizvoda i te</w:t>
            </w:r>
            <w:r>
              <w:rPr>
                <w:noProof/>
              </w:rPr>
              <w:t xml:space="preserve">hnologija u okviru sustava zdravstvenog osiguranja </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33271B9" w14:textId="77777777" w:rsidR="003F46B9" w:rsidRDefault="0065662E">
            <w:pPr>
              <w:pStyle w:val="P68B1DB1-Normal5"/>
              <w:spacing w:after="0" w:line="240" w:lineRule="auto"/>
              <w:jc w:val="both"/>
              <w:rPr>
                <w:rFonts w:cs="Times New Roman"/>
                <w:noProof/>
              </w:rPr>
            </w:pPr>
            <w:r>
              <w:rPr>
                <w:noProof/>
              </w:rPr>
              <w:t>Odredba Odluke Vlade o stupanju na snagu Odluke Vlade i Zajedničke odluke Ministarstva zdravstva i Nacionalnog zavoda za zdravstveno osiguranje</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114180F4" w14:textId="77777777" w:rsidR="003F46B9" w:rsidRDefault="003F46B9">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8FCD3B4" w14:textId="77777777" w:rsidR="003F46B9" w:rsidRDefault="003F46B9">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365269AC" w14:textId="77777777" w:rsidR="003F46B9" w:rsidRDefault="003F46B9">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ACB7B1"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nil"/>
              <w:left w:val="nil"/>
              <w:bottom w:val="single" w:sz="4" w:space="0" w:color="000000" w:themeColor="text1"/>
              <w:right w:val="single" w:sz="4" w:space="0" w:color="000000" w:themeColor="text1"/>
            </w:tcBorders>
            <w:shd w:val="clear" w:color="auto" w:fill="C6EFCE"/>
            <w:noWrap/>
          </w:tcPr>
          <w:p w14:paraId="070FAA5E" w14:textId="77777777" w:rsidR="003F46B9" w:rsidRDefault="0065662E">
            <w:pPr>
              <w:pStyle w:val="P68B1DB1-Normal5"/>
              <w:spacing w:after="0" w:line="240" w:lineRule="auto"/>
              <w:jc w:val="both"/>
              <w:rPr>
                <w:rFonts w:cs="Times New Roman"/>
                <w:noProof/>
              </w:rPr>
            </w:pPr>
            <w:r>
              <w:rPr>
                <w:noProof/>
              </w:rPr>
              <w:t>2023</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7F0779F0" w14:textId="77777777" w:rsidR="003F46B9" w:rsidRDefault="0065662E">
            <w:pPr>
              <w:pStyle w:val="P68B1DB1-Normal5"/>
              <w:spacing w:after="0" w:line="240" w:lineRule="auto"/>
              <w:jc w:val="both"/>
              <w:rPr>
                <w:rFonts w:cs="Times New Roman"/>
                <w:noProof/>
              </w:rPr>
            </w:pPr>
            <w:r>
              <w:rPr>
                <w:noProof/>
              </w:rPr>
              <w:t>Cilj je novog okvirnog ugovora:</w:t>
            </w:r>
          </w:p>
          <w:p w14:paraId="5CDDE951"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Poboljša</w:t>
            </w:r>
            <w:r>
              <w:rPr>
                <w:noProof/>
              </w:rPr>
              <w:t>ti upravljanje Nacionalnim zavodom za zdravstveno osiguranje</w:t>
            </w:r>
          </w:p>
          <w:p w14:paraId="484CAF74"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Povećati usluge izvanbolničke skrbi kako bi se smanjio pritisak na bolnički sustav</w:t>
            </w:r>
          </w:p>
          <w:p w14:paraId="40F3C59D"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 xml:space="preserve">Promicati pružanje usluga prevencije i rane dijagnoze, posebno na razini primarne skrbi </w:t>
            </w:r>
          </w:p>
          <w:p w14:paraId="62F0F505"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Pružateljima zdravstven</w:t>
            </w:r>
            <w:r>
              <w:rPr>
                <w:noProof/>
              </w:rPr>
              <w:t>ih usluga olakšati pružanje usluga na daljinu</w:t>
            </w:r>
          </w:p>
          <w:p w14:paraId="50F4AA9D"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Smanjiti jaz između ruralnih i urbanih područja u pogledu pristupa zdravstvenoj skrbi stvaranjem poticaja za obiteljske/specijalističke liječnike za pružanje usluga u udaljenim i slabo pokrivenim područjima.</w:t>
            </w:r>
          </w:p>
          <w:p w14:paraId="55423528" w14:textId="77777777" w:rsidR="003F46B9" w:rsidRDefault="0065662E">
            <w:pPr>
              <w:pStyle w:val="P68B1DB1-Normal5"/>
              <w:numPr>
                <w:ilvl w:val="0"/>
                <w:numId w:val="93"/>
              </w:numPr>
              <w:pBdr>
                <w:top w:val="nil"/>
                <w:left w:val="nil"/>
                <w:bottom w:val="nil"/>
                <w:right w:val="nil"/>
                <w:between w:val="nil"/>
              </w:pBdr>
              <w:spacing w:after="0" w:line="240" w:lineRule="auto"/>
              <w:ind w:left="260" w:hanging="260"/>
              <w:jc w:val="both"/>
              <w:rPr>
                <w:rFonts w:eastAsia="Calibri" w:cs="Times New Roman"/>
                <w:noProof/>
              </w:rPr>
            </w:pPr>
            <w:r>
              <w:rPr>
                <w:noProof/>
              </w:rPr>
              <w:t>Pr</w:t>
            </w:r>
            <w:r>
              <w:rPr>
                <w:noProof/>
              </w:rPr>
              <w:t>oširiti pokrivenost uslugama primarne i specijalizirane skrbi te skrbi u zajednici kako bi se obuhvatile usluge prevencije i rane dijagnoze</w:t>
            </w:r>
          </w:p>
          <w:p w14:paraId="67FE1D7D" w14:textId="77777777" w:rsidR="003F46B9" w:rsidRDefault="0065662E">
            <w:pPr>
              <w:pStyle w:val="P68B1DB1-Normal5"/>
              <w:spacing w:after="0" w:line="240" w:lineRule="auto"/>
              <w:jc w:val="both"/>
              <w:rPr>
                <w:rFonts w:cs="Times New Roman"/>
                <w:noProof/>
              </w:rPr>
            </w:pPr>
            <w:r>
              <w:rPr>
                <w:noProof/>
              </w:rPr>
              <w:t xml:space="preserve">Glavne promjene odnose se na postupke i uvjete ugovaranja s pružateljima usluga, mehanizme financiranja i pakete </w:t>
            </w:r>
            <w:r>
              <w:rPr>
                <w:noProof/>
              </w:rPr>
              <w:t>usluga za osigurane i neosigurane osobe.</w:t>
            </w:r>
          </w:p>
        </w:tc>
      </w:tr>
      <w:tr w:rsidR="003F46B9" w14:paraId="26029502"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0F135B74" w14:textId="77777777" w:rsidR="003F46B9" w:rsidRDefault="0065662E">
            <w:pPr>
              <w:pStyle w:val="P68B1DB1-Normal5"/>
              <w:spacing w:after="0" w:line="240" w:lineRule="auto"/>
              <w:jc w:val="center"/>
              <w:rPr>
                <w:rFonts w:cs="Times New Roman"/>
                <w:noProof/>
              </w:rPr>
            </w:pPr>
            <w:r>
              <w:rPr>
                <w:noProof/>
              </w:rPr>
              <w:t xml:space="preserve">353 </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74A82D9B" w14:textId="77777777" w:rsidR="003F46B9" w:rsidRDefault="0065662E">
            <w:pPr>
              <w:pStyle w:val="P68B1DB1-Normal5"/>
              <w:spacing w:after="0" w:line="240" w:lineRule="auto"/>
              <w:jc w:val="both"/>
              <w:rPr>
                <w:rFonts w:cs="Times New Roman"/>
                <w:noProof/>
              </w:rPr>
            </w:pPr>
            <w:r>
              <w:rPr>
                <w:noProof/>
              </w:rPr>
              <w:t xml:space="preserve">Reforma 1. Povećani kapacitet za upravljanje fondovima za javno zdravstvo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72EA838C"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29C595F6" w14:textId="77777777" w:rsidR="003F46B9" w:rsidRDefault="0065662E">
            <w:pPr>
              <w:pStyle w:val="P68B1DB1-Normal5"/>
              <w:spacing w:after="0" w:line="240" w:lineRule="auto"/>
              <w:jc w:val="both"/>
              <w:rPr>
                <w:rFonts w:cs="Times New Roman"/>
                <w:noProof/>
              </w:rPr>
            </w:pPr>
            <w:r>
              <w:rPr>
                <w:noProof/>
              </w:rPr>
              <w:t xml:space="preserve">Stupanje na snagu zakonodavne izmjene koja je potrebna kako bi se rezultati revizije proračunske potrošnje uključili u </w:t>
            </w:r>
            <w:r>
              <w:rPr>
                <w:noProof/>
              </w:rPr>
              <w:t>proračunski postupak</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1C16BAD6" w14:textId="77777777" w:rsidR="003F46B9" w:rsidRDefault="0065662E">
            <w:pPr>
              <w:pStyle w:val="P68B1DB1-Normal5"/>
              <w:spacing w:after="0" w:line="240" w:lineRule="auto"/>
              <w:jc w:val="both"/>
              <w:rPr>
                <w:rFonts w:cs="Times New Roman"/>
                <w:noProof/>
              </w:rPr>
            </w:pPr>
            <w:r>
              <w:rPr>
                <w:noProof/>
              </w:rPr>
              <w:t xml:space="preserve">U proračunskom postupku uzimaju se u obzir rezultati revizije potrošnje u području zdravstva koju je 2023. dovršilo Ministarstvo financija. </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2F0A6D9F" w14:textId="77777777" w:rsidR="003F46B9" w:rsidRDefault="003F46B9">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3E1C4A59" w14:textId="77777777" w:rsidR="003F46B9" w:rsidRDefault="003F46B9">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5E5D0D26" w14:textId="77777777" w:rsidR="003F46B9" w:rsidRDefault="003F46B9">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32CE5C52"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nil"/>
              <w:left w:val="nil"/>
              <w:bottom w:val="single" w:sz="4" w:space="0" w:color="000000" w:themeColor="text1"/>
              <w:right w:val="single" w:sz="4" w:space="0" w:color="000000" w:themeColor="text1"/>
            </w:tcBorders>
            <w:shd w:val="clear" w:color="auto" w:fill="C6EFCE"/>
            <w:noWrap/>
          </w:tcPr>
          <w:p w14:paraId="31B896BF"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117BF8E1" w14:textId="77777777" w:rsidR="003F46B9" w:rsidRDefault="0065662E">
            <w:pPr>
              <w:pStyle w:val="P68B1DB1-Normal5"/>
              <w:spacing w:after="0" w:line="240" w:lineRule="auto"/>
              <w:jc w:val="both"/>
              <w:rPr>
                <w:rFonts w:cs="Times New Roman"/>
                <w:noProof/>
              </w:rPr>
            </w:pPr>
            <w:r>
              <w:rPr>
                <w:noProof/>
              </w:rPr>
              <w:t>Ministarstvo zdravstva u svojem proračunskom postupku provodi rezultate re</w:t>
            </w:r>
            <w:r>
              <w:rPr>
                <w:noProof/>
              </w:rPr>
              <w:t>vizije potrošnje u području zdravstva koju provodi Ministarstvo financija. To se provodi počevši od godine nakon završetka revizije potrošnje.</w:t>
            </w:r>
          </w:p>
          <w:p w14:paraId="5C077AE5" w14:textId="77777777" w:rsidR="003F46B9" w:rsidRDefault="003F46B9">
            <w:pPr>
              <w:spacing w:after="0" w:line="240" w:lineRule="auto"/>
              <w:jc w:val="both"/>
              <w:rPr>
                <w:rFonts w:ascii="Times New Roman" w:hAnsi="Times New Roman" w:cs="Times New Roman"/>
                <w:noProof/>
                <w:sz w:val="24"/>
              </w:rPr>
            </w:pPr>
          </w:p>
        </w:tc>
      </w:tr>
      <w:tr w:rsidR="003F46B9" w14:paraId="391E9791"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4C1B4432" w14:textId="77777777" w:rsidR="003F46B9" w:rsidRDefault="0065662E">
            <w:pPr>
              <w:pStyle w:val="P68B1DB1-Normal5"/>
              <w:spacing w:after="0" w:line="240" w:lineRule="auto"/>
              <w:jc w:val="center"/>
              <w:rPr>
                <w:rFonts w:cs="Times New Roman"/>
                <w:noProof/>
              </w:rPr>
            </w:pPr>
            <w:r>
              <w:rPr>
                <w:noProof/>
              </w:rPr>
              <w:t>354</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4D13FD2B" w14:textId="5828B5C2" w:rsidR="003F46B9" w:rsidRDefault="0065662E">
            <w:pPr>
              <w:pStyle w:val="P68B1DB1-Normal5"/>
              <w:spacing w:after="0" w:line="240" w:lineRule="auto"/>
              <w:jc w:val="both"/>
              <w:rPr>
                <w:rFonts w:cs="Times New Roman"/>
                <w:noProof/>
              </w:rPr>
            </w:pPr>
            <w:r>
              <w:rPr>
                <w:noProof/>
              </w:rPr>
              <w:t xml:space="preserve">Reforma 1. Povećani kapacitet za upravljanje fondovima za javno zdravstvo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12E42DA5"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6B7D04E" w14:textId="77777777" w:rsidR="003F46B9" w:rsidRDefault="0065662E">
            <w:pPr>
              <w:pStyle w:val="P68B1DB1-Normal5"/>
              <w:spacing w:before="120" w:after="0" w:line="240" w:lineRule="auto"/>
              <w:jc w:val="both"/>
              <w:rPr>
                <w:rFonts w:cs="Times New Roman"/>
                <w:noProof/>
              </w:rPr>
            </w:pPr>
            <w:r>
              <w:rPr>
                <w:noProof/>
              </w:rPr>
              <w:t xml:space="preserve">Poboljšanje dostupnosti </w:t>
            </w:r>
            <w:r>
              <w:rPr>
                <w:noProof/>
              </w:rPr>
              <w:t>zdravstvene skrbi smanjenjem postotka osoba koje prijavljuju nezadovoljene medicinske potrebe</w:t>
            </w:r>
          </w:p>
        </w:tc>
        <w:tc>
          <w:tcPr>
            <w:tcW w:w="2104" w:type="dxa"/>
            <w:tcBorders>
              <w:top w:val="nil"/>
              <w:left w:val="nil"/>
              <w:bottom w:val="single" w:sz="4" w:space="0" w:color="000000" w:themeColor="text1"/>
              <w:right w:val="single" w:sz="4" w:space="0" w:color="000000" w:themeColor="text1"/>
            </w:tcBorders>
            <w:shd w:val="clear" w:color="auto" w:fill="C6EFCE"/>
            <w:noWrap/>
          </w:tcPr>
          <w:p w14:paraId="64BF3778" w14:textId="77777777" w:rsidR="003F46B9" w:rsidRDefault="003F46B9">
            <w:pPr>
              <w:spacing w:after="0" w:line="240" w:lineRule="auto"/>
              <w:jc w:val="both"/>
              <w:rPr>
                <w:rFonts w:ascii="Times New Roman" w:hAnsi="Times New Roman" w:cs="Times New Roman"/>
                <w:noProof/>
                <w:sz w:val="24"/>
              </w:rPr>
            </w:pPr>
          </w:p>
        </w:tc>
        <w:tc>
          <w:tcPr>
            <w:tcW w:w="1180" w:type="dxa"/>
            <w:tcBorders>
              <w:top w:val="nil"/>
              <w:left w:val="nil"/>
              <w:bottom w:val="single" w:sz="4" w:space="0" w:color="000000" w:themeColor="text1"/>
              <w:right w:val="single" w:sz="4" w:space="0" w:color="000000" w:themeColor="text1"/>
            </w:tcBorders>
            <w:shd w:val="clear" w:color="auto" w:fill="C6EFCE"/>
            <w:noWrap/>
          </w:tcPr>
          <w:p w14:paraId="16BFEF75" w14:textId="77777777" w:rsidR="003F46B9" w:rsidRDefault="0065662E">
            <w:pPr>
              <w:pStyle w:val="P68B1DB1-Normal5"/>
              <w:spacing w:after="0" w:line="240" w:lineRule="auto"/>
              <w:jc w:val="both"/>
              <w:rPr>
                <w:rFonts w:cs="Times New Roman"/>
                <w:noProof/>
              </w:rPr>
            </w:pPr>
            <w:r>
              <w:rPr>
                <w:noProof/>
              </w:rPr>
              <w:t>Postotak</w:t>
            </w:r>
          </w:p>
        </w:tc>
        <w:tc>
          <w:tcPr>
            <w:tcW w:w="992" w:type="dxa"/>
            <w:tcBorders>
              <w:top w:val="nil"/>
              <w:left w:val="nil"/>
              <w:bottom w:val="single" w:sz="4" w:space="0" w:color="000000" w:themeColor="text1"/>
              <w:right w:val="single" w:sz="4" w:space="0" w:color="000000" w:themeColor="text1"/>
            </w:tcBorders>
            <w:shd w:val="clear" w:color="auto" w:fill="C6EFCE"/>
            <w:noWrap/>
          </w:tcPr>
          <w:p w14:paraId="5C520E74" w14:textId="77777777" w:rsidR="003F46B9" w:rsidRDefault="0065662E">
            <w:pPr>
              <w:pStyle w:val="P68B1DB1-Normal5"/>
              <w:spacing w:after="0" w:line="240" w:lineRule="auto"/>
              <w:jc w:val="both"/>
              <w:rPr>
                <w:rFonts w:cs="Times New Roman"/>
                <w:noProof/>
              </w:rPr>
            </w:pPr>
            <w:r>
              <w:rPr>
                <w:noProof/>
              </w:rPr>
              <w:t>4,9</w:t>
            </w:r>
          </w:p>
        </w:tc>
        <w:tc>
          <w:tcPr>
            <w:tcW w:w="797" w:type="dxa"/>
            <w:tcBorders>
              <w:top w:val="nil"/>
              <w:left w:val="nil"/>
              <w:bottom w:val="single" w:sz="4" w:space="0" w:color="000000" w:themeColor="text1"/>
              <w:right w:val="single" w:sz="4" w:space="0" w:color="000000" w:themeColor="text1"/>
            </w:tcBorders>
            <w:shd w:val="clear" w:color="auto" w:fill="C6EFCE"/>
            <w:noWrap/>
          </w:tcPr>
          <w:p w14:paraId="530165C3" w14:textId="77777777" w:rsidR="003F46B9" w:rsidRDefault="0065662E">
            <w:pPr>
              <w:pStyle w:val="P68B1DB1-Normal5"/>
              <w:spacing w:after="0" w:line="240" w:lineRule="auto"/>
              <w:jc w:val="both"/>
              <w:rPr>
                <w:rFonts w:cs="Times New Roman"/>
                <w:noProof/>
              </w:rPr>
            </w:pPr>
            <w:r>
              <w:rPr>
                <w:noProof/>
              </w:rPr>
              <w:t>4,2</w:t>
            </w:r>
          </w:p>
        </w:tc>
        <w:tc>
          <w:tcPr>
            <w:tcW w:w="982" w:type="dxa"/>
            <w:tcBorders>
              <w:top w:val="nil"/>
              <w:left w:val="nil"/>
              <w:bottom w:val="single" w:sz="4" w:space="0" w:color="000000" w:themeColor="text1"/>
              <w:right w:val="single" w:sz="4" w:space="0" w:color="000000" w:themeColor="text1"/>
            </w:tcBorders>
            <w:shd w:val="clear" w:color="auto" w:fill="C6EFCE"/>
            <w:noWrap/>
          </w:tcPr>
          <w:p w14:paraId="77A9B9B6"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nil"/>
              <w:left w:val="nil"/>
              <w:bottom w:val="single" w:sz="4" w:space="0" w:color="000000" w:themeColor="text1"/>
              <w:right w:val="single" w:sz="4" w:space="0" w:color="000000" w:themeColor="text1"/>
            </w:tcBorders>
            <w:shd w:val="clear" w:color="auto" w:fill="C6EFCE"/>
            <w:noWrap/>
          </w:tcPr>
          <w:p w14:paraId="45466D15" w14:textId="77777777" w:rsidR="003F46B9" w:rsidRDefault="0065662E">
            <w:pPr>
              <w:pStyle w:val="P68B1DB1-Normal5"/>
              <w:spacing w:after="0" w:line="240" w:lineRule="auto"/>
              <w:jc w:val="both"/>
              <w:rPr>
                <w:rFonts w:cs="Times New Roman"/>
                <w:noProof/>
              </w:rPr>
            </w:pPr>
            <w:r>
              <w:rPr>
                <w:noProof/>
              </w:rPr>
              <w:t>2026</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39D3A31C" w14:textId="77777777" w:rsidR="003F46B9" w:rsidRDefault="0065662E">
            <w:pPr>
              <w:pStyle w:val="P68B1DB1-Normal5"/>
              <w:spacing w:after="0" w:line="240" w:lineRule="auto"/>
              <w:jc w:val="both"/>
              <w:rPr>
                <w:rFonts w:cs="Times New Roman"/>
                <w:noProof/>
              </w:rPr>
            </w:pPr>
            <w:r>
              <w:rPr>
                <w:noProof/>
              </w:rPr>
              <w:t>Nezadovoljena potreba za liječničkim pregledom i skrbi može biti posljedica (1) financijskih razloga, (2) lista čekanja i (3) p</w:t>
            </w:r>
            <w:r>
              <w:rPr>
                <w:noProof/>
              </w:rPr>
              <w:t>otrebe za predugo putovanjem. Eurostatov pokazatelj kojim se procjenjuje razina dostupnosti usluga zdravstvene skrbi uzima u obzir sva tri razloga. Zdravstvena skrb odnosi se na pojedinačne usluge zdravstvene zaštite (liječnički pregled ili liječenje, ne r</w:t>
            </w:r>
            <w:r>
              <w:rPr>
                <w:noProof/>
              </w:rPr>
              <w:t>ačunajući stomatološke usluge) koje pruža liječnik ili osoba jednakovrijedne struke ili se one pružaju pod njegovim izravnim nadzorom u skladu s nacionalnim zdravstvenim sustavima. Podaci se prikupljaju iz europske statistike o dohotku i uvjetima života te</w:t>
            </w:r>
            <w:r>
              <w:rPr>
                <w:noProof/>
              </w:rPr>
              <w:t xml:space="preserve"> obuhvaćaju takve potrebe u prethodnih 12 mjeseci.</w:t>
            </w:r>
          </w:p>
          <w:p w14:paraId="072532E8" w14:textId="77777777" w:rsidR="003F46B9" w:rsidRDefault="0065662E">
            <w:pPr>
              <w:pStyle w:val="P68B1DB1-Normal5"/>
              <w:spacing w:after="0" w:line="240" w:lineRule="auto"/>
              <w:jc w:val="both"/>
              <w:rPr>
                <w:rFonts w:cs="Times New Roman"/>
                <w:noProof/>
              </w:rPr>
            </w:pPr>
            <w:r>
              <w:rPr>
                <w:noProof/>
              </w:rPr>
              <w:t>Očekuje se da će se poboljšanjem pristupa zdravstvenoj skrbi postotak osoba koje prijavljuju nezadovoljene medicinske potrebe smanjiti s 4,9 % u 2019. (polazna vrijednost) na 4,2 % u drugom tromjesečju 202</w:t>
            </w:r>
            <w:r>
              <w:rPr>
                <w:noProof/>
              </w:rPr>
              <w:t>6.</w:t>
            </w:r>
          </w:p>
        </w:tc>
      </w:tr>
      <w:tr w:rsidR="003F46B9" w14:paraId="4D47C8F3" w14:textId="77777777">
        <w:trPr>
          <w:trHeight w:val="309"/>
          <w:jc w:val="center"/>
        </w:trPr>
        <w:tc>
          <w:tcPr>
            <w:tcW w:w="729" w:type="dxa"/>
            <w:tcBorders>
              <w:top w:val="nil"/>
              <w:left w:val="single" w:sz="4" w:space="0" w:color="000000" w:themeColor="text1"/>
              <w:bottom w:val="single" w:sz="4" w:space="0" w:color="000000" w:themeColor="text1"/>
              <w:right w:val="single" w:sz="4" w:space="0" w:color="000000" w:themeColor="text1"/>
            </w:tcBorders>
            <w:shd w:val="clear" w:color="auto" w:fill="C6EFCE"/>
            <w:noWrap/>
          </w:tcPr>
          <w:p w14:paraId="65A972BC" w14:textId="77777777" w:rsidR="003F46B9" w:rsidRDefault="0065662E">
            <w:pPr>
              <w:pStyle w:val="P68B1DB1-Normal5"/>
              <w:spacing w:after="0" w:line="240" w:lineRule="auto"/>
              <w:jc w:val="center"/>
              <w:rPr>
                <w:rFonts w:cs="Times New Roman"/>
                <w:noProof/>
              </w:rPr>
            </w:pPr>
            <w:r>
              <w:rPr>
                <w:noProof/>
              </w:rPr>
              <w:t>355</w:t>
            </w:r>
          </w:p>
        </w:tc>
        <w:tc>
          <w:tcPr>
            <w:tcW w:w="1656" w:type="dxa"/>
            <w:tcBorders>
              <w:top w:val="nil"/>
              <w:left w:val="nil"/>
              <w:bottom w:val="single" w:sz="4" w:space="0" w:color="000000" w:themeColor="text1"/>
              <w:right w:val="single" w:sz="4" w:space="0" w:color="000000" w:themeColor="text1"/>
            </w:tcBorders>
            <w:shd w:val="clear" w:color="auto" w:fill="C6EFCE"/>
            <w:noWrap/>
          </w:tcPr>
          <w:p w14:paraId="30A38711" w14:textId="076ADAA1" w:rsidR="003F46B9" w:rsidRDefault="0065662E">
            <w:pPr>
              <w:pStyle w:val="P68B1DB1-Normal5"/>
              <w:spacing w:after="0" w:line="240" w:lineRule="auto"/>
              <w:jc w:val="both"/>
              <w:rPr>
                <w:rFonts w:cs="Times New Roman"/>
                <w:noProof/>
              </w:rPr>
            </w:pPr>
            <w:r>
              <w:rPr>
                <w:noProof/>
              </w:rPr>
              <w:t xml:space="preserve">Reforma 2. Povećani kapacitet za ulaganja u zdravstvenu infrastrukturu </w:t>
            </w:r>
          </w:p>
        </w:tc>
        <w:tc>
          <w:tcPr>
            <w:tcW w:w="1123" w:type="dxa"/>
            <w:tcBorders>
              <w:top w:val="nil"/>
              <w:left w:val="nil"/>
              <w:bottom w:val="single" w:sz="4" w:space="0" w:color="000000" w:themeColor="text1"/>
              <w:right w:val="single" w:sz="4" w:space="0" w:color="000000" w:themeColor="text1"/>
            </w:tcBorders>
            <w:shd w:val="clear" w:color="auto" w:fill="C6EFCE"/>
            <w:noWrap/>
          </w:tcPr>
          <w:p w14:paraId="0C8158D1"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nil"/>
              <w:left w:val="nil"/>
              <w:bottom w:val="single" w:sz="4" w:space="0" w:color="000000" w:themeColor="text1"/>
              <w:right w:val="single" w:sz="4" w:space="0" w:color="000000" w:themeColor="text1"/>
            </w:tcBorders>
            <w:shd w:val="clear" w:color="auto" w:fill="C6EFCE"/>
            <w:noWrap/>
          </w:tcPr>
          <w:p w14:paraId="593901E5" w14:textId="77777777" w:rsidR="003F46B9" w:rsidRDefault="0065662E">
            <w:pPr>
              <w:pStyle w:val="P68B1DB1-Normal5"/>
              <w:spacing w:after="0" w:line="240" w:lineRule="auto"/>
              <w:jc w:val="both"/>
              <w:rPr>
                <w:rFonts w:cs="Times New Roman"/>
                <w:noProof/>
              </w:rPr>
            </w:pPr>
            <w:r>
              <w:rPr>
                <w:noProof/>
              </w:rPr>
              <w:t xml:space="preserve">Stupanje na snagu zakonodavnog okvira kojim se osniva Nacionalna agencija za razvoj infrastrukture u zdravstvu (ANDIS) </w:t>
            </w:r>
          </w:p>
          <w:p w14:paraId="7B0AA254" w14:textId="77777777" w:rsidR="003F46B9" w:rsidRDefault="003F46B9">
            <w:pPr>
              <w:spacing w:after="0" w:line="240" w:lineRule="auto"/>
              <w:jc w:val="both"/>
              <w:rPr>
                <w:rFonts w:ascii="Times New Roman" w:hAnsi="Times New Roman" w:cs="Times New Roman"/>
                <w:noProof/>
                <w:sz w:val="24"/>
              </w:rPr>
            </w:pPr>
          </w:p>
          <w:p w14:paraId="62025F2F" w14:textId="77777777" w:rsidR="003F46B9" w:rsidRDefault="003F46B9">
            <w:pPr>
              <w:spacing w:before="120" w:after="0" w:line="240" w:lineRule="auto"/>
              <w:jc w:val="both"/>
              <w:rPr>
                <w:rFonts w:ascii="Times New Roman" w:hAnsi="Times New Roman" w:cs="Times New Roman"/>
                <w:noProof/>
                <w:sz w:val="24"/>
              </w:rPr>
            </w:pPr>
          </w:p>
        </w:tc>
        <w:tc>
          <w:tcPr>
            <w:tcW w:w="2104" w:type="dxa"/>
            <w:tcBorders>
              <w:top w:val="nil"/>
              <w:left w:val="nil"/>
              <w:bottom w:val="single" w:sz="4" w:space="0" w:color="000000" w:themeColor="text1"/>
              <w:right w:val="single" w:sz="4" w:space="0" w:color="000000" w:themeColor="text1"/>
            </w:tcBorders>
            <w:shd w:val="clear" w:color="auto" w:fill="C6EFCE"/>
            <w:noWrap/>
          </w:tcPr>
          <w:p w14:paraId="100A72DB" w14:textId="77777777" w:rsidR="003F46B9" w:rsidRDefault="0065662E">
            <w:pPr>
              <w:pStyle w:val="P68B1DB1-Normal5"/>
              <w:spacing w:after="0" w:line="240" w:lineRule="auto"/>
              <w:jc w:val="both"/>
              <w:rPr>
                <w:rFonts w:cs="Times New Roman"/>
                <w:noProof/>
              </w:rPr>
            </w:pPr>
            <w:r>
              <w:rPr>
                <w:noProof/>
              </w:rPr>
              <w:t xml:space="preserve">Stupanje na snagu zakonodavnog okvira </w:t>
            </w:r>
            <w:r>
              <w:rPr>
                <w:noProof/>
              </w:rPr>
              <w:t>kojim se osniva Nacionalna agencija za razvoj infrastrukture u zdravstvu (ANDIS)</w:t>
            </w:r>
          </w:p>
        </w:tc>
        <w:tc>
          <w:tcPr>
            <w:tcW w:w="1180" w:type="dxa"/>
            <w:tcBorders>
              <w:top w:val="nil"/>
              <w:left w:val="nil"/>
              <w:bottom w:val="single" w:sz="4" w:space="0" w:color="000000" w:themeColor="text1"/>
              <w:right w:val="single" w:sz="4" w:space="0" w:color="000000" w:themeColor="text1"/>
            </w:tcBorders>
            <w:shd w:val="clear" w:color="auto" w:fill="C6EFCE"/>
            <w:noWrap/>
          </w:tcPr>
          <w:p w14:paraId="7BE4FACB" w14:textId="77777777" w:rsidR="003F46B9" w:rsidRDefault="003F46B9">
            <w:pPr>
              <w:spacing w:after="0" w:line="240" w:lineRule="auto"/>
              <w:jc w:val="both"/>
              <w:rPr>
                <w:rFonts w:ascii="Times New Roman" w:hAnsi="Times New Roman" w:cs="Times New Roman"/>
                <w:noProof/>
                <w:sz w:val="24"/>
              </w:rPr>
            </w:pPr>
          </w:p>
        </w:tc>
        <w:tc>
          <w:tcPr>
            <w:tcW w:w="992" w:type="dxa"/>
            <w:tcBorders>
              <w:top w:val="nil"/>
              <w:left w:val="nil"/>
              <w:bottom w:val="single" w:sz="4" w:space="0" w:color="000000" w:themeColor="text1"/>
              <w:right w:val="single" w:sz="4" w:space="0" w:color="000000" w:themeColor="text1"/>
            </w:tcBorders>
            <w:shd w:val="clear" w:color="auto" w:fill="C6EFCE"/>
            <w:noWrap/>
          </w:tcPr>
          <w:p w14:paraId="1A7649A4" w14:textId="77777777" w:rsidR="003F46B9" w:rsidRDefault="003F46B9">
            <w:pPr>
              <w:spacing w:after="0" w:line="240" w:lineRule="auto"/>
              <w:jc w:val="both"/>
              <w:rPr>
                <w:rFonts w:ascii="Times New Roman" w:hAnsi="Times New Roman" w:cs="Times New Roman"/>
                <w:noProof/>
                <w:sz w:val="24"/>
              </w:rPr>
            </w:pPr>
          </w:p>
        </w:tc>
        <w:tc>
          <w:tcPr>
            <w:tcW w:w="797" w:type="dxa"/>
            <w:tcBorders>
              <w:top w:val="nil"/>
              <w:left w:val="nil"/>
              <w:bottom w:val="single" w:sz="4" w:space="0" w:color="000000" w:themeColor="text1"/>
              <w:right w:val="single" w:sz="4" w:space="0" w:color="000000" w:themeColor="text1"/>
            </w:tcBorders>
            <w:shd w:val="clear" w:color="auto" w:fill="C6EFCE"/>
            <w:noWrap/>
          </w:tcPr>
          <w:p w14:paraId="46F3D0D9" w14:textId="77777777" w:rsidR="003F46B9" w:rsidRDefault="003F46B9">
            <w:pPr>
              <w:spacing w:after="0" w:line="240" w:lineRule="auto"/>
              <w:jc w:val="both"/>
              <w:rPr>
                <w:rFonts w:ascii="Times New Roman" w:hAnsi="Times New Roman" w:cs="Times New Roman"/>
                <w:noProof/>
                <w:sz w:val="24"/>
              </w:rPr>
            </w:pPr>
          </w:p>
        </w:tc>
        <w:tc>
          <w:tcPr>
            <w:tcW w:w="982" w:type="dxa"/>
            <w:tcBorders>
              <w:top w:val="nil"/>
              <w:left w:val="nil"/>
              <w:bottom w:val="single" w:sz="4" w:space="0" w:color="000000" w:themeColor="text1"/>
              <w:right w:val="single" w:sz="4" w:space="0" w:color="000000" w:themeColor="text1"/>
            </w:tcBorders>
            <w:shd w:val="clear" w:color="auto" w:fill="C6EFCE"/>
            <w:noWrap/>
          </w:tcPr>
          <w:p w14:paraId="129FFE7C"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nil"/>
              <w:left w:val="nil"/>
              <w:bottom w:val="single" w:sz="4" w:space="0" w:color="000000" w:themeColor="text1"/>
              <w:right w:val="single" w:sz="4" w:space="0" w:color="000000" w:themeColor="text1"/>
            </w:tcBorders>
            <w:shd w:val="clear" w:color="auto" w:fill="C6EFCE"/>
            <w:noWrap/>
          </w:tcPr>
          <w:p w14:paraId="1EF292DF" w14:textId="77777777" w:rsidR="003F46B9" w:rsidRDefault="0065662E">
            <w:pPr>
              <w:pStyle w:val="P68B1DB1-Normal5"/>
              <w:spacing w:after="0" w:line="240" w:lineRule="auto"/>
              <w:jc w:val="both"/>
              <w:rPr>
                <w:rFonts w:cs="Times New Roman"/>
                <w:noProof/>
              </w:rPr>
            </w:pPr>
            <w:r>
              <w:rPr>
                <w:noProof/>
              </w:rPr>
              <w:t>2022</w:t>
            </w:r>
          </w:p>
        </w:tc>
        <w:tc>
          <w:tcPr>
            <w:tcW w:w="3548" w:type="dxa"/>
            <w:tcBorders>
              <w:top w:val="nil"/>
              <w:left w:val="nil"/>
              <w:bottom w:val="single" w:sz="4" w:space="0" w:color="000000" w:themeColor="text1"/>
              <w:right w:val="single" w:sz="4" w:space="0" w:color="000000" w:themeColor="text1"/>
            </w:tcBorders>
            <w:shd w:val="clear" w:color="auto" w:fill="C6EFCE"/>
            <w:noWrap/>
          </w:tcPr>
          <w:p w14:paraId="5AF934D9" w14:textId="77777777" w:rsidR="003F46B9" w:rsidRDefault="0065662E">
            <w:pPr>
              <w:pStyle w:val="P68B1DB1-Normal5"/>
              <w:spacing w:after="0" w:line="240" w:lineRule="auto"/>
              <w:jc w:val="both"/>
              <w:rPr>
                <w:rFonts w:cs="Times New Roman"/>
                <w:noProof/>
              </w:rPr>
            </w:pPr>
            <w:r>
              <w:rPr>
                <w:noProof/>
              </w:rPr>
              <w:t>Zakonodavnim okvirom utvrđuju se sljedeće funkcije Agencije:</w:t>
            </w:r>
          </w:p>
          <w:p w14:paraId="256D5FBF" w14:textId="77777777" w:rsidR="003F46B9" w:rsidRDefault="0065662E">
            <w:pPr>
              <w:pStyle w:val="P68B1DB1-Normal5"/>
              <w:spacing w:after="0" w:line="240" w:lineRule="auto"/>
              <w:jc w:val="both"/>
              <w:rPr>
                <w:rFonts w:cs="Times New Roman"/>
                <w:noProof/>
              </w:rPr>
            </w:pPr>
            <w:r>
              <w:rPr>
                <w:noProof/>
              </w:rPr>
              <w:t xml:space="preserve">—Pravodobna priprema i provedba prioritetnih projekata ulaganja u infrastrukturu javnog </w:t>
            </w:r>
            <w:r>
              <w:rPr>
                <w:noProof/>
              </w:rPr>
              <w:t>zdravstva, u skladu sa specifikacijama i u okviru odobrenog proračuna;</w:t>
            </w:r>
          </w:p>
          <w:p w14:paraId="6FFEDFFA" w14:textId="77777777" w:rsidR="003F46B9" w:rsidRDefault="0065662E">
            <w:pPr>
              <w:pStyle w:val="P68B1DB1-Normal5"/>
              <w:spacing w:after="0" w:line="240" w:lineRule="auto"/>
              <w:jc w:val="both"/>
              <w:rPr>
                <w:rFonts w:cs="Times New Roman"/>
                <w:noProof/>
              </w:rPr>
            </w:pPr>
            <w:r>
              <w:rPr>
                <w:noProof/>
              </w:rPr>
              <w:t>—Izdavanje uputa, preporuka i primjenjivih metodoloških standarda za pripremu, provedbu i dovršetak projekata ulaganja u infrastrukturu javnog zdravstva;</w:t>
            </w:r>
          </w:p>
          <w:p w14:paraId="1FE35F80" w14:textId="77777777" w:rsidR="003F46B9" w:rsidRDefault="0065662E">
            <w:pPr>
              <w:pStyle w:val="P68B1DB1-ListParagraph13"/>
              <w:numPr>
                <w:ilvl w:val="0"/>
                <w:numId w:val="94"/>
              </w:numPr>
              <w:spacing w:after="0" w:line="240" w:lineRule="auto"/>
              <w:ind w:left="260" w:hanging="260"/>
              <w:jc w:val="both"/>
              <w:rPr>
                <w:rFonts w:cs="Times New Roman"/>
                <w:noProof/>
              </w:rPr>
            </w:pPr>
            <w:r>
              <w:rPr>
                <w:noProof/>
              </w:rPr>
              <w:t>Pružanje specijalizirane pomoći</w:t>
            </w:r>
            <w:r>
              <w:rPr>
                <w:noProof/>
              </w:rPr>
              <w:t xml:space="preserve"> u području investicijskih projekata u infrastrukturu javnog zdravstva ministarstvima, javnim bolnicama ili drugim javnim tijelima;</w:t>
            </w:r>
          </w:p>
          <w:p w14:paraId="70D377B5" w14:textId="77777777" w:rsidR="003F46B9" w:rsidRDefault="0065662E">
            <w:pPr>
              <w:pStyle w:val="P68B1DB1-ListParagraph13"/>
              <w:numPr>
                <w:ilvl w:val="0"/>
                <w:numId w:val="94"/>
              </w:numPr>
              <w:spacing w:after="0" w:line="240" w:lineRule="auto"/>
              <w:ind w:left="260" w:hanging="260"/>
              <w:jc w:val="both"/>
              <w:rPr>
                <w:rFonts w:cs="Times New Roman"/>
                <w:noProof/>
              </w:rPr>
            </w:pPr>
            <w:r>
              <w:rPr>
                <w:noProof/>
              </w:rPr>
              <w:t>Uspostavu i provedbu višegodišnjeg programa prioritetnih projekata ulaganja u infrastrukturu javnog zdravstva;</w:t>
            </w:r>
          </w:p>
          <w:p w14:paraId="7BA43C28" w14:textId="77777777" w:rsidR="003F46B9" w:rsidRDefault="0065662E">
            <w:pPr>
              <w:pStyle w:val="P68B1DB1-ListParagraph13"/>
              <w:numPr>
                <w:ilvl w:val="0"/>
                <w:numId w:val="94"/>
              </w:numPr>
              <w:spacing w:after="0" w:line="240" w:lineRule="auto"/>
              <w:ind w:left="260" w:hanging="260"/>
              <w:jc w:val="both"/>
              <w:rPr>
                <w:rFonts w:cs="Times New Roman"/>
                <w:noProof/>
              </w:rPr>
            </w:pPr>
            <w:r>
              <w:rPr>
                <w:noProof/>
              </w:rPr>
              <w:t>Praćenje prov</w:t>
            </w:r>
            <w:r>
              <w:rPr>
                <w:noProof/>
              </w:rPr>
              <w:t>edbe projekata ulaganja u infrastrukturu javnog zdravstva;</w:t>
            </w:r>
          </w:p>
          <w:p w14:paraId="66A4CFD4" w14:textId="77777777" w:rsidR="003F46B9" w:rsidRDefault="0065662E">
            <w:pPr>
              <w:pStyle w:val="P68B1DB1-ListParagraph13"/>
              <w:numPr>
                <w:ilvl w:val="0"/>
                <w:numId w:val="94"/>
              </w:numPr>
              <w:spacing w:after="0" w:line="240" w:lineRule="auto"/>
              <w:ind w:left="260" w:hanging="260"/>
              <w:jc w:val="both"/>
              <w:rPr>
                <w:rFonts w:cs="Times New Roman"/>
                <w:noProof/>
              </w:rPr>
            </w:pPr>
            <w:r>
              <w:rPr>
                <w:noProof/>
              </w:rPr>
              <w:t>Osnivanje centra izvrsnosti u upravljanju projektima ulaganja u infrastrukturu javnog zdravstva;</w:t>
            </w:r>
          </w:p>
          <w:p w14:paraId="5BC5D740" w14:textId="77777777" w:rsidR="003F46B9" w:rsidRDefault="0065662E">
            <w:pPr>
              <w:pStyle w:val="P68B1DB1-ListParagraph13"/>
              <w:numPr>
                <w:ilvl w:val="0"/>
                <w:numId w:val="94"/>
              </w:numPr>
              <w:spacing w:after="0" w:line="240" w:lineRule="auto"/>
              <w:ind w:left="260" w:hanging="260"/>
              <w:jc w:val="both"/>
              <w:rPr>
                <w:rFonts w:cs="Times New Roman"/>
                <w:noProof/>
              </w:rPr>
            </w:pPr>
            <w:r>
              <w:rPr>
                <w:noProof/>
              </w:rPr>
              <w:t>Uspostava partnerstava i sklapanje sporazuma o financiranju projekata ulaganja u infrastrukturu javn</w:t>
            </w:r>
            <w:r>
              <w:rPr>
                <w:noProof/>
              </w:rPr>
              <w:t>og zdravstva.</w:t>
            </w:r>
          </w:p>
          <w:p w14:paraId="4FDF86EB" w14:textId="77777777" w:rsidR="003F46B9" w:rsidRDefault="0065662E">
            <w:pPr>
              <w:pStyle w:val="P68B1DB1-Normal5"/>
              <w:spacing w:after="0" w:line="240" w:lineRule="auto"/>
              <w:jc w:val="both"/>
              <w:rPr>
                <w:rFonts w:cs="Times New Roman"/>
                <w:noProof/>
              </w:rPr>
            </w:pPr>
            <w:r>
              <w:rPr>
                <w:noProof/>
              </w:rPr>
              <w:t xml:space="preserve">Imenuje se predsjednik ANDIS-a, a zapošljavanje osoblja za 15 ključnih uloga u dovršenom organigramu ANDIS-a mora biti dovršeno do trenutka kada agencija postane operativna. </w:t>
            </w:r>
          </w:p>
        </w:tc>
      </w:tr>
      <w:tr w:rsidR="003F46B9" w14:paraId="056DC460"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5F4FB7A" w14:textId="77777777" w:rsidR="003F46B9" w:rsidRDefault="0065662E">
            <w:pPr>
              <w:pStyle w:val="P68B1DB1-Normal5"/>
              <w:spacing w:after="0" w:line="240" w:lineRule="auto"/>
              <w:jc w:val="center"/>
              <w:rPr>
                <w:rFonts w:cs="Times New Roman"/>
                <w:noProof/>
              </w:rPr>
            </w:pPr>
            <w:r>
              <w:rPr>
                <w:noProof/>
              </w:rPr>
              <w:t>356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60520F" w14:textId="4C1496E2" w:rsidR="003F46B9" w:rsidRDefault="0065662E">
            <w:pPr>
              <w:pStyle w:val="P68B1DB1-Normal5"/>
              <w:spacing w:after="0" w:line="240" w:lineRule="auto"/>
              <w:jc w:val="both"/>
              <w:rPr>
                <w:rFonts w:cs="Times New Roman"/>
                <w:noProof/>
              </w:rPr>
            </w:pPr>
            <w:r>
              <w:rPr>
                <w:noProof/>
              </w:rPr>
              <w:t xml:space="preserve">Reforma 3. Povećani </w:t>
            </w:r>
            <w:r>
              <w:rPr>
                <w:noProof/>
              </w:rPr>
              <w:t xml:space="preserve">kapaciteti za upravljanje zdravljem i ljudske resurse u zdravstvu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38E204"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4381C2" w14:textId="77777777" w:rsidR="003F46B9" w:rsidRDefault="0065662E">
            <w:pPr>
              <w:pStyle w:val="P68B1DB1-Normal5"/>
              <w:spacing w:after="0" w:line="240" w:lineRule="auto"/>
              <w:jc w:val="both"/>
              <w:rPr>
                <w:rFonts w:cs="Times New Roman"/>
                <w:noProof/>
              </w:rPr>
            </w:pPr>
            <w:r>
              <w:rPr>
                <w:noProof/>
              </w:rPr>
              <w:t>Stupanje na snagu zakonodavnog okvira za povećanje kapaciteta za upravljanje zdravljem i ljudske resurse u zdravstvu</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D59BD6" w14:textId="77777777" w:rsidR="003F46B9" w:rsidRDefault="0065662E">
            <w:pPr>
              <w:pStyle w:val="P68B1DB1-Normal5"/>
              <w:spacing w:after="0" w:line="240" w:lineRule="auto"/>
              <w:jc w:val="both"/>
              <w:rPr>
                <w:rFonts w:cs="Times New Roman"/>
                <w:noProof/>
              </w:rPr>
            </w:pPr>
            <w:r>
              <w:rPr>
                <w:noProof/>
              </w:rPr>
              <w:t>Stupanje na snagu zakonodavnog okvira za reformu upravljanja</w:t>
            </w:r>
            <w:r>
              <w:rPr>
                <w:noProof/>
              </w:rPr>
              <w:t xml:space="preserve"> zdravstvenim službama i ljudskim resursima</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C82899"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CA56D7" w14:textId="77777777" w:rsidR="003F46B9" w:rsidRDefault="003F46B9">
            <w:pPr>
              <w:spacing w:after="0" w:line="240" w:lineRule="auto"/>
              <w:ind w:left="-69" w:firstLine="69"/>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72471A"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1E97D8"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B42CC9" w14:textId="77777777" w:rsidR="003F46B9" w:rsidRDefault="0065662E">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226E367" w14:textId="77777777" w:rsidR="003F46B9" w:rsidRDefault="0065662E">
            <w:pPr>
              <w:pStyle w:val="P68B1DB1-Normal5"/>
              <w:spacing w:after="0" w:line="240" w:lineRule="auto"/>
              <w:jc w:val="both"/>
              <w:rPr>
                <w:rFonts w:cs="Times New Roman"/>
                <w:noProof/>
              </w:rPr>
            </w:pPr>
            <w:r>
              <w:rPr>
                <w:noProof/>
              </w:rPr>
              <w:t>Izmjene su usmjerene na glavni zakon kojim se uređuje zdravstveni sektor (Zakon br. 95 iz 2006., kako je izmijenjen). Osim toga, više vladinih odluka stupa na snagu kako bi se provele promjene</w:t>
            </w:r>
            <w:r>
              <w:rPr>
                <w:noProof/>
              </w:rPr>
              <w:t xml:space="preserve"> ovog zakona. Glavne odredbe novouvedenih zakonodavnih akata:</w:t>
            </w:r>
          </w:p>
          <w:p w14:paraId="48EEABBA" w14:textId="77777777" w:rsidR="003F46B9" w:rsidRDefault="0065662E">
            <w:pPr>
              <w:pStyle w:val="P68B1DB1-Normal5"/>
              <w:spacing w:after="0" w:line="240" w:lineRule="auto"/>
              <w:jc w:val="both"/>
              <w:rPr>
                <w:rFonts w:cs="Times New Roman"/>
                <w:noProof/>
              </w:rPr>
            </w:pPr>
            <w:r>
              <w:rPr>
                <w:noProof/>
              </w:rPr>
              <w:t xml:space="preserve">—prilagoditi kriterije stručnosti za upis na natječaje za rukovodeće položaje u zdravstvu; </w:t>
            </w:r>
          </w:p>
          <w:p w14:paraId="073ED916" w14:textId="77777777" w:rsidR="003F46B9" w:rsidRDefault="0065662E">
            <w:pPr>
              <w:pStyle w:val="P68B1DB1-Normal5"/>
              <w:spacing w:after="0" w:line="240" w:lineRule="auto"/>
              <w:jc w:val="both"/>
              <w:rPr>
                <w:rFonts w:cs="Times New Roman"/>
                <w:noProof/>
              </w:rPr>
            </w:pPr>
            <w:r>
              <w:rPr>
                <w:noProof/>
              </w:rPr>
              <w:t>—prilagoditi kriterije kvalitete za programe osposobljavanja u području upravljanja zdravstvenim služb</w:t>
            </w:r>
            <w:r>
              <w:rPr>
                <w:noProof/>
              </w:rPr>
              <w:t>ama;</w:t>
            </w:r>
          </w:p>
          <w:p w14:paraId="111AE4A8" w14:textId="77777777" w:rsidR="003F46B9" w:rsidRDefault="0065662E">
            <w:pPr>
              <w:pStyle w:val="P68B1DB1-Normal5"/>
              <w:spacing w:after="0" w:line="240" w:lineRule="auto"/>
              <w:jc w:val="both"/>
              <w:rPr>
                <w:rFonts w:cs="Times New Roman"/>
                <w:noProof/>
              </w:rPr>
            </w:pPr>
            <w:r>
              <w:rPr>
                <w:noProof/>
              </w:rPr>
              <w:t>—ažurirati zahtjeve za kontinuirani profesionalni razvoj zdravstvenih djelatnika;</w:t>
            </w:r>
          </w:p>
          <w:p w14:paraId="4FC2B555" w14:textId="77777777" w:rsidR="003F46B9" w:rsidRDefault="0065662E">
            <w:pPr>
              <w:pStyle w:val="P68B1DB1-Normal5"/>
              <w:spacing w:after="0" w:line="240" w:lineRule="auto"/>
              <w:jc w:val="both"/>
              <w:rPr>
                <w:rFonts w:cs="Times New Roman"/>
                <w:noProof/>
              </w:rPr>
            </w:pPr>
            <w:r>
              <w:rPr>
                <w:noProof/>
              </w:rPr>
              <w:t>—razviti i ojačati tijelo stručnjaka za upravljanje zdravstvenim službama;</w:t>
            </w:r>
          </w:p>
          <w:p w14:paraId="7BB34F79" w14:textId="77777777" w:rsidR="003F46B9" w:rsidRDefault="0065662E">
            <w:pPr>
              <w:pStyle w:val="P68B1DB1-Normal5"/>
              <w:spacing w:after="0" w:line="240" w:lineRule="auto"/>
              <w:jc w:val="both"/>
              <w:rPr>
                <w:rFonts w:cs="Times New Roman"/>
                <w:noProof/>
              </w:rPr>
            </w:pPr>
            <w:r>
              <w:rPr>
                <w:noProof/>
              </w:rPr>
              <w:t>—razviti reviziju i evaluaciju programa osposobljavanja u području upravljanja zdravstvenim sl</w:t>
            </w:r>
            <w:r>
              <w:rPr>
                <w:noProof/>
              </w:rPr>
              <w:t>užbama.</w:t>
            </w:r>
          </w:p>
          <w:p w14:paraId="28FCCDBE" w14:textId="77777777" w:rsidR="003F46B9" w:rsidRDefault="0065662E">
            <w:pPr>
              <w:pStyle w:val="P68B1DB1-Normal5"/>
              <w:spacing w:after="0" w:line="240" w:lineRule="auto"/>
              <w:jc w:val="both"/>
              <w:rPr>
                <w:rFonts w:cs="Times New Roman"/>
                <w:noProof/>
              </w:rPr>
            </w:pPr>
            <w:r>
              <w:rPr>
                <w:noProof/>
              </w:rPr>
              <w:t xml:space="preserve">Novodoneseno zakonodavstvo pomaže u profesionalizaciji upravljanja zdravstvenim uslugama razvojem kriterija stručnosti za stručno osoblje. </w:t>
            </w:r>
          </w:p>
        </w:tc>
      </w:tr>
      <w:tr w:rsidR="003F46B9" w14:paraId="3780D770"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F133BE3" w14:textId="77777777" w:rsidR="003F46B9" w:rsidRDefault="0065662E">
            <w:pPr>
              <w:pStyle w:val="P68B1DB1-Normal5"/>
              <w:spacing w:after="0" w:line="240" w:lineRule="auto"/>
              <w:jc w:val="center"/>
              <w:rPr>
                <w:rFonts w:cs="Times New Roman"/>
                <w:noProof/>
              </w:rPr>
            </w:pPr>
            <w:r>
              <w:rPr>
                <w:noProof/>
              </w:rPr>
              <w:t>357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FED6953" w14:textId="77777777" w:rsidR="003F46B9" w:rsidRDefault="0065662E">
            <w:pPr>
              <w:pStyle w:val="P68B1DB1-Normal5"/>
              <w:spacing w:after="0" w:line="240" w:lineRule="auto"/>
              <w:jc w:val="both"/>
              <w:rPr>
                <w:rFonts w:cs="Times New Roman"/>
                <w:noProof/>
              </w:rPr>
            </w:pPr>
            <w:r>
              <w:rPr>
                <w:noProof/>
              </w:rPr>
              <w:t>Reforma 3. Povećani 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EE8AA4"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7498839" w14:textId="43CAE9C2" w:rsidR="003F46B9" w:rsidRDefault="0065662E">
            <w:pPr>
              <w:pStyle w:val="P68B1DB1-Normal5"/>
              <w:spacing w:after="0" w:line="240" w:lineRule="auto"/>
              <w:jc w:val="both"/>
              <w:rPr>
                <w:rFonts w:cs="Times New Roman"/>
                <w:noProof/>
              </w:rPr>
            </w:pPr>
            <w:r>
              <w:rPr>
                <w:noProof/>
              </w:rPr>
              <w:t xml:space="preserve">Stupanje na snagu zakonodavstva o strateškom okviru za razvoj ljudskih resursa u zdravstvu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FBD9F5" w14:textId="77777777" w:rsidR="003F46B9" w:rsidRDefault="0065662E">
            <w:pPr>
              <w:pStyle w:val="P68B1DB1-Normal5"/>
              <w:spacing w:after="0" w:line="240" w:lineRule="auto"/>
              <w:jc w:val="both"/>
              <w:rPr>
                <w:rFonts w:cs="Times New Roman"/>
                <w:noProof/>
              </w:rPr>
            </w:pPr>
            <w:r>
              <w:rPr>
                <w:noProof/>
              </w:rPr>
              <w:t>Stupanje na snagu zakonodavstva o strateškom okviru za razvoj ljudskih resursa u zdravstvu Odlukom Vlade</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E57161"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3B8D4D"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8E81"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6FA1EF"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A43B13" w14:textId="77777777" w:rsidR="003F46B9" w:rsidRDefault="0065662E">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7AF4F0" w14:textId="0F7E3B73" w:rsidR="003F46B9" w:rsidRDefault="0065662E">
            <w:pPr>
              <w:pStyle w:val="P68B1DB1-Normal5"/>
              <w:spacing w:after="0" w:line="240" w:lineRule="auto"/>
              <w:jc w:val="both"/>
              <w:rPr>
                <w:rFonts w:cs="Times New Roman"/>
                <w:noProof/>
              </w:rPr>
            </w:pPr>
            <w:r>
              <w:rPr>
                <w:noProof/>
              </w:rPr>
              <w:t>Zakonom se utvrđuje novi strateški okvi</w:t>
            </w:r>
            <w:r>
              <w:rPr>
                <w:noProof/>
              </w:rPr>
              <w:t xml:space="preserve">r za razvoj ljudskih resursa u zdravstvu, u skladu s općim ciljevima zdravstvenog sustava. </w:t>
            </w:r>
          </w:p>
          <w:p w14:paraId="4B135508" w14:textId="77777777" w:rsidR="003F46B9" w:rsidRDefault="0065662E">
            <w:pPr>
              <w:pStyle w:val="P68B1DB1-Normal5"/>
              <w:spacing w:after="0" w:line="240" w:lineRule="auto"/>
              <w:jc w:val="both"/>
              <w:rPr>
                <w:rFonts w:cs="Times New Roman"/>
                <w:noProof/>
              </w:rPr>
            </w:pPr>
            <w:r>
              <w:rPr>
                <w:noProof/>
              </w:rPr>
              <w:t>Ključni elementi strateškog okvira su:</w:t>
            </w:r>
          </w:p>
          <w:p w14:paraId="3FB1F670" w14:textId="77777777" w:rsidR="003F46B9" w:rsidRDefault="0065662E">
            <w:pPr>
              <w:pStyle w:val="P68B1DB1-Normal5"/>
              <w:spacing w:after="0" w:line="240" w:lineRule="auto"/>
              <w:jc w:val="both"/>
              <w:rPr>
                <w:rFonts w:cs="Times New Roman"/>
                <w:noProof/>
              </w:rPr>
            </w:pPr>
            <w:r>
              <w:rPr>
                <w:noProof/>
              </w:rPr>
              <w:t xml:space="preserve">ljudski resursi u zdravstvu – nabava </w:t>
            </w:r>
          </w:p>
          <w:p w14:paraId="2947FB0F" w14:textId="77777777" w:rsidR="003F46B9" w:rsidRDefault="0065662E">
            <w:pPr>
              <w:pStyle w:val="P68B1DB1-Normal5"/>
              <w:spacing w:after="0" w:line="240" w:lineRule="auto"/>
              <w:jc w:val="both"/>
              <w:rPr>
                <w:rFonts w:cs="Times New Roman"/>
                <w:noProof/>
              </w:rPr>
            </w:pPr>
            <w:r>
              <w:rPr>
                <w:noProof/>
              </w:rPr>
              <w:t xml:space="preserve">ii. upravljanje ljudskim resursima u zdravstvu, </w:t>
            </w:r>
          </w:p>
          <w:p w14:paraId="49773628" w14:textId="77777777" w:rsidR="003F46B9" w:rsidRDefault="0065662E">
            <w:pPr>
              <w:pStyle w:val="P68B1DB1-Normal5"/>
              <w:spacing w:after="0" w:line="240" w:lineRule="auto"/>
              <w:jc w:val="both"/>
              <w:rPr>
                <w:rFonts w:cs="Times New Roman"/>
                <w:noProof/>
              </w:rPr>
            </w:pPr>
            <w:r>
              <w:rPr>
                <w:noProof/>
              </w:rPr>
              <w:t>iii. upravljanje motivacijom za ljudsk</w:t>
            </w:r>
            <w:r>
              <w:rPr>
                <w:noProof/>
              </w:rPr>
              <w:t xml:space="preserve">e resurse </w:t>
            </w:r>
          </w:p>
          <w:p w14:paraId="7D656FD9" w14:textId="77777777" w:rsidR="003F46B9" w:rsidRDefault="0065662E">
            <w:pPr>
              <w:pStyle w:val="P68B1DB1-Normal5"/>
              <w:spacing w:after="0" w:line="240" w:lineRule="auto"/>
              <w:jc w:val="both"/>
              <w:rPr>
                <w:rFonts w:cs="Times New Roman"/>
                <w:noProof/>
              </w:rPr>
            </w:pPr>
            <w:r>
              <w:rPr>
                <w:noProof/>
              </w:rPr>
              <w:t xml:space="preserve">iv. upravljanje radnom snagom u zdravstvu </w:t>
            </w:r>
          </w:p>
        </w:tc>
      </w:tr>
      <w:tr w:rsidR="003F46B9" w14:paraId="1B1212D5"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4D5A40D" w14:textId="77777777" w:rsidR="003F46B9" w:rsidRDefault="0065662E">
            <w:pPr>
              <w:pStyle w:val="P68B1DB1-Normal5"/>
              <w:spacing w:after="0" w:line="240" w:lineRule="auto"/>
              <w:jc w:val="center"/>
              <w:rPr>
                <w:rFonts w:cs="Times New Roman"/>
                <w:noProof/>
              </w:rPr>
            </w:pPr>
            <w:r>
              <w:rPr>
                <w:noProof/>
              </w:rPr>
              <w:t>358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0361AF" w14:textId="77777777" w:rsidR="003F46B9" w:rsidRDefault="0065662E">
            <w:pPr>
              <w:pStyle w:val="P68B1DB1-Normal5"/>
              <w:spacing w:after="0" w:line="240" w:lineRule="auto"/>
              <w:jc w:val="both"/>
              <w:rPr>
                <w:rFonts w:cs="Times New Roman"/>
                <w:noProof/>
              </w:rPr>
            </w:pPr>
            <w:r>
              <w:rPr>
                <w:noProof/>
              </w:rPr>
              <w:t xml:space="preserve">Reforma 3. Povećani kapaciteti za upravljanje zdravljem i ljudske resurse u zdravstvu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C7640B"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55E25E" w14:textId="77777777" w:rsidR="003F46B9" w:rsidRDefault="0065662E">
            <w:pPr>
              <w:pStyle w:val="P68B1DB1-Normal5"/>
              <w:spacing w:after="0" w:line="240" w:lineRule="auto"/>
              <w:jc w:val="both"/>
              <w:rPr>
                <w:rFonts w:cs="Times New Roman"/>
                <w:noProof/>
              </w:rPr>
            </w:pPr>
            <w:r>
              <w:rPr>
                <w:noProof/>
              </w:rPr>
              <w:t>Razvoj ljudskih resursa u zdravstvu</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DA3153" w14:textId="77777777" w:rsidR="003F46B9" w:rsidRDefault="0065662E">
            <w:pPr>
              <w:pStyle w:val="P68B1DB1-Normal5"/>
              <w:spacing w:after="0" w:line="240" w:lineRule="auto"/>
              <w:jc w:val="both"/>
              <w:rPr>
                <w:rFonts w:cs="Times New Roman"/>
                <w:noProof/>
              </w:rPr>
            </w:pPr>
            <w:r>
              <w:rPr>
                <w:noProof/>
              </w:rPr>
              <w:t xml:space="preserve">Donošenje sektorskih akcijskih planova za razvoj ljudskih </w:t>
            </w:r>
            <w:r>
              <w:rPr>
                <w:noProof/>
              </w:rPr>
              <w:t>resursa u zdravstvu odlukom ministra zdravstva</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A31CB0"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90561E"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448FFE"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A54EDF8"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3A361D" w14:textId="77777777" w:rsidR="003F46B9" w:rsidRDefault="0065662E">
            <w:pPr>
              <w:pStyle w:val="P68B1DB1-Normal5"/>
              <w:spacing w:after="0" w:line="240" w:lineRule="auto"/>
              <w:jc w:val="both"/>
              <w:rPr>
                <w:rFonts w:cs="Times New Roman"/>
                <w:noProof/>
              </w:rPr>
            </w:pPr>
            <w:r>
              <w:rPr>
                <w:noProof/>
              </w:rPr>
              <w:t>2022</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AA30A" w14:textId="77777777" w:rsidR="003F46B9" w:rsidRDefault="0065662E">
            <w:pPr>
              <w:pStyle w:val="P68B1DB1-Normal5"/>
              <w:spacing w:after="0" w:line="240" w:lineRule="auto"/>
              <w:jc w:val="both"/>
              <w:rPr>
                <w:rFonts w:cs="Times New Roman"/>
                <w:noProof/>
              </w:rPr>
            </w:pPr>
            <w:r>
              <w:rPr>
                <w:noProof/>
              </w:rPr>
              <w:t>Sektorskim akcijskim planovima za razvoj ljudskih resursa u primarnoj zdravstvenoj skrbi i zdravstvenoj skrbi zajednice, ambulantnoj i bolničkoj skrbi te javnom zdravlju operacionalizira se strateški okvir za preobrazbu razine znanja, vještina i kompetenci</w:t>
            </w:r>
            <w:r>
              <w:rPr>
                <w:noProof/>
              </w:rPr>
              <w:t xml:space="preserve">ja ljudskih resursa u zdravstvu. </w:t>
            </w:r>
          </w:p>
          <w:p w14:paraId="678DB2C9" w14:textId="77777777" w:rsidR="003F46B9" w:rsidRDefault="0065662E">
            <w:pPr>
              <w:pStyle w:val="P68B1DB1-Normal5"/>
              <w:spacing w:after="0" w:line="240" w:lineRule="auto"/>
              <w:jc w:val="both"/>
              <w:rPr>
                <w:rFonts w:cs="Times New Roman"/>
                <w:noProof/>
              </w:rPr>
            </w:pPr>
            <w:r>
              <w:rPr>
                <w:noProof/>
              </w:rPr>
              <w:t>Izrađuje se više od pet individualiziranih akcijskih planova, a obuhvaćena područja uključuju početno osposobljavanje, trajno stručno usavršavanje, kombinaciju vještina, podjelu zadataka, prijenos zadaća.</w:t>
            </w:r>
          </w:p>
          <w:p w14:paraId="4210C866" w14:textId="77777777" w:rsidR="003F46B9" w:rsidRDefault="0065662E">
            <w:pPr>
              <w:pStyle w:val="P68B1DB1-Normal5"/>
              <w:spacing w:after="0" w:line="240" w:lineRule="auto"/>
              <w:jc w:val="both"/>
              <w:rPr>
                <w:rFonts w:cs="Times New Roman"/>
                <w:noProof/>
              </w:rPr>
            </w:pPr>
            <w:r>
              <w:rPr>
                <w:noProof/>
              </w:rPr>
              <w:t xml:space="preserve">Očekuje se da će </w:t>
            </w:r>
            <w:r>
              <w:rPr>
                <w:noProof/>
              </w:rPr>
              <w:t xml:space="preserve">akcijski planovi biti u skladu s pokazateljima uspješnosti utvrđenima za upravljanje fondovima javnog zdravstva utvrđenima u reformi 1. </w:t>
            </w:r>
          </w:p>
          <w:p w14:paraId="18E4C2CE" w14:textId="77777777" w:rsidR="003F46B9" w:rsidRDefault="0065662E">
            <w:pPr>
              <w:pStyle w:val="P68B1DB1-Normal5"/>
              <w:spacing w:after="0" w:line="240" w:lineRule="auto"/>
              <w:jc w:val="both"/>
              <w:rPr>
                <w:rFonts w:cs="Times New Roman"/>
                <w:noProof/>
              </w:rPr>
            </w:pPr>
            <w:r>
              <w:rPr>
                <w:noProof/>
              </w:rPr>
              <w:t>Obuhvaćeno medicinsko osoblje uključuje liječnike, medicinske sestre, farmaceute, stomatologe, primalje i lokalne medic</w:t>
            </w:r>
            <w:r>
              <w:rPr>
                <w:noProof/>
              </w:rPr>
              <w:t>inske sestre te druge kategorije zdravstvenih djelatnika.</w:t>
            </w:r>
          </w:p>
        </w:tc>
      </w:tr>
      <w:tr w:rsidR="003F46B9" w14:paraId="0E00A3EC"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F693F7C" w14:textId="77777777" w:rsidR="003F46B9" w:rsidRDefault="0065662E">
            <w:pPr>
              <w:pStyle w:val="P68B1DB1-Normal5"/>
              <w:spacing w:after="0" w:line="240" w:lineRule="auto"/>
              <w:jc w:val="center"/>
              <w:rPr>
                <w:rFonts w:cs="Times New Roman"/>
                <w:noProof/>
              </w:rPr>
            </w:pPr>
            <w:r>
              <w:rPr>
                <w:noProof/>
              </w:rPr>
              <w:t>359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B5442D" w14:textId="77777777" w:rsidR="003F46B9" w:rsidRDefault="0065662E">
            <w:pPr>
              <w:pStyle w:val="P68B1DB1-Normal5"/>
              <w:spacing w:after="0" w:line="240" w:lineRule="auto"/>
              <w:jc w:val="both"/>
              <w:rPr>
                <w:rFonts w:cs="Times New Roman"/>
                <w:noProof/>
              </w:rPr>
            </w:pPr>
            <w:r>
              <w:rPr>
                <w:noProof/>
              </w:rPr>
              <w:t>Reforma 3. Povećani 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053ACD"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FADBD1C" w14:textId="77777777" w:rsidR="003F46B9" w:rsidRDefault="0065662E">
            <w:pPr>
              <w:pStyle w:val="P68B1DB1-Normal5"/>
              <w:spacing w:after="0" w:line="240" w:lineRule="auto"/>
              <w:jc w:val="both"/>
              <w:rPr>
                <w:rFonts w:cs="Times New Roman"/>
                <w:noProof/>
              </w:rPr>
            </w:pPr>
            <w:r>
              <w:rPr>
                <w:noProof/>
              </w:rPr>
              <w:t>Stupanje na snagu odluke ministra zdravstva kojom se uspostavlja okvir za diferencirano priznavanje profesionalnih zasluga i nagrada zdravstvenih djelatnika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73CD813" w14:textId="77777777" w:rsidR="003F46B9" w:rsidRDefault="0065662E">
            <w:pPr>
              <w:pStyle w:val="P68B1DB1-Normal5"/>
              <w:spacing w:after="0" w:line="240" w:lineRule="auto"/>
              <w:jc w:val="both"/>
              <w:rPr>
                <w:rFonts w:cs="Times New Roman"/>
                <w:noProof/>
              </w:rPr>
            </w:pPr>
            <w:r>
              <w:rPr>
                <w:noProof/>
              </w:rPr>
              <w:t xml:space="preserve"> Odredba u odluci ministra zdravstva o stupanju na snagu okvira za diferencirano priznavanje profes</w:t>
            </w:r>
            <w:r>
              <w:rPr>
                <w:noProof/>
              </w:rPr>
              <w:t xml:space="preserve">ionalnih zasluga i nagrada zdravstvenih djelatnika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43A494F"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B1B5801"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0C0563"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379DE0"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B07E54" w14:textId="77777777" w:rsidR="003F46B9" w:rsidRDefault="0065662E">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EB4231" w14:textId="77777777" w:rsidR="003F46B9" w:rsidRDefault="0065662E">
            <w:pPr>
              <w:pStyle w:val="P68B1DB1-Normal5"/>
              <w:spacing w:after="0" w:line="240" w:lineRule="auto"/>
              <w:jc w:val="both"/>
              <w:rPr>
                <w:rFonts w:cs="Times New Roman"/>
                <w:noProof/>
              </w:rPr>
            </w:pPr>
            <w:r>
              <w:rPr>
                <w:noProof/>
              </w:rPr>
              <w:t>Ministarskom odlukom osigurava se razvoj i provedba usklađenog okvira za diferencirano priznavanje profesionalnih zasluga i njihovih nagrada, na temelju pokazatelja povezanih s</w:t>
            </w:r>
            <w:r>
              <w:rPr>
                <w:noProof/>
              </w:rPr>
              <w:t xml:space="preserve"> uspješnošću koji uključuju, među ostalim, stope komplikacija, stope smrtnosti i razine zadovoljstva pacijenata. </w:t>
            </w:r>
          </w:p>
          <w:p w14:paraId="60573E5F" w14:textId="77777777" w:rsidR="003F46B9" w:rsidRDefault="0065662E">
            <w:pPr>
              <w:pStyle w:val="P68B1DB1-Normal5"/>
              <w:spacing w:after="0" w:line="240" w:lineRule="auto"/>
              <w:jc w:val="both"/>
              <w:rPr>
                <w:rFonts w:cs="Times New Roman"/>
                <w:noProof/>
              </w:rPr>
            </w:pPr>
            <w:r>
              <w:rPr>
                <w:noProof/>
              </w:rPr>
              <w:t>Obuhvaćene kategorije uključuju medicinsko osoblje u bolnicama i izvanbolničkoj skrbi.</w:t>
            </w:r>
          </w:p>
        </w:tc>
      </w:tr>
      <w:tr w:rsidR="003F46B9" w14:paraId="2FB51DB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99D4D4E" w14:textId="77777777" w:rsidR="003F46B9" w:rsidRDefault="0065662E">
            <w:pPr>
              <w:pStyle w:val="P68B1DB1-Normal5"/>
              <w:spacing w:after="0" w:line="240" w:lineRule="auto"/>
              <w:jc w:val="center"/>
              <w:rPr>
                <w:rFonts w:cs="Times New Roman"/>
                <w:noProof/>
              </w:rPr>
            </w:pPr>
            <w:r>
              <w:rPr>
                <w:noProof/>
              </w:rPr>
              <w:t>360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AB887F" w14:textId="77777777" w:rsidR="003F46B9" w:rsidRDefault="0065662E">
            <w:pPr>
              <w:pStyle w:val="P68B1DB1-Normal5"/>
              <w:spacing w:after="0" w:line="240" w:lineRule="auto"/>
              <w:jc w:val="both"/>
              <w:rPr>
                <w:rFonts w:cs="Times New Roman"/>
                <w:noProof/>
              </w:rPr>
            </w:pPr>
            <w:r>
              <w:rPr>
                <w:noProof/>
              </w:rPr>
              <w:t xml:space="preserve">Reforma 3. Povećani kapaciteti za upravljanje </w:t>
            </w:r>
            <w:r>
              <w:rPr>
                <w:noProof/>
              </w:rPr>
              <w:t>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9A03DD6"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712272" w14:textId="475AF271" w:rsidR="003F46B9" w:rsidRDefault="0065662E">
            <w:pPr>
              <w:pStyle w:val="P68B1DB1-Normal5"/>
              <w:spacing w:after="0" w:line="240" w:lineRule="auto"/>
              <w:jc w:val="both"/>
              <w:rPr>
                <w:rFonts w:cs="Times New Roman"/>
                <w:noProof/>
              </w:rPr>
            </w:pPr>
            <w:r>
              <w:rPr>
                <w:noProof/>
              </w:rPr>
              <w:t xml:space="preserve">Izgradnja i potpuno opremanje dvaju novih centara za razvoj vještina za javno zdravstveno osoblje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4331DF"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DD3CA3"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6C002C"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4F725A" w14:textId="77777777" w:rsidR="003F46B9" w:rsidRDefault="0065662E">
            <w:pPr>
              <w:pStyle w:val="P68B1DB1-Normal5"/>
              <w:spacing w:after="0" w:line="240" w:lineRule="auto"/>
              <w:jc w:val="both"/>
              <w:rPr>
                <w:rFonts w:cs="Times New Roman"/>
                <w:noProof/>
              </w:rPr>
            </w:pPr>
            <w:r>
              <w:rPr>
                <w:noProof/>
              </w:rPr>
              <w:t>2</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E29C6B"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9797C6"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AA67E24" w14:textId="77777777" w:rsidR="003F46B9" w:rsidRDefault="0065662E">
            <w:pPr>
              <w:pStyle w:val="P68B1DB1-Normal5"/>
              <w:spacing w:after="0" w:line="240" w:lineRule="auto"/>
              <w:jc w:val="both"/>
              <w:rPr>
                <w:rFonts w:cs="Times New Roman"/>
                <w:noProof/>
              </w:rPr>
            </w:pPr>
            <w:r>
              <w:rPr>
                <w:noProof/>
              </w:rPr>
              <w:t xml:space="preserve">Kako bi postala operativna dva novoizgrađena i potpuno opremljena centra za razvoj vještina, namijenjenih osoblju koje radi u javnim zdravstvenim ustanovama. </w:t>
            </w:r>
          </w:p>
          <w:p w14:paraId="7042048A" w14:textId="77777777" w:rsidR="003F46B9" w:rsidRDefault="003F46B9">
            <w:pPr>
              <w:spacing w:after="0" w:line="240" w:lineRule="auto"/>
              <w:jc w:val="both"/>
              <w:rPr>
                <w:rFonts w:ascii="Times New Roman" w:hAnsi="Times New Roman" w:cs="Times New Roman"/>
                <w:noProof/>
                <w:sz w:val="24"/>
              </w:rPr>
            </w:pPr>
          </w:p>
        </w:tc>
      </w:tr>
      <w:tr w:rsidR="003F46B9" w14:paraId="7BEF157E"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240D702" w14:textId="77777777" w:rsidR="003F46B9" w:rsidRDefault="0065662E">
            <w:pPr>
              <w:pStyle w:val="P68B1DB1-Normal5"/>
              <w:spacing w:after="0" w:line="240" w:lineRule="auto"/>
              <w:jc w:val="center"/>
              <w:rPr>
                <w:rFonts w:cs="Times New Roman"/>
                <w:noProof/>
              </w:rPr>
            </w:pPr>
            <w:r>
              <w:rPr>
                <w:noProof/>
              </w:rPr>
              <w:t>361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853B0D" w14:textId="77777777" w:rsidR="003F46B9" w:rsidRDefault="0065662E">
            <w:pPr>
              <w:pStyle w:val="P68B1DB1-Normal5"/>
              <w:spacing w:after="0" w:line="240" w:lineRule="auto"/>
              <w:jc w:val="both"/>
              <w:rPr>
                <w:rFonts w:cs="Times New Roman"/>
                <w:noProof/>
              </w:rPr>
            </w:pPr>
            <w:r>
              <w:rPr>
                <w:noProof/>
              </w:rPr>
              <w:t>Reforma 3. Povećani 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371499"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1E183B" w14:textId="77777777" w:rsidR="003F46B9" w:rsidRDefault="0065662E">
            <w:pPr>
              <w:pStyle w:val="P68B1DB1-Normal5"/>
              <w:spacing w:after="0" w:line="240" w:lineRule="auto"/>
              <w:jc w:val="both"/>
              <w:rPr>
                <w:rFonts w:cs="Times New Roman"/>
                <w:noProof/>
              </w:rPr>
            </w:pPr>
            <w:r>
              <w:rPr>
                <w:noProof/>
              </w:rPr>
              <w:t>Osobe koje su sudjelovale u osposobljavanju za upravljanje zdravstvenim službama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9489CB"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76FBF9"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7AD6761"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63F1F9" w14:textId="77777777" w:rsidR="003F46B9" w:rsidRDefault="0065662E">
            <w:pPr>
              <w:pStyle w:val="P68B1DB1-Normal5"/>
              <w:spacing w:after="0" w:line="240" w:lineRule="auto"/>
              <w:jc w:val="both"/>
              <w:rPr>
                <w:rFonts w:cs="Times New Roman"/>
                <w:noProof/>
              </w:rPr>
            </w:pPr>
            <w:r>
              <w:rPr>
                <w:noProof/>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688FD"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024035"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660A1E" w14:textId="78786E0E" w:rsidR="003F46B9" w:rsidRDefault="0065662E">
            <w:pPr>
              <w:pStyle w:val="P68B1DB1-Normal5"/>
              <w:spacing w:after="0" w:line="240" w:lineRule="auto"/>
              <w:jc w:val="both"/>
              <w:rPr>
                <w:rFonts w:cs="Times New Roman"/>
                <w:noProof/>
              </w:rPr>
            </w:pPr>
            <w:r>
              <w:rPr>
                <w:noProof/>
              </w:rPr>
              <w:t>1000 članova bolničkog osoblja (kao što su: ravnatelji, članovi upravnih odbora, voditelji odjela/laboratorija/ljekarne, ravnatelji župan</w:t>
            </w:r>
            <w:r>
              <w:rPr>
                <w:noProof/>
              </w:rPr>
              <w:t xml:space="preserve">ijskih uprava za javno zdravstvo i županijskih zavoda za zdravstveno osiguranje, obiteljski liječnici koji upravljaju individualnim/kupljenim poslovima) pohađaju osposobljavanje. Prednost imaju stručnjaci koji rade u udaljenim i ruralnim područjima. </w:t>
            </w:r>
          </w:p>
          <w:p w14:paraId="529F0B12" w14:textId="77777777" w:rsidR="003F46B9" w:rsidRDefault="0065662E">
            <w:pPr>
              <w:pStyle w:val="P68B1DB1-Normal5"/>
              <w:spacing w:after="0" w:line="240" w:lineRule="auto"/>
              <w:jc w:val="both"/>
              <w:rPr>
                <w:rFonts w:cs="Times New Roman"/>
                <w:noProof/>
              </w:rPr>
            </w:pPr>
            <w:r>
              <w:rPr>
                <w:noProof/>
              </w:rPr>
              <w:t>Ospos</w:t>
            </w:r>
            <w:r>
              <w:rPr>
                <w:noProof/>
              </w:rPr>
              <w:t>obljavanje uključuje, među ostalim, upravljanje zdravstvenim službama, organizaciju i financiranje zdravstvenih sustava, zdravstvene politike, politike ljudskih resursa, komunikaciju o zdravlju, upravljanje kvalitetom zdravstvenih usluga, zakonodavstvo u p</w:t>
            </w:r>
            <w:r>
              <w:rPr>
                <w:noProof/>
              </w:rPr>
              <w:t xml:space="preserve">odručju zdravstva, digitalizaciju i inovacije u zdravstvu. </w:t>
            </w:r>
          </w:p>
          <w:p w14:paraId="3FBE206F" w14:textId="77777777" w:rsidR="003F46B9" w:rsidRDefault="0065662E">
            <w:pPr>
              <w:pStyle w:val="P68B1DB1-Normal5"/>
              <w:spacing w:after="0" w:line="240" w:lineRule="auto"/>
              <w:jc w:val="both"/>
              <w:rPr>
                <w:rFonts w:cs="Times New Roman"/>
                <w:noProof/>
              </w:rPr>
            </w:pPr>
            <w:bookmarkStart w:id="10" w:name="_Hlk81476550"/>
            <w:r>
              <w:rPr>
                <w:noProof/>
              </w:rPr>
              <w:t xml:space="preserve">Osposobljavanja se provode u dva novoizgrađena centra za razvoj vještina. </w:t>
            </w:r>
            <w:bookmarkEnd w:id="10"/>
          </w:p>
        </w:tc>
      </w:tr>
      <w:tr w:rsidR="003F46B9" w14:paraId="46321E6B"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E187471" w14:textId="77777777" w:rsidR="003F46B9" w:rsidRDefault="0065662E">
            <w:pPr>
              <w:pStyle w:val="P68B1DB1-Normal5"/>
              <w:spacing w:after="0" w:line="240" w:lineRule="auto"/>
              <w:jc w:val="center"/>
              <w:rPr>
                <w:rFonts w:cs="Times New Roman"/>
                <w:noProof/>
              </w:rPr>
            </w:pPr>
            <w:r>
              <w:rPr>
                <w:noProof/>
              </w:rPr>
              <w:t>362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37DBA8" w14:textId="77777777" w:rsidR="003F46B9" w:rsidRDefault="0065662E">
            <w:pPr>
              <w:pStyle w:val="P68B1DB1-Normal5"/>
              <w:spacing w:after="0" w:line="240" w:lineRule="auto"/>
              <w:jc w:val="both"/>
              <w:rPr>
                <w:rFonts w:cs="Times New Roman"/>
                <w:noProof/>
              </w:rPr>
            </w:pPr>
            <w:r>
              <w:rPr>
                <w:noProof/>
              </w:rPr>
              <w:t>Reforma 3. Povećani 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8F2963F"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7ABD0A" w14:textId="77777777" w:rsidR="003F46B9" w:rsidRDefault="0065662E">
            <w:pPr>
              <w:pStyle w:val="P68B1DB1-Normal5"/>
              <w:spacing w:after="0" w:line="240" w:lineRule="auto"/>
              <w:jc w:val="both"/>
              <w:rPr>
                <w:rFonts w:cs="Times New Roman"/>
                <w:noProof/>
              </w:rPr>
            </w:pPr>
            <w:r>
              <w:rPr>
                <w:noProof/>
              </w:rPr>
              <w:t xml:space="preserve">Osobe koje su </w:t>
            </w:r>
            <w:r>
              <w:rPr>
                <w:noProof/>
              </w:rPr>
              <w:t>sudjelovale u osposobljavanju o upravljanju ljudskim resursima</w:t>
            </w:r>
          </w:p>
          <w:p w14:paraId="58B2ED6A" w14:textId="77777777" w:rsidR="003F46B9" w:rsidRDefault="0065662E">
            <w:pPr>
              <w:pStyle w:val="P68B1DB1-Normal5"/>
              <w:spacing w:after="0" w:line="240" w:lineRule="auto"/>
              <w:jc w:val="both"/>
              <w:rPr>
                <w:rFonts w:cs="Times New Roman"/>
                <w:noProof/>
              </w:rPr>
            </w:pPr>
            <w:r>
              <w:rPr>
                <w:noProof/>
              </w:rPr>
              <w:t>zdravstvene ustanove</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4AF1F8"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1979A"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91C6FD"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8B9BCC" w14:textId="77777777" w:rsidR="003F46B9" w:rsidRDefault="0065662E">
            <w:pPr>
              <w:pStyle w:val="P68B1DB1-Normal5"/>
              <w:spacing w:after="0" w:line="240" w:lineRule="auto"/>
              <w:jc w:val="both"/>
              <w:rPr>
                <w:rFonts w:cs="Times New Roman"/>
                <w:noProof/>
              </w:rPr>
            </w:pPr>
            <w:r>
              <w:rPr>
                <w:noProof/>
              </w:rPr>
              <w:t>1 000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E4AA51"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266C1A9"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20613D" w14:textId="77777777" w:rsidR="003F46B9" w:rsidRDefault="0065662E">
            <w:pPr>
              <w:pStyle w:val="P68B1DB1-Normal5"/>
              <w:spacing w:after="0" w:line="240" w:lineRule="auto"/>
              <w:jc w:val="both"/>
              <w:rPr>
                <w:rFonts w:cs="Times New Roman"/>
                <w:noProof/>
              </w:rPr>
            </w:pPr>
            <w:r>
              <w:rPr>
                <w:noProof/>
              </w:rPr>
              <w:t xml:space="preserve">Predmetne kategorije uključuju osoblje iz struktura za ljudske resurse bolnica, županijskih uprava za javno zdravstvo i drugih zdravstvenih </w:t>
            </w:r>
            <w:r>
              <w:rPr>
                <w:noProof/>
              </w:rPr>
              <w:t>ustanova.</w:t>
            </w:r>
          </w:p>
          <w:p w14:paraId="443F29C4" w14:textId="77777777" w:rsidR="003F46B9" w:rsidRDefault="0065662E">
            <w:pPr>
              <w:pStyle w:val="P68B1DB1-Normal5"/>
              <w:spacing w:after="0" w:line="240" w:lineRule="auto"/>
              <w:jc w:val="both"/>
              <w:rPr>
                <w:rFonts w:cs="Times New Roman"/>
                <w:noProof/>
              </w:rPr>
            </w:pPr>
            <w:r>
              <w:rPr>
                <w:noProof/>
              </w:rPr>
              <w:t>Osposobljavanje uključuje, među ostalim, zapošljavanje i odabir ljudskih resursa, financijske i nefinancijske mehanizme za poticanje medicinskog osoblja i motivaciju medicinskog osoblja.</w:t>
            </w:r>
          </w:p>
        </w:tc>
      </w:tr>
      <w:tr w:rsidR="003F46B9" w14:paraId="11DF8DED"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0BC5BD06" w14:textId="77777777" w:rsidR="003F46B9" w:rsidRDefault="0065662E">
            <w:pPr>
              <w:pStyle w:val="P68B1DB1-Normal5"/>
              <w:spacing w:after="0" w:line="240" w:lineRule="auto"/>
              <w:jc w:val="center"/>
              <w:rPr>
                <w:rFonts w:cs="Times New Roman"/>
                <w:noProof/>
              </w:rPr>
            </w:pPr>
            <w:r>
              <w:rPr>
                <w:noProof/>
              </w:rPr>
              <w:t>363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F153F7" w14:textId="77777777" w:rsidR="003F46B9" w:rsidRDefault="0065662E">
            <w:pPr>
              <w:pStyle w:val="P68B1DB1-Normal5"/>
              <w:spacing w:after="0" w:line="240" w:lineRule="auto"/>
              <w:jc w:val="both"/>
              <w:rPr>
                <w:rFonts w:cs="Times New Roman"/>
                <w:noProof/>
              </w:rPr>
            </w:pPr>
            <w:r>
              <w:rPr>
                <w:noProof/>
              </w:rPr>
              <w:t xml:space="preserve">Reforma 3. Povećani kapaciteti za upravljanje </w:t>
            </w:r>
            <w:r>
              <w:rPr>
                <w:noProof/>
              </w:rPr>
              <w:t>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42EFAD4"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597787" w14:textId="77777777" w:rsidR="003F46B9" w:rsidRDefault="0065662E">
            <w:pPr>
              <w:pStyle w:val="P68B1DB1-Normal5"/>
              <w:spacing w:after="0" w:line="240" w:lineRule="auto"/>
              <w:jc w:val="both"/>
              <w:rPr>
                <w:rFonts w:cs="Times New Roman"/>
                <w:noProof/>
              </w:rPr>
            </w:pPr>
            <w:r>
              <w:rPr>
                <w:noProof/>
              </w:rPr>
              <w:t>Zdravstveni djelatnici koji su sudjelovali u programima osposobljavanja za integritet</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4B27B8"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3FA819"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32069EC" w14:textId="77777777" w:rsidR="003F46B9" w:rsidRDefault="0065662E">
            <w:pPr>
              <w:pStyle w:val="P68B1DB1-Normal5"/>
              <w:spacing w:after="0" w:line="240" w:lineRule="auto"/>
              <w:jc w:val="both"/>
              <w:rPr>
                <w:rFonts w:cs="Times New Roman"/>
                <w:noProof/>
              </w:rPr>
            </w:pPr>
            <w:r>
              <w:rPr>
                <w:noProof/>
              </w:rPr>
              <w:t>150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C6E55" w14:textId="77777777" w:rsidR="003F46B9" w:rsidRDefault="0065662E">
            <w:pPr>
              <w:pStyle w:val="P68B1DB1-Normal5"/>
              <w:spacing w:after="0" w:line="240" w:lineRule="auto"/>
              <w:jc w:val="both"/>
              <w:rPr>
                <w:rFonts w:cs="Times New Roman"/>
                <w:noProof/>
              </w:rPr>
            </w:pPr>
            <w:r>
              <w:rPr>
                <w:noProof/>
              </w:rPr>
              <w:t>3 000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F71866D"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3ECB61"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10D2287" w14:textId="090673E3" w:rsidR="003F46B9" w:rsidRDefault="0065662E">
            <w:pPr>
              <w:pStyle w:val="P68B1DB1-Normal5"/>
              <w:spacing w:after="0" w:line="240" w:lineRule="auto"/>
              <w:jc w:val="both"/>
              <w:rPr>
                <w:rFonts w:cs="Times New Roman"/>
                <w:noProof/>
              </w:rPr>
            </w:pPr>
            <w:r>
              <w:rPr>
                <w:noProof/>
              </w:rPr>
              <w:t xml:space="preserve">3000 zaposlenika koji rade u područjima povezanima sa zdravljem u središnjoj upravi, </w:t>
            </w:r>
            <w:r>
              <w:rPr>
                <w:noProof/>
              </w:rPr>
              <w:t>decentraliziranim ustanovama, upravljanju zdravstvenim jedinicama i osoblju koje pruža izravnu skrb pacijentima mora biti osposobljeno za razne teme povezane s integritetom (kao što su: sprečavanje korupcije i rješavanje sukoba interesa u sustavu zdravstve</w:t>
            </w:r>
            <w:r>
              <w:rPr>
                <w:noProof/>
              </w:rPr>
              <w:t>ne skrbi, zaštita zviždača, transparentnost u javnoj nabavi u području zdravstvene skrbi).</w:t>
            </w:r>
          </w:p>
          <w:p w14:paraId="7FF26A28" w14:textId="103DD40D" w:rsidR="003F46B9" w:rsidRDefault="0065662E">
            <w:pPr>
              <w:pStyle w:val="P68B1DB1-Normal5"/>
              <w:spacing w:after="0" w:line="240" w:lineRule="auto"/>
              <w:jc w:val="both"/>
              <w:rPr>
                <w:rFonts w:cs="Times New Roman"/>
                <w:noProof/>
              </w:rPr>
            </w:pPr>
            <w:r>
              <w:rPr>
                <w:noProof/>
              </w:rPr>
              <w:t xml:space="preserve">Program osposobljavanja trebalo bi razviti u skladu s pokazateljima uspješnosti utvrđenima za upravljanje fondovima javnog zdravstva utvrđenima u reformi 1. </w:t>
            </w:r>
          </w:p>
        </w:tc>
      </w:tr>
      <w:tr w:rsidR="003F46B9" w14:paraId="4A8A4A36" w14:textId="77777777">
        <w:trPr>
          <w:trHeight w:val="3568"/>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48546748" w14:textId="77777777" w:rsidR="003F46B9" w:rsidRDefault="0065662E">
            <w:pPr>
              <w:pStyle w:val="P68B1DB1-Normal5"/>
              <w:spacing w:after="0" w:line="240" w:lineRule="auto"/>
              <w:jc w:val="center"/>
              <w:rPr>
                <w:rFonts w:cs="Times New Roman"/>
                <w:noProof/>
              </w:rPr>
            </w:pPr>
            <w:r>
              <w:rPr>
                <w:noProof/>
              </w:rPr>
              <w:t>364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0B191C" w14:textId="77777777" w:rsidR="003F46B9" w:rsidRDefault="0065662E">
            <w:pPr>
              <w:pStyle w:val="P68B1DB1-Normal5"/>
              <w:spacing w:after="0" w:line="240" w:lineRule="auto"/>
              <w:jc w:val="both"/>
              <w:rPr>
                <w:rFonts w:cs="Times New Roman"/>
                <w:noProof/>
              </w:rPr>
            </w:pPr>
            <w:r>
              <w:rPr>
                <w:noProof/>
              </w:rPr>
              <w:t>Reforma 3. Povećani 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CF2CD9"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F86D54" w14:textId="77777777" w:rsidR="003F46B9" w:rsidRDefault="0065662E">
            <w:pPr>
              <w:pStyle w:val="P68B1DB1-Normal5"/>
              <w:spacing w:after="0" w:line="240" w:lineRule="auto"/>
              <w:jc w:val="both"/>
              <w:rPr>
                <w:rFonts w:cs="Times New Roman"/>
                <w:noProof/>
              </w:rPr>
            </w:pPr>
            <w:r>
              <w:rPr>
                <w:noProof/>
              </w:rPr>
              <w:t>Stupanje na snagu zajedničke odluke Ministarstva zdravstva i Nacionalnog zavoda za zdravstveno osiguranje (CNAS) o mehanizmu za davanje prednosti proračunskim</w:t>
            </w:r>
            <w:r>
              <w:rPr>
                <w:noProof/>
              </w:rPr>
              <w:t xml:space="preserve"> sredstvima Ministarstva zdravstva i Nacionalnog zavoda za zdravstveno osiguranje (CNAS)</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48709F5" w14:textId="77777777" w:rsidR="003F46B9" w:rsidRDefault="0065662E">
            <w:pPr>
              <w:pStyle w:val="P68B1DB1-Normal5"/>
              <w:spacing w:after="0" w:line="240" w:lineRule="auto"/>
              <w:jc w:val="both"/>
              <w:rPr>
                <w:rFonts w:cs="Times New Roman"/>
                <w:noProof/>
              </w:rPr>
            </w:pPr>
            <w:r>
              <w:rPr>
                <w:noProof/>
              </w:rPr>
              <w:t>Odredba u zajedničkom redoslijedu Ministarstva zdravstva i Nacionalnog zavoda za zdravstveno osiguranje (CNAS) u kojoj se navodi stupanje na snagu mehanizma određivanj</w:t>
            </w:r>
            <w:r>
              <w:rPr>
                <w:noProof/>
              </w:rPr>
              <w:t xml:space="preserve">a prioriteta u proračunu </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95B8B3"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DB6372"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830400"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3D49F1"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4A8981" w14:textId="77777777" w:rsidR="003F46B9" w:rsidRDefault="0065662E">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89E35F" w14:textId="77777777" w:rsidR="003F46B9" w:rsidRDefault="0065662E">
            <w:pPr>
              <w:pStyle w:val="P68B1DB1-Normal5"/>
              <w:spacing w:after="0" w:line="240" w:lineRule="auto"/>
              <w:jc w:val="both"/>
              <w:rPr>
                <w:rFonts w:cs="Times New Roman"/>
                <w:noProof/>
              </w:rPr>
            </w:pPr>
            <w:r>
              <w:rPr>
                <w:noProof/>
              </w:rPr>
              <w:t>Stupanje na snagu mehanizma za određivanje prioriteta u proračunu koji uključuje:</w:t>
            </w:r>
          </w:p>
          <w:p w14:paraId="4DE46E41" w14:textId="77777777" w:rsidR="003F46B9" w:rsidRDefault="0065662E">
            <w:pPr>
              <w:pStyle w:val="P68B1DB1-Normal5"/>
              <w:spacing w:after="0" w:line="240" w:lineRule="auto"/>
              <w:jc w:val="both"/>
              <w:rPr>
                <w:rFonts w:cs="Times New Roman"/>
                <w:noProof/>
              </w:rPr>
            </w:pPr>
            <w:r>
              <w:rPr>
                <w:noProof/>
              </w:rPr>
              <w:t>obrazloženje i razvoj kriterija za određivanje prioriteta</w:t>
            </w:r>
          </w:p>
          <w:p w14:paraId="4F669D09" w14:textId="77777777" w:rsidR="003F46B9" w:rsidRDefault="0065662E">
            <w:pPr>
              <w:pStyle w:val="P68B1DB1-Normal5"/>
              <w:spacing w:after="0" w:line="240" w:lineRule="auto"/>
              <w:jc w:val="both"/>
              <w:rPr>
                <w:rFonts w:cs="Times New Roman"/>
                <w:noProof/>
              </w:rPr>
            </w:pPr>
            <w:r>
              <w:rPr>
                <w:noProof/>
              </w:rPr>
              <w:t>—mehanizmi suradnje između Ministarstva zdravstva i Nacionalno</w:t>
            </w:r>
            <w:r>
              <w:rPr>
                <w:noProof/>
              </w:rPr>
              <w:t>g zavoda za zdravstveno osiguranje (CNAS) za provedbu mehanizma</w:t>
            </w:r>
          </w:p>
          <w:p w14:paraId="2EA351EA" w14:textId="77777777" w:rsidR="003F46B9" w:rsidRDefault="0065662E">
            <w:pPr>
              <w:pStyle w:val="P68B1DB1-Normal5"/>
              <w:spacing w:after="0" w:line="240" w:lineRule="auto"/>
              <w:jc w:val="both"/>
              <w:rPr>
                <w:rFonts w:cs="Times New Roman"/>
                <w:noProof/>
              </w:rPr>
            </w:pPr>
            <w:r>
              <w:rPr>
                <w:noProof/>
              </w:rPr>
              <w:t>—mehanizme s pomoću kojih se kriteriji za određivanje prioriteta proračuna temelje na odlukama o politikama, evaluaciji politika i kontinuiranoj prilagodbi kriterija.</w:t>
            </w:r>
          </w:p>
        </w:tc>
      </w:tr>
      <w:tr w:rsidR="003F46B9" w14:paraId="08C568C7"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364DC90B" w14:textId="77777777" w:rsidR="003F46B9" w:rsidRDefault="0065662E">
            <w:pPr>
              <w:pStyle w:val="P68B1DB1-Normal5"/>
              <w:spacing w:after="0" w:line="240" w:lineRule="auto"/>
              <w:jc w:val="center"/>
              <w:rPr>
                <w:rFonts w:cs="Times New Roman"/>
                <w:noProof/>
              </w:rPr>
            </w:pPr>
            <w:r>
              <w:rPr>
                <w:noProof/>
              </w:rPr>
              <w:t>365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1267326" w14:textId="77777777" w:rsidR="003F46B9" w:rsidRDefault="0065662E">
            <w:pPr>
              <w:pStyle w:val="P68B1DB1-Normal5"/>
              <w:spacing w:after="0" w:line="240" w:lineRule="auto"/>
              <w:jc w:val="both"/>
              <w:rPr>
                <w:rFonts w:cs="Times New Roman"/>
                <w:noProof/>
              </w:rPr>
            </w:pPr>
            <w:r>
              <w:rPr>
                <w:noProof/>
              </w:rPr>
              <w:t xml:space="preserve">Reforma 3. Povećani </w:t>
            </w:r>
            <w:r>
              <w:rPr>
                <w:noProof/>
              </w:rPr>
              <w:t>kapaciteti za upravljanje zdravljem i ljudske resurse u zdravstvu</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1C75F0"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E538B4" w14:textId="77777777" w:rsidR="003F46B9" w:rsidRDefault="0065662E">
            <w:pPr>
              <w:pStyle w:val="P68B1DB1-Normal5"/>
              <w:spacing w:after="0" w:line="240" w:lineRule="auto"/>
              <w:jc w:val="both"/>
              <w:rPr>
                <w:rFonts w:cs="Times New Roman"/>
                <w:noProof/>
              </w:rPr>
            </w:pPr>
            <w:r>
              <w:rPr>
                <w:noProof/>
              </w:rPr>
              <w:t>Operacionalizacija portala transparenta.ms.ro o upotrebi javnih sredstava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BD13ED" w14:textId="2D0084E0" w:rsidR="003F46B9" w:rsidRDefault="0065662E">
            <w:pPr>
              <w:pStyle w:val="P68B1DB1-Normal5"/>
              <w:spacing w:after="0" w:line="240" w:lineRule="auto"/>
              <w:jc w:val="both"/>
              <w:rPr>
                <w:rFonts w:cs="Times New Roman"/>
                <w:noProof/>
              </w:rPr>
            </w:pPr>
            <w:r>
              <w:rPr>
                <w:noProof/>
              </w:rPr>
              <w:t>Objava podataka o uporabi javnih resursa u zdravstvu na portalu transparenta.ms.ro</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B25053"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C06933"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90BCB2"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A3B32F" w14:textId="77777777" w:rsidR="003F46B9" w:rsidRDefault="0065662E">
            <w:pPr>
              <w:pStyle w:val="P68B1DB1-Normal5"/>
              <w:spacing w:after="0" w:line="240" w:lineRule="auto"/>
              <w:jc w:val="both"/>
              <w:rPr>
                <w:rFonts w:cs="Times New Roman"/>
                <w:noProof/>
              </w:rPr>
            </w:pPr>
            <w:r>
              <w:rPr>
                <w:noProof/>
              </w:rPr>
              <w:t xml:space="preserve">ČETVRTO </w:t>
            </w: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A1DE698"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242ADC" w14:textId="77777777" w:rsidR="003F46B9" w:rsidRDefault="0065662E">
            <w:pPr>
              <w:pStyle w:val="P68B1DB1-Normal5"/>
              <w:spacing w:after="0" w:line="240" w:lineRule="auto"/>
              <w:jc w:val="both"/>
              <w:rPr>
                <w:rFonts w:cs="Times New Roman"/>
                <w:noProof/>
              </w:rPr>
            </w:pPr>
            <w:r>
              <w:rPr>
                <w:noProof/>
              </w:rPr>
              <w:t>Upotreba javnih resursa postaje transparentnija putem centraliziranog agregiranja podataka na portalu transparenta.ms.ro.</w:t>
            </w:r>
          </w:p>
          <w:p w14:paraId="7E8D2B5C" w14:textId="77777777" w:rsidR="003F46B9" w:rsidRDefault="0065662E">
            <w:pPr>
              <w:pStyle w:val="P68B1DB1-Normal5"/>
              <w:spacing w:after="0" w:line="240" w:lineRule="auto"/>
              <w:jc w:val="both"/>
              <w:rPr>
                <w:rFonts w:cs="Times New Roman"/>
                <w:noProof/>
              </w:rPr>
            </w:pPr>
            <w:r>
              <w:rPr>
                <w:noProof/>
              </w:rPr>
              <w:t xml:space="preserve">Uključeni podaci odnose se na upotrebu resursa na razini središnjih i lokalnih institucija, kao i na razini bolnica. </w:t>
            </w:r>
            <w:r>
              <w:rPr>
                <w:noProof/>
              </w:rPr>
              <w:t>Točnije, podaci koji se objavljuju uključuju popis poduzeća kojima su dodijeljeni ugovori o javnoj nabavi, javni naručitelji i kartu dodijeljenih ugovora.</w:t>
            </w:r>
          </w:p>
        </w:tc>
      </w:tr>
      <w:tr w:rsidR="003F46B9" w14:paraId="710F2B32"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851539E" w14:textId="77777777" w:rsidR="003F46B9" w:rsidRDefault="0065662E">
            <w:pPr>
              <w:pStyle w:val="P68B1DB1-Normal5"/>
              <w:spacing w:after="0" w:line="240" w:lineRule="auto"/>
              <w:jc w:val="center"/>
              <w:rPr>
                <w:rFonts w:cs="Times New Roman"/>
                <w:noProof/>
              </w:rPr>
            </w:pPr>
            <w:r>
              <w:rPr>
                <w:noProof/>
              </w:rPr>
              <w:t>366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3018628" w14:textId="77777777" w:rsidR="003F46B9" w:rsidRDefault="0065662E">
            <w:pPr>
              <w:pStyle w:val="P68B1DB1-Normal5"/>
              <w:spacing w:after="0" w:line="240" w:lineRule="auto"/>
              <w:jc w:val="both"/>
              <w:rPr>
                <w:rFonts w:cs="Times New Roman"/>
                <w:noProof/>
              </w:rPr>
            </w:pPr>
            <w:r>
              <w:rPr>
                <w:noProof/>
              </w:rPr>
              <w:t>Ulaganje 1. Razvoj pretbolničke medicinske infrastrukture</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845105" w14:textId="77777777" w:rsidR="003F46B9" w:rsidRDefault="0065662E">
            <w:pPr>
              <w:pStyle w:val="P68B1DB1-Normal5"/>
              <w:spacing w:after="0" w:line="240" w:lineRule="auto"/>
              <w:jc w:val="both"/>
              <w:rPr>
                <w:rFonts w:cs="Times New Roman"/>
                <w:noProof/>
              </w:rPr>
            </w:pPr>
            <w:r>
              <w:rPr>
                <w:noProof/>
              </w:rPr>
              <w:t>Prekretnica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251844" w14:textId="77777777" w:rsidR="003F46B9" w:rsidRDefault="0065662E">
            <w:pPr>
              <w:pStyle w:val="P68B1DB1-Normal5"/>
              <w:spacing w:after="0" w:line="240" w:lineRule="auto"/>
              <w:jc w:val="both"/>
              <w:rPr>
                <w:rFonts w:cs="Times New Roman"/>
                <w:noProof/>
              </w:rPr>
            </w:pPr>
            <w:r>
              <w:rPr>
                <w:noProof/>
              </w:rPr>
              <w:t xml:space="preserve">Donošenje kriterija za </w:t>
            </w:r>
            <w:r>
              <w:rPr>
                <w:noProof/>
              </w:rPr>
              <w:t>davanje prednosti ulaganjima u integrirane centre zajednice</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920C564" w14:textId="0EE6B2BA" w:rsidR="003F46B9" w:rsidRDefault="0065662E">
            <w:pPr>
              <w:pStyle w:val="P68B1DB1-Normal5"/>
              <w:spacing w:after="0" w:line="240" w:lineRule="auto"/>
              <w:jc w:val="both"/>
              <w:rPr>
                <w:rFonts w:cs="Times New Roman"/>
                <w:noProof/>
              </w:rPr>
            </w:pPr>
            <w:r>
              <w:rPr>
                <w:noProof/>
              </w:rPr>
              <w:t>Donošenje Priručnika za integrirane zajedničke centre, uključujući smjernice za određivanje prioriteta ulaganja u integrirane centre zajednice na temelju odluke ministra zdravstva.</w:t>
            </w: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415B42" w14:textId="77777777" w:rsidR="003F46B9" w:rsidRDefault="003F46B9">
            <w:pPr>
              <w:spacing w:after="0" w:line="240" w:lineRule="auto"/>
              <w:jc w:val="both"/>
              <w:rPr>
                <w:rFonts w:ascii="Times New Roman" w:hAnsi="Times New Roman" w:cs="Times New Roman"/>
                <w:noProof/>
                <w:sz w:val="24"/>
              </w:rPr>
            </w:pP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B56A2DB" w14:textId="77777777" w:rsidR="003F46B9" w:rsidRDefault="003F46B9">
            <w:pPr>
              <w:spacing w:after="0" w:line="240" w:lineRule="auto"/>
              <w:jc w:val="both"/>
              <w:rPr>
                <w:rFonts w:ascii="Times New Roman" w:hAnsi="Times New Roman" w:cs="Times New Roman"/>
                <w:noProof/>
                <w:sz w:val="24"/>
              </w:rPr>
            </w:pP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B28805" w14:textId="77777777" w:rsidR="003F46B9" w:rsidRDefault="003F46B9">
            <w:pPr>
              <w:spacing w:after="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190734" w14:textId="77777777" w:rsidR="003F46B9" w:rsidRDefault="0065662E">
            <w:pPr>
              <w:pStyle w:val="P68B1DB1-Normal5"/>
              <w:spacing w:after="0" w:line="240" w:lineRule="auto"/>
              <w:jc w:val="both"/>
              <w:rPr>
                <w:rFonts w:cs="Times New Roman"/>
                <w:noProof/>
              </w:rPr>
            </w:pPr>
            <w:r>
              <w:rPr>
                <w:noProof/>
              </w:rPr>
              <w:t xml:space="preserve">ČETVRTO </w:t>
            </w: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4361222" w14:textId="77777777" w:rsidR="003F46B9" w:rsidRDefault="0065662E">
            <w:pPr>
              <w:pStyle w:val="P68B1DB1-Normal5"/>
              <w:spacing w:after="0" w:line="240" w:lineRule="auto"/>
              <w:jc w:val="both"/>
              <w:rPr>
                <w:rFonts w:cs="Times New Roman"/>
                <w:noProof/>
              </w:rPr>
            </w:pPr>
            <w:r>
              <w:rPr>
                <w:noProof/>
              </w:rPr>
              <w:t>2021</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9627DB1" w14:textId="77777777" w:rsidR="003F46B9" w:rsidRDefault="0065662E">
            <w:pPr>
              <w:pStyle w:val="P68B1DB1-Normal5"/>
              <w:spacing w:after="0" w:line="240" w:lineRule="auto"/>
              <w:jc w:val="both"/>
              <w:rPr>
                <w:rFonts w:cs="Times New Roman"/>
                <w:noProof/>
              </w:rPr>
            </w:pPr>
            <w:r>
              <w:rPr>
                <w:noProof/>
              </w:rPr>
              <w:t>Integrirani centri zajednice imaju koristi od ulaganja koja se temelje na metodološkim prioritetnim smjernicama koje izrađuje Ministarstvo zdravstva uz savjetovanje s predstavnicima lokalnih javnih tijela. Te prioritetne smjernice sastavni</w:t>
            </w:r>
            <w:r>
              <w:rPr>
                <w:noProof/>
              </w:rPr>
              <w:t xml:space="preserve"> su dio Priručnika za integrirane zajedničke centre.</w:t>
            </w:r>
          </w:p>
          <w:p w14:paraId="227CB2E3" w14:textId="77777777" w:rsidR="003F46B9" w:rsidRDefault="0065662E">
            <w:pPr>
              <w:pStyle w:val="P68B1DB1-Normal5"/>
              <w:spacing w:after="0" w:line="240" w:lineRule="auto"/>
              <w:jc w:val="both"/>
              <w:rPr>
                <w:rFonts w:cs="Times New Roman"/>
                <w:noProof/>
              </w:rPr>
            </w:pPr>
            <w:r>
              <w:rPr>
                <w:noProof/>
              </w:rPr>
              <w:t xml:space="preserve">Pri određivanju prioriteta upravnih teritorijalnih jedinica uzima se u obzir: </w:t>
            </w:r>
          </w:p>
          <w:p w14:paraId="24E78229" w14:textId="77777777" w:rsidR="003F46B9" w:rsidRDefault="0065662E">
            <w:pPr>
              <w:pStyle w:val="P68B1DB1-Normal5"/>
              <w:spacing w:after="0" w:line="240" w:lineRule="auto"/>
              <w:jc w:val="both"/>
              <w:rPr>
                <w:rFonts w:cs="Times New Roman"/>
                <w:noProof/>
              </w:rPr>
            </w:pPr>
            <w:r>
              <w:rPr>
                <w:noProof/>
              </w:rPr>
              <w:t>— broj ranjivih osoba po zajednici (najmanje 500 medicinski, socijalno ili gospodarski ranjivih osoba)</w:t>
            </w:r>
          </w:p>
          <w:p w14:paraId="6079349C" w14:textId="77777777" w:rsidR="003F46B9" w:rsidRDefault="0065662E">
            <w:pPr>
              <w:pStyle w:val="P68B1DB1-Normal5"/>
              <w:spacing w:after="0" w:line="240" w:lineRule="auto"/>
              <w:jc w:val="both"/>
              <w:rPr>
                <w:rFonts w:cs="Times New Roman"/>
                <w:noProof/>
              </w:rPr>
            </w:pPr>
            <w:r>
              <w:rPr>
                <w:noProof/>
              </w:rPr>
              <w:t>—dostupnost povezanos</w:t>
            </w:r>
            <w:r>
              <w:rPr>
                <w:noProof/>
              </w:rPr>
              <w:t>ti s drugim ranjivim mjestima</w:t>
            </w:r>
          </w:p>
          <w:p w14:paraId="24E43D15" w14:textId="77777777" w:rsidR="003F46B9" w:rsidRDefault="0065662E">
            <w:pPr>
              <w:pStyle w:val="P68B1DB1-Normal5"/>
              <w:spacing w:after="0" w:line="240" w:lineRule="auto"/>
              <w:jc w:val="both"/>
              <w:rPr>
                <w:rFonts w:cs="Times New Roman"/>
                <w:noProof/>
              </w:rPr>
            </w:pPr>
            <w:r>
              <w:rPr>
                <w:noProof/>
              </w:rPr>
              <w:t>postojanje lokalne medicinske sestre i socijalnog radnika/tehničara socijalne pomoći</w:t>
            </w:r>
          </w:p>
          <w:p w14:paraId="6308247F" w14:textId="77777777" w:rsidR="003F46B9" w:rsidRDefault="0065662E">
            <w:pPr>
              <w:pStyle w:val="P68B1DB1-Normal5"/>
              <w:spacing w:after="0" w:line="240" w:lineRule="auto"/>
              <w:jc w:val="both"/>
              <w:rPr>
                <w:rFonts w:cs="Times New Roman"/>
                <w:noProof/>
              </w:rPr>
            </w:pPr>
            <w:r>
              <w:rPr>
                <w:noProof/>
              </w:rPr>
              <w:t>administrativne teritorijalne jedinice bez obiteljskog liječnika ili s nedovoljnim brojem obiteljskih liječnika u odnosu na stanovništvo</w:t>
            </w:r>
          </w:p>
          <w:p w14:paraId="4A6CFC1F" w14:textId="77777777" w:rsidR="003F46B9" w:rsidRDefault="0065662E">
            <w:pPr>
              <w:pStyle w:val="P68B1DB1-Normal5"/>
              <w:spacing w:after="0" w:line="240" w:lineRule="auto"/>
              <w:jc w:val="both"/>
              <w:rPr>
                <w:rFonts w:cs="Times New Roman"/>
                <w:noProof/>
              </w:rPr>
            </w:pPr>
            <w:r>
              <w:rPr>
                <w:noProof/>
              </w:rPr>
              <w:t>—pos</w:t>
            </w:r>
            <w:r>
              <w:rPr>
                <w:noProof/>
              </w:rPr>
              <w:t>tojanje odluke lokalnog vijeća o osnivanju integriranih centara zajednice</w:t>
            </w:r>
          </w:p>
          <w:p w14:paraId="5210FEE3" w14:textId="54C75D63" w:rsidR="003F46B9" w:rsidRDefault="0065662E">
            <w:pPr>
              <w:pStyle w:val="P68B1DB1-Normal5"/>
              <w:spacing w:after="0" w:line="240" w:lineRule="auto"/>
              <w:jc w:val="both"/>
              <w:rPr>
                <w:rFonts w:cs="Times New Roman"/>
                <w:noProof/>
              </w:rPr>
            </w:pPr>
            <w:r>
              <w:rPr>
                <w:noProof/>
              </w:rPr>
              <w:t xml:space="preserve">—utvrđivanje lokaliteta kao marginalnog ruralnog područja </w:t>
            </w:r>
          </w:p>
        </w:tc>
      </w:tr>
      <w:tr w:rsidR="003F46B9" w14:paraId="79E59D9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DF90A1B" w14:textId="77777777" w:rsidR="003F46B9" w:rsidRDefault="0065662E">
            <w:pPr>
              <w:pStyle w:val="P68B1DB1-Normal5"/>
              <w:spacing w:after="0" w:line="240" w:lineRule="auto"/>
              <w:jc w:val="center"/>
              <w:rPr>
                <w:rFonts w:cs="Times New Roman"/>
                <w:noProof/>
              </w:rPr>
            </w:pPr>
            <w:r>
              <w:rPr>
                <w:noProof/>
              </w:rPr>
              <w:t>367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605B236" w14:textId="77777777" w:rsidR="003F46B9" w:rsidRDefault="0065662E">
            <w:pPr>
              <w:pStyle w:val="P68B1DB1-Normal5"/>
              <w:spacing w:after="0" w:line="240" w:lineRule="auto"/>
              <w:jc w:val="both"/>
              <w:rPr>
                <w:rFonts w:cs="Times New Roman"/>
                <w:noProof/>
              </w:rPr>
            </w:pPr>
            <w:r>
              <w:rPr>
                <w:noProof/>
              </w:rPr>
              <w:t>Ulaganje 1. Razvoj pretbolničke medicinske infrastrukture</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3927399" w14:textId="77777777" w:rsidR="003F46B9" w:rsidRDefault="0065662E">
            <w:pPr>
              <w:pStyle w:val="P68B1DB1-Normal5"/>
              <w:spacing w:after="0" w:line="240" w:lineRule="auto"/>
              <w:jc w:val="both"/>
              <w:rPr>
                <w:rFonts w:cs="Times New Roman"/>
                <w:noProof/>
              </w:rPr>
            </w:pPr>
            <w:r>
              <w:rPr>
                <w:noProof/>
              </w:rPr>
              <w:t xml:space="preserve">Ciljna </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696DFA" w14:textId="77777777" w:rsidR="003F46B9" w:rsidRDefault="0065662E">
            <w:pPr>
              <w:pStyle w:val="P68B1DB1-Normal5"/>
              <w:spacing w:after="0" w:line="240" w:lineRule="auto"/>
              <w:jc w:val="both"/>
              <w:rPr>
                <w:rFonts w:cs="Times New Roman"/>
                <w:noProof/>
              </w:rPr>
            </w:pPr>
            <w:r>
              <w:rPr>
                <w:noProof/>
              </w:rPr>
              <w:t xml:space="preserve">Prakse obiteljskih liječnika ili udruga za pružanje </w:t>
            </w:r>
            <w:r>
              <w:rPr>
                <w:noProof/>
              </w:rPr>
              <w:t>primarne skrbi koje su opremljene ili obnovljene, pri čemu se prednost daje praksama koje se nalaze u marginaliziranim regijama i općinama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CEEE8"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560103"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71BBEA"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042C218" w14:textId="6D99D746" w:rsidR="003F46B9" w:rsidRDefault="0065662E">
            <w:pPr>
              <w:pStyle w:val="P68B1DB1-Normal5"/>
              <w:spacing w:after="0" w:line="240" w:lineRule="auto"/>
              <w:jc w:val="both"/>
              <w:rPr>
                <w:rFonts w:cs="Times New Roman"/>
                <w:noProof/>
              </w:rPr>
            </w:pPr>
            <w:r>
              <w:rPr>
                <w:noProof/>
              </w:rPr>
              <w:t>2 000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C1CF480"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DCC4E9" w14:textId="77777777" w:rsidR="003F46B9" w:rsidRDefault="0065662E">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97B2CF0" w14:textId="62D36BC4" w:rsidR="003F46B9" w:rsidRDefault="0065662E">
            <w:pPr>
              <w:pStyle w:val="P68B1DB1-Normal5"/>
              <w:spacing w:after="0" w:line="240" w:lineRule="auto"/>
              <w:jc w:val="both"/>
              <w:rPr>
                <w:rFonts w:cs="Times New Roman"/>
                <w:noProof/>
              </w:rPr>
            </w:pPr>
            <w:r>
              <w:rPr>
                <w:noProof/>
              </w:rPr>
              <w:t xml:space="preserve">Najmanje 2000 udruga prakse obiteljskih liječnika mora biti opremljeno ili obnovljeno </w:t>
            </w:r>
            <w:r>
              <w:rPr>
                <w:noProof/>
              </w:rPr>
              <w:t>na temelju otvorenog poziva. To se obavlja putem medicinske opreme nabavljene centralno (preko središnje jedinice za nabavu Ministarstva zdravstva ili Nacionalnog ureda za centraliziranu nabavu). Najmanje 75 % svih ugovora potpisanih s udrugama praksi/obit</w:t>
            </w:r>
            <w:r>
              <w:rPr>
                <w:noProof/>
              </w:rPr>
              <w:t xml:space="preserve">eljskim liječnicima mora biti smješteno u marginaliziranim regijama ili općinama (kako je prethodno definirano u opisu ulaganja). </w:t>
            </w:r>
          </w:p>
          <w:p w14:paraId="2577A444" w14:textId="77777777" w:rsidR="003F46B9" w:rsidRDefault="0065662E">
            <w:pPr>
              <w:pStyle w:val="P68B1DB1-Normal5"/>
              <w:spacing w:after="0" w:line="240" w:lineRule="auto"/>
              <w:jc w:val="both"/>
              <w:rPr>
                <w:rFonts w:cs="Times New Roman"/>
                <w:noProof/>
              </w:rPr>
            </w:pPr>
            <w:r>
              <w:rPr>
                <w:noProof/>
              </w:rPr>
              <w:t>Kriteriji za odabir medicinski nedovoljno pokrivenih područja su: i) značajke stanovništva, ii. pokrivenost stanovništva sa z</w:t>
            </w:r>
            <w:r>
              <w:rPr>
                <w:noProof/>
              </w:rPr>
              <w:t xml:space="preserve">dravstvenim osiguranjem, iii. dostupnost potrebnih ljudskih resursa, iv. dostupnost odgovarajuće fizičke infrastrukture, v. zemljopisna dostupnost. </w:t>
            </w:r>
          </w:p>
        </w:tc>
      </w:tr>
      <w:tr w:rsidR="003F46B9" w14:paraId="4D8ADB59"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78DAADD9" w14:textId="77777777" w:rsidR="003F46B9" w:rsidRDefault="0065662E">
            <w:pPr>
              <w:pStyle w:val="P68B1DB1-Normal5"/>
              <w:spacing w:after="0" w:line="240" w:lineRule="auto"/>
              <w:jc w:val="center"/>
              <w:rPr>
                <w:rFonts w:cs="Times New Roman"/>
                <w:noProof/>
              </w:rPr>
            </w:pPr>
            <w:r>
              <w:rPr>
                <w:noProof/>
              </w:rPr>
              <w:t>368</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84C4681" w14:textId="35AFAE20"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9B9A0"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930538" w14:textId="77777777" w:rsidR="003F46B9" w:rsidRDefault="0065662E">
            <w:pPr>
              <w:pStyle w:val="P68B1DB1-Normal5"/>
              <w:spacing w:after="0" w:line="240" w:lineRule="auto"/>
              <w:jc w:val="both"/>
              <w:rPr>
                <w:rFonts w:cs="Times New Roman"/>
                <w:noProof/>
              </w:rPr>
            </w:pPr>
            <w:r>
              <w:rPr>
                <w:noProof/>
              </w:rPr>
              <w:t xml:space="preserve">Mobilne medicinske jedinice opremljene za probir raka dojke i vrata maternice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93C03DF"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E6D4345"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BAB649"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5EFF10D" w14:textId="77777777" w:rsidR="003F46B9" w:rsidRDefault="0065662E">
            <w:pPr>
              <w:pStyle w:val="P68B1DB1-Normal5"/>
              <w:spacing w:after="0" w:line="240" w:lineRule="auto"/>
              <w:jc w:val="both"/>
              <w:rPr>
                <w:rFonts w:cs="Times New Roman"/>
                <w:noProof/>
              </w:rPr>
            </w:pPr>
            <w:r>
              <w:rPr>
                <w:noProof/>
              </w:rPr>
              <w:t>10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0FF5417"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49E46E" w14:textId="77777777" w:rsidR="003F46B9" w:rsidRDefault="0065662E">
            <w:pPr>
              <w:pStyle w:val="P68B1DB1-Normal5"/>
              <w:spacing w:after="0" w:line="240" w:lineRule="auto"/>
              <w:jc w:val="both"/>
              <w:rPr>
                <w:rFonts w:cs="Times New Roman"/>
                <w:noProof/>
              </w:rPr>
            </w:pPr>
            <w:r>
              <w:rPr>
                <w:noProof/>
              </w:rPr>
              <w:t>2023</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3CCFCFE" w14:textId="77777777" w:rsidR="003F46B9" w:rsidRDefault="0065662E">
            <w:pPr>
              <w:pStyle w:val="P68B1DB1-Normal5"/>
              <w:spacing w:after="0" w:line="240" w:lineRule="auto"/>
              <w:jc w:val="both"/>
              <w:rPr>
                <w:rFonts w:cs="Times New Roman"/>
                <w:noProof/>
              </w:rPr>
            </w:pPr>
            <w:r>
              <w:rPr>
                <w:noProof/>
              </w:rPr>
              <w:t>10 mobilnih medicinskih jedinica mora biti opremljeno opremom za probir raka dojke i vrata maternice.</w:t>
            </w:r>
          </w:p>
          <w:p w14:paraId="2A127C7C" w14:textId="77777777" w:rsidR="003F46B9" w:rsidRDefault="0065662E">
            <w:pPr>
              <w:pStyle w:val="P68B1DB1-Normal5"/>
              <w:spacing w:after="0" w:line="240" w:lineRule="auto"/>
              <w:jc w:val="both"/>
              <w:rPr>
                <w:rFonts w:cs="Times New Roman"/>
                <w:noProof/>
              </w:rPr>
            </w:pPr>
            <w:r>
              <w:rPr>
                <w:noProof/>
              </w:rPr>
              <w:t>Medicinske kamp-kućice obavljaju aktivnosti pro</w:t>
            </w:r>
            <w:r>
              <w:rPr>
                <w:noProof/>
              </w:rPr>
              <w:t>bira raka dojke i vrata maternice u područjima s ograničenim pristupom specijaliziranim zdravstvenim uslugama, uključujući područja u nepovoljnom položaju s većinom romskih ili romskih zajednica. Kamp-kućice za pregled (mobilne jedinice) dodjeljuju se regi</w:t>
            </w:r>
            <w:r>
              <w:rPr>
                <w:noProof/>
              </w:rPr>
              <w:t>onalnim centrima koji trenutačno obavljaju aktivnosti pregleda vrata maternice i koji već imaju stručno znanje u takvim aktivnostima.</w:t>
            </w:r>
          </w:p>
          <w:p w14:paraId="223E5D37" w14:textId="77777777" w:rsidR="003F46B9" w:rsidRDefault="0065662E">
            <w:pPr>
              <w:pStyle w:val="P68B1DB1-Normal5"/>
              <w:spacing w:after="0" w:line="240" w:lineRule="auto"/>
              <w:jc w:val="both"/>
              <w:rPr>
                <w:rFonts w:cs="Times New Roman"/>
                <w:noProof/>
              </w:rPr>
            </w:pPr>
            <w:r>
              <w:rPr>
                <w:noProof/>
              </w:rPr>
              <w:t>Kamp-kućice koje se kupuju najbolja su dostupna tehnologija s ekološkog stajališta kako bi se osigurala usklađenost s Tehn</w:t>
            </w:r>
            <w:r>
              <w:rPr>
                <w:noProof/>
              </w:rPr>
              <w:t>ičkim smjernicama o primjeni načela nenanošenja bitne štete (2021/C58/01).</w:t>
            </w:r>
          </w:p>
        </w:tc>
      </w:tr>
      <w:tr w:rsidR="003F46B9" w14:paraId="109DE238"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30DD366" w14:textId="77777777" w:rsidR="003F46B9" w:rsidRDefault="0065662E">
            <w:pPr>
              <w:pStyle w:val="P68B1DB1-Normal5"/>
              <w:spacing w:after="0" w:line="240" w:lineRule="auto"/>
              <w:jc w:val="center"/>
              <w:rPr>
                <w:rFonts w:cs="Times New Roman"/>
                <w:noProof/>
              </w:rPr>
            </w:pPr>
            <w:r>
              <w:rPr>
                <w:noProof/>
              </w:rPr>
              <w:t>369</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73E9BE" w14:textId="3BDE30BB"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AD0E7"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E8CEE35" w14:textId="77777777" w:rsidR="003F46B9" w:rsidRDefault="0065662E">
            <w:pPr>
              <w:pStyle w:val="P68B1DB1-Normal5"/>
              <w:spacing w:after="0" w:line="240" w:lineRule="auto"/>
              <w:jc w:val="both"/>
              <w:rPr>
                <w:rFonts w:cs="Times New Roman"/>
                <w:noProof/>
              </w:rPr>
            </w:pPr>
            <w:r>
              <w:rPr>
                <w:noProof/>
              </w:rPr>
              <w:t>Novoizgrađene/obnovljene i opremljene ustanove za izvanbolničku skrb</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F9B3B40"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13CD17B"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53D1D3F"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97D142" w14:textId="77777777" w:rsidR="003F46B9" w:rsidRDefault="0065662E">
            <w:pPr>
              <w:pStyle w:val="P68B1DB1-Normal5"/>
              <w:spacing w:after="0" w:line="240" w:lineRule="auto"/>
              <w:jc w:val="both"/>
              <w:rPr>
                <w:rFonts w:cs="Times New Roman"/>
                <w:noProof/>
              </w:rPr>
            </w:pPr>
            <w:r>
              <w:rPr>
                <w:noProof/>
              </w:rPr>
              <w:t>30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F437C82"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B0C7585"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805578A" w14:textId="77777777" w:rsidR="003F46B9" w:rsidRDefault="0065662E">
            <w:pPr>
              <w:pStyle w:val="P68B1DB1-Normal5"/>
              <w:spacing w:after="0" w:line="240" w:lineRule="auto"/>
              <w:jc w:val="both"/>
              <w:rPr>
                <w:rFonts w:cs="Times New Roman"/>
                <w:noProof/>
              </w:rPr>
            </w:pPr>
            <w:r>
              <w:rPr>
                <w:noProof/>
              </w:rPr>
              <w:t>Najmanje 30 jedinica za izvanbolničku skrb modernizirat će se, obnoviti, proširiti (među ostalim izgradnjom novih zgrada) i opremiti.</w:t>
            </w:r>
          </w:p>
          <w:p w14:paraId="5FFC3C72" w14:textId="77777777" w:rsidR="003F46B9" w:rsidRDefault="0065662E">
            <w:pPr>
              <w:pStyle w:val="P68B1DB1-Normal5"/>
              <w:spacing w:after="0" w:line="240" w:lineRule="auto"/>
              <w:jc w:val="both"/>
              <w:rPr>
                <w:rFonts w:cs="Times New Roman"/>
                <w:noProof/>
              </w:rPr>
            </w:pPr>
            <w:r>
              <w:rPr>
                <w:noProof/>
              </w:rPr>
              <w:t>Pri odabiru se također uzima u obzir popis projekata koji se nalaze na rezervnom popisu poziva za projekte u regionalnom o</w:t>
            </w:r>
            <w:r>
              <w:rPr>
                <w:noProof/>
              </w:rPr>
              <w:t xml:space="preserve">perativnom programu (2014. – 2020.) i drugih projekata u skladu s njihovom razinom razvijenosti. </w:t>
            </w:r>
          </w:p>
          <w:p w14:paraId="6AA7D028" w14:textId="77777777" w:rsidR="003F46B9" w:rsidRDefault="0065662E">
            <w:pPr>
              <w:pStyle w:val="P68B1DB1-Normal5"/>
              <w:spacing w:after="0" w:line="240" w:lineRule="auto"/>
              <w:jc w:val="both"/>
              <w:rPr>
                <w:rFonts w:cs="Times New Roman"/>
                <w:noProof/>
              </w:rPr>
            </w:pPr>
            <w:r>
              <w:rPr>
                <w:noProof/>
              </w:rPr>
              <w:t>Najmanje 20 jedinica za izvanbolničku skrb mora biti smješteno u slabije razvijenim regijama ili općinama.</w:t>
            </w:r>
          </w:p>
          <w:p w14:paraId="42E97A34" w14:textId="633B0508" w:rsidR="003F46B9" w:rsidRDefault="0065662E">
            <w:pPr>
              <w:pStyle w:val="P68B1DB1-Normal5"/>
              <w:spacing w:after="0" w:line="240" w:lineRule="auto"/>
              <w:jc w:val="both"/>
              <w:rPr>
                <w:rFonts w:cs="Times New Roman"/>
                <w:noProof/>
              </w:rPr>
            </w:pPr>
            <w:r>
              <w:rPr>
                <w:noProof/>
              </w:rPr>
              <w:t>Sljedeće regije/općine smatraju se slabije razvijen</w:t>
            </w:r>
            <w:r>
              <w:rPr>
                <w:noProof/>
              </w:rPr>
              <w:t>ima: regije/općine u kojima je BDP/glava &amp; 75 % prosjeka EU-27 (u skladu s definicijom EU-a).</w:t>
            </w:r>
          </w:p>
          <w:p w14:paraId="1201F768" w14:textId="77777777" w:rsidR="003F46B9" w:rsidRDefault="0065662E">
            <w:pPr>
              <w:pStyle w:val="P68B1DB1-Normal5"/>
              <w:spacing w:after="0" w:line="240" w:lineRule="auto"/>
              <w:jc w:val="both"/>
              <w:rPr>
                <w:rFonts w:cs="Times New Roman"/>
                <w:noProof/>
              </w:rPr>
            </w:pPr>
            <w:r>
              <w:rPr>
                <w:noProof/>
              </w:rPr>
              <w:t>Ulaganja se sastoje od:</w:t>
            </w:r>
          </w:p>
          <w:p w14:paraId="707D1470" w14:textId="77777777" w:rsidR="003F46B9" w:rsidRDefault="0065662E">
            <w:pPr>
              <w:pStyle w:val="P68B1DB1-Normal5"/>
              <w:spacing w:after="0" w:line="240" w:lineRule="auto"/>
              <w:jc w:val="both"/>
              <w:rPr>
                <w:rFonts w:cs="Times New Roman"/>
                <w:noProof/>
              </w:rPr>
            </w:pPr>
            <w:r>
              <w:rPr>
                <w:noProof/>
              </w:rPr>
              <w:t>—rehabilitacija/modernizacija/proširenje/dodjela postojeće izvanbolničke infrastrukture;</w:t>
            </w:r>
          </w:p>
          <w:p w14:paraId="09860DB8" w14:textId="77777777" w:rsidR="003F46B9" w:rsidRDefault="0065662E">
            <w:pPr>
              <w:pStyle w:val="P68B1DB1-Normal5"/>
              <w:spacing w:after="0" w:line="240" w:lineRule="auto"/>
              <w:jc w:val="both"/>
              <w:rPr>
                <w:rFonts w:cs="Times New Roman"/>
                <w:noProof/>
              </w:rPr>
            </w:pPr>
            <w:r>
              <w:rPr>
                <w:noProof/>
              </w:rPr>
              <w:t xml:space="preserve">—poboljšanje dostupnosti prostora za zdravstvene </w:t>
            </w:r>
            <w:r>
              <w:rPr>
                <w:noProof/>
              </w:rPr>
              <w:t>usluge i pristupne ceste;</w:t>
            </w:r>
          </w:p>
          <w:p w14:paraId="76C8F739" w14:textId="77777777" w:rsidR="003F46B9" w:rsidRDefault="0065662E">
            <w:pPr>
              <w:pStyle w:val="P68B1DB1-Normal5"/>
              <w:spacing w:after="0" w:line="240" w:lineRule="auto"/>
              <w:jc w:val="both"/>
              <w:rPr>
                <w:rFonts w:cs="Times New Roman"/>
                <w:noProof/>
              </w:rPr>
            </w:pPr>
            <w:r>
              <w:rPr>
                <w:noProof/>
              </w:rPr>
              <w:t>—osiguravanje/modernizacija općih i posebnih komunalnih usluga (uključujući povezivanje s komunalnim uslugama o lokaciji cilja ulaganja);</w:t>
            </w:r>
          </w:p>
          <w:p w14:paraId="16C14C6E" w14:textId="77777777" w:rsidR="003F46B9" w:rsidRDefault="0065662E">
            <w:pPr>
              <w:pStyle w:val="P68B1DB1-Normal5"/>
              <w:spacing w:after="0" w:line="240" w:lineRule="auto"/>
              <w:jc w:val="both"/>
              <w:rPr>
                <w:rFonts w:cs="Times New Roman"/>
                <w:noProof/>
              </w:rPr>
            </w:pPr>
            <w:r>
              <w:rPr>
                <w:noProof/>
              </w:rPr>
              <w:t>—kupnja opreme za izvanbolničku infrastrukturu.</w:t>
            </w:r>
          </w:p>
        </w:tc>
      </w:tr>
      <w:tr w:rsidR="003F46B9" w14:paraId="1573F797"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3FC320C" w14:textId="77777777" w:rsidR="003F46B9" w:rsidRDefault="0065662E">
            <w:pPr>
              <w:pStyle w:val="P68B1DB1-Normal5"/>
              <w:spacing w:after="0" w:line="240" w:lineRule="auto"/>
              <w:jc w:val="center"/>
              <w:rPr>
                <w:rFonts w:cs="Times New Roman"/>
                <w:noProof/>
              </w:rPr>
            </w:pPr>
            <w:r>
              <w:rPr>
                <w:noProof/>
              </w:rPr>
              <w:t>370</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18B693" w14:textId="4199FA6E"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820F26E"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013550" w14:textId="77777777" w:rsidR="003F46B9" w:rsidRDefault="0065662E">
            <w:pPr>
              <w:pStyle w:val="P68B1DB1-Normal5"/>
              <w:spacing w:after="0" w:line="240" w:lineRule="auto"/>
              <w:jc w:val="both"/>
              <w:rPr>
                <w:rFonts w:cs="Times New Roman"/>
                <w:noProof/>
              </w:rPr>
            </w:pPr>
            <w:r>
              <w:rPr>
                <w:noProof/>
              </w:rPr>
              <w:t>Novoizgrađeni/obnovljeni i opremljeni integrirani centri zajednice, uključujući odgovarajuće osoblje</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6FF40"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5B1524"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346C638"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D2F1867" w14:textId="77777777" w:rsidR="003F46B9" w:rsidRDefault="0065662E">
            <w:pPr>
              <w:pStyle w:val="P68B1DB1-Normal5"/>
              <w:spacing w:after="0" w:line="240" w:lineRule="auto"/>
              <w:jc w:val="both"/>
              <w:rPr>
                <w:rFonts w:cs="Times New Roman"/>
                <w:noProof/>
              </w:rPr>
            </w:pPr>
            <w:r>
              <w:rPr>
                <w:noProof/>
              </w:rPr>
              <w:t>200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C7FAE3"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0BDA4"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A81AFE" w14:textId="05B1EC18" w:rsidR="003F46B9" w:rsidRDefault="0065662E">
            <w:pPr>
              <w:pStyle w:val="P68B1DB1-Normal5"/>
              <w:spacing w:after="0" w:line="240" w:lineRule="auto"/>
              <w:jc w:val="both"/>
              <w:rPr>
                <w:rFonts w:cs="Times New Roman"/>
                <w:noProof/>
              </w:rPr>
            </w:pPr>
            <w:r>
              <w:rPr>
                <w:noProof/>
              </w:rPr>
              <w:t>200 novoizgrađenih ili obnovljenih integriranih društvenih centara. Funkcionalnost integriranih centara zajednice uključuje prostore za pružanje zdravstvenih usluga u skladu s odredbama posebnog zakonodavstva i s obzirom na pitanje utvrđenih ranjivih skupi</w:t>
            </w:r>
            <w:r>
              <w:rPr>
                <w:noProof/>
              </w:rPr>
              <w:t xml:space="preserve">na sa zdravstvenog, društveno-gospodarskog stajališta. Ponavljajući troškovi kao što su troškovi osoblja ne uključuju se. </w:t>
            </w:r>
          </w:p>
          <w:p w14:paraId="3E2030A8" w14:textId="11FCA53E" w:rsidR="003F46B9" w:rsidRDefault="0065662E">
            <w:pPr>
              <w:pStyle w:val="P68B1DB1-Normal5"/>
              <w:spacing w:after="0" w:line="240" w:lineRule="auto"/>
              <w:jc w:val="both"/>
              <w:rPr>
                <w:rFonts w:cs="Times New Roman"/>
                <w:noProof/>
              </w:rPr>
            </w:pPr>
            <w:r>
              <w:rPr>
                <w:noProof/>
              </w:rPr>
              <w:t xml:space="preserve">Infrastruktura i/ili zgrade moraju biti u skladu s kriterijima energetske učinkovitosti. Sve novoizgrađene zgrade moraju ispunjavati </w:t>
            </w:r>
            <w:r>
              <w:rPr>
                <w:noProof/>
              </w:rPr>
              <w:t>cilj postizanja potražnje za primarnom energijom (PED) koja je najmanje 20 % niža od zahtjeva za zgradu gotovo nulte energije (NZEB) u skladu s nacionalnim smjernicama, što se osigurava energetskim certifikatima. Procjenjuje se da se 70 % troškova uvođenja</w:t>
            </w:r>
            <w:r>
              <w:rPr>
                <w:noProof/>
              </w:rPr>
              <w:t xml:space="preserve"> tog ulaganja odnosi na izgradnju (koja se provodi u skladu sa standardom NZEB+).   </w:t>
            </w:r>
          </w:p>
          <w:p w14:paraId="73F76137" w14:textId="77777777" w:rsidR="003F46B9" w:rsidRDefault="0065662E">
            <w:pPr>
              <w:pStyle w:val="P68B1DB1-Normal5"/>
              <w:spacing w:after="0" w:line="240" w:lineRule="auto"/>
              <w:jc w:val="both"/>
              <w:rPr>
                <w:rFonts w:cs="Times New Roman"/>
                <w:noProof/>
              </w:rPr>
            </w:pPr>
            <w:r>
              <w:rPr>
                <w:noProof/>
              </w:rPr>
              <w:t>Najmanje 100 integriranih društvenih centara mora biti smješteno u marginaliziranim regijama i općinama.</w:t>
            </w:r>
          </w:p>
          <w:p w14:paraId="7459600E" w14:textId="77777777" w:rsidR="003F46B9" w:rsidRDefault="0065662E">
            <w:pPr>
              <w:pStyle w:val="P68B1DB1-Normal5"/>
              <w:spacing w:after="0" w:line="240" w:lineRule="auto"/>
              <w:jc w:val="both"/>
              <w:rPr>
                <w:rFonts w:cs="Times New Roman"/>
                <w:noProof/>
              </w:rPr>
            </w:pPr>
            <w:r>
              <w:rPr>
                <w:noProof/>
              </w:rPr>
              <w:t xml:space="preserve">Objekti moraju biti opremljeni sljedećom glavnom opremom: </w:t>
            </w:r>
          </w:p>
          <w:p w14:paraId="23C6FAA4" w14:textId="77777777" w:rsidR="003F46B9" w:rsidRDefault="0065662E">
            <w:pPr>
              <w:pStyle w:val="P68B1DB1-Normal5"/>
              <w:spacing w:after="0" w:line="240" w:lineRule="auto"/>
              <w:jc w:val="both"/>
              <w:rPr>
                <w:rFonts w:cs="Times New Roman"/>
                <w:noProof/>
              </w:rPr>
            </w:pPr>
            <w:r>
              <w:rPr>
                <w:noProof/>
              </w:rPr>
              <w:t>I. Opre</w:t>
            </w:r>
            <w:r>
              <w:rPr>
                <w:noProof/>
              </w:rPr>
              <w:t>ma uredskih funkcija: stolovi, uredske stolice, uključujući za pacijente, zapisne ormariće, ormariće, višefunkcionalne pisače (s skenerom), računala/prijenosna računala s pristupom internetu, romobil/bicikl/ATV/električni automobil, ovisno o posebnostima l</w:t>
            </w:r>
            <w:r>
              <w:rPr>
                <w:noProof/>
              </w:rPr>
              <w:t>okalne zajednice i infrastrukture – najmanje jedno prijevozno sredstvo po centru zajednice, 24-satna funkcionalna internetska struktura za osiguravanje intervencija u telemedicini. Navedena prijevozna sredstva upotrebljavaju se samo za pružanje zdravstveni</w:t>
            </w:r>
            <w:r>
              <w:rPr>
                <w:noProof/>
              </w:rPr>
              <w:t xml:space="preserve">h usluga u udaljenim područjima. </w:t>
            </w:r>
          </w:p>
          <w:p w14:paraId="238A1B4E" w14:textId="77777777" w:rsidR="003F46B9" w:rsidRDefault="0065662E">
            <w:pPr>
              <w:pStyle w:val="P68B1DB1-Normal5"/>
              <w:spacing w:after="0" w:line="240" w:lineRule="auto"/>
              <w:jc w:val="both"/>
              <w:rPr>
                <w:rFonts w:cs="Times New Roman"/>
                <w:noProof/>
              </w:rPr>
            </w:pPr>
            <w:r>
              <w:rPr>
                <w:noProof/>
              </w:rPr>
              <w:t>II. Oprema za savjetovanje: konzultacijska sofa, ginekološka tablica ili sofa za savjetovanje koji sadržavaju potporu za porodničarske i ginekološke preglede, monitor krvnog tlaka, stetoskop, kompletni komplet za mikrokiru</w:t>
            </w:r>
            <w:r>
              <w:rPr>
                <w:noProof/>
              </w:rPr>
              <w:t xml:space="preserve">rgiju, hladnjak za organske proizvode, oprema za medicinsku analizu. </w:t>
            </w:r>
          </w:p>
          <w:p w14:paraId="04463BE2" w14:textId="77777777" w:rsidR="003F46B9" w:rsidRDefault="0065662E">
            <w:pPr>
              <w:pStyle w:val="P68B1DB1-Normal5"/>
              <w:spacing w:after="0" w:line="240" w:lineRule="auto"/>
              <w:jc w:val="both"/>
              <w:rPr>
                <w:rFonts w:cs="Times New Roman"/>
                <w:noProof/>
              </w:rPr>
            </w:pPr>
            <w:r>
              <w:rPr>
                <w:noProof/>
              </w:rPr>
              <w:t>III. Komplet za medicinsku pomoć (kao što su: stetoskopski sfigmomanometrij, fetalni stetoskop, pulsni oksidator, termometar za djecu i odrasle, jednokratni kirurški komplet, vage za doj</w:t>
            </w:r>
            <w:r>
              <w:rPr>
                <w:noProof/>
              </w:rPr>
              <w:t>enčad i odrasle osobe, bubrežni plašt, mini spremnik za otpad, brzi test na fetusnu membranu, PH papir, univerzalni ovratnik vrata maternice, medicinske potrepštine.);</w:t>
            </w:r>
          </w:p>
        </w:tc>
      </w:tr>
      <w:tr w:rsidR="003F46B9" w14:paraId="504C3B6F"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CEE0EF6" w14:textId="77777777" w:rsidR="003F46B9" w:rsidRDefault="0065662E">
            <w:pPr>
              <w:pStyle w:val="P68B1DB1-Normal5"/>
              <w:spacing w:after="0" w:line="240" w:lineRule="auto"/>
              <w:jc w:val="center"/>
              <w:rPr>
                <w:rFonts w:cs="Times New Roman"/>
                <w:noProof/>
              </w:rPr>
            </w:pPr>
            <w:r>
              <w:rPr>
                <w:noProof/>
              </w:rPr>
              <w:t>371</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3C0A232" w14:textId="7961FCD6"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01B4629"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15F5F3E" w14:textId="77777777" w:rsidR="003F46B9" w:rsidRDefault="0065662E">
            <w:pPr>
              <w:pStyle w:val="P68B1DB1-Normal5"/>
              <w:spacing w:after="0" w:line="240" w:lineRule="auto"/>
              <w:jc w:val="both"/>
              <w:rPr>
                <w:rFonts w:cs="Times New Roman"/>
                <w:noProof/>
              </w:rPr>
            </w:pPr>
            <w:r>
              <w:rPr>
                <w:noProof/>
              </w:rPr>
              <w:t xml:space="preserve">Zapostavljene </w:t>
            </w:r>
            <w:r>
              <w:rPr>
                <w:noProof/>
              </w:rPr>
              <w:t>zajednice, uključujući Rome, imaju pristup zdravstvenoj skrbi u zajednici</w:t>
            </w:r>
          </w:p>
          <w:p w14:paraId="72D5D13F" w14:textId="77777777" w:rsidR="003F46B9" w:rsidRDefault="003F46B9">
            <w:pPr>
              <w:spacing w:after="0" w:line="240" w:lineRule="auto"/>
              <w:jc w:val="both"/>
              <w:rPr>
                <w:rFonts w:ascii="Times New Roman" w:hAnsi="Times New Roman" w:cs="Times New Roman"/>
                <w:noProof/>
                <w:sz w:val="24"/>
              </w:rPr>
            </w:pP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FC94451"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4E9697"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CF3FD6A"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4DAE31" w14:textId="77777777" w:rsidR="003F46B9" w:rsidRDefault="0065662E">
            <w:pPr>
              <w:pStyle w:val="P68B1DB1-Normal5"/>
              <w:spacing w:after="0" w:line="240" w:lineRule="auto"/>
              <w:jc w:val="both"/>
              <w:rPr>
                <w:rFonts w:cs="Times New Roman"/>
                <w:noProof/>
              </w:rPr>
            </w:pPr>
            <w:r>
              <w:rPr>
                <w:noProof/>
              </w:rPr>
              <w:t>300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2049BF"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3B9E3D9"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D66F643" w14:textId="3B314ADE" w:rsidR="003F46B9" w:rsidRDefault="0065662E">
            <w:pPr>
              <w:pStyle w:val="P68B1DB1-Normal5"/>
              <w:spacing w:after="0" w:line="240" w:lineRule="auto"/>
              <w:jc w:val="both"/>
              <w:rPr>
                <w:rFonts w:cs="Times New Roman"/>
                <w:noProof/>
              </w:rPr>
            </w:pPr>
            <w:r>
              <w:rPr>
                <w:noProof/>
              </w:rPr>
              <w:t>Najmanje 300 marginaliziranih zajednica (kako je prethodno definirano u opisu ulaganja), uključujući zajednice s većinom romskog stanovništva ili romski</w:t>
            </w:r>
            <w:r>
              <w:rPr>
                <w:noProof/>
              </w:rPr>
              <w:t xml:space="preserve">h zajednica, imaju pristup zdravstvenim uslugama putem integriranih centara zajednice. </w:t>
            </w:r>
          </w:p>
          <w:p w14:paraId="220260E7" w14:textId="77777777" w:rsidR="003F46B9" w:rsidRDefault="0065662E">
            <w:pPr>
              <w:pStyle w:val="P68B1DB1-Normal5"/>
              <w:spacing w:after="0" w:line="240" w:lineRule="auto"/>
              <w:jc w:val="both"/>
              <w:rPr>
                <w:rFonts w:cs="Times New Roman"/>
                <w:noProof/>
              </w:rPr>
            </w:pPr>
            <w:r>
              <w:rPr>
                <w:noProof/>
              </w:rPr>
              <w:t>Od 300 mjesta koja će imati pristup zdravstvenoj skrbi u zajednici 250 ruralna su područja, a 50 mjesta iz urbanih područja.</w:t>
            </w:r>
          </w:p>
        </w:tc>
      </w:tr>
      <w:tr w:rsidR="003F46B9" w14:paraId="6039EE38"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1790F009" w14:textId="77777777" w:rsidR="003F46B9" w:rsidRDefault="0065662E">
            <w:pPr>
              <w:pStyle w:val="P68B1DB1-Normal5"/>
              <w:spacing w:after="0" w:line="240" w:lineRule="auto"/>
              <w:jc w:val="center"/>
              <w:rPr>
                <w:rFonts w:cs="Times New Roman"/>
                <w:noProof/>
              </w:rPr>
            </w:pPr>
            <w:r>
              <w:rPr>
                <w:noProof/>
              </w:rPr>
              <w:t>372</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E555386" w14:textId="53816520"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A7215BF"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5B9009A" w14:textId="77777777" w:rsidR="003F46B9" w:rsidRDefault="0065662E">
            <w:pPr>
              <w:pStyle w:val="P68B1DB1-Normal5"/>
              <w:spacing w:after="0" w:line="240" w:lineRule="auto"/>
              <w:jc w:val="both"/>
              <w:rPr>
                <w:rFonts w:cs="Times New Roman"/>
                <w:noProof/>
              </w:rPr>
            </w:pPr>
            <w:r>
              <w:rPr>
                <w:noProof/>
              </w:rPr>
              <w:t>Ormarići za planiranje obitelji opremljeni ili opremljeni i obnovljeni</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558E0F9"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BB7FCD"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D22E964"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F605600" w14:textId="0202B676" w:rsidR="003F46B9" w:rsidRDefault="0065662E">
            <w:pPr>
              <w:pStyle w:val="P68B1DB1-Normal5"/>
              <w:spacing w:after="0" w:line="240" w:lineRule="auto"/>
              <w:jc w:val="both"/>
              <w:rPr>
                <w:rFonts w:cs="Times New Roman"/>
                <w:noProof/>
              </w:rPr>
            </w:pPr>
            <w:r>
              <w:rPr>
                <w:noProof/>
              </w:rPr>
              <w:t>79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DD03271"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72BD6DF"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7DED6DE" w14:textId="3D1E8CEE" w:rsidR="003F46B9" w:rsidRDefault="0065662E">
            <w:pPr>
              <w:pStyle w:val="P68B1DB1-Normal5"/>
              <w:spacing w:after="0" w:line="240" w:lineRule="auto"/>
              <w:jc w:val="both"/>
              <w:rPr>
                <w:rFonts w:cs="Times New Roman"/>
                <w:noProof/>
              </w:rPr>
            </w:pPr>
            <w:r>
              <w:rPr>
                <w:noProof/>
              </w:rPr>
              <w:t xml:space="preserve">79 ormara za planiranje obitelji mora biti opremljeno i/ili rehabilitirano. </w:t>
            </w:r>
            <w:r>
              <w:rPr>
                <w:noProof/>
              </w:rPr>
              <w:t>Ormarići za planiranje obitelji podvrgavaju se rehabilitaciji i obnovi te imaju medicinsku laboratorijsku opremu i opremu za izradu slika.</w:t>
            </w:r>
          </w:p>
          <w:p w14:paraId="7AE5E2C7" w14:textId="77777777" w:rsidR="003F46B9" w:rsidRDefault="0065662E">
            <w:pPr>
              <w:pStyle w:val="P68B1DB1-Normal5"/>
              <w:spacing w:after="0" w:line="240" w:lineRule="auto"/>
              <w:jc w:val="both"/>
              <w:rPr>
                <w:rFonts w:cs="Times New Roman"/>
                <w:noProof/>
              </w:rPr>
            </w:pPr>
            <w:r>
              <w:rPr>
                <w:noProof/>
              </w:rPr>
              <w:t>Zdravstvene jedinice koje upravljaju uredima za planiranje obitelji imaju pristup financiranju i provedbu projekta. O</w:t>
            </w:r>
            <w:r>
              <w:rPr>
                <w:noProof/>
              </w:rPr>
              <w:t>bjekti također moraju biti opremljeni opremom (kao što su: točka skrbi i analizator – za spolno prenosive infekcije, ultrazvučni skener s ultraprenosivim ginekološkim sondi, mikroskopa, informatička oprema, hladnjak, prijevozna vozila (električni ili bicik</w:t>
            </w:r>
            <w:r>
              <w:rPr>
                <w:noProof/>
              </w:rPr>
              <w:t>li)).</w:t>
            </w:r>
          </w:p>
        </w:tc>
      </w:tr>
      <w:tr w:rsidR="003F46B9" w14:paraId="165BD8D3"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2974B2FC" w14:textId="77777777" w:rsidR="003F46B9" w:rsidRDefault="0065662E">
            <w:pPr>
              <w:pStyle w:val="P68B1DB1-Normal5"/>
              <w:spacing w:after="0" w:line="240" w:lineRule="auto"/>
              <w:jc w:val="center"/>
              <w:rPr>
                <w:rFonts w:cs="Times New Roman"/>
                <w:noProof/>
              </w:rPr>
            </w:pPr>
            <w:r>
              <w:rPr>
                <w:noProof/>
              </w:rPr>
              <w:t>373</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D0342D0" w14:textId="054B2115"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1271A88"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4317559" w14:textId="58116BEA" w:rsidR="003F46B9" w:rsidRDefault="0065662E">
            <w:pPr>
              <w:pStyle w:val="P68B1DB1-Normal5"/>
              <w:spacing w:after="0" w:line="240" w:lineRule="auto"/>
              <w:jc w:val="both"/>
              <w:rPr>
                <w:rFonts w:cs="Times New Roman"/>
                <w:noProof/>
              </w:rPr>
            </w:pPr>
            <w:r>
              <w:rPr>
                <w:noProof/>
              </w:rPr>
              <w:t>Smanjenje broja ruralnih zajednica koje ne poslužuje obiteljski liječnik</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86FBC0A"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18D8F5E"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EC1EAC7" w14:textId="77777777" w:rsidR="003F46B9" w:rsidRDefault="0065662E">
            <w:pPr>
              <w:pStyle w:val="P68B1DB1-Normal5"/>
              <w:spacing w:after="0" w:line="240" w:lineRule="auto"/>
              <w:jc w:val="both"/>
              <w:rPr>
                <w:rFonts w:cs="Times New Roman"/>
                <w:noProof/>
              </w:rPr>
            </w:pPr>
            <w:r>
              <w:rPr>
                <w:noProof/>
              </w:rPr>
              <w:t>168</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058C822" w14:textId="77777777" w:rsidR="003F46B9" w:rsidRDefault="0065662E">
            <w:pPr>
              <w:pStyle w:val="P68B1DB1-Normal5"/>
              <w:spacing w:after="0" w:line="240" w:lineRule="auto"/>
              <w:jc w:val="both"/>
              <w:rPr>
                <w:rFonts w:cs="Times New Roman"/>
                <w:noProof/>
              </w:rPr>
            </w:pPr>
            <w:r>
              <w:rPr>
                <w:noProof/>
              </w:rPr>
              <w:t>109</w:t>
            </w:r>
          </w:p>
          <w:p w14:paraId="0902934D" w14:textId="77777777" w:rsidR="003F46B9" w:rsidRDefault="003F46B9">
            <w:pPr>
              <w:spacing w:after="0" w:line="240" w:lineRule="auto"/>
              <w:jc w:val="both"/>
              <w:rPr>
                <w:rFonts w:ascii="Times New Roman" w:hAnsi="Times New Roman" w:cs="Times New Roman"/>
                <w:noProof/>
                <w:sz w:val="24"/>
              </w:rPr>
            </w:pPr>
          </w:p>
          <w:p w14:paraId="42D9A75F" w14:textId="77777777" w:rsidR="003F46B9" w:rsidRDefault="003F46B9">
            <w:pPr>
              <w:spacing w:before="120" w:after="120" w:line="240" w:lineRule="auto"/>
              <w:jc w:val="both"/>
              <w:rPr>
                <w:rFonts w:ascii="Times New Roman" w:hAnsi="Times New Roman" w:cs="Times New Roman"/>
                <w:noProof/>
                <w:sz w:val="24"/>
              </w:rPr>
            </w:pP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2F6BC68"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EA6B3E7" w14:textId="77777777" w:rsidR="003F46B9" w:rsidRDefault="0065662E">
            <w:pPr>
              <w:pStyle w:val="P68B1DB1-Normal5"/>
              <w:spacing w:after="0" w:line="240" w:lineRule="auto"/>
              <w:jc w:val="both"/>
              <w:rPr>
                <w:rFonts w:cs="Times New Roman"/>
                <w:noProof/>
              </w:rPr>
            </w:pPr>
            <w:r>
              <w:rPr>
                <w:noProof/>
              </w:rPr>
              <w:t>2025</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C5081C2" w14:textId="558119DE" w:rsidR="003F46B9" w:rsidRDefault="0065662E">
            <w:pPr>
              <w:pStyle w:val="P68B1DB1-Normal5"/>
              <w:spacing w:after="0" w:line="240" w:lineRule="auto"/>
              <w:jc w:val="both"/>
              <w:rPr>
                <w:rFonts w:cs="Times New Roman"/>
                <w:noProof/>
              </w:rPr>
            </w:pPr>
            <w:r>
              <w:rPr>
                <w:noProof/>
              </w:rPr>
              <w:t xml:space="preserve">Smanjenje broja ruralnih zajednica kojima ne pripada obiteljski liječnik </w:t>
            </w:r>
            <w:r>
              <w:rPr>
                <w:noProof/>
              </w:rPr>
              <w:t xml:space="preserve">za 35 % (s 168 na 109) u odnosu na veljaču 2021. Te zajednice, gdje je to moguće, uključuju zajednice s romskim stanovništvom.    </w:t>
            </w:r>
          </w:p>
          <w:p w14:paraId="578EA4F9" w14:textId="3D813F24" w:rsidR="003F46B9" w:rsidRDefault="0065662E">
            <w:pPr>
              <w:pStyle w:val="P68B1DB1-Normal5"/>
              <w:spacing w:after="0" w:line="240" w:lineRule="auto"/>
              <w:jc w:val="both"/>
              <w:rPr>
                <w:rFonts w:cs="Times New Roman"/>
                <w:noProof/>
              </w:rPr>
            </w:pPr>
            <w:r>
              <w:rPr>
                <w:noProof/>
              </w:rPr>
              <w:t xml:space="preserve">Planira se da će ulaganja usmjerena na pretbolničku medicinsku infrastrukturu obuhvatiti 2000 kabineta liječnika opće prakse </w:t>
            </w:r>
            <w:r>
              <w:rPr>
                <w:noProof/>
              </w:rPr>
              <w:t xml:space="preserve">i 200 integriranih društvenih centara, što zajedno čini oko 35 % broja aktivnih liječnika opće prakse u Rumunjskoj (u vezi s ciljem smanjenja od 35 % u zajednicama bez liječnika opće prakse). </w:t>
            </w:r>
          </w:p>
        </w:tc>
      </w:tr>
      <w:tr w:rsidR="003F46B9" w14:paraId="3F637F66"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5C99CD80" w14:textId="77777777" w:rsidR="003F46B9" w:rsidRDefault="0065662E">
            <w:pPr>
              <w:pStyle w:val="P68B1DB1-Normal5"/>
              <w:spacing w:after="0" w:line="240" w:lineRule="auto"/>
              <w:jc w:val="center"/>
              <w:rPr>
                <w:rFonts w:cs="Times New Roman"/>
                <w:noProof/>
              </w:rPr>
            </w:pPr>
            <w:r>
              <w:rPr>
                <w:noProof/>
              </w:rPr>
              <w:t>374</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36D7FD8" w14:textId="6C1D7478" w:rsidR="003F46B9" w:rsidRDefault="0065662E">
            <w:pPr>
              <w:pStyle w:val="P68B1DB1-Normal5"/>
              <w:spacing w:after="0" w:line="240" w:lineRule="auto"/>
              <w:jc w:val="both"/>
              <w:rPr>
                <w:rFonts w:cs="Times New Roman"/>
                <w:noProof/>
              </w:rPr>
            </w:pPr>
            <w:r>
              <w:rPr>
                <w:noProof/>
              </w:rPr>
              <w:t xml:space="preserve">Ulaganje 1. Razvoj pretbolničke medicinske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ACE3ADD"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4B50F60" w14:textId="77777777" w:rsidR="003F46B9" w:rsidRDefault="0065662E">
            <w:pPr>
              <w:pStyle w:val="P68B1DB1-Normal5"/>
              <w:spacing w:after="0" w:line="240" w:lineRule="auto"/>
              <w:jc w:val="both"/>
              <w:rPr>
                <w:rFonts w:cs="Times New Roman"/>
                <w:noProof/>
              </w:rPr>
            </w:pPr>
            <w:r>
              <w:rPr>
                <w:noProof/>
              </w:rPr>
              <w:t>Povećanje broja preventivnih savjetovanja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11B7652"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596F438"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B23C650" w14:textId="77777777" w:rsidR="003F46B9" w:rsidRDefault="0065662E">
            <w:pPr>
              <w:pStyle w:val="P68B1DB1-Normal5"/>
              <w:spacing w:after="0" w:line="240" w:lineRule="auto"/>
              <w:jc w:val="both"/>
              <w:rPr>
                <w:rFonts w:cs="Times New Roman"/>
                <w:noProof/>
              </w:rPr>
            </w:pPr>
            <w:r>
              <w:rPr>
                <w:noProof/>
              </w:rPr>
              <w:t>1 100 000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7BA6DA" w14:textId="77777777" w:rsidR="003F46B9" w:rsidRDefault="0065662E">
            <w:pPr>
              <w:pStyle w:val="P68B1DB1-Normal5"/>
              <w:spacing w:after="0" w:line="240" w:lineRule="auto"/>
              <w:jc w:val="both"/>
              <w:rPr>
                <w:rFonts w:cs="Times New Roman"/>
                <w:noProof/>
              </w:rPr>
            </w:pPr>
            <w:r>
              <w:rPr>
                <w:noProof/>
              </w:rPr>
              <w:t xml:space="preserve"> 1 265 000</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0BCF774"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C6DD329"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C4ACAAD" w14:textId="77777777" w:rsidR="003F46B9" w:rsidRDefault="0065662E">
            <w:pPr>
              <w:pStyle w:val="P68B1DB1-Normal5"/>
              <w:spacing w:after="0" w:line="240" w:lineRule="auto"/>
              <w:jc w:val="both"/>
              <w:rPr>
                <w:rFonts w:cs="Times New Roman"/>
                <w:noProof/>
              </w:rPr>
            </w:pPr>
            <w:r>
              <w:rPr>
                <w:noProof/>
              </w:rPr>
              <w:t xml:space="preserve">Povećanje broja preventivnih savjetovanja za 15 %, počevši od kalendarske godine koja slijedi nakon procijenjenog razdoblja za dovršetak predloženih ulaganja u </w:t>
            </w:r>
            <w:r>
              <w:rPr>
                <w:noProof/>
              </w:rPr>
              <w:t>medicinske prakse i udruženja obiteljskih medicinskih praksi (tj. od 30. lipnja 2024.).</w:t>
            </w:r>
          </w:p>
          <w:p w14:paraId="6C4E1ABF" w14:textId="77777777" w:rsidR="003F46B9" w:rsidRDefault="0065662E">
            <w:pPr>
              <w:pStyle w:val="P68B1DB1-Normal5"/>
              <w:spacing w:after="0" w:line="240" w:lineRule="auto"/>
              <w:jc w:val="both"/>
              <w:rPr>
                <w:rFonts w:cs="Times New Roman"/>
                <w:noProof/>
              </w:rPr>
            </w:pPr>
            <w:r>
              <w:rPr>
                <w:noProof/>
              </w:rPr>
              <w:t>Ukupan broj preventivnih savjetovanja koja treba provesti u razdoblju od 1. srpnja 2023. do 30. lipnja 2024. trebao bi se povećati za 15 % u odnosu na podatke iz 2019.</w:t>
            </w:r>
          </w:p>
          <w:p w14:paraId="0B6511AB" w14:textId="77777777" w:rsidR="003F46B9" w:rsidRDefault="0065662E">
            <w:pPr>
              <w:pStyle w:val="P68B1DB1-Normal5"/>
              <w:spacing w:after="0" w:line="240" w:lineRule="auto"/>
              <w:jc w:val="both"/>
              <w:rPr>
                <w:rFonts w:cs="Times New Roman"/>
                <w:noProof/>
              </w:rPr>
            </w:pPr>
            <w:r>
              <w:rPr>
                <w:noProof/>
              </w:rPr>
              <w:t>Cilj od 15 % utvrđen je na temelju savjetovanja o preventivnoj skrbi provedenih 2019. (oko 1100000). Postotno povećanje utvrđeno je kao otprilike polovina udjela liječnika opće prakse i integriranih centara zajednice koji podliježu obnovi. Točnije, najmanj</w:t>
            </w:r>
            <w:r>
              <w:rPr>
                <w:noProof/>
              </w:rPr>
              <w:t>e 35 % kabineta predškolskih djelatnika koristit će potporu u okviru Mehanizma za oporavak i otpornost, što je povezano s povećanjem broja usluga od 15 %.</w:t>
            </w:r>
          </w:p>
        </w:tc>
      </w:tr>
      <w:tr w:rsidR="003F46B9" w14:paraId="4B38E6E1"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71B4152" w14:textId="77777777" w:rsidR="003F46B9" w:rsidRDefault="0065662E">
            <w:pPr>
              <w:pStyle w:val="P68B1DB1-Normal5"/>
              <w:spacing w:after="0" w:line="240" w:lineRule="auto"/>
              <w:jc w:val="center"/>
              <w:rPr>
                <w:rFonts w:cs="Times New Roman"/>
                <w:noProof/>
              </w:rPr>
            </w:pPr>
            <w:r>
              <w:rPr>
                <w:noProof/>
              </w:rPr>
              <w:t>375</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BA5DBC1" w14:textId="387BF495" w:rsidR="003F46B9" w:rsidRDefault="0065662E">
            <w:pPr>
              <w:pStyle w:val="P68B1DB1-Normal5"/>
              <w:spacing w:after="0" w:line="240" w:lineRule="auto"/>
              <w:jc w:val="both"/>
              <w:rPr>
                <w:rFonts w:cs="Times New Roman"/>
                <w:noProof/>
              </w:rPr>
            </w:pPr>
            <w:r>
              <w:rPr>
                <w:noProof/>
              </w:rPr>
              <w:t xml:space="preserve">Ulaganje 2. Razvoj javne bolničke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4EC4358"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6E064B4" w14:textId="77777777" w:rsidR="003F46B9" w:rsidRDefault="0065662E">
            <w:pPr>
              <w:pStyle w:val="P68B1DB1-Normal5"/>
              <w:spacing w:after="0" w:line="240" w:lineRule="auto"/>
              <w:jc w:val="both"/>
              <w:rPr>
                <w:rFonts w:cs="Times New Roman"/>
                <w:noProof/>
              </w:rPr>
            </w:pPr>
            <w:r>
              <w:rPr>
                <w:noProof/>
              </w:rPr>
              <w:t xml:space="preserve">Javne bolnice koje imaju koristi od </w:t>
            </w:r>
            <w:r>
              <w:rPr>
                <w:noProof/>
              </w:rPr>
              <w:t>opreme i materijala za smanjenje rizika od infekcija</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843025"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F37E4B7"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E4E222F"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825FE1" w14:textId="77777777" w:rsidR="003F46B9" w:rsidRDefault="0065662E">
            <w:pPr>
              <w:pStyle w:val="P68B1DB1-Normal5"/>
              <w:spacing w:after="0" w:line="240" w:lineRule="auto"/>
              <w:jc w:val="both"/>
              <w:rPr>
                <w:rFonts w:cs="Times New Roman"/>
                <w:noProof/>
              </w:rPr>
            </w:pPr>
            <w:r>
              <w:rPr>
                <w:noProof/>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2A52FC8"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626B4A5"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ECDF21" w14:textId="6D12026F" w:rsidR="003F46B9" w:rsidRDefault="0065662E">
            <w:pPr>
              <w:pStyle w:val="P68B1DB1-Normal5"/>
              <w:spacing w:after="0" w:line="240" w:lineRule="auto"/>
              <w:jc w:val="both"/>
              <w:rPr>
                <w:rFonts w:cs="Times New Roman"/>
                <w:noProof/>
              </w:rPr>
            </w:pPr>
            <w:r>
              <w:rPr>
                <w:noProof/>
              </w:rPr>
              <w:t xml:space="preserve">Najmanje 25 javnih bolnica mora imati na raspolaganju opremu i materijale koji pomažu smanjiti rizik od bolničkih infekcija, kao što je oprema za mikrobiološku kontrolu zraka </w:t>
            </w:r>
            <w:r>
              <w:rPr>
                <w:noProof/>
              </w:rPr>
              <w:t xml:space="preserve">u operativnim blokovima i jedinicama intenzivne njege putem posebnih uređaja za klimatizaciju te objekata za dezinfekciju medicinskog osoblja (kao što su: oprema za dekontaminaciju okoliša, sterilizacija, posude za otpad). </w:t>
            </w:r>
          </w:p>
        </w:tc>
      </w:tr>
      <w:tr w:rsidR="003F46B9" w14:paraId="01A99B56"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0FE232C" w14:textId="77777777" w:rsidR="003F46B9" w:rsidRDefault="0065662E">
            <w:pPr>
              <w:pStyle w:val="P68B1DB1-Normal5"/>
              <w:spacing w:after="0" w:line="240" w:lineRule="auto"/>
              <w:jc w:val="center"/>
              <w:rPr>
                <w:rFonts w:cs="Times New Roman"/>
                <w:noProof/>
              </w:rPr>
            </w:pPr>
            <w:r>
              <w:rPr>
                <w:noProof/>
              </w:rPr>
              <w:t>376</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83C3C" w14:textId="19AD76CB" w:rsidR="003F46B9" w:rsidRDefault="0065662E">
            <w:pPr>
              <w:pStyle w:val="P68B1DB1-Normal5"/>
              <w:spacing w:after="0" w:line="240" w:lineRule="auto"/>
              <w:jc w:val="both"/>
              <w:rPr>
                <w:rFonts w:cs="Times New Roman"/>
                <w:noProof/>
              </w:rPr>
            </w:pPr>
            <w:r>
              <w:rPr>
                <w:noProof/>
              </w:rPr>
              <w:t xml:space="preserve">Ulaganje 2. Razvoj javne bolničke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3B4B76D4"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91A8339" w14:textId="77777777" w:rsidR="003F46B9" w:rsidRDefault="0065662E">
            <w:pPr>
              <w:pStyle w:val="P68B1DB1-Normal5"/>
              <w:spacing w:after="0" w:line="240" w:lineRule="auto"/>
              <w:jc w:val="both"/>
              <w:rPr>
                <w:rFonts w:cs="Times New Roman"/>
                <w:noProof/>
              </w:rPr>
            </w:pPr>
            <w:r>
              <w:rPr>
                <w:noProof/>
              </w:rPr>
              <w:t xml:space="preserve">Opremljene jedinice intenzivne njege novorođenčadi, uključujući vozila hitne pomoći novorođenčadi (za regionalne centre)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929043C"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5946C87"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A14651E"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B77DCDB" w14:textId="77777777" w:rsidR="003F46B9" w:rsidRDefault="0065662E">
            <w:pPr>
              <w:pStyle w:val="P68B1DB1-Normal5"/>
              <w:spacing w:after="0" w:line="240" w:lineRule="auto"/>
              <w:jc w:val="both"/>
              <w:rPr>
                <w:rFonts w:cs="Times New Roman"/>
                <w:noProof/>
              </w:rPr>
            </w:pPr>
            <w:r>
              <w:rPr>
                <w:noProof/>
              </w:rPr>
              <w:t>25</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06096CC" w14:textId="77777777" w:rsidR="003F46B9" w:rsidRDefault="0065662E">
            <w:pPr>
              <w:pStyle w:val="P68B1DB1-Normal5"/>
              <w:spacing w:after="0" w:line="240" w:lineRule="auto"/>
              <w:jc w:val="both"/>
              <w:rPr>
                <w:rFonts w:cs="Times New Roman"/>
                <w:noProof/>
              </w:rPr>
            </w:pPr>
            <w:r>
              <w:rPr>
                <w:noProof/>
              </w:rPr>
              <w:t>ČETVRTO 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485F6C3" w14:textId="77777777" w:rsidR="003F46B9" w:rsidRDefault="0065662E">
            <w:pPr>
              <w:pStyle w:val="P68B1DB1-Normal5"/>
              <w:spacing w:after="0" w:line="240" w:lineRule="auto"/>
              <w:jc w:val="both"/>
              <w:rPr>
                <w:rFonts w:cs="Times New Roman"/>
                <w:noProof/>
              </w:rPr>
            </w:pPr>
            <w:r>
              <w:rPr>
                <w:noProof/>
              </w:rPr>
              <w:t>2024</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2586AD6" w14:textId="77777777" w:rsidR="003F46B9" w:rsidRDefault="0065662E">
            <w:pPr>
              <w:pStyle w:val="P68B1DB1-Normal5"/>
              <w:spacing w:after="0" w:line="240" w:lineRule="auto"/>
              <w:jc w:val="both"/>
              <w:rPr>
                <w:rFonts w:cs="Times New Roman"/>
                <w:noProof/>
              </w:rPr>
            </w:pPr>
            <w:r>
              <w:rPr>
                <w:noProof/>
              </w:rPr>
              <w:t xml:space="preserve">25 jedinica intenzivne njege koristit će ulaganja u neonatalnu kritičnu infrastrukturu pacijenata za ranu dijagnozu, prenatalno/neonatalno i postnatalno liječenje. </w:t>
            </w:r>
          </w:p>
          <w:p w14:paraId="55075EF8" w14:textId="77777777" w:rsidR="003F46B9" w:rsidRDefault="0065662E">
            <w:pPr>
              <w:pStyle w:val="P68B1DB1-Normal5"/>
              <w:spacing w:after="0" w:line="240" w:lineRule="auto"/>
              <w:jc w:val="both"/>
              <w:rPr>
                <w:rFonts w:cs="Times New Roman"/>
                <w:noProof/>
              </w:rPr>
            </w:pPr>
            <w:r>
              <w:rPr>
                <w:noProof/>
              </w:rPr>
              <w:t>Ulaganje se sastoji od:</w:t>
            </w:r>
          </w:p>
          <w:p w14:paraId="16D33806" w14:textId="77777777" w:rsidR="003F46B9" w:rsidRDefault="0065662E">
            <w:pPr>
              <w:pStyle w:val="P68B1DB1-Normal5"/>
              <w:spacing w:after="0" w:line="240" w:lineRule="auto"/>
              <w:jc w:val="both"/>
              <w:rPr>
                <w:rFonts w:cs="Times New Roman"/>
                <w:noProof/>
              </w:rPr>
            </w:pPr>
            <w:r>
              <w:rPr>
                <w:noProof/>
              </w:rPr>
              <w:t>— proširenje kapaciteta bolničke infrastrukture namijenjene neonata</w:t>
            </w:r>
            <w:r>
              <w:rPr>
                <w:noProof/>
              </w:rPr>
              <w:t>lnim kritičnim pacijentima i. sa 124 dodatna kreveta, uključujući povezanu infrastrukturu i opremu; opremanje 90 postojećih kreveta odgovarajućom medicinskom opremom</w:t>
            </w:r>
          </w:p>
          <w:p w14:paraId="4018EF2F" w14:textId="77777777" w:rsidR="003F46B9" w:rsidRDefault="0065662E">
            <w:pPr>
              <w:pStyle w:val="P68B1DB1-Normal5"/>
              <w:spacing w:after="0" w:line="240" w:lineRule="auto"/>
              <w:jc w:val="both"/>
              <w:rPr>
                <w:rFonts w:cs="Times New Roman"/>
                <w:noProof/>
              </w:rPr>
            </w:pPr>
            <w:r>
              <w:rPr>
                <w:noProof/>
              </w:rPr>
              <w:t>—poboljšanje programa probira opremanjem postojeće infrastrukture: miješalica zraka i kisi</w:t>
            </w:r>
            <w:r>
              <w:rPr>
                <w:noProof/>
              </w:rPr>
              <w:t xml:space="preserve">ka za dostavnu prostoriju i za cestovni presjek, monitor SN, monitor SOC, ventilator za prijenos s 21 – 100 % podesivim FiO2, transportni inkubator, laserski uređaj, brtve-kam, neizravni oftalmoskop, uključujući instrumente </w:t>
            </w:r>
          </w:p>
          <w:p w14:paraId="179CAFF9" w14:textId="77777777" w:rsidR="003F46B9" w:rsidRDefault="0065662E">
            <w:pPr>
              <w:pStyle w:val="P68B1DB1-Normal5"/>
              <w:spacing w:after="0" w:line="240" w:lineRule="auto"/>
              <w:jc w:val="both"/>
              <w:rPr>
                <w:rFonts w:cs="Times New Roman"/>
                <w:noProof/>
              </w:rPr>
            </w:pPr>
            <w:r>
              <w:rPr>
                <w:noProof/>
              </w:rPr>
              <w:t xml:space="preserve">nabava 12 mobilnih neonatalnih </w:t>
            </w:r>
            <w:r>
              <w:rPr>
                <w:noProof/>
              </w:rPr>
              <w:t xml:space="preserve">jedinica intenzivne njege (3. razina) </w:t>
            </w:r>
          </w:p>
          <w:p w14:paraId="7117AB63" w14:textId="77777777" w:rsidR="003F46B9" w:rsidRDefault="0065662E">
            <w:pPr>
              <w:pStyle w:val="P68B1DB1-Normal5"/>
              <w:spacing w:after="0" w:line="240" w:lineRule="auto"/>
              <w:jc w:val="both"/>
              <w:rPr>
                <w:rFonts w:cs="Times New Roman"/>
                <w:noProof/>
              </w:rPr>
            </w:pPr>
            <w:r>
              <w:rPr>
                <w:noProof/>
              </w:rPr>
              <w:t>—izgradnja i opremanje osam regionalnih centara za osposobljavanje (svaki od 100 kvadratnih metara) za kritične neonatalne pacijente.</w:t>
            </w:r>
          </w:p>
          <w:p w14:paraId="3416DD31" w14:textId="77777777" w:rsidR="003F46B9" w:rsidRDefault="0065662E">
            <w:pPr>
              <w:pStyle w:val="P68B1DB1-Normal5"/>
              <w:spacing w:after="0" w:line="240" w:lineRule="auto"/>
              <w:jc w:val="both"/>
              <w:rPr>
                <w:rFonts w:cs="Times New Roman"/>
                <w:noProof/>
              </w:rPr>
            </w:pPr>
            <w:r>
              <w:rPr>
                <w:noProof/>
              </w:rPr>
              <w:t xml:space="preserve">Oprema za centre za osposobljavanje sastoji se od: </w:t>
            </w:r>
          </w:p>
          <w:p w14:paraId="6C306DC0" w14:textId="77777777" w:rsidR="003F46B9" w:rsidRDefault="0065662E">
            <w:pPr>
              <w:pStyle w:val="P68B1DB1-Normal5"/>
              <w:spacing w:after="0" w:line="240" w:lineRule="auto"/>
              <w:jc w:val="both"/>
              <w:rPr>
                <w:rFonts w:cs="Times New Roman"/>
                <w:noProof/>
              </w:rPr>
            </w:pPr>
            <w:r>
              <w:rPr>
                <w:noProof/>
              </w:rPr>
              <w:t>manne i didaktički simulatori p</w:t>
            </w:r>
            <w:r>
              <w:rPr>
                <w:noProof/>
              </w:rPr>
              <w:t>otrebni u programima osposobljavanja, kao što je složeni simulator, s više modula za scenarije mehaničke ventilacije, simulator ultrazvučnog srca, virtualni haptički simulator, za endoskopiju i kolonoskopiju;</w:t>
            </w:r>
          </w:p>
          <w:p w14:paraId="18EF4D7F" w14:textId="77777777" w:rsidR="003F46B9" w:rsidRDefault="0065662E">
            <w:pPr>
              <w:pStyle w:val="P68B1DB1-Normal5"/>
              <w:spacing w:after="0" w:line="240" w:lineRule="auto"/>
              <w:jc w:val="both"/>
              <w:rPr>
                <w:rFonts w:cs="Times New Roman"/>
                <w:noProof/>
              </w:rPr>
            </w:pPr>
            <w:r>
              <w:rPr>
                <w:noProof/>
              </w:rPr>
              <w:t>simulator za bronhoskopiju na temelju virtualne</w:t>
            </w:r>
            <w:r>
              <w:rPr>
                <w:noProof/>
              </w:rPr>
              <w:t xml:space="preserve"> stvarnosti, simulator ECMO-a;</w:t>
            </w:r>
          </w:p>
          <w:p w14:paraId="2F7CC699" w14:textId="77777777" w:rsidR="003F46B9" w:rsidRDefault="0065662E">
            <w:pPr>
              <w:pStyle w:val="P68B1DB1-Normal5"/>
              <w:spacing w:after="0" w:line="240" w:lineRule="auto"/>
              <w:jc w:val="both"/>
              <w:rPr>
                <w:rFonts w:cs="Times New Roman"/>
                <w:noProof/>
              </w:rPr>
            </w:pPr>
            <w:r>
              <w:rPr>
                <w:noProof/>
              </w:rPr>
              <w:t>—napredni simulator za hitne slučajeve i model oživljavanja novorođenih prirođenih prirođenih anomalija,</w:t>
            </w:r>
          </w:p>
          <w:p w14:paraId="60DB9DAB" w14:textId="77777777" w:rsidR="003F46B9" w:rsidRDefault="0065662E">
            <w:pPr>
              <w:pStyle w:val="P68B1DB1-Normal5"/>
              <w:spacing w:after="0" w:line="240" w:lineRule="auto"/>
              <w:jc w:val="both"/>
              <w:rPr>
                <w:rFonts w:cs="Times New Roman"/>
                <w:noProof/>
              </w:rPr>
            </w:pPr>
            <w:r>
              <w:rPr>
                <w:noProof/>
              </w:rPr>
              <w:t xml:space="preserve">—mehanička ventilacijska mannekvina. </w:t>
            </w:r>
          </w:p>
          <w:p w14:paraId="643C8AE7" w14:textId="77777777" w:rsidR="003F46B9" w:rsidRDefault="0065662E">
            <w:pPr>
              <w:pStyle w:val="P68B1DB1-Normal5"/>
              <w:spacing w:after="0" w:line="240" w:lineRule="auto"/>
              <w:jc w:val="both"/>
              <w:rPr>
                <w:rFonts w:cs="Times New Roman"/>
                <w:noProof/>
              </w:rPr>
            </w:pPr>
            <w:r>
              <w:rPr>
                <w:noProof/>
              </w:rPr>
              <w:t>Time će se povećati postotak novorođenčadi s kritičnim stanjima koji imaju pristup</w:t>
            </w:r>
            <w:r>
              <w:rPr>
                <w:noProof/>
              </w:rPr>
              <w:t xml:space="preserve"> odgovarajućoj zdravstvenoj skrbi sa 64 % na 83 % (procijenjeno poboljšanje za 30 % u odnosu na trenutačnu situaciju).</w:t>
            </w:r>
          </w:p>
        </w:tc>
      </w:tr>
      <w:tr w:rsidR="003F46B9" w14:paraId="52451ED3" w14:textId="77777777">
        <w:trPr>
          <w:trHeight w:val="309"/>
          <w:jc w:val="center"/>
        </w:trPr>
        <w:tc>
          <w:tcPr>
            <w:tcW w:w="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EFCE"/>
            <w:noWrap/>
          </w:tcPr>
          <w:p w14:paraId="62B8D66E" w14:textId="77777777" w:rsidR="003F46B9" w:rsidRDefault="0065662E">
            <w:pPr>
              <w:pStyle w:val="P68B1DB1-Normal5"/>
              <w:spacing w:after="0" w:line="240" w:lineRule="auto"/>
              <w:jc w:val="center"/>
              <w:rPr>
                <w:rFonts w:cs="Times New Roman"/>
                <w:noProof/>
              </w:rPr>
            </w:pPr>
            <w:r>
              <w:rPr>
                <w:noProof/>
              </w:rPr>
              <w:t>377</w:t>
            </w:r>
          </w:p>
        </w:tc>
        <w:tc>
          <w:tcPr>
            <w:tcW w:w="1656"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68072FE6" w14:textId="23FCA1A1" w:rsidR="003F46B9" w:rsidRDefault="0065662E">
            <w:pPr>
              <w:pStyle w:val="P68B1DB1-Normal5"/>
              <w:spacing w:after="0" w:line="240" w:lineRule="auto"/>
              <w:jc w:val="both"/>
              <w:rPr>
                <w:rFonts w:cs="Times New Roman"/>
                <w:noProof/>
              </w:rPr>
            </w:pPr>
            <w:r>
              <w:rPr>
                <w:noProof/>
              </w:rPr>
              <w:t xml:space="preserve">Ulaganje 2. Razvoj javne bolničke infrastrukture </w:t>
            </w:r>
          </w:p>
        </w:tc>
        <w:tc>
          <w:tcPr>
            <w:tcW w:w="112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76C56C1C" w14:textId="77777777" w:rsidR="003F46B9" w:rsidRDefault="0065662E">
            <w:pPr>
              <w:pStyle w:val="P68B1DB1-Normal5"/>
              <w:spacing w:after="0" w:line="240" w:lineRule="auto"/>
              <w:jc w:val="both"/>
              <w:rPr>
                <w:rFonts w:cs="Times New Roman"/>
                <w:noProof/>
              </w:rPr>
            </w:pPr>
            <w:r>
              <w:rPr>
                <w:noProof/>
              </w:rPr>
              <w:t>Ciljna</w:t>
            </w:r>
          </w:p>
        </w:tc>
        <w:tc>
          <w:tcPr>
            <w:tcW w:w="1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0ED15B0C" w14:textId="77777777" w:rsidR="003F46B9" w:rsidRDefault="0065662E">
            <w:pPr>
              <w:pStyle w:val="P68B1DB1-Normal5"/>
              <w:spacing w:after="0" w:line="240" w:lineRule="auto"/>
              <w:jc w:val="both"/>
              <w:rPr>
                <w:rFonts w:cs="Times New Roman"/>
                <w:noProof/>
              </w:rPr>
            </w:pPr>
            <w:r>
              <w:rPr>
                <w:noProof/>
              </w:rPr>
              <w:t xml:space="preserve">Izgradnja i/ili opremanje novih javnozdravstvenih jedinica/bolnica </w:t>
            </w:r>
          </w:p>
        </w:tc>
        <w:tc>
          <w:tcPr>
            <w:tcW w:w="2104"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09E8BFE" w14:textId="77777777" w:rsidR="003F46B9" w:rsidRDefault="003F46B9">
            <w:pPr>
              <w:spacing w:after="0" w:line="240" w:lineRule="auto"/>
              <w:jc w:val="both"/>
              <w:rPr>
                <w:rFonts w:ascii="Times New Roman" w:hAnsi="Times New Roman" w:cs="Times New Roman"/>
                <w:noProof/>
                <w:sz w:val="24"/>
              </w:rPr>
            </w:pPr>
          </w:p>
        </w:tc>
        <w:tc>
          <w:tcPr>
            <w:tcW w:w="1180"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2D6D3E54" w14:textId="77777777" w:rsidR="003F46B9" w:rsidRDefault="0065662E">
            <w:pPr>
              <w:pStyle w:val="P68B1DB1-Normal5"/>
              <w:spacing w:after="0" w:line="240" w:lineRule="auto"/>
              <w:jc w:val="both"/>
              <w:rPr>
                <w:rFonts w:cs="Times New Roman"/>
                <w:noProof/>
              </w:rPr>
            </w:pPr>
            <w:r>
              <w:rPr>
                <w:noProof/>
              </w:rPr>
              <w:t>Broj</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2FCF90D" w14:textId="77777777" w:rsidR="003F46B9" w:rsidRDefault="0065662E">
            <w:pPr>
              <w:pStyle w:val="P68B1DB1-Normal5"/>
              <w:spacing w:after="0" w:line="240" w:lineRule="auto"/>
              <w:jc w:val="both"/>
              <w:rPr>
                <w:rFonts w:cs="Times New Roman"/>
                <w:noProof/>
              </w:rPr>
            </w:pPr>
            <w:r>
              <w:rPr>
                <w:noProof/>
              </w:rPr>
              <w:t>0</w:t>
            </w:r>
          </w:p>
        </w:tc>
        <w:tc>
          <w:tcPr>
            <w:tcW w:w="797"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4DEB4E13" w14:textId="721997AE" w:rsidR="003F46B9" w:rsidRDefault="0065662E">
            <w:pPr>
              <w:pStyle w:val="P68B1DB1-Normal5"/>
              <w:spacing w:after="0" w:line="240" w:lineRule="auto"/>
              <w:jc w:val="both"/>
              <w:rPr>
                <w:rFonts w:cs="Times New Roman"/>
                <w:noProof/>
              </w:rPr>
            </w:pPr>
            <w:r>
              <w:rPr>
                <w:noProof/>
              </w:rPr>
              <w:t>19</w:t>
            </w:r>
          </w:p>
        </w:tc>
        <w:tc>
          <w:tcPr>
            <w:tcW w:w="982"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71F0D63" w14:textId="77777777" w:rsidR="003F46B9" w:rsidRDefault="0065662E">
            <w:pPr>
              <w:pStyle w:val="P68B1DB1-Normal5"/>
              <w:spacing w:after="0" w:line="240" w:lineRule="auto"/>
              <w:jc w:val="both"/>
              <w:rPr>
                <w:rFonts w:cs="Times New Roman"/>
                <w:noProof/>
              </w:rPr>
            </w:pPr>
            <w:r>
              <w:rPr>
                <w:noProof/>
              </w:rPr>
              <w:t>TROMJESEČJE</w:t>
            </w:r>
          </w:p>
        </w:tc>
        <w:tc>
          <w:tcPr>
            <w:tcW w:w="773"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5D516AAD" w14:textId="77777777" w:rsidR="003F46B9" w:rsidRDefault="0065662E">
            <w:pPr>
              <w:pStyle w:val="P68B1DB1-Normal5"/>
              <w:spacing w:after="0" w:line="240" w:lineRule="auto"/>
              <w:jc w:val="both"/>
              <w:rPr>
                <w:rFonts w:cs="Times New Roman"/>
                <w:noProof/>
              </w:rPr>
            </w:pPr>
            <w:r>
              <w:rPr>
                <w:noProof/>
              </w:rPr>
              <w:t>2026</w:t>
            </w:r>
          </w:p>
        </w:tc>
        <w:tc>
          <w:tcPr>
            <w:tcW w:w="3548" w:type="dxa"/>
            <w:tcBorders>
              <w:top w:val="single" w:sz="4" w:space="0" w:color="000000" w:themeColor="text1"/>
              <w:left w:val="nil"/>
              <w:bottom w:val="single" w:sz="4" w:space="0" w:color="000000" w:themeColor="text1"/>
              <w:right w:val="single" w:sz="4" w:space="0" w:color="000000" w:themeColor="text1"/>
            </w:tcBorders>
            <w:shd w:val="clear" w:color="auto" w:fill="C6EFCE"/>
            <w:noWrap/>
          </w:tcPr>
          <w:p w14:paraId="17765547" w14:textId="725330CF" w:rsidR="003F46B9" w:rsidRDefault="0065662E">
            <w:pPr>
              <w:pStyle w:val="P68B1DB1-Normal5"/>
              <w:spacing w:after="0" w:line="240" w:lineRule="auto"/>
              <w:jc w:val="both"/>
              <w:rPr>
                <w:rFonts w:cs="Times New Roman"/>
                <w:noProof/>
              </w:rPr>
            </w:pPr>
            <w:r>
              <w:rPr>
                <w:noProof/>
              </w:rPr>
              <w:t>Najmanje 19 javnozdravstvenih jedinica/bolnica mora biti izgrađeno i/ili opremljeno djelomičnim financiranjem u okviru Mehanizma za oporavak i otpornost. Od 19 javnozdravstvenih jedinica/bolnica najmanje tri projekta moraju se dovršiti</w:t>
            </w:r>
            <w:r>
              <w:rPr>
                <w:noProof/>
              </w:rPr>
              <w:t xml:space="preserve"> putem novoosnovane Nacionalne agencije za razvoj infrastrukture u zdravstvu (ANDIS) osnovane u okviru 2. reforme.</w:t>
            </w:r>
          </w:p>
          <w:p w14:paraId="31B243E2" w14:textId="77777777" w:rsidR="003F46B9" w:rsidRDefault="0065662E">
            <w:pPr>
              <w:pStyle w:val="P68B1DB1-Normal5"/>
              <w:spacing w:after="0" w:line="240" w:lineRule="auto"/>
              <w:jc w:val="both"/>
              <w:rPr>
                <w:rFonts w:cs="Times New Roman"/>
                <w:noProof/>
              </w:rPr>
            </w:pPr>
            <w:r>
              <w:rPr>
                <w:noProof/>
              </w:rPr>
              <w:t>Ulaganja se sastoje od:</w:t>
            </w:r>
          </w:p>
          <w:p w14:paraId="1EE30CB2" w14:textId="77777777" w:rsidR="003F46B9" w:rsidRDefault="0065662E">
            <w:pPr>
              <w:pStyle w:val="P68B1DB1-Normal5"/>
              <w:spacing w:after="0" w:line="240" w:lineRule="auto"/>
              <w:jc w:val="both"/>
              <w:rPr>
                <w:rFonts w:cs="Times New Roman"/>
                <w:noProof/>
              </w:rPr>
            </w:pPr>
            <w:r>
              <w:rPr>
                <w:noProof/>
              </w:rPr>
              <w:t>—Ulaganje u novu javnu bolničku infrastrukturu radi: (i) pružati nove medicinske usluge; ii. poboljšati kvalitetu pos</w:t>
            </w:r>
            <w:r>
              <w:rPr>
                <w:noProof/>
              </w:rPr>
              <w:t xml:space="preserve">tojećih zdravstvenih usluga </w:t>
            </w:r>
          </w:p>
          <w:p w14:paraId="076AC91B" w14:textId="7C8467C3" w:rsidR="003F46B9" w:rsidRDefault="0065662E">
            <w:pPr>
              <w:pStyle w:val="P68B1DB1-Normal5"/>
              <w:spacing w:after="0" w:line="240" w:lineRule="auto"/>
              <w:jc w:val="both"/>
              <w:rPr>
                <w:rFonts w:cs="Times New Roman"/>
                <w:noProof/>
              </w:rPr>
            </w:pPr>
            <w:r>
              <w:rPr>
                <w:noProof/>
              </w:rPr>
              <w:t>—Ulaganja u medicinsku opremu i uređaje za novoizgrađenu zdravstvenu infrastrukturu, kao što su: krevete, jedinice za dekontaminaciju, informatička oprema (najmanje 42,51 milijun EUR), kriške za sudare, defibrilatori, infuzijsk</w:t>
            </w:r>
            <w:r>
              <w:rPr>
                <w:noProof/>
              </w:rPr>
              <w:t>e pumpe, fiziološki sustavi praćenja (uključujući središnju konzolu), fiziološki sustavi praćenja akutne skrbi, respiratori za jedinice intenzivne njege, sustavi skeniranja opće namjene.</w:t>
            </w:r>
          </w:p>
          <w:p w14:paraId="26B1CC61" w14:textId="194E5D98" w:rsidR="003F46B9" w:rsidRDefault="0065662E">
            <w:pPr>
              <w:pStyle w:val="P68B1DB1-Normal5"/>
              <w:spacing w:after="0" w:line="240" w:lineRule="auto"/>
              <w:jc w:val="both"/>
              <w:rPr>
                <w:rFonts w:cs="Times New Roman"/>
                <w:noProof/>
              </w:rPr>
            </w:pPr>
            <w:r>
              <w:rPr>
                <w:noProof/>
              </w:rPr>
              <w:t>Najmanje 346 milijuna EUR dodijeljenih sredstava od 661.41 milijuna E</w:t>
            </w:r>
            <w:r>
              <w:rPr>
                <w:noProof/>
              </w:rPr>
              <w:t>UR ili novoizgrađene zgrade moraju biti u skladu s ciljem postizanja potražnje za primarnom energijom (PED) koja je najmanje 20 % niža od zahtjeva za zgradu gotovo nulte energije (NZEB) u skladu s nacionalnim smjernicama koje se osiguravaju energetskim cer</w:t>
            </w:r>
            <w:r>
              <w:rPr>
                <w:noProof/>
              </w:rPr>
              <w:t xml:space="preserve">tifikatima. </w:t>
            </w:r>
          </w:p>
          <w:p w14:paraId="0DFA683A" w14:textId="77777777" w:rsidR="003F46B9" w:rsidRDefault="0065662E">
            <w:pPr>
              <w:pStyle w:val="P68B1DB1-Normal5"/>
              <w:spacing w:after="0" w:line="240" w:lineRule="auto"/>
              <w:jc w:val="both"/>
              <w:rPr>
                <w:rFonts w:cs="Times New Roman"/>
                <w:noProof/>
              </w:rPr>
            </w:pPr>
            <w:r>
              <w:rPr>
                <w:noProof/>
              </w:rPr>
              <w:t xml:space="preserve">Taj se zahtjev ne primjenjuje na projekte u kojima se ulaganje sastoji samo od kupnje nove opreme. </w:t>
            </w:r>
          </w:p>
          <w:p w14:paraId="5A7D3B61" w14:textId="77777777" w:rsidR="003F46B9" w:rsidRDefault="0065662E">
            <w:pPr>
              <w:pStyle w:val="P68B1DB1-Normal5"/>
              <w:spacing w:after="0" w:line="240" w:lineRule="auto"/>
              <w:jc w:val="both"/>
              <w:rPr>
                <w:rFonts w:cs="Times New Roman"/>
                <w:noProof/>
              </w:rPr>
            </w:pPr>
            <w:r>
              <w:rPr>
                <w:noProof/>
              </w:rPr>
              <w:t>Kako bi se osigurala dosljednost s informacijama o troškovima koje se pružaju za to ulaganje te kako bi se dopunili već navedeni kriteriji, tre</w:t>
            </w:r>
            <w:r>
              <w:rPr>
                <w:noProof/>
              </w:rPr>
              <w:t>balo bi postići i sljedeće ciljeve:</w:t>
            </w:r>
          </w:p>
          <w:p w14:paraId="115BEEEE" w14:textId="6E69438B" w:rsidR="003F46B9" w:rsidRDefault="0065662E">
            <w:pPr>
              <w:pStyle w:val="P68B1DB1-Normal5"/>
              <w:spacing w:after="0" w:line="240" w:lineRule="auto"/>
              <w:jc w:val="both"/>
              <w:rPr>
                <w:rFonts w:cs="Times New Roman"/>
                <w:noProof/>
              </w:rPr>
            </w:pPr>
            <w:r>
              <w:rPr>
                <w:noProof/>
              </w:rPr>
              <w:t xml:space="preserve">• najmanje 900 kreveta u zgradama približno nulte energije </w:t>
            </w:r>
          </w:p>
          <w:p w14:paraId="0EE9C926" w14:textId="5CB649D9" w:rsidR="003F46B9" w:rsidRDefault="0065662E">
            <w:pPr>
              <w:pStyle w:val="P68B1DB1-Normal5"/>
              <w:spacing w:after="0" w:line="240" w:lineRule="auto"/>
              <w:jc w:val="both"/>
              <w:rPr>
                <w:rFonts w:cs="Times New Roman"/>
                <w:noProof/>
              </w:rPr>
            </w:pPr>
            <w:r>
              <w:rPr>
                <w:noProof/>
              </w:rPr>
              <w:t>• najmanje 780 kreveta u zgradama gotovo nulte energije+ (zgrade koje postižu najmanje 20 % nižu potražnju za primarnom energijom od zahtjeva za zgradu gotovo n</w:t>
            </w:r>
            <w:r>
              <w:rPr>
                <w:noProof/>
              </w:rPr>
              <w:t>ulte energije)</w:t>
            </w:r>
          </w:p>
          <w:p w14:paraId="39D6827C" w14:textId="107F8249" w:rsidR="003F46B9" w:rsidRDefault="0065662E">
            <w:pPr>
              <w:pStyle w:val="P68B1DB1-Normal5"/>
              <w:spacing w:after="0" w:line="240" w:lineRule="auto"/>
              <w:jc w:val="both"/>
              <w:rPr>
                <w:rFonts w:cs="Times New Roman"/>
                <w:noProof/>
              </w:rPr>
            </w:pPr>
            <w:r>
              <w:rPr>
                <w:noProof/>
              </w:rPr>
              <w:t>• mora biti opremljeno najmanje 3300 kreveta</w:t>
            </w:r>
          </w:p>
          <w:p w14:paraId="7558940E" w14:textId="086BC453" w:rsidR="003F46B9" w:rsidRDefault="0065662E">
            <w:pPr>
              <w:pStyle w:val="P68B1DB1-Normal5"/>
              <w:spacing w:after="0" w:line="240" w:lineRule="auto"/>
              <w:jc w:val="both"/>
              <w:rPr>
                <w:rFonts w:cs="Times New Roman"/>
                <w:noProof/>
              </w:rPr>
            </w:pPr>
            <w:r>
              <w:rPr>
                <w:noProof/>
              </w:rPr>
              <w:t>• najmanje 3300 kreveta za novu informatičku opremu</w:t>
            </w:r>
          </w:p>
          <w:p w14:paraId="6234C216" w14:textId="1584BBC7" w:rsidR="003F46B9" w:rsidRDefault="0065662E">
            <w:pPr>
              <w:pStyle w:val="P68B1DB1-Normal5"/>
              <w:spacing w:after="0" w:line="240" w:lineRule="auto"/>
              <w:jc w:val="both"/>
              <w:rPr>
                <w:rFonts w:cs="Times New Roman"/>
                <w:noProof/>
              </w:rPr>
            </w:pPr>
            <w:r>
              <w:rPr>
                <w:noProof/>
              </w:rPr>
              <w:t>19 bolničkih i bolničkih jedinica odabire se sa sljedećeg popisa (uključujući tri projekta koja će biti dovršena putem novoosnovane Nacionalne a</w:t>
            </w:r>
            <w:r>
              <w:rPr>
                <w:noProof/>
              </w:rPr>
              <w:t>gencije za razvoj infrastrukture u zdravstvu (ANDIS) – osnovane u okviru 2. reforme):</w:t>
            </w:r>
          </w:p>
          <w:p w14:paraId="1D06C081" w14:textId="77777777" w:rsidR="003F46B9" w:rsidRDefault="0065662E">
            <w:pPr>
              <w:pStyle w:val="P68B1DB1-Normal5"/>
              <w:spacing w:after="0" w:line="240" w:lineRule="auto"/>
              <w:jc w:val="both"/>
              <w:rPr>
                <w:rFonts w:cs="Times New Roman"/>
                <w:noProof/>
              </w:rPr>
            </w:pPr>
            <w:r>
              <w:rPr>
                <w:noProof/>
              </w:rPr>
              <w:t>1. Hitna bolnica Alba Iulia – premještanje i modernizacija aktivnosti onkologije i uspostava intervencijskog kardiološkog odjeljka</w:t>
            </w:r>
          </w:p>
          <w:p w14:paraId="2713C7AB" w14:textId="77777777" w:rsidR="003F46B9" w:rsidRDefault="0065662E">
            <w:pPr>
              <w:pStyle w:val="P68B1DB1-Normal5"/>
              <w:spacing w:after="0" w:line="240" w:lineRule="auto"/>
              <w:jc w:val="both"/>
              <w:rPr>
                <w:rFonts w:cs="Times New Roman"/>
                <w:noProof/>
              </w:rPr>
            </w:pPr>
            <w:r>
              <w:rPr>
                <w:noProof/>
              </w:rPr>
              <w:t>2. Hitna bolnica Alba Iulia – Izgradnja</w:t>
            </w:r>
            <w:r>
              <w:rPr>
                <w:noProof/>
              </w:rPr>
              <w:t xml:space="preserve"> i opremanje odjela za zarazne bolesti</w:t>
            </w:r>
          </w:p>
          <w:p w14:paraId="3CDFA471" w14:textId="77777777" w:rsidR="003F46B9" w:rsidRDefault="0065662E">
            <w:pPr>
              <w:pStyle w:val="P68B1DB1-Normal5"/>
              <w:spacing w:after="0" w:line="240" w:lineRule="auto"/>
              <w:jc w:val="both"/>
              <w:rPr>
                <w:rFonts w:cs="Times New Roman"/>
                <w:noProof/>
              </w:rPr>
            </w:pPr>
            <w:r>
              <w:rPr>
                <w:noProof/>
              </w:rPr>
              <w:t>3. Laboratorij za radiotermičku bolnicu u hitnim slučajevima</w:t>
            </w:r>
          </w:p>
          <w:p w14:paraId="6AB45B2A" w14:textId="77777777" w:rsidR="003F46B9" w:rsidRDefault="0065662E">
            <w:pPr>
              <w:pStyle w:val="P68B1DB1-Normal5"/>
              <w:spacing w:after="0" w:line="240" w:lineRule="auto"/>
              <w:jc w:val="both"/>
              <w:rPr>
                <w:rFonts w:cs="Times New Roman"/>
                <w:noProof/>
              </w:rPr>
            </w:pPr>
            <w:r>
              <w:rPr>
                <w:noProof/>
              </w:rPr>
              <w:t>4. Klinička općinska bolnica „Dr. G. Curteanu” Oradea – Izgradnja i opremanje zaraznih bolesti i pulmonologije</w:t>
            </w:r>
          </w:p>
          <w:p w14:paraId="241A4B7A" w14:textId="77777777" w:rsidR="003F46B9" w:rsidRDefault="0065662E">
            <w:pPr>
              <w:pStyle w:val="P68B1DB1-Normal5"/>
              <w:spacing w:after="0" w:line="240" w:lineRule="auto"/>
              <w:jc w:val="both"/>
              <w:rPr>
                <w:rFonts w:cs="Times New Roman"/>
                <w:noProof/>
              </w:rPr>
            </w:pPr>
            <w:r>
              <w:rPr>
                <w:noProof/>
              </w:rPr>
              <w:t>5. Hitna bolnica Bistrița – proširenje bolnič</w:t>
            </w:r>
            <w:r>
              <w:rPr>
                <w:noProof/>
              </w:rPr>
              <w:t>kog paviljona izgradnjom nove zgrade</w:t>
            </w:r>
          </w:p>
          <w:p w14:paraId="1FCE4C68" w14:textId="77777777" w:rsidR="003F46B9" w:rsidRDefault="0065662E">
            <w:pPr>
              <w:pStyle w:val="P68B1DB1-Normal5"/>
              <w:spacing w:after="0" w:line="240" w:lineRule="auto"/>
              <w:jc w:val="both"/>
              <w:rPr>
                <w:rFonts w:cs="Times New Roman"/>
                <w:noProof/>
              </w:rPr>
            </w:pPr>
            <w:r>
              <w:rPr>
                <w:noProof/>
              </w:rPr>
              <w:t>6. Institut za hitne slučajeve za kardiovaskularne bolesti” Prof dr. CC Iliescu’ Bukurešt – izgradnja novih prostora</w:t>
            </w:r>
          </w:p>
          <w:p w14:paraId="4855F764" w14:textId="77777777" w:rsidR="003F46B9" w:rsidRDefault="0065662E">
            <w:pPr>
              <w:pStyle w:val="P68B1DB1-Normal5"/>
              <w:spacing w:after="0" w:line="240" w:lineRule="auto"/>
              <w:jc w:val="both"/>
              <w:rPr>
                <w:rFonts w:cs="Times New Roman"/>
                <w:noProof/>
              </w:rPr>
            </w:pPr>
            <w:r>
              <w:rPr>
                <w:noProof/>
              </w:rPr>
              <w:t>7. Porodničarska i ginekološka bolnica</w:t>
            </w:r>
          </w:p>
          <w:p w14:paraId="2500875A" w14:textId="77777777" w:rsidR="003F46B9" w:rsidRDefault="0065662E">
            <w:pPr>
              <w:pStyle w:val="P68B1DB1-Normal5"/>
              <w:spacing w:after="0" w:line="240" w:lineRule="auto"/>
              <w:jc w:val="both"/>
              <w:rPr>
                <w:rFonts w:cs="Times New Roman"/>
                <w:noProof/>
              </w:rPr>
            </w:pPr>
            <w:r>
              <w:rPr>
                <w:noProof/>
              </w:rPr>
              <w:t xml:space="preserve">„Filantropia” Bukurešt – proširenje bolnice </w:t>
            </w:r>
          </w:p>
          <w:p w14:paraId="2055613D" w14:textId="77777777" w:rsidR="003F46B9" w:rsidRDefault="0065662E">
            <w:pPr>
              <w:pStyle w:val="P68B1DB1-Normal5"/>
              <w:spacing w:after="0" w:line="240" w:lineRule="auto"/>
              <w:jc w:val="both"/>
              <w:rPr>
                <w:rFonts w:cs="Times New Roman"/>
                <w:noProof/>
              </w:rPr>
            </w:pPr>
            <w:r>
              <w:rPr>
                <w:noProof/>
              </w:rPr>
              <w:t xml:space="preserve">8. Klinička </w:t>
            </w:r>
            <w:r>
              <w:rPr>
                <w:noProof/>
              </w:rPr>
              <w:t>bolnica psihijatrija „Prof. dr. Alexandru Obregia” Bukurešt – izgradnja pedijatrijskog psihijatrijskog centra</w:t>
            </w:r>
          </w:p>
          <w:p w14:paraId="068016F6" w14:textId="77777777" w:rsidR="003F46B9" w:rsidRDefault="0065662E">
            <w:pPr>
              <w:pStyle w:val="P68B1DB1-Normal5"/>
              <w:spacing w:after="0" w:line="240" w:lineRule="auto"/>
              <w:jc w:val="both"/>
              <w:rPr>
                <w:rFonts w:cs="Times New Roman"/>
                <w:noProof/>
              </w:rPr>
            </w:pPr>
            <w:r>
              <w:rPr>
                <w:noProof/>
              </w:rPr>
              <w:t>9. Klinička bolnica „Sfânta Maria” Bukurešt – Izgradnja centra za transplantaciju s više Organa</w:t>
            </w:r>
          </w:p>
          <w:p w14:paraId="7AFD9EE0" w14:textId="77777777" w:rsidR="003F46B9" w:rsidRDefault="0065662E">
            <w:pPr>
              <w:pStyle w:val="P68B1DB1-Normal5"/>
              <w:spacing w:after="0" w:line="240" w:lineRule="auto"/>
              <w:jc w:val="both"/>
              <w:rPr>
                <w:rFonts w:cs="Times New Roman"/>
                <w:noProof/>
              </w:rPr>
            </w:pPr>
            <w:r>
              <w:rPr>
                <w:noProof/>
              </w:rPr>
              <w:t>10. Klinička bolnica za pulmonologiju, Constanța –</w:t>
            </w:r>
            <w:r>
              <w:rPr>
                <w:noProof/>
              </w:rPr>
              <w:t xml:space="preserve"> građevinski klinički paviljon za pulmonologiju </w:t>
            </w:r>
          </w:p>
          <w:p w14:paraId="6EC4EA76" w14:textId="77777777" w:rsidR="003F46B9" w:rsidRDefault="0065662E">
            <w:pPr>
              <w:pStyle w:val="P68B1DB1-Normal5"/>
              <w:spacing w:after="0" w:line="240" w:lineRule="auto"/>
              <w:jc w:val="both"/>
              <w:rPr>
                <w:rFonts w:cs="Times New Roman"/>
                <w:noProof/>
              </w:rPr>
            </w:pPr>
            <w:r>
              <w:rPr>
                <w:noProof/>
              </w:rPr>
              <w:t>11. Hitna bolnica u Sibiuu – nova bolnica</w:t>
            </w:r>
          </w:p>
          <w:p w14:paraId="1363B113" w14:textId="77777777" w:rsidR="003F46B9" w:rsidRDefault="0065662E">
            <w:pPr>
              <w:pStyle w:val="P68B1DB1-Normal5"/>
              <w:spacing w:after="0" w:line="240" w:lineRule="auto"/>
              <w:jc w:val="both"/>
              <w:rPr>
                <w:rFonts w:cs="Times New Roman"/>
                <w:noProof/>
              </w:rPr>
            </w:pPr>
            <w:r>
              <w:rPr>
                <w:noProof/>
              </w:rPr>
              <w:t>12. Općinska hitna bolnica u Temišvaru – izgradnja i opremanje novog majčinstva</w:t>
            </w:r>
          </w:p>
          <w:p w14:paraId="728CD148" w14:textId="77777777" w:rsidR="003F46B9" w:rsidRDefault="0065662E">
            <w:pPr>
              <w:pStyle w:val="P68B1DB1-Normal5"/>
              <w:spacing w:after="0" w:line="240" w:lineRule="auto"/>
              <w:jc w:val="both"/>
              <w:rPr>
                <w:rFonts w:cs="Times New Roman"/>
                <w:noProof/>
              </w:rPr>
            </w:pPr>
            <w:r>
              <w:rPr>
                <w:noProof/>
              </w:rPr>
              <w:t>13. Hitna bolnica za djecu</w:t>
            </w:r>
          </w:p>
          <w:p w14:paraId="1F45BDE1" w14:textId="77777777" w:rsidR="003F46B9" w:rsidRDefault="0065662E">
            <w:pPr>
              <w:pStyle w:val="P68B1DB1-Normal5"/>
              <w:spacing w:after="0" w:line="240" w:lineRule="auto"/>
              <w:jc w:val="both"/>
              <w:rPr>
                <w:rFonts w:cs="Times New Roman"/>
                <w:noProof/>
              </w:rPr>
            </w:pPr>
            <w:r>
              <w:rPr>
                <w:noProof/>
              </w:rPr>
              <w:t>„Louis Turcanu”, Temišvar – opremanje nove bolnice medicin</w:t>
            </w:r>
            <w:r>
              <w:rPr>
                <w:noProof/>
              </w:rPr>
              <w:t>skom opremom</w:t>
            </w:r>
          </w:p>
          <w:p w14:paraId="51922AFE" w14:textId="202479A4" w:rsidR="003F46B9" w:rsidRDefault="0065662E">
            <w:pPr>
              <w:pStyle w:val="P68B1DB1-Normal5"/>
              <w:spacing w:after="0" w:line="240" w:lineRule="auto"/>
              <w:jc w:val="both"/>
              <w:rPr>
                <w:rFonts w:cs="Times New Roman"/>
                <w:noProof/>
              </w:rPr>
            </w:pPr>
            <w:r>
              <w:rPr>
                <w:noProof/>
              </w:rPr>
              <w:t>14. Bolnica br. 2, Vaslui – Izgradnja novih dijelova za zarazne bolesti, psihijatriju, kronične bolesti</w:t>
            </w:r>
          </w:p>
          <w:p w14:paraId="6F882C56" w14:textId="77777777" w:rsidR="003F46B9" w:rsidRDefault="0065662E">
            <w:pPr>
              <w:pStyle w:val="P68B1DB1-Normal5"/>
              <w:spacing w:after="0" w:line="240" w:lineRule="auto"/>
              <w:jc w:val="both"/>
              <w:rPr>
                <w:rFonts w:cs="Times New Roman"/>
                <w:noProof/>
              </w:rPr>
            </w:pPr>
            <w:r>
              <w:rPr>
                <w:noProof/>
              </w:rPr>
              <w:t>15 Županijska bolnica, Focsani-Vrancea – nova bolnica</w:t>
            </w:r>
          </w:p>
          <w:p w14:paraId="5619C5D1" w14:textId="325B52D5" w:rsidR="003F46B9" w:rsidRDefault="0065662E">
            <w:pPr>
              <w:pStyle w:val="P68B1DB1-Normal5"/>
              <w:spacing w:after="0" w:line="240" w:lineRule="auto"/>
              <w:jc w:val="both"/>
              <w:rPr>
                <w:rFonts w:cs="Times New Roman"/>
                <w:noProof/>
              </w:rPr>
            </w:pPr>
            <w:r>
              <w:rPr>
                <w:noProof/>
              </w:rPr>
              <w:t>16. Županijska klinička bolnica u Cluju – nova bolnica</w:t>
            </w:r>
          </w:p>
          <w:p w14:paraId="35C6D664" w14:textId="77777777" w:rsidR="003F46B9" w:rsidRDefault="0065662E">
            <w:pPr>
              <w:pStyle w:val="P68B1DB1-Normal5"/>
              <w:spacing w:after="0" w:line="240" w:lineRule="auto"/>
              <w:jc w:val="both"/>
              <w:rPr>
                <w:rFonts w:cs="Times New Roman"/>
                <w:noProof/>
              </w:rPr>
            </w:pPr>
            <w:r>
              <w:rPr>
                <w:noProof/>
              </w:rPr>
              <w:t xml:space="preserve">17. Porodničarska genekološka </w:t>
            </w:r>
            <w:r>
              <w:rPr>
                <w:noProof/>
              </w:rPr>
              <w:t>bolnica, Buftea – Proširenje i opremanje; rastavljanje postojećih zgrada</w:t>
            </w:r>
          </w:p>
          <w:p w14:paraId="281B90A6" w14:textId="77777777" w:rsidR="003F46B9" w:rsidRDefault="0065662E">
            <w:pPr>
              <w:pStyle w:val="P68B1DB1-Normal5"/>
              <w:spacing w:after="0" w:line="240" w:lineRule="auto"/>
              <w:jc w:val="both"/>
              <w:rPr>
                <w:rFonts w:cs="Times New Roman"/>
                <w:noProof/>
              </w:rPr>
            </w:pPr>
            <w:r>
              <w:rPr>
                <w:noProof/>
              </w:rPr>
              <w:t>18. Novi višetrauma paviljon, Brașov</w:t>
            </w:r>
          </w:p>
          <w:p w14:paraId="4488ED5F" w14:textId="77777777" w:rsidR="003F46B9" w:rsidRDefault="0065662E">
            <w:pPr>
              <w:pStyle w:val="P68B1DB1-Normal5"/>
              <w:spacing w:after="0" w:line="240" w:lineRule="auto"/>
              <w:jc w:val="both"/>
              <w:rPr>
                <w:rFonts w:cs="Times New Roman"/>
                <w:noProof/>
              </w:rPr>
            </w:pPr>
            <w:r>
              <w:rPr>
                <w:noProof/>
              </w:rPr>
              <w:t>19. Novi višetrauma paviljon, Craiova</w:t>
            </w:r>
          </w:p>
          <w:p w14:paraId="540730C6" w14:textId="77777777" w:rsidR="003F46B9" w:rsidRDefault="0065662E">
            <w:pPr>
              <w:pStyle w:val="P68B1DB1-Normal5"/>
              <w:spacing w:after="0" w:line="240" w:lineRule="auto"/>
              <w:jc w:val="both"/>
              <w:rPr>
                <w:rFonts w:cs="Times New Roman"/>
                <w:noProof/>
              </w:rPr>
            </w:pPr>
            <w:r>
              <w:rPr>
                <w:noProof/>
              </w:rPr>
              <w:t>20.Novi traumatični paviljon, Pitesti</w:t>
            </w:r>
          </w:p>
          <w:p w14:paraId="32E6FEE9" w14:textId="77777777" w:rsidR="003F46B9" w:rsidRDefault="0065662E">
            <w:pPr>
              <w:pStyle w:val="P68B1DB1-Normal5"/>
              <w:spacing w:after="0" w:line="240" w:lineRule="auto"/>
              <w:jc w:val="both"/>
              <w:rPr>
                <w:rFonts w:cs="Times New Roman"/>
                <w:noProof/>
              </w:rPr>
            </w:pPr>
            <w:r>
              <w:rPr>
                <w:noProof/>
              </w:rPr>
              <w:t>21. Novi višetrauma paviljon, Sibiu</w:t>
            </w:r>
          </w:p>
          <w:p w14:paraId="62CE0875" w14:textId="77777777" w:rsidR="003F46B9" w:rsidRDefault="0065662E">
            <w:pPr>
              <w:pStyle w:val="P68B1DB1-Normal5"/>
              <w:spacing w:after="0" w:line="240" w:lineRule="auto"/>
              <w:jc w:val="both"/>
              <w:rPr>
                <w:rFonts w:cs="Times New Roman"/>
                <w:noProof/>
              </w:rPr>
            </w:pPr>
            <w:r>
              <w:rPr>
                <w:noProof/>
              </w:rPr>
              <w:t xml:space="preserve">22. Izvanredna bolnica Alba Iulia </w:t>
            </w:r>
            <w:r>
              <w:rPr>
                <w:noProof/>
              </w:rPr>
              <w:t>– Izgradnja i opremanje odjela za kroničnu psihijatriju</w:t>
            </w:r>
          </w:p>
          <w:p w14:paraId="15276C37" w14:textId="77777777" w:rsidR="003F46B9" w:rsidRDefault="0065662E">
            <w:pPr>
              <w:pStyle w:val="P68B1DB1-Normal5"/>
              <w:spacing w:after="0" w:line="240" w:lineRule="auto"/>
              <w:jc w:val="both"/>
              <w:rPr>
                <w:rFonts w:cs="Times New Roman"/>
                <w:noProof/>
              </w:rPr>
            </w:pPr>
            <w:r>
              <w:rPr>
                <w:noProof/>
              </w:rPr>
              <w:t>23. Klinička bolnica zaraznih bolesti i pneumofiziologije, Brașov – novo tijelo zgrade</w:t>
            </w:r>
          </w:p>
          <w:p w14:paraId="246F2930" w14:textId="77777777" w:rsidR="003F46B9" w:rsidRDefault="0065662E">
            <w:pPr>
              <w:pStyle w:val="P68B1DB1-Normal5"/>
              <w:spacing w:after="0" w:line="240" w:lineRule="auto"/>
              <w:jc w:val="both"/>
              <w:rPr>
                <w:rFonts w:cs="Times New Roman"/>
                <w:noProof/>
              </w:rPr>
            </w:pPr>
            <w:r>
              <w:rPr>
                <w:noProof/>
              </w:rPr>
              <w:t>24. Centar za transplantaciju s više organa, Cluj – nova bolnica</w:t>
            </w:r>
          </w:p>
          <w:p w14:paraId="578BDA8C" w14:textId="77777777" w:rsidR="003F46B9" w:rsidRDefault="0065662E">
            <w:pPr>
              <w:pStyle w:val="P68B1DB1-Normal5"/>
              <w:spacing w:after="0" w:line="240" w:lineRule="auto"/>
              <w:jc w:val="both"/>
              <w:rPr>
                <w:rFonts w:cs="Times New Roman"/>
                <w:noProof/>
              </w:rPr>
            </w:pPr>
            <w:r>
              <w:rPr>
                <w:noProof/>
              </w:rPr>
              <w:t>25. Regionalni onkološki institut, Temišvar – no</w:t>
            </w:r>
            <w:r>
              <w:rPr>
                <w:noProof/>
              </w:rPr>
              <w:t>va bolnica</w:t>
            </w:r>
          </w:p>
          <w:p w14:paraId="2B4C0AF9" w14:textId="77777777" w:rsidR="003F46B9" w:rsidRDefault="0065662E">
            <w:pPr>
              <w:pStyle w:val="P68B1DB1-Normal5"/>
              <w:spacing w:after="0" w:line="240" w:lineRule="auto"/>
              <w:jc w:val="both"/>
              <w:rPr>
                <w:rFonts w:cs="Times New Roman"/>
                <w:noProof/>
              </w:rPr>
            </w:pPr>
            <w:r>
              <w:rPr>
                <w:noProof/>
              </w:rPr>
              <w:t>26. Gradska polilinička bolnica, specijalizirana za kardiologiju i onkologiju, Constanța – nova bolnica</w:t>
            </w:r>
          </w:p>
          <w:p w14:paraId="1F4DAB54" w14:textId="77777777" w:rsidR="003F46B9" w:rsidRDefault="0065662E">
            <w:pPr>
              <w:pStyle w:val="P68B1DB1-Normal5"/>
              <w:spacing w:after="0" w:line="240" w:lineRule="auto"/>
              <w:jc w:val="both"/>
              <w:rPr>
                <w:rFonts w:cs="Times New Roman"/>
                <w:noProof/>
              </w:rPr>
            </w:pPr>
            <w:r>
              <w:rPr>
                <w:noProof/>
              </w:rPr>
              <w:t>27. Izgradnja porodništva i ginekologije, neonatologije, kirurgije djece i pedijatrije, Arad – nove jedinice</w:t>
            </w:r>
          </w:p>
          <w:p w14:paraId="01B28A30" w14:textId="77777777" w:rsidR="003F46B9" w:rsidRDefault="0065662E">
            <w:pPr>
              <w:pStyle w:val="P68B1DB1-Normal5"/>
              <w:spacing w:after="0" w:line="240" w:lineRule="auto"/>
              <w:jc w:val="both"/>
              <w:rPr>
                <w:rFonts w:cs="Times New Roman"/>
                <w:noProof/>
              </w:rPr>
            </w:pPr>
            <w:r>
              <w:rPr>
                <w:noProof/>
              </w:rPr>
              <w:t xml:space="preserve">28. Institut za hitne slučajeve </w:t>
            </w:r>
            <w:r>
              <w:rPr>
                <w:noProof/>
              </w:rPr>
              <w:t xml:space="preserve">„Niculae Stăncioiu” </w:t>
            </w:r>
          </w:p>
          <w:p w14:paraId="396C10A8" w14:textId="77777777" w:rsidR="003F46B9" w:rsidRDefault="0065662E">
            <w:pPr>
              <w:pStyle w:val="P68B1DB1-Normal5"/>
              <w:spacing w:after="0" w:line="240" w:lineRule="auto"/>
              <w:jc w:val="both"/>
              <w:rPr>
                <w:rFonts w:cs="Times New Roman"/>
                <w:noProof/>
              </w:rPr>
            </w:pPr>
            <w:r>
              <w:rPr>
                <w:noProof/>
              </w:rPr>
              <w:t>za kardiovaskularne bolesti Cluj-Napoca – novi odjeljak</w:t>
            </w:r>
          </w:p>
          <w:p w14:paraId="01C7BFE0" w14:textId="77777777" w:rsidR="003F46B9" w:rsidRDefault="0065662E">
            <w:pPr>
              <w:pStyle w:val="P68B1DB1-Normal5"/>
              <w:spacing w:after="0" w:line="240" w:lineRule="auto"/>
              <w:jc w:val="both"/>
              <w:rPr>
                <w:rFonts w:cs="Times New Roman"/>
                <w:noProof/>
              </w:rPr>
            </w:pPr>
            <w:r>
              <w:rPr>
                <w:noProof/>
              </w:rPr>
              <w:t>29. Hitna bolnica Miercurea Ciuc – Izgradnja nove zgrade za pulmonologiju i zarazne bolesti</w:t>
            </w:r>
          </w:p>
          <w:p w14:paraId="67189963" w14:textId="77777777" w:rsidR="003F46B9" w:rsidRDefault="0065662E">
            <w:pPr>
              <w:pStyle w:val="P68B1DB1-Normal5"/>
              <w:spacing w:after="0" w:line="240" w:lineRule="auto"/>
              <w:jc w:val="both"/>
              <w:rPr>
                <w:rFonts w:cs="Times New Roman"/>
                <w:noProof/>
              </w:rPr>
            </w:pPr>
            <w:r>
              <w:rPr>
                <w:noProof/>
              </w:rPr>
              <w:t>30. Regionalna bolnica za hitne slučajeve, Brașov – nova bolnica</w:t>
            </w:r>
          </w:p>
          <w:p w14:paraId="35C160D5" w14:textId="77777777" w:rsidR="003F46B9" w:rsidRDefault="0065662E">
            <w:pPr>
              <w:pStyle w:val="P68B1DB1-Normal5"/>
              <w:spacing w:after="0" w:line="240" w:lineRule="auto"/>
              <w:jc w:val="both"/>
              <w:rPr>
                <w:rFonts w:cs="Times New Roman"/>
                <w:noProof/>
              </w:rPr>
            </w:pPr>
            <w:r>
              <w:rPr>
                <w:noProof/>
              </w:rPr>
              <w:t xml:space="preserve">31. Hitna sveučilišna </w:t>
            </w:r>
            <w:r>
              <w:rPr>
                <w:noProof/>
              </w:rPr>
              <w:t>bolnica u Bukureštu – modernizacija, izgradnja, obnova infrastrukture</w:t>
            </w:r>
          </w:p>
          <w:p w14:paraId="56AC8B24" w14:textId="77777777" w:rsidR="003F46B9" w:rsidRDefault="0065662E">
            <w:pPr>
              <w:pStyle w:val="P68B1DB1-Normal5"/>
              <w:spacing w:after="0" w:line="240" w:lineRule="auto"/>
              <w:jc w:val="both"/>
              <w:rPr>
                <w:rFonts w:cs="Times New Roman"/>
                <w:noProof/>
              </w:rPr>
            </w:pPr>
            <w:r>
              <w:rPr>
                <w:noProof/>
              </w:rPr>
              <w:t>32. Bolnica „Prof. Dr. Agrippa lonescu”, Balotești – nadogradnja infrastrukture</w:t>
            </w:r>
          </w:p>
          <w:p w14:paraId="3462D406" w14:textId="77777777" w:rsidR="003F46B9" w:rsidRDefault="0065662E">
            <w:pPr>
              <w:pStyle w:val="P68B1DB1-Normal5"/>
              <w:spacing w:after="0" w:line="240" w:lineRule="auto"/>
              <w:jc w:val="both"/>
              <w:rPr>
                <w:rFonts w:cs="Times New Roman"/>
                <w:noProof/>
              </w:rPr>
            </w:pPr>
            <w:r>
              <w:rPr>
                <w:noProof/>
              </w:rPr>
              <w:t>33. Hitna bolnica „Prof. dr. Dimitre Gerota”, Bukurešt – nova bolnica</w:t>
            </w:r>
          </w:p>
          <w:p w14:paraId="4E6CABE4" w14:textId="77777777" w:rsidR="003F46B9" w:rsidRDefault="0065662E">
            <w:pPr>
              <w:pStyle w:val="P68B1DB1-Normal5"/>
              <w:spacing w:after="0" w:line="240" w:lineRule="auto"/>
              <w:jc w:val="both"/>
              <w:rPr>
                <w:rFonts w:cs="Times New Roman"/>
                <w:noProof/>
              </w:rPr>
            </w:pPr>
            <w:r>
              <w:rPr>
                <w:noProof/>
              </w:rPr>
              <w:t>34. Općinski bolnica „Dr Teodor Andr</w:t>
            </w:r>
            <w:r>
              <w:rPr>
                <w:noProof/>
              </w:rPr>
              <w:t>ei”, Lugoj – nova bolnica</w:t>
            </w:r>
          </w:p>
          <w:p w14:paraId="3A0B2F22" w14:textId="77777777" w:rsidR="003F46B9" w:rsidRDefault="0065662E">
            <w:pPr>
              <w:pStyle w:val="P68B1DB1-Normal5"/>
              <w:spacing w:after="0" w:line="240" w:lineRule="auto"/>
              <w:jc w:val="both"/>
              <w:rPr>
                <w:rFonts w:cs="Times New Roman"/>
                <w:noProof/>
              </w:rPr>
            </w:pPr>
            <w:r>
              <w:rPr>
                <w:noProof/>
              </w:rPr>
              <w:t>35. Medicinski paviljon, Constanța – novi odjel</w:t>
            </w:r>
          </w:p>
          <w:p w14:paraId="5A1BF501" w14:textId="77777777" w:rsidR="003F46B9" w:rsidRDefault="0065662E">
            <w:pPr>
              <w:pStyle w:val="P68B1DB1-Normal5"/>
              <w:spacing w:after="0" w:line="240" w:lineRule="auto"/>
              <w:jc w:val="both"/>
              <w:rPr>
                <w:rFonts w:cs="Times New Roman"/>
                <w:noProof/>
              </w:rPr>
            </w:pPr>
            <w:r>
              <w:rPr>
                <w:noProof/>
              </w:rPr>
              <w:t>36. Regionalni institut za kardiovaskularnu medicinu, Miroslava – nova bolnica</w:t>
            </w:r>
          </w:p>
          <w:p w14:paraId="7D931667" w14:textId="77777777" w:rsidR="003F46B9" w:rsidRDefault="0065662E">
            <w:pPr>
              <w:pStyle w:val="P68B1DB1-Normal5"/>
              <w:spacing w:after="0" w:line="240" w:lineRule="auto"/>
              <w:jc w:val="both"/>
              <w:rPr>
                <w:rFonts w:cs="Times New Roman"/>
                <w:noProof/>
              </w:rPr>
            </w:pPr>
            <w:r>
              <w:rPr>
                <w:noProof/>
              </w:rPr>
              <w:t>37. Hitna županijska bolnica, Piatra Neamț – nova bolnica</w:t>
            </w:r>
          </w:p>
          <w:p w14:paraId="0ECF74F7" w14:textId="77777777" w:rsidR="003F46B9" w:rsidRDefault="0065662E">
            <w:pPr>
              <w:pStyle w:val="P68B1DB1-Normal5"/>
              <w:spacing w:after="0" w:line="240" w:lineRule="auto"/>
              <w:jc w:val="both"/>
              <w:rPr>
                <w:rFonts w:cs="Times New Roman"/>
                <w:noProof/>
              </w:rPr>
            </w:pPr>
            <w:r>
              <w:rPr>
                <w:noProof/>
              </w:rPr>
              <w:t>38. Centar za dijagnostiku i liječenje tuberk</w:t>
            </w:r>
            <w:r>
              <w:rPr>
                <w:noProof/>
              </w:rPr>
              <w:t>uloze Zerlendi, Bukurešt – nova bolnica</w:t>
            </w:r>
          </w:p>
          <w:p w14:paraId="47C6F1D6" w14:textId="77777777" w:rsidR="003F46B9" w:rsidRDefault="0065662E">
            <w:pPr>
              <w:pStyle w:val="P68B1DB1-Normal5"/>
              <w:spacing w:after="0" w:line="240" w:lineRule="auto"/>
              <w:jc w:val="both"/>
              <w:rPr>
                <w:rFonts w:cs="Times New Roman"/>
                <w:noProof/>
              </w:rPr>
            </w:pPr>
            <w:r>
              <w:rPr>
                <w:noProof/>
              </w:rPr>
              <w:t>39. „Dr. Victor Gomoiu” Dječja bolnica u Bukureštu – novi centar izvrsnosti u području robotike</w:t>
            </w:r>
          </w:p>
          <w:p w14:paraId="36386ADF" w14:textId="77777777" w:rsidR="003F46B9" w:rsidRDefault="0065662E">
            <w:pPr>
              <w:pStyle w:val="P68B1DB1-Normal5"/>
              <w:spacing w:after="0" w:line="240" w:lineRule="auto"/>
              <w:jc w:val="both"/>
              <w:rPr>
                <w:rFonts w:cs="Times New Roman"/>
                <w:noProof/>
              </w:rPr>
            </w:pPr>
            <w:r>
              <w:rPr>
                <w:noProof/>
              </w:rPr>
              <w:t>40. Pedijatrijska bolnica Monobloc, Cluj – nova bolnica</w:t>
            </w:r>
          </w:p>
          <w:p w14:paraId="2D68B578" w14:textId="77777777" w:rsidR="003F46B9" w:rsidRDefault="0065662E">
            <w:pPr>
              <w:pStyle w:val="P68B1DB1-Normal5"/>
              <w:spacing w:after="0" w:line="240" w:lineRule="auto"/>
              <w:jc w:val="both"/>
              <w:rPr>
                <w:rFonts w:cs="Times New Roman"/>
                <w:noProof/>
              </w:rPr>
            </w:pPr>
            <w:r>
              <w:rPr>
                <w:noProof/>
              </w:rPr>
              <w:t>41. Izvanredna bolnica, Târgu Mures – nova bolnička jedinica</w:t>
            </w:r>
          </w:p>
          <w:p w14:paraId="250688DF" w14:textId="77777777" w:rsidR="003F46B9" w:rsidRDefault="0065662E">
            <w:pPr>
              <w:pStyle w:val="P68B1DB1-Normal5"/>
              <w:spacing w:after="0" w:line="240" w:lineRule="auto"/>
              <w:jc w:val="both"/>
              <w:rPr>
                <w:rFonts w:cs="Times New Roman"/>
                <w:noProof/>
              </w:rPr>
            </w:pPr>
            <w:r>
              <w:rPr>
                <w:noProof/>
              </w:rPr>
              <w:t>42.</w:t>
            </w:r>
            <w:r>
              <w:rPr>
                <w:noProof/>
              </w:rPr>
              <w:t xml:space="preserve"> Hitna bolnica u Aradu – rehabilitacija bolničkih usluga u kardiovaskularnoj medicini</w:t>
            </w:r>
          </w:p>
          <w:p w14:paraId="06BDA968" w14:textId="77777777" w:rsidR="003F46B9" w:rsidRDefault="0065662E">
            <w:pPr>
              <w:pStyle w:val="P68B1DB1-Normal5"/>
              <w:spacing w:after="0" w:line="240" w:lineRule="auto"/>
              <w:jc w:val="both"/>
              <w:rPr>
                <w:rFonts w:cs="Times New Roman"/>
                <w:noProof/>
              </w:rPr>
            </w:pPr>
            <w:r>
              <w:rPr>
                <w:noProof/>
              </w:rPr>
              <w:t>43. Hitna bolnica, Arad – novi odsjek za radioterapiju</w:t>
            </w:r>
          </w:p>
          <w:p w14:paraId="3518BED1" w14:textId="77777777" w:rsidR="003F46B9" w:rsidRDefault="0065662E">
            <w:pPr>
              <w:pStyle w:val="P68B1DB1-Normal5"/>
              <w:spacing w:after="0" w:line="240" w:lineRule="auto"/>
              <w:jc w:val="both"/>
              <w:rPr>
                <w:rFonts w:cs="Times New Roman"/>
                <w:noProof/>
              </w:rPr>
            </w:pPr>
            <w:r>
              <w:rPr>
                <w:noProof/>
              </w:rPr>
              <w:t>44. „SF. Hitna bolnica Apostol Andrei, Constanța – Proširenje vanjskog odjela za pedijatriju i dječju neonatologiju</w:t>
            </w:r>
          </w:p>
          <w:p w14:paraId="115D2F12" w14:textId="5720CB98" w:rsidR="003F46B9" w:rsidRDefault="0065662E">
            <w:pPr>
              <w:pStyle w:val="P68B1DB1-Normal5"/>
              <w:spacing w:after="0" w:line="240" w:lineRule="auto"/>
              <w:jc w:val="both"/>
              <w:rPr>
                <w:rFonts w:cs="Times New Roman"/>
                <w:noProof/>
              </w:rPr>
            </w:pPr>
            <w:r>
              <w:rPr>
                <w:noProof/>
              </w:rPr>
              <w:t xml:space="preserve">45. Bolnica za hitne slučajeve Ilfov, Ilfov – operativni blokovi i neurokirurgija i višenamjenski opći kirurški blok </w:t>
            </w:r>
          </w:p>
          <w:p w14:paraId="3EE38288" w14:textId="74858F71" w:rsidR="003F46B9" w:rsidRDefault="0065662E">
            <w:pPr>
              <w:pStyle w:val="P68B1DB1-Normal5"/>
              <w:spacing w:after="0" w:line="240" w:lineRule="auto"/>
              <w:jc w:val="both"/>
              <w:rPr>
                <w:rFonts w:cs="Times New Roman"/>
                <w:noProof/>
              </w:rPr>
            </w:pPr>
            <w:r>
              <w:rPr>
                <w:noProof/>
              </w:rPr>
              <w:t xml:space="preserve">46. Izvanredna bolnica, Giurgiu – nova bolnica, prva faza (onkologija i neurologija) </w:t>
            </w:r>
          </w:p>
          <w:p w14:paraId="39136FB4" w14:textId="77777777" w:rsidR="003F46B9" w:rsidRDefault="0065662E">
            <w:pPr>
              <w:pStyle w:val="P68B1DB1-Normal5"/>
              <w:spacing w:after="0" w:line="240" w:lineRule="auto"/>
              <w:jc w:val="both"/>
              <w:rPr>
                <w:rFonts w:cs="Times New Roman"/>
                <w:noProof/>
              </w:rPr>
            </w:pPr>
            <w:r>
              <w:rPr>
                <w:noProof/>
              </w:rPr>
              <w:t>47. Centar za hitnu medicinsku pomoć, Voluntari – n</w:t>
            </w:r>
            <w:r>
              <w:rPr>
                <w:noProof/>
              </w:rPr>
              <w:t>ova jedinica</w:t>
            </w:r>
          </w:p>
          <w:p w14:paraId="39B10D21" w14:textId="77777777" w:rsidR="003F46B9" w:rsidRDefault="0065662E">
            <w:pPr>
              <w:pStyle w:val="P68B1DB1-Normal5"/>
              <w:spacing w:after="0" w:line="240" w:lineRule="auto"/>
              <w:jc w:val="both"/>
              <w:rPr>
                <w:rFonts w:cs="Times New Roman"/>
                <w:noProof/>
              </w:rPr>
            </w:pPr>
            <w:r>
              <w:rPr>
                <w:noProof/>
              </w:rPr>
              <w:t>48. Krizni institut za kardiovaskularne bolesti i transplantaciju, Târgu Mures – nova jedinica</w:t>
            </w:r>
          </w:p>
          <w:p w14:paraId="5851826E" w14:textId="42DCC8A1" w:rsidR="003F46B9" w:rsidRDefault="0065662E">
            <w:pPr>
              <w:pStyle w:val="P68B1DB1-Normal5"/>
              <w:spacing w:after="0" w:line="240" w:lineRule="auto"/>
              <w:jc w:val="both"/>
              <w:rPr>
                <w:rFonts w:cs="Times New Roman"/>
                <w:noProof/>
              </w:rPr>
            </w:pPr>
            <w:r>
              <w:rPr>
                <w:noProof/>
              </w:rPr>
              <w:t>49. Hitna općinska i županijska bolnica u Bacău – završetak i integracija</w:t>
            </w:r>
          </w:p>
          <w:p w14:paraId="4A058ED3" w14:textId="77777777" w:rsidR="003F46B9" w:rsidRDefault="0065662E">
            <w:pPr>
              <w:pStyle w:val="P68B1DB1-Normal5"/>
              <w:spacing w:after="0" w:line="240" w:lineRule="auto"/>
              <w:jc w:val="both"/>
              <w:rPr>
                <w:rFonts w:cs="Times New Roman"/>
                <w:noProof/>
              </w:rPr>
            </w:pPr>
            <w:r>
              <w:rPr>
                <w:noProof/>
              </w:rPr>
              <w:t>Konačni popis bolnica i bolničkih jedinica ovisi i o metodologiji za davan</w:t>
            </w:r>
            <w:r>
              <w:rPr>
                <w:noProof/>
              </w:rPr>
              <w:t>je prednosti infrastrukturnim ulaganjima.</w:t>
            </w:r>
          </w:p>
        </w:tc>
      </w:tr>
    </w:tbl>
    <w:p w14:paraId="40BC6D41" w14:textId="77777777" w:rsidR="003F46B9" w:rsidRDefault="0065662E">
      <w:pPr>
        <w:spacing w:before="120" w:after="120" w:line="240" w:lineRule="auto"/>
        <w:jc w:val="both"/>
        <w:rPr>
          <w:rFonts w:ascii="Times New Roman" w:eastAsia="Arial" w:hAnsi="Times New Roman" w:cs="Times New Roman"/>
          <w:noProof/>
          <w:sz w:val="20"/>
        </w:rPr>
      </w:pPr>
      <w:r>
        <w:rPr>
          <w:noProof/>
        </w:rPr>
        <w:br/>
      </w:r>
    </w:p>
    <w:p w14:paraId="17B81FF9" w14:textId="77777777" w:rsidR="003F46B9" w:rsidRDefault="003F46B9">
      <w:pPr>
        <w:spacing w:before="120" w:after="120" w:line="240" w:lineRule="auto"/>
        <w:jc w:val="both"/>
        <w:rPr>
          <w:rFonts w:ascii="Times New Roman" w:eastAsia="Arial" w:hAnsi="Times New Roman" w:cs="Times New Roman"/>
          <w:noProof/>
          <w:sz w:val="20"/>
        </w:rPr>
      </w:pPr>
    </w:p>
    <w:p w14:paraId="0DAF4044" w14:textId="77777777" w:rsidR="003F46B9" w:rsidRDefault="003F46B9">
      <w:pPr>
        <w:spacing w:before="120" w:after="120" w:line="240" w:lineRule="auto"/>
        <w:jc w:val="both"/>
        <w:rPr>
          <w:rFonts w:ascii="Times New Roman" w:eastAsia="Arial" w:hAnsi="Times New Roman" w:cs="Times New Roman"/>
          <w:noProof/>
          <w:sz w:val="20"/>
        </w:rPr>
      </w:pPr>
    </w:p>
    <w:p w14:paraId="17413C02" w14:textId="77777777" w:rsidR="003F46B9" w:rsidRDefault="003F46B9">
      <w:pPr>
        <w:spacing w:before="120" w:after="120" w:line="240" w:lineRule="auto"/>
        <w:jc w:val="both"/>
        <w:rPr>
          <w:rFonts w:ascii="Times New Roman" w:eastAsia="Arial" w:hAnsi="Times New Roman" w:cs="Times New Roman"/>
          <w:noProof/>
          <w:sz w:val="20"/>
        </w:rPr>
        <w:sectPr w:rsidR="003F46B9">
          <w:headerReference w:type="even" r:id="rId259"/>
          <w:headerReference w:type="default" r:id="rId260"/>
          <w:footerReference w:type="even" r:id="rId261"/>
          <w:footerReference w:type="default" r:id="rId262"/>
          <w:headerReference w:type="first" r:id="rId263"/>
          <w:footerReference w:type="first" r:id="rId264"/>
          <w:pgSz w:w="16839" w:h="11907" w:orient="landscape"/>
          <w:pgMar w:top="1417" w:right="1134" w:bottom="1417" w:left="1134" w:header="709" w:footer="709" w:gutter="0"/>
          <w:cols w:space="720"/>
          <w:docGrid w:linePitch="360"/>
        </w:sectPr>
      </w:pPr>
    </w:p>
    <w:p w14:paraId="36B57D89"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SASTAVNICA 13.: Socijalne reforme</w:t>
      </w:r>
    </w:p>
    <w:p w14:paraId="6B9DC8A8" w14:textId="77777777" w:rsidR="003F46B9" w:rsidRDefault="0065662E">
      <w:pPr>
        <w:pStyle w:val="P68B1DB1-Normal5"/>
        <w:spacing w:before="120" w:after="120" w:line="240" w:lineRule="auto"/>
        <w:jc w:val="both"/>
        <w:rPr>
          <w:rFonts w:cs="Times New Roman"/>
          <w:noProof/>
        </w:rPr>
      </w:pPr>
      <w:r>
        <w:rPr>
          <w:noProof/>
        </w:rPr>
        <w:t xml:space="preserve">Ta komponenta uključuje niz reformi i ulaganja za jačanje socijalne sigurnosti u Rumunjskoj. </w:t>
      </w:r>
    </w:p>
    <w:p w14:paraId="1F27D7B5" w14:textId="77777777" w:rsidR="003F46B9" w:rsidRDefault="0065662E">
      <w:pPr>
        <w:pStyle w:val="P68B1DB1-Normal5"/>
        <w:spacing w:before="120" w:after="120" w:line="240" w:lineRule="auto"/>
        <w:jc w:val="both"/>
        <w:rPr>
          <w:rFonts w:cs="Times New Roman"/>
          <w:noProof/>
        </w:rPr>
      </w:pPr>
      <w:r>
        <w:rPr>
          <w:noProof/>
        </w:rPr>
        <w:t>Cilj je komponente pružiti potporu najranjivijim skupinama, uključujući radnike, djecu, osobe s invaliditetom, neaktivne i starije osobe povećanjem pristupa socijalnim uslugama. Reforme kojima se podupiru ulaganja uključuju regulatorne promjene za sprečava</w:t>
      </w:r>
      <w:r>
        <w:rPr>
          <w:noProof/>
        </w:rPr>
        <w:t>nje odvajanja djece od njihovih obitelji, rješavanje postupka deinstitucionalizacije osoba s invaliditetom, početak provedbe minimalnog dohotka za uključivanje, smanjenje neprijavljenog rada i omogućavanje neaktivnim osobama da pronađu posao. Mjerama se je</w:t>
      </w:r>
      <w:r>
        <w:rPr>
          <w:noProof/>
        </w:rPr>
        <w:t>dnako podupire reforma usluga dugotrajne skrbi za starije osobe, kao i uspostava objektivnog mehanizma određivanja minimalne plaće. Dodatna ulaganja odnose se na stvaranje mreže dnevnih centara za djecu u opasnosti od odvajanja, rehabilitacije i obnove soc</w:t>
      </w:r>
      <w:r>
        <w:rPr>
          <w:noProof/>
        </w:rPr>
        <w:t xml:space="preserve">ijalnih usluga osoba s invaliditetom, stvaranje digitalne platforme za provedbu sustava vaučera za radnike u kućanstvu te osnivanje centara za dnevnu skrb i rehabilitaciju za starije osobe. </w:t>
      </w:r>
    </w:p>
    <w:p w14:paraId="568B0C33" w14:textId="77777777" w:rsidR="003F46B9" w:rsidRDefault="0065662E">
      <w:pPr>
        <w:pStyle w:val="P68B1DB1-Normal5"/>
        <w:spacing w:before="120" w:after="120" w:line="240" w:lineRule="auto"/>
        <w:jc w:val="both"/>
        <w:rPr>
          <w:rFonts w:cs="Times New Roman"/>
          <w:noProof/>
        </w:rPr>
      </w:pPr>
      <w:r>
        <w:rPr>
          <w:noProof/>
        </w:rPr>
        <w:t>Ta ulaganja i reforme pridonijet će se ispunjavanju preporuka Rum</w:t>
      </w:r>
      <w:r>
        <w:rPr>
          <w:noProof/>
        </w:rPr>
        <w:t>unjske iz protekle dvije godine kako bi se „povećalo područje primjene i kvaliteta socijalnih usluga te dovršila reforma minimalnog dohotka za uključivanje” (3. preporuka za pojedinu zemlju, 2019.), „osiguralo određivanje minimalne plaće na temelju objekti</w:t>
      </w:r>
      <w:r>
        <w:rPr>
          <w:noProof/>
        </w:rPr>
        <w:t xml:space="preserve">vnih kriterija, u skladu s otvaranjem radnih mjesta i konkurentnošću” (3. preporuka za pojedinu zemlju, 2019.) i „proširene mjere socijalne zaštite i pristup osnovnim uslugama za sve” (2. preporuka za pojedinu zemlju iz 2020.). </w:t>
      </w:r>
    </w:p>
    <w:p w14:paraId="2F5FEB60" w14:textId="77777777" w:rsidR="003F46B9" w:rsidRDefault="0065662E">
      <w:pPr>
        <w:pStyle w:val="P68B1DB1-Normal5"/>
        <w:spacing w:before="120" w:after="120" w:line="240" w:lineRule="auto"/>
        <w:jc w:val="both"/>
        <w:rPr>
          <w:rFonts w:cs="Times New Roman"/>
          <w:noProof/>
        </w:rPr>
      </w:pPr>
      <w:r>
        <w:rPr>
          <w:noProof/>
        </w:rPr>
        <w:t>Očekuje se da se nijednom m</w:t>
      </w:r>
      <w:r>
        <w:rPr>
          <w:noProof/>
        </w:rPr>
        <w:t>jerom u ovoj komponenti ne nanosi znatna šteta okolišnim ciljevima u smislu članka 17. Uredbe (EU) 2020/852, uzimajući u obzir opis mjera i korake ublažavanja utvrđene u planu za oporavak i otpornost u skladu s Tehničkim smjernicama DNSH-a (2021/C58/01).</w:t>
      </w:r>
    </w:p>
    <w:p w14:paraId="0DD59C77"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M</w:t>
      </w:r>
      <w:r>
        <w:rPr>
          <w:rFonts w:ascii="Times New Roman" w:hAnsi="Times New Roman"/>
          <w:b/>
          <w:noProof/>
          <w:sz w:val="24"/>
        </w:rPr>
        <w:t xml:space="preserve">.1. </w:t>
      </w:r>
      <w:r>
        <w:rPr>
          <w:noProof/>
        </w:rPr>
        <w:tab/>
      </w:r>
      <w:r>
        <w:rPr>
          <w:rFonts w:ascii="Times New Roman" w:hAnsi="Times New Roman"/>
          <w:b/>
          <w:noProof/>
          <w:sz w:val="24"/>
        </w:rPr>
        <w:t>Opis reformi i ulaganja za programe bespovratne financijske potpore</w:t>
      </w:r>
    </w:p>
    <w:p w14:paraId="56E04BDC"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1. Stvaranje novog pravnog okvira za sprečavanje odvajanja djece od njihovih obitelji </w:t>
      </w:r>
    </w:p>
    <w:p w14:paraId="75CB0D76" w14:textId="77777777" w:rsidR="003F46B9" w:rsidRDefault="0065662E">
      <w:pPr>
        <w:pStyle w:val="P68B1DB1-Normal5"/>
        <w:spacing w:before="120" w:after="120" w:line="240" w:lineRule="auto"/>
        <w:jc w:val="both"/>
        <w:rPr>
          <w:rFonts w:cs="Times New Roman"/>
          <w:noProof/>
        </w:rPr>
      </w:pPr>
      <w:r>
        <w:rPr>
          <w:noProof/>
        </w:rPr>
        <w:t>Cilj je te reforme spriječiti odvajanje djece od njihovih obitelji, posebno u ranjivim o</w:t>
      </w:r>
      <w:r>
        <w:rPr>
          <w:noProof/>
        </w:rPr>
        <w:t>biteljima. Reforma se provodi stupanjem na snagu novog zakonodavnog akta kojim će se stvoriti okvir za provedbu mjera (uključujući, na primjer, savjetovanje i potporu roditeljima i djeci, dnevne centre za djecu kojoj prijeti rizik od odvajanja od roditelja</w:t>
      </w:r>
      <w:r>
        <w:rPr>
          <w:noProof/>
        </w:rPr>
        <w:t xml:space="preserve">, dnevne centre za djecu s teškoćama u razvoju) kako bi se učinkovito spriječilo odvajanje djeteta od obitelji i potpora obitelji u odgoju i skrbi za dijete kojem prijeti rizik od razdvajanja. Zakonodavni akt obuhvaća: utvrđeni stabilan izvor financiranja </w:t>
      </w:r>
      <w:r>
        <w:rPr>
          <w:noProof/>
        </w:rPr>
        <w:t>za mjere, mehanizam upravljanja s jasnim odgovornostima dodijeljenima javnim tijelima na nacionalnoj i lokalnoj razini te mehanizam isplate sredstava uvjetovan ključnim pokazateljima uspješnosti koji su povezani s ciljevima politike.</w:t>
      </w:r>
    </w:p>
    <w:p w14:paraId="09D06035" w14:textId="77777777" w:rsidR="003F46B9" w:rsidRDefault="0065662E">
      <w:pPr>
        <w:pStyle w:val="P68B1DB1-Normal5"/>
        <w:spacing w:before="120" w:after="120" w:line="240" w:lineRule="auto"/>
        <w:jc w:val="both"/>
        <w:rPr>
          <w:rFonts w:cs="Times New Roman"/>
          <w:noProof/>
        </w:rPr>
      </w:pPr>
      <w:r>
        <w:rPr>
          <w:noProof/>
        </w:rPr>
        <w:t xml:space="preserve">Provedba reforme mora </w:t>
      </w:r>
      <w:r>
        <w:rPr>
          <w:noProof/>
        </w:rPr>
        <w:t>biti dovršena do 30. lipnja 2026.</w:t>
      </w:r>
    </w:p>
    <w:p w14:paraId="1A0779F1" w14:textId="77777777" w:rsidR="003F46B9" w:rsidRDefault="0065662E">
      <w:pPr>
        <w:pStyle w:val="P68B1DB1-Standard6"/>
        <w:spacing w:before="240"/>
        <w:jc w:val="both"/>
        <w:rPr>
          <w:rFonts w:ascii="Times New Roman" w:eastAsiaTheme="majorEastAsia" w:hAnsi="Times New Roman" w:cs="Times New Roman"/>
          <w:noProof/>
        </w:rPr>
      </w:pPr>
      <w:r>
        <w:rPr>
          <w:noProof/>
        </w:rPr>
        <w:t>Reforma 2. Reforma sustava zaštite odraslih osoba s invaliditetom</w:t>
      </w:r>
    </w:p>
    <w:p w14:paraId="2BDDDE3B" w14:textId="77777777" w:rsidR="003F46B9" w:rsidRDefault="0065662E">
      <w:pPr>
        <w:pStyle w:val="P68B1DB1-Normal5"/>
        <w:spacing w:before="120" w:after="120" w:line="240" w:lineRule="auto"/>
        <w:jc w:val="both"/>
        <w:rPr>
          <w:rFonts w:cs="Times New Roman"/>
          <w:noProof/>
        </w:rPr>
      </w:pPr>
      <w:r>
        <w:rPr>
          <w:noProof/>
        </w:rPr>
        <w:t xml:space="preserve">Cilj je te reforme unaprijediti postupak deinstitucionalizacije za osobe s invaliditetom i spriječiti njihovu institucionalizaciju. </w:t>
      </w:r>
    </w:p>
    <w:p w14:paraId="79A34270" w14:textId="5459D30F" w:rsidR="003F46B9" w:rsidRDefault="0065662E">
      <w:pPr>
        <w:pStyle w:val="P68B1DB1-Normal5"/>
        <w:spacing w:before="120" w:after="120" w:line="240" w:lineRule="auto"/>
        <w:jc w:val="both"/>
        <w:rPr>
          <w:rFonts w:cs="Times New Roman"/>
          <w:noProof/>
        </w:rPr>
      </w:pPr>
      <w:r>
        <w:rPr>
          <w:noProof/>
        </w:rPr>
        <w:t>Reforma se provodi stup</w:t>
      </w:r>
      <w:r>
        <w:rPr>
          <w:noProof/>
        </w:rPr>
        <w:t>anjem na snagu zakonodavnog akta za odobrenje Vodiča za ubrzavanje procesa deinstitucionalizacije svih osoba s invaliditetom koje su trenutačno institucionalizirane kako bi se za svaku osobu definirao „neovisan način života”. Zakonodavni akt uključuje utvr</w:t>
      </w:r>
      <w:r>
        <w:rPr>
          <w:noProof/>
        </w:rPr>
        <w:t>đeni stabilan izvor financiranja za mjere planirane u smjernici, zajedno s mehanizmom isplate koji je uvjetovan postizanjem ključnih pokazatelja uspješnosti povezanih s ciljevima politike i upravljačke strukture s jasnim odgovornostima dodijeljenima javnim</w:t>
      </w:r>
      <w:r>
        <w:rPr>
          <w:noProof/>
        </w:rPr>
        <w:t xml:space="preserve"> tijelima na nacionalnoj i lokalnoj razini. Zakonodavni akt temelji se i na potpunom mapiranju pojedinačne situacije svih osoba s invaliditetom i trenutačno institucionaliziranog u Rumunjskoj s ciljem definiranja „neovisnog načina života” za svaku osobu, k</w:t>
      </w:r>
      <w:r>
        <w:rPr>
          <w:noProof/>
        </w:rPr>
        <w:t xml:space="preserve">oje neovisno tijelo/subjekt provodi u skladu s načelima vođenja predmeta. </w:t>
      </w:r>
    </w:p>
    <w:p w14:paraId="0738CE0F" w14:textId="77777777" w:rsidR="003F46B9" w:rsidRDefault="0065662E">
      <w:pPr>
        <w:pStyle w:val="P68B1DB1-Normal5"/>
        <w:spacing w:before="120" w:after="120" w:line="240" w:lineRule="auto"/>
        <w:jc w:val="both"/>
        <w:rPr>
          <w:rFonts w:cs="Times New Roman"/>
          <w:noProof/>
        </w:rPr>
      </w:pPr>
      <w:r>
        <w:rPr>
          <w:noProof/>
        </w:rPr>
        <w:t xml:space="preserve">Reforma o sprečavanju postupka institucionalizacije za osobe s invaliditetom provodi se stupanjem na snagu zakonodavnog akta kojim se provodi donesena Nacionalna strategija za </w:t>
      </w:r>
      <w:r>
        <w:rPr>
          <w:noProof/>
        </w:rPr>
        <w:t>sprečavanje institucionalizacije i mjera za „samostalan način života” za najveću moguću većinu svih osoba s invaliditetom.</w:t>
      </w:r>
    </w:p>
    <w:p w14:paraId="2945C33B" w14:textId="77777777" w:rsidR="003F46B9" w:rsidRDefault="0065662E">
      <w:pPr>
        <w:pStyle w:val="P68B1DB1-Normal5"/>
        <w:spacing w:after="0" w:line="240" w:lineRule="auto"/>
        <w:jc w:val="both"/>
        <w:rPr>
          <w:rFonts w:cs="Times New Roman"/>
          <w:noProof/>
        </w:rPr>
      </w:pPr>
      <w:r>
        <w:rPr>
          <w:noProof/>
        </w:rPr>
        <w:t>Provedba reforme mora biti dovršena do 30. lipnja 2026.</w:t>
      </w:r>
    </w:p>
    <w:p w14:paraId="745F8798" w14:textId="77777777" w:rsidR="003F46B9" w:rsidRDefault="0065662E">
      <w:pPr>
        <w:pStyle w:val="P68B1DB1-Standard6"/>
        <w:spacing w:before="240"/>
        <w:jc w:val="both"/>
        <w:rPr>
          <w:rFonts w:ascii="Times New Roman" w:eastAsiaTheme="majorEastAsia" w:hAnsi="Times New Roman" w:cs="Times New Roman"/>
          <w:noProof/>
        </w:rPr>
      </w:pPr>
      <w:r>
        <w:rPr>
          <w:noProof/>
        </w:rPr>
        <w:t>Reforma 3. Provedba minimalnog dohotka za uključivanje (VMI)</w:t>
      </w:r>
    </w:p>
    <w:p w14:paraId="0FE1D845" w14:textId="77777777" w:rsidR="003F46B9" w:rsidRDefault="0065662E">
      <w:pPr>
        <w:pStyle w:val="P68B1DB1-Normal5"/>
        <w:spacing w:before="120" w:after="120" w:line="240" w:lineRule="auto"/>
        <w:jc w:val="both"/>
        <w:rPr>
          <w:rFonts w:cs="Times New Roman"/>
          <w:noProof/>
        </w:rPr>
      </w:pPr>
      <w:r>
        <w:rPr>
          <w:noProof/>
        </w:rPr>
        <w:t>Cilj je ove refo</w:t>
      </w:r>
      <w:r>
        <w:rPr>
          <w:noProof/>
        </w:rPr>
        <w:t>rme poboljšati socijalnu pomoć i smanjiti siromaštvo najranjivijih skupina te istodobno smanjiti administrativno opterećenje za nacionalnu agenciju za plaćanja i socijalnu inspekciju, lokalne javne uprave i korisnike.</w:t>
      </w:r>
    </w:p>
    <w:p w14:paraId="663280E4" w14:textId="29BC982D" w:rsidR="003F46B9" w:rsidRDefault="0065662E">
      <w:pPr>
        <w:pStyle w:val="P68B1DB1-Normal5"/>
        <w:spacing w:before="120" w:after="120" w:line="240" w:lineRule="auto"/>
        <w:jc w:val="both"/>
        <w:rPr>
          <w:rFonts w:cs="Times New Roman"/>
          <w:noProof/>
        </w:rPr>
      </w:pPr>
      <w:r>
        <w:rPr>
          <w:noProof/>
        </w:rPr>
        <w:t xml:space="preserve">Reforma se provodi stupanjem na snagu </w:t>
      </w:r>
      <w:r>
        <w:rPr>
          <w:noProof/>
        </w:rPr>
        <w:t>zakonodavstva kojim se utvrđuju metodološka pravila za provedbu zakona o VMI-ju, zadržavajući pritom barem istu razinu primjerenosti naknada i uvjeta prihvatljivosti kao što je predviđeno Zakonom 196/2016, važećim primjenjivim zakonodavstvom, s ciljem sman</w:t>
      </w:r>
      <w:r>
        <w:rPr>
          <w:noProof/>
        </w:rPr>
        <w:t>jenja siromaštva, poticanja zapošljavanja poticajnim mjerama i povećanja stupnja obrazovanja. Plaćanje minimalnog dohotka za uključivanje financira se iz rumunjskog državnog proračuna. Digitalna platforma za potporu toj reformi razvija se u okviru sastavni</w:t>
      </w:r>
      <w:r>
        <w:rPr>
          <w:noProof/>
        </w:rPr>
        <w:t>ce 7. stupa II. Digitalna transformacija</w:t>
      </w:r>
    </w:p>
    <w:p w14:paraId="3A87A304" w14:textId="77777777" w:rsidR="003F46B9" w:rsidRDefault="0065662E">
      <w:pPr>
        <w:pStyle w:val="P68B1DB1-Normal5"/>
        <w:spacing w:after="0" w:line="240" w:lineRule="auto"/>
        <w:jc w:val="both"/>
        <w:rPr>
          <w:rFonts w:cs="Times New Roman"/>
          <w:noProof/>
        </w:rPr>
      </w:pPr>
      <w:r>
        <w:rPr>
          <w:noProof/>
        </w:rPr>
        <w:t>Provedba reforme mora biti dovršena do 30. lipnja 2025.</w:t>
      </w:r>
    </w:p>
    <w:p w14:paraId="0085916C"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Uvođenje radnih iskaznica i formalizacija rada radnika u kućanstvu</w:t>
      </w:r>
    </w:p>
    <w:p w14:paraId="1F287BDB" w14:textId="77777777" w:rsidR="003F46B9" w:rsidRDefault="0065662E">
      <w:pPr>
        <w:pStyle w:val="P68B1DB1-Normal5"/>
        <w:spacing w:before="120" w:after="120" w:line="240" w:lineRule="auto"/>
        <w:jc w:val="both"/>
        <w:rPr>
          <w:rFonts w:cs="Times New Roman"/>
          <w:noProof/>
        </w:rPr>
      </w:pPr>
      <w:r>
        <w:rPr>
          <w:noProof/>
        </w:rPr>
        <w:t xml:space="preserve">Cilj je te reforme smanjiti neprijavljeni rad, pružiti poticaje za formalizaciju </w:t>
      </w:r>
      <w:r>
        <w:rPr>
          <w:noProof/>
        </w:rPr>
        <w:t>rada i omogućiti neaktivnim osobama da pronađu posao.</w:t>
      </w:r>
    </w:p>
    <w:p w14:paraId="6F244D0F" w14:textId="77777777" w:rsidR="003F46B9" w:rsidRDefault="0065662E">
      <w:pPr>
        <w:pStyle w:val="P68B1DB1-Normal5"/>
        <w:spacing w:before="120" w:after="120" w:line="240" w:lineRule="auto"/>
        <w:jc w:val="both"/>
        <w:rPr>
          <w:rFonts w:cs="Times New Roman"/>
          <w:noProof/>
        </w:rPr>
      </w:pPr>
      <w:r>
        <w:rPr>
          <w:noProof/>
        </w:rPr>
        <w:t xml:space="preserve">Reforma se provodi stupanjem na snagu zakonodavnog akta o uspostavi sustava vaučera za rad kako bi se potaknulo formalno zapošljavanje. Tim bi se sustavom vaučera trebali stvoriti poticaji za otvaranje </w:t>
      </w:r>
      <w:r>
        <w:rPr>
          <w:noProof/>
        </w:rPr>
        <w:t xml:space="preserve">formalnog zaposlenja za radnike u kućanstvu koji su trenutačno prijavljeni kao nezaposleni ili neaktivni. Reformom se nastoji uspostaviti sustav plaćanja i registracije osoba koje obavljaju domaće djelatnosti na temelju vrijednosnih kupona za rad, koje je </w:t>
      </w:r>
      <w:r>
        <w:rPr>
          <w:noProof/>
        </w:rPr>
        <w:t>kupio primatelj, a zatim ih pružatelj usluga kućanstva zamijenio za novac, nakon odbitka povezanih doprinosa, čime se stječe status osigurane osobe u sustavu socijalnog osiguranja i zdravstvenog osiguranja.</w:t>
      </w:r>
    </w:p>
    <w:p w14:paraId="5EAD2F3F" w14:textId="77777777" w:rsidR="003F46B9" w:rsidRDefault="0065662E">
      <w:pPr>
        <w:pStyle w:val="P68B1DB1-Normal5"/>
        <w:spacing w:after="0" w:line="240" w:lineRule="auto"/>
        <w:jc w:val="both"/>
        <w:rPr>
          <w:rFonts w:cs="Times New Roman"/>
          <w:noProof/>
        </w:rPr>
      </w:pPr>
      <w:r>
        <w:rPr>
          <w:noProof/>
        </w:rPr>
        <w:t>Provedba reforme mora biti dovršena do 30. ožujka</w:t>
      </w:r>
      <w:r>
        <w:rPr>
          <w:noProof/>
        </w:rPr>
        <w:t xml:space="preserve"> 2026.</w:t>
      </w:r>
    </w:p>
    <w:p w14:paraId="34FA709C" w14:textId="77777777" w:rsidR="003F46B9" w:rsidRDefault="0065662E">
      <w:pPr>
        <w:pStyle w:val="P68B1DB1-Standard6"/>
        <w:spacing w:before="240"/>
        <w:jc w:val="both"/>
        <w:rPr>
          <w:rFonts w:ascii="Times New Roman" w:eastAsiaTheme="majorEastAsia" w:hAnsi="Times New Roman" w:cs="Times New Roman"/>
          <w:noProof/>
        </w:rPr>
      </w:pPr>
      <w:r>
        <w:rPr>
          <w:noProof/>
        </w:rPr>
        <w:t>Reforma 5. Osigurati određivanje minimalne plaće</w:t>
      </w:r>
    </w:p>
    <w:p w14:paraId="06BED9A8" w14:textId="77777777" w:rsidR="003F46B9" w:rsidRDefault="0065662E">
      <w:pPr>
        <w:pStyle w:val="P68B1DB1-Normal5"/>
        <w:spacing w:before="120" w:after="120" w:line="240" w:lineRule="auto"/>
        <w:jc w:val="both"/>
        <w:rPr>
          <w:rFonts w:cs="Times New Roman"/>
          <w:noProof/>
        </w:rPr>
      </w:pPr>
      <w:r>
        <w:rPr>
          <w:noProof/>
        </w:rPr>
        <w:t>Cilj je reforme uspostaviti mehanizam određivanja minimalne plaće koji se temelji na objektivnim kriterijima i usklađen je s otvaranjem radnih mjesta i konkurentnošću zemlje.</w:t>
      </w:r>
    </w:p>
    <w:p w14:paraId="62B0B25C" w14:textId="77777777" w:rsidR="003F46B9" w:rsidRDefault="0065662E">
      <w:pPr>
        <w:pStyle w:val="P68B1DB1-Normal5"/>
        <w:spacing w:before="120" w:after="120" w:line="240" w:lineRule="auto"/>
        <w:jc w:val="both"/>
        <w:rPr>
          <w:rFonts w:cs="Times New Roman"/>
          <w:noProof/>
        </w:rPr>
      </w:pPr>
      <w:r>
        <w:rPr>
          <w:noProof/>
        </w:rPr>
        <w:t>Reforma se provodi stupan</w:t>
      </w:r>
      <w:r>
        <w:rPr>
          <w:noProof/>
        </w:rPr>
        <w:t xml:space="preserve">jem na snagu zakonodavnog akta kojim se uspostavlja novi mehanizam i formula za objektivno i sustavno utvrđivanje razine minimalne plaće, uz savjetovanje sa socijalnim partnerima i uzimajući u obzir djelovanja Unije. </w:t>
      </w:r>
    </w:p>
    <w:p w14:paraId="2FB75355" w14:textId="77777777" w:rsidR="003F46B9" w:rsidRDefault="0065662E">
      <w:pPr>
        <w:pStyle w:val="P68B1DB1-Normal5"/>
        <w:spacing w:before="120" w:after="120" w:line="240" w:lineRule="auto"/>
        <w:jc w:val="both"/>
        <w:rPr>
          <w:rFonts w:cs="Times New Roman"/>
          <w:noProof/>
        </w:rPr>
      </w:pPr>
      <w:r>
        <w:rPr>
          <w:noProof/>
        </w:rPr>
        <w:t>Provedba reforme mora biti dovršena do</w:t>
      </w:r>
      <w:r>
        <w:rPr>
          <w:noProof/>
        </w:rPr>
        <w:t xml:space="preserve"> 30. ožujka 2024.</w:t>
      </w:r>
    </w:p>
    <w:p w14:paraId="2704AA8A" w14:textId="77777777" w:rsidR="003F46B9" w:rsidRDefault="0065662E">
      <w:pPr>
        <w:pStyle w:val="P68B1DB1-Standard6"/>
        <w:spacing w:before="240"/>
        <w:jc w:val="both"/>
        <w:rPr>
          <w:rFonts w:ascii="Times New Roman" w:eastAsiaTheme="majorEastAsia" w:hAnsi="Times New Roman" w:cs="Times New Roman"/>
          <w:i/>
          <w:noProof/>
        </w:rPr>
      </w:pPr>
      <w:r>
        <w:rPr>
          <w:noProof/>
        </w:rPr>
        <w:t xml:space="preserve">Ulaganje 1. Stvaranje mreže dnevnih centara za djecu kojoj prijeti odvajanje </w:t>
      </w:r>
    </w:p>
    <w:p w14:paraId="790F2E9F" w14:textId="77777777" w:rsidR="003F46B9" w:rsidRDefault="0065662E">
      <w:pPr>
        <w:pStyle w:val="P68B1DB1-Normal5"/>
        <w:spacing w:before="120" w:after="120" w:line="240" w:lineRule="auto"/>
        <w:jc w:val="both"/>
        <w:rPr>
          <w:rFonts w:cs="Times New Roman"/>
          <w:noProof/>
        </w:rPr>
      </w:pPr>
      <w:r>
        <w:rPr>
          <w:noProof/>
        </w:rPr>
        <w:t>Cilj je tog ulaganja spriječiti odvajanje djece od njihove obitelji. Prije ulaganja potrebe djece i obitelji mapiraju se s dostupnim uslugama i infrastrukturnim</w:t>
      </w:r>
      <w:r>
        <w:rPr>
          <w:noProof/>
        </w:rPr>
        <w:t xml:space="preserve"> objektima za djecu kojoj prijeti rizik od odvajanja od obitelji, posebno u ranjivim zajednicama. Ulaganje se sastoji od početka rada mreže od 150 centara za dnevnu službu, najmanje 10 % u zajednicama sa znatnim brojem romskog stanovništva, kako bi se spri</w:t>
      </w:r>
      <w:r>
        <w:rPr>
          <w:noProof/>
        </w:rPr>
        <w:t xml:space="preserve">ječilo odvajanje djece od njihovih obitelji. Od 150 dnevnih servisnih centara, 145 mora ispunjavati zahtjeve za zgrade gotovo nulte energije u skladu s nacionalnim smjernicama. 5 mora biti u skladu s ciljem postizanja potražnje za primarnom energijom koja </w:t>
      </w:r>
      <w:r>
        <w:rPr>
          <w:noProof/>
        </w:rPr>
        <w:t>je najmanje 20 % niža od zahtjeva za zgradu gotovo nulte energije u skladu s nacionalnim smjernicama, što se osigurava energetskim certifikatima.</w:t>
      </w:r>
    </w:p>
    <w:p w14:paraId="567C7655"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31. prosinca 2024. </w:t>
      </w:r>
    </w:p>
    <w:p w14:paraId="7FD47C5B"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Sanacija, obnova i razvoj socijalne in</w:t>
      </w:r>
      <w:r>
        <w:rPr>
          <w:noProof/>
        </w:rPr>
        <w:t>frastrukture za osobe s invaliditetom</w:t>
      </w:r>
    </w:p>
    <w:p w14:paraId="15B3BB54" w14:textId="36602B31" w:rsidR="003F46B9" w:rsidRDefault="0065662E">
      <w:pPr>
        <w:pStyle w:val="P68B1DB1-Normal5"/>
        <w:spacing w:before="120" w:after="120" w:line="240" w:lineRule="auto"/>
        <w:jc w:val="both"/>
        <w:rPr>
          <w:rFonts w:cs="Times New Roman"/>
          <w:noProof/>
        </w:rPr>
      </w:pPr>
      <w:r>
        <w:rPr>
          <w:noProof/>
        </w:rPr>
        <w:t>Cilj je tog ulaganja poboljšati socijalne usluge koje se pružaju osobama s invaliditetom kako bi se pružila potpora njihovoj deinstitucionalizaciji. Ulaganjima se omogućuje početak rada 55 novih usluga u zajednici za o</w:t>
      </w:r>
      <w:r>
        <w:rPr>
          <w:noProof/>
        </w:rPr>
        <w:t>sobe s invaliditetom (dnevni centri, službe za pomoć i potporu te centri za neuromotornu rehabilitaciju pacijenata) kojima će se osigurati aktivnosti za najmanje 4870 osoba s invaliditetom u četiri godine kako bi se osigurao samostalan život. Od 55 novih u</w:t>
      </w:r>
      <w:r>
        <w:rPr>
          <w:noProof/>
        </w:rPr>
        <w:t>sluga u zajednici 45 su nove zgrade gotovo nulte energije (NZEB), u skladu s nacionalnim smjernicama. 10 mora biti u skladu s ciljem postizanja potražnje za primarnom energijom koja je najmanje 20 % niža od zahtjeva za zgradu gotovo nulte energije u skladu</w:t>
      </w:r>
      <w:r>
        <w:rPr>
          <w:noProof/>
        </w:rPr>
        <w:t xml:space="preserve"> s nacionalnim smjernicama, što se osigurava energetskim certifikatima. Isto tako, ulaganjem će se omogućiti modernizacija dodatnih 50 društvenih centara (dnevni centri i neuromotorni centri za oporavak za osobe s invaliditetom) putem nacionalnog programa </w:t>
      </w:r>
      <w:r>
        <w:rPr>
          <w:noProof/>
        </w:rPr>
        <w:t>za financiranje ulaganja kao što su rehabilitacija, konsolidacija, modernizacija i pružanje usluga u zajednici. Nakon toga 25-dnevnih centara i 25 centara za oporavak neuromobilnosti izvan pacijenta započinju s radom putem otvorenog poziva za pružanje javn</w:t>
      </w:r>
      <w:r>
        <w:rPr>
          <w:noProof/>
        </w:rPr>
        <w:t>ih socijalnih usluga koje ispunjavaju kriterije prihvatljivosti za ta ulaganja, uključujući uvjet za smještaj najmanje 1000 osoba s invaliditetom godišnje.</w:t>
      </w:r>
    </w:p>
    <w:p w14:paraId="2B263A31"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31. prosinca 2025. </w:t>
      </w:r>
    </w:p>
    <w:p w14:paraId="749337E0"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3. Operacionalizacija uvođenja </w:t>
      </w:r>
      <w:r>
        <w:rPr>
          <w:noProof/>
        </w:rPr>
        <w:t xml:space="preserve">radnih iskaznica za rad u kućanstvu </w:t>
      </w:r>
    </w:p>
    <w:p w14:paraId="4ED3708E" w14:textId="77777777" w:rsidR="003F46B9" w:rsidRDefault="0065662E">
      <w:pPr>
        <w:pStyle w:val="P68B1DB1-Normal5"/>
        <w:spacing w:before="120" w:after="120" w:line="240" w:lineRule="auto"/>
        <w:jc w:val="both"/>
        <w:rPr>
          <w:rFonts w:cs="Times New Roman"/>
          <w:noProof/>
        </w:rPr>
      </w:pPr>
      <w:r>
        <w:rPr>
          <w:noProof/>
        </w:rPr>
        <w:t>Cilj je tog ulaganja operacionalizirati sustav vaučera za rad osiguravanjem jednostavnog i digitalnog pristupa za sve korisnike: radnici i korisnici usluga.</w:t>
      </w:r>
    </w:p>
    <w:p w14:paraId="2091CBE2" w14:textId="77777777" w:rsidR="003F46B9" w:rsidRDefault="0065662E">
      <w:pPr>
        <w:pStyle w:val="P68B1DB1-Normal5"/>
        <w:spacing w:before="120" w:after="120" w:line="240" w:lineRule="auto"/>
        <w:jc w:val="both"/>
        <w:rPr>
          <w:rFonts w:cs="Times New Roman"/>
          <w:noProof/>
        </w:rPr>
      </w:pPr>
      <w:r>
        <w:rPr>
          <w:noProof/>
        </w:rPr>
        <w:t xml:space="preserve">Ulaganjem se Rumunjskoj nacionalnoj agenciji za zapošljavanje </w:t>
      </w:r>
      <w:r>
        <w:rPr>
          <w:noProof/>
        </w:rPr>
        <w:t>(ANOFM) omogućuje da osigura funkcionalnu digitalnu platformu za vaučere za radnike u kućanstvu i upravlja njome, za koju se očekuje da će omogućiti, među ostalim: digitalno izvršavanje svih transakcija povezanih s vaučerima (kao što su kupnja, kodiranje r</w:t>
      </w:r>
      <w:r>
        <w:rPr>
          <w:noProof/>
        </w:rPr>
        <w:t>adnog vremena), unošenje podataka o aktivnostima radnika u kućanstvu (kao što su broj sati, vrsta obavljene djelatnosti u kućanstvu) i osiguravanje interoperabilnosti s drugim relevantnim bazama podataka (kao što su Ministarstvo financija, Ministarstvo rad</w:t>
      </w:r>
      <w:r>
        <w:rPr>
          <w:noProof/>
        </w:rPr>
        <w:t xml:space="preserve">a i socijalne zaštite, baze podataka javnih službi za zapošljavanje). </w:t>
      </w:r>
    </w:p>
    <w:p w14:paraId="14475DD8"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2023.</w:t>
      </w:r>
    </w:p>
    <w:p w14:paraId="10E7D88D" w14:textId="77777777" w:rsidR="003F46B9" w:rsidRDefault="003F46B9">
      <w:pPr>
        <w:spacing w:before="120" w:after="120" w:line="240" w:lineRule="auto"/>
        <w:jc w:val="both"/>
        <w:rPr>
          <w:rFonts w:ascii="Times New Roman" w:hAnsi="Times New Roman" w:cs="Times New Roman"/>
          <w:noProof/>
          <w:sz w:val="24"/>
        </w:rPr>
      </w:pPr>
    </w:p>
    <w:p w14:paraId="296B4BBA"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265"/>
          <w:headerReference w:type="default" r:id="rId266"/>
          <w:footerReference w:type="even" r:id="rId267"/>
          <w:footerReference w:type="default" r:id="rId268"/>
          <w:headerReference w:type="first" r:id="rId269"/>
          <w:footerReference w:type="first" r:id="rId270"/>
          <w:pgSz w:w="11906" w:h="16838"/>
          <w:pgMar w:top="1440" w:right="1440" w:bottom="1440" w:left="1440" w:header="708" w:footer="708" w:gutter="0"/>
          <w:cols w:space="708"/>
          <w:docGrid w:linePitch="360"/>
        </w:sectPr>
      </w:pPr>
    </w:p>
    <w:p w14:paraId="1444E262"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M.2. </w:t>
      </w:r>
      <w:r>
        <w:rPr>
          <w:noProof/>
        </w:rPr>
        <w:tab/>
      </w:r>
      <w:r>
        <w:rPr>
          <w:rFonts w:ascii="Times New Roman" w:hAnsi="Times New Roman"/>
          <w:b/>
          <w:noProof/>
          <w:sz w:val="24"/>
        </w:rPr>
        <w:t xml:space="preserve">Ključne etape, ciljne vrijednosti i vremenski raspored za praćenje </w:t>
      </w:r>
      <w:r>
        <w:rPr>
          <w:rFonts w:ascii="Times New Roman" w:hAnsi="Times New Roman"/>
          <w:b/>
          <w:noProof/>
          <w:sz w:val="24"/>
        </w:rPr>
        <w:t>i provedbu programa bespovratne financijske potpore</w:t>
      </w:r>
    </w:p>
    <w:tbl>
      <w:tblPr>
        <w:tblW w:w="15387" w:type="dxa"/>
        <w:jc w:val="center"/>
        <w:tblLayout w:type="fixed"/>
        <w:tblLook w:val="04A0" w:firstRow="1" w:lastRow="0" w:firstColumn="1" w:lastColumn="0" w:noHBand="0" w:noVBand="1"/>
      </w:tblPr>
      <w:tblGrid>
        <w:gridCol w:w="988"/>
        <w:gridCol w:w="1842"/>
        <w:gridCol w:w="1216"/>
        <w:gridCol w:w="1619"/>
        <w:gridCol w:w="1843"/>
        <w:gridCol w:w="1123"/>
        <w:gridCol w:w="1145"/>
        <w:gridCol w:w="851"/>
        <w:gridCol w:w="1242"/>
        <w:gridCol w:w="825"/>
        <w:gridCol w:w="2693"/>
      </w:tblGrid>
      <w:tr w:rsidR="003F46B9" w14:paraId="3BC0FB8B" w14:textId="77777777">
        <w:trPr>
          <w:trHeight w:val="774"/>
          <w:tblHeader/>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AD8BD7"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DA8075"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7F0209"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97E04EF"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9033CC" w14:textId="290A20DA"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11FCCF7" w14:textId="4EF6FB4B"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2067" w:type="dxa"/>
            <w:gridSpan w:val="2"/>
            <w:tcBorders>
              <w:top w:val="single" w:sz="4" w:space="0" w:color="auto"/>
              <w:left w:val="nil"/>
              <w:bottom w:val="single" w:sz="4" w:space="0" w:color="auto"/>
              <w:right w:val="single" w:sz="4" w:space="0" w:color="auto"/>
            </w:tcBorders>
            <w:shd w:val="clear" w:color="auto" w:fill="BDD7EE"/>
            <w:vAlign w:val="center"/>
            <w:hideMark/>
          </w:tcPr>
          <w:p w14:paraId="0C06C785" w14:textId="77777777" w:rsidR="003F46B9" w:rsidRDefault="0065662E">
            <w:pPr>
              <w:pStyle w:val="P68B1DB1-Normal1"/>
              <w:spacing w:after="0" w:line="240" w:lineRule="auto"/>
              <w:jc w:val="center"/>
              <w:rPr>
                <w:rFonts w:eastAsia="Times New Roman" w:cs="Times New Roman"/>
                <w:noProof/>
              </w:rPr>
            </w:pPr>
            <w:r>
              <w:rPr>
                <w:noProof/>
              </w:rPr>
              <w:t>Okvirni vremenski okvir za dovrše</w:t>
            </w:r>
            <w:r>
              <w:rPr>
                <w:noProof/>
              </w:rPr>
              <w:t>tak</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B20FE19"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3560533A" w14:textId="77777777">
        <w:trPr>
          <w:trHeight w:val="404"/>
          <w:tblHeade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7EE413" w14:textId="77777777" w:rsidR="003F46B9" w:rsidRDefault="003F46B9">
            <w:pPr>
              <w:spacing w:after="0" w:line="240" w:lineRule="auto"/>
              <w:jc w:val="both"/>
              <w:rPr>
                <w:rFonts w:ascii="Times New Roman" w:eastAsia="Times New Roman" w:hAnsi="Times New Roman" w:cs="Times New Roman"/>
                <w:b/>
                <w:noProof/>
                <w:sz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000B247" w14:textId="77777777" w:rsidR="003F46B9" w:rsidRDefault="003F46B9">
            <w:pPr>
              <w:spacing w:after="0" w:line="240" w:lineRule="auto"/>
              <w:jc w:val="both"/>
              <w:rPr>
                <w:rFonts w:ascii="Times New Roman" w:eastAsia="Times New Roman" w:hAnsi="Times New Roman" w:cs="Times New Roman"/>
                <w:b/>
                <w:noProof/>
                <w:sz w:val="24"/>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5C40D8E" w14:textId="77777777" w:rsidR="003F46B9" w:rsidRDefault="003F46B9">
            <w:pPr>
              <w:spacing w:after="0" w:line="240" w:lineRule="auto"/>
              <w:jc w:val="both"/>
              <w:rPr>
                <w:rFonts w:ascii="Times New Roman" w:eastAsia="Times New Roman" w:hAnsi="Times New Roman" w:cs="Times New Roman"/>
                <w:b/>
                <w:noProof/>
                <w:sz w:val="24"/>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5D48F087" w14:textId="77777777" w:rsidR="003F46B9" w:rsidRDefault="003F46B9">
            <w:pPr>
              <w:spacing w:after="0" w:line="240" w:lineRule="auto"/>
              <w:jc w:val="both"/>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240531E" w14:textId="77777777" w:rsidR="003F46B9" w:rsidRDefault="003F46B9">
            <w:pPr>
              <w:spacing w:after="0" w:line="240" w:lineRule="auto"/>
              <w:jc w:val="both"/>
              <w:rPr>
                <w:rFonts w:ascii="Times New Roman" w:eastAsia="Times New Roman" w:hAnsi="Times New Roman" w:cs="Times New Roman"/>
                <w:b/>
                <w:noProof/>
                <w:sz w:val="24"/>
              </w:rPr>
            </w:pPr>
          </w:p>
        </w:tc>
        <w:tc>
          <w:tcPr>
            <w:tcW w:w="1123" w:type="dxa"/>
            <w:tcBorders>
              <w:top w:val="nil"/>
              <w:left w:val="single" w:sz="4" w:space="0" w:color="auto"/>
              <w:bottom w:val="single" w:sz="4" w:space="0" w:color="auto"/>
              <w:right w:val="single" w:sz="4" w:space="0" w:color="auto"/>
            </w:tcBorders>
            <w:shd w:val="clear" w:color="auto" w:fill="BDD7EE"/>
            <w:vAlign w:val="center"/>
            <w:hideMark/>
          </w:tcPr>
          <w:p w14:paraId="08C18B35"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145" w:type="dxa"/>
            <w:tcBorders>
              <w:top w:val="nil"/>
              <w:left w:val="nil"/>
              <w:bottom w:val="single" w:sz="4" w:space="0" w:color="auto"/>
              <w:right w:val="single" w:sz="4" w:space="0" w:color="auto"/>
            </w:tcBorders>
            <w:shd w:val="clear" w:color="auto" w:fill="BDD7EE"/>
            <w:vAlign w:val="center"/>
            <w:hideMark/>
          </w:tcPr>
          <w:p w14:paraId="0406138D" w14:textId="77777777" w:rsidR="003F46B9" w:rsidRDefault="0065662E">
            <w:pPr>
              <w:pStyle w:val="P68B1DB1-Normal1"/>
              <w:spacing w:after="0" w:line="240" w:lineRule="auto"/>
              <w:jc w:val="both"/>
              <w:rPr>
                <w:rFonts w:eastAsia="Times New Roman" w:cs="Times New Roman"/>
                <w:noProof/>
              </w:rPr>
            </w:pPr>
            <w:r>
              <w:rPr>
                <w:noProof/>
              </w:rPr>
              <w:t xml:space="preserve">Osnovna vrijednost </w:t>
            </w:r>
          </w:p>
        </w:tc>
        <w:tc>
          <w:tcPr>
            <w:tcW w:w="851" w:type="dxa"/>
            <w:tcBorders>
              <w:top w:val="nil"/>
              <w:left w:val="nil"/>
              <w:bottom w:val="single" w:sz="4" w:space="0" w:color="auto"/>
              <w:right w:val="single" w:sz="4" w:space="0" w:color="auto"/>
            </w:tcBorders>
            <w:shd w:val="clear" w:color="auto" w:fill="BDD7EE"/>
            <w:vAlign w:val="center"/>
            <w:hideMark/>
          </w:tcPr>
          <w:p w14:paraId="7828AA89" w14:textId="77777777" w:rsidR="003F46B9" w:rsidRDefault="0065662E">
            <w:pPr>
              <w:pStyle w:val="P68B1DB1-Normal1"/>
              <w:spacing w:after="0" w:line="240" w:lineRule="auto"/>
              <w:jc w:val="center"/>
              <w:rPr>
                <w:rFonts w:eastAsia="Times New Roman" w:cs="Times New Roman"/>
                <w:noProof/>
              </w:rPr>
            </w:pPr>
            <w:r>
              <w:rPr>
                <w:noProof/>
              </w:rPr>
              <w:t>Cilj</w:t>
            </w:r>
          </w:p>
        </w:tc>
        <w:tc>
          <w:tcPr>
            <w:tcW w:w="1242" w:type="dxa"/>
            <w:tcBorders>
              <w:top w:val="nil"/>
              <w:left w:val="nil"/>
              <w:bottom w:val="single" w:sz="4" w:space="0" w:color="auto"/>
              <w:right w:val="single" w:sz="4" w:space="0" w:color="auto"/>
            </w:tcBorders>
            <w:shd w:val="clear" w:color="auto" w:fill="BDD7EE"/>
            <w:vAlign w:val="center"/>
            <w:hideMark/>
          </w:tcPr>
          <w:p w14:paraId="4B235151" w14:textId="77777777" w:rsidR="003F46B9" w:rsidRDefault="0065662E">
            <w:pPr>
              <w:pStyle w:val="P68B1DB1-Normal1"/>
              <w:spacing w:after="0" w:line="240" w:lineRule="auto"/>
              <w:jc w:val="both"/>
              <w:rPr>
                <w:rFonts w:eastAsia="Times New Roman"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BDD7EE"/>
            <w:vAlign w:val="center"/>
            <w:hideMark/>
          </w:tcPr>
          <w:p w14:paraId="24F35A88" w14:textId="77777777" w:rsidR="003F46B9" w:rsidRDefault="0065662E">
            <w:pPr>
              <w:pStyle w:val="P68B1DB1-Normal1"/>
              <w:spacing w:after="0" w:line="240" w:lineRule="auto"/>
              <w:jc w:val="both"/>
              <w:rPr>
                <w:rFonts w:eastAsia="Times New Roman" w:cs="Times New Roman"/>
                <w:noProof/>
              </w:rPr>
            </w:pPr>
            <w:r>
              <w:rPr>
                <w:noProof/>
              </w:rPr>
              <w:t>Godina</w:t>
            </w:r>
          </w:p>
        </w:tc>
        <w:tc>
          <w:tcPr>
            <w:tcW w:w="2693" w:type="dxa"/>
            <w:vMerge/>
            <w:tcBorders>
              <w:top w:val="single" w:sz="4" w:space="0" w:color="auto"/>
              <w:bottom w:val="single" w:sz="4" w:space="0" w:color="auto"/>
              <w:right w:val="single" w:sz="4" w:space="0" w:color="auto"/>
            </w:tcBorders>
            <w:vAlign w:val="center"/>
            <w:hideMark/>
          </w:tcPr>
          <w:p w14:paraId="26E4DF89"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67437DB3" w14:textId="77777777">
        <w:trPr>
          <w:trHeight w:val="309"/>
          <w:jc w:val="center"/>
        </w:trPr>
        <w:tc>
          <w:tcPr>
            <w:tcW w:w="988" w:type="dxa"/>
            <w:tcBorders>
              <w:top w:val="single" w:sz="4" w:space="0" w:color="auto"/>
              <w:left w:val="single" w:sz="4" w:space="0" w:color="auto"/>
              <w:bottom w:val="single" w:sz="4" w:space="0" w:color="auto"/>
              <w:right w:val="single" w:sz="4" w:space="0" w:color="auto"/>
            </w:tcBorders>
            <w:shd w:val="clear" w:color="auto" w:fill="C6EFCE"/>
            <w:noWrap/>
            <w:hideMark/>
          </w:tcPr>
          <w:p w14:paraId="4B65A459" w14:textId="77777777" w:rsidR="003F46B9" w:rsidRDefault="0065662E">
            <w:pPr>
              <w:pStyle w:val="P68B1DB1-Normal5"/>
              <w:spacing w:after="0" w:line="240" w:lineRule="auto"/>
              <w:jc w:val="center"/>
              <w:rPr>
                <w:rFonts w:eastAsia="Times New Roman" w:cs="Times New Roman"/>
                <w:noProof/>
              </w:rPr>
            </w:pPr>
            <w:r>
              <w:rPr>
                <w:noProof/>
              </w:rPr>
              <w:t>378</w:t>
            </w:r>
          </w:p>
        </w:tc>
        <w:tc>
          <w:tcPr>
            <w:tcW w:w="1842" w:type="dxa"/>
            <w:tcBorders>
              <w:top w:val="single" w:sz="4" w:space="0" w:color="auto"/>
              <w:left w:val="nil"/>
              <w:bottom w:val="single" w:sz="4" w:space="0" w:color="auto"/>
              <w:right w:val="single" w:sz="4" w:space="0" w:color="auto"/>
            </w:tcBorders>
            <w:shd w:val="clear" w:color="auto" w:fill="C6EFCE"/>
            <w:noWrap/>
            <w:hideMark/>
          </w:tcPr>
          <w:p w14:paraId="155EC0BA" w14:textId="77777777" w:rsidR="003F46B9" w:rsidRDefault="0065662E">
            <w:pPr>
              <w:pStyle w:val="P68B1DB1-Normal5"/>
              <w:spacing w:after="0" w:line="240" w:lineRule="auto"/>
              <w:jc w:val="both"/>
              <w:rPr>
                <w:rFonts w:eastAsia="Times New Roman" w:cs="Times New Roman"/>
                <w:noProof/>
              </w:rPr>
            </w:pPr>
            <w:r>
              <w:rPr>
                <w:noProof/>
              </w:rPr>
              <w:t>Reforma 1. Stvaranje novog pravnog okvira za sprečavanje odvajanja djece od njihovih obitelji</w:t>
            </w:r>
          </w:p>
        </w:tc>
        <w:tc>
          <w:tcPr>
            <w:tcW w:w="1216" w:type="dxa"/>
            <w:tcBorders>
              <w:top w:val="single" w:sz="4" w:space="0" w:color="auto"/>
              <w:left w:val="nil"/>
              <w:bottom w:val="single" w:sz="4" w:space="0" w:color="auto"/>
              <w:right w:val="single" w:sz="4" w:space="0" w:color="auto"/>
            </w:tcBorders>
            <w:shd w:val="clear" w:color="auto" w:fill="C6EFCE"/>
            <w:noWrap/>
            <w:hideMark/>
          </w:tcPr>
          <w:p w14:paraId="6F14639A"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19" w:type="dxa"/>
            <w:tcBorders>
              <w:top w:val="single" w:sz="4" w:space="0" w:color="auto"/>
              <w:left w:val="nil"/>
              <w:bottom w:val="single" w:sz="4" w:space="0" w:color="auto"/>
              <w:right w:val="single" w:sz="4" w:space="0" w:color="auto"/>
            </w:tcBorders>
            <w:shd w:val="clear" w:color="auto" w:fill="C6EFCE"/>
            <w:noWrap/>
            <w:hideMark/>
          </w:tcPr>
          <w:p w14:paraId="7C3E0872" w14:textId="77777777" w:rsidR="003F46B9" w:rsidRDefault="0065662E">
            <w:pPr>
              <w:pStyle w:val="P68B1DB1-Normal5"/>
              <w:spacing w:after="0" w:line="240" w:lineRule="auto"/>
              <w:jc w:val="both"/>
              <w:rPr>
                <w:rFonts w:eastAsia="Times New Roman" w:cs="Times New Roman"/>
                <w:noProof/>
              </w:rPr>
            </w:pPr>
            <w:r>
              <w:rPr>
                <w:noProof/>
              </w:rPr>
              <w:t xml:space="preserve">Stupanje na snagu </w:t>
            </w:r>
            <w:r>
              <w:rPr>
                <w:noProof/>
              </w:rPr>
              <w:t>zakonodavnog akta potrebnog za sprečavanje odvajanja djece od obitelji i potpore ranjivim obiteljima</w:t>
            </w:r>
          </w:p>
        </w:tc>
        <w:tc>
          <w:tcPr>
            <w:tcW w:w="1843" w:type="dxa"/>
            <w:tcBorders>
              <w:top w:val="single" w:sz="4" w:space="0" w:color="auto"/>
              <w:left w:val="nil"/>
              <w:bottom w:val="single" w:sz="4" w:space="0" w:color="auto"/>
              <w:right w:val="single" w:sz="4" w:space="0" w:color="auto"/>
            </w:tcBorders>
            <w:shd w:val="clear" w:color="auto" w:fill="C6EFCE"/>
            <w:noWrap/>
            <w:hideMark/>
          </w:tcPr>
          <w:p w14:paraId="72D70734"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zakonodavnog akta potrebnog za sprečavanje odvajanja djece od obitelji i potpore ranjivim obiteljima</w:t>
            </w:r>
          </w:p>
        </w:tc>
        <w:tc>
          <w:tcPr>
            <w:tcW w:w="1123" w:type="dxa"/>
            <w:tcBorders>
              <w:top w:val="nil"/>
              <w:left w:val="nil"/>
              <w:bottom w:val="single" w:sz="4" w:space="0" w:color="auto"/>
              <w:right w:val="single" w:sz="4" w:space="0" w:color="auto"/>
            </w:tcBorders>
            <w:shd w:val="clear" w:color="auto" w:fill="C6EFCE"/>
            <w:noWrap/>
            <w:hideMark/>
          </w:tcPr>
          <w:p w14:paraId="3E3C579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hideMark/>
          </w:tcPr>
          <w:p w14:paraId="2BF925E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hideMark/>
          </w:tcPr>
          <w:p w14:paraId="102F0368"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hideMark/>
          </w:tcPr>
          <w:p w14:paraId="76A25803" w14:textId="77777777" w:rsidR="003F46B9" w:rsidRDefault="0065662E">
            <w:pPr>
              <w:pStyle w:val="P68B1DB1-Normal5"/>
              <w:spacing w:after="0" w:line="240" w:lineRule="auto"/>
              <w:jc w:val="both"/>
              <w:rPr>
                <w:rFonts w:eastAsia="Times New Roman" w:cs="Times New Roman"/>
                <w:noProof/>
              </w:rPr>
            </w:pPr>
            <w:r>
              <w:rPr>
                <w:noProof/>
              </w:rPr>
              <w:t>ČETVRTO TRO</w:t>
            </w:r>
            <w:r>
              <w:rPr>
                <w:noProof/>
              </w:rPr>
              <w:t>MJESEČJE</w:t>
            </w:r>
          </w:p>
        </w:tc>
        <w:tc>
          <w:tcPr>
            <w:tcW w:w="825" w:type="dxa"/>
            <w:tcBorders>
              <w:top w:val="nil"/>
              <w:left w:val="nil"/>
              <w:bottom w:val="single" w:sz="4" w:space="0" w:color="auto"/>
              <w:right w:val="single" w:sz="4" w:space="0" w:color="auto"/>
            </w:tcBorders>
            <w:shd w:val="clear" w:color="auto" w:fill="C6EFCE"/>
            <w:noWrap/>
            <w:hideMark/>
          </w:tcPr>
          <w:p w14:paraId="4D1763E0" w14:textId="77777777" w:rsidR="003F46B9" w:rsidRDefault="0065662E">
            <w:pPr>
              <w:pStyle w:val="P68B1DB1-Normal5"/>
              <w:spacing w:after="0" w:line="240" w:lineRule="auto"/>
              <w:jc w:val="both"/>
              <w:rPr>
                <w:rFonts w:eastAsia="Times New Roman" w:cs="Times New Roman"/>
                <w:noProof/>
              </w:rPr>
            </w:pPr>
            <w:r>
              <w:rPr>
                <w:noProof/>
              </w:rPr>
              <w:t>2022</w:t>
            </w:r>
          </w:p>
        </w:tc>
        <w:tc>
          <w:tcPr>
            <w:tcW w:w="2693" w:type="dxa"/>
            <w:tcBorders>
              <w:top w:val="single" w:sz="4" w:space="0" w:color="auto"/>
              <w:left w:val="nil"/>
              <w:bottom w:val="single" w:sz="4" w:space="0" w:color="auto"/>
              <w:right w:val="single" w:sz="4" w:space="0" w:color="auto"/>
            </w:tcBorders>
            <w:shd w:val="clear" w:color="auto" w:fill="C6EFCE"/>
            <w:noWrap/>
            <w:hideMark/>
          </w:tcPr>
          <w:p w14:paraId="155F5AB9" w14:textId="77777777" w:rsidR="003F46B9" w:rsidRDefault="0065662E">
            <w:pPr>
              <w:pStyle w:val="P68B1DB1-Normal5"/>
              <w:spacing w:after="0" w:line="240" w:lineRule="auto"/>
              <w:jc w:val="both"/>
              <w:rPr>
                <w:rFonts w:cs="Times New Roman"/>
                <w:noProof/>
              </w:rPr>
            </w:pPr>
            <w:r>
              <w:rPr>
                <w:noProof/>
              </w:rPr>
              <w:t>Novim se zakonom uspostavlja okvir za provedbu mjera (uključujući, na primjer, savjetovanje i potporu roditeljima i djeci, dnevne centre za djecu kojoj prijeti rizik od odvajanja od roditelja, dnevne centre za djecu s teškoćama u razvoju) kak</w:t>
            </w:r>
            <w:r>
              <w:rPr>
                <w:noProof/>
              </w:rPr>
              <w:t xml:space="preserve">o bi se učinkovito spriječilo odvajanje djeteta od obitelji i potpora obitelji u odgoju i skrbi za dijete kojem prijeti razdvajanje. Zakonodavni akt obuhvaća: </w:t>
            </w:r>
          </w:p>
          <w:p w14:paraId="06283697" w14:textId="77777777" w:rsidR="003F46B9" w:rsidRDefault="0065662E">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 xml:space="preserve">utvrđeni stabilan izvor financiranja za mjere </w:t>
            </w:r>
          </w:p>
          <w:p w14:paraId="4FC2E7FE" w14:textId="77777777" w:rsidR="003F46B9" w:rsidRDefault="0065662E">
            <w:pPr>
              <w:pStyle w:val="P68B1DB1-Normal5"/>
              <w:numPr>
                <w:ilvl w:val="0"/>
                <w:numId w:val="95"/>
              </w:numPr>
              <w:spacing w:before="120" w:after="0" w:line="240" w:lineRule="auto"/>
              <w:ind w:left="230" w:hanging="218"/>
              <w:contextualSpacing/>
              <w:jc w:val="both"/>
              <w:rPr>
                <w:rFonts w:cs="Times New Roman"/>
                <w:noProof/>
              </w:rPr>
            </w:pPr>
            <w:r>
              <w:rPr>
                <w:noProof/>
              </w:rPr>
              <w:t>mehanizam upravljanja s jasnim odgovornostima dod</w:t>
            </w:r>
            <w:r>
              <w:rPr>
                <w:noProof/>
              </w:rPr>
              <w:t>ijeljenima javnim tijelima na nacionalnoj i lokalnoj razini;</w:t>
            </w:r>
          </w:p>
          <w:p w14:paraId="034ACA67" w14:textId="77777777" w:rsidR="003F46B9" w:rsidRDefault="0065662E">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mehanizam isplate sredstava uvjetovan je ključnim pokazateljima uspješnosti koji su povezani s ciljevima politike.</w:t>
            </w:r>
          </w:p>
        </w:tc>
      </w:tr>
      <w:tr w:rsidR="003F46B9" w14:paraId="1DD21E4E"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33A2348" w14:textId="77777777" w:rsidR="003F46B9" w:rsidRDefault="0065662E">
            <w:pPr>
              <w:pStyle w:val="P68B1DB1-Normal5"/>
              <w:spacing w:after="0" w:line="240" w:lineRule="auto"/>
              <w:jc w:val="center"/>
              <w:rPr>
                <w:rFonts w:eastAsia="Times New Roman" w:cs="Times New Roman"/>
                <w:noProof/>
              </w:rPr>
            </w:pPr>
            <w:r>
              <w:rPr>
                <w:noProof/>
              </w:rPr>
              <w:t>379</w:t>
            </w:r>
          </w:p>
        </w:tc>
        <w:tc>
          <w:tcPr>
            <w:tcW w:w="1842" w:type="dxa"/>
            <w:tcBorders>
              <w:top w:val="nil"/>
              <w:left w:val="nil"/>
              <w:bottom w:val="single" w:sz="4" w:space="0" w:color="auto"/>
              <w:right w:val="single" w:sz="4" w:space="0" w:color="auto"/>
            </w:tcBorders>
            <w:shd w:val="clear" w:color="auto" w:fill="C6EFCE"/>
            <w:noWrap/>
            <w:hideMark/>
          </w:tcPr>
          <w:p w14:paraId="0868572D" w14:textId="77777777" w:rsidR="003F46B9" w:rsidRDefault="0065662E">
            <w:pPr>
              <w:pStyle w:val="P68B1DB1-Normal5"/>
              <w:spacing w:after="0" w:line="240" w:lineRule="auto"/>
              <w:jc w:val="both"/>
              <w:rPr>
                <w:rFonts w:eastAsia="Times New Roman" w:cs="Times New Roman"/>
                <w:noProof/>
              </w:rPr>
            </w:pPr>
            <w:r>
              <w:rPr>
                <w:noProof/>
              </w:rPr>
              <w:t>Reforma 1. Stvaranje novog pravnog okvira za sprečavanje odvajanja djece od</w:t>
            </w:r>
            <w:r>
              <w:rPr>
                <w:noProof/>
              </w:rPr>
              <w:t xml:space="preserve"> njihovih obitelji</w:t>
            </w:r>
          </w:p>
        </w:tc>
        <w:tc>
          <w:tcPr>
            <w:tcW w:w="1216" w:type="dxa"/>
            <w:tcBorders>
              <w:top w:val="nil"/>
              <w:left w:val="nil"/>
              <w:bottom w:val="single" w:sz="4" w:space="0" w:color="auto"/>
              <w:right w:val="single" w:sz="4" w:space="0" w:color="auto"/>
            </w:tcBorders>
            <w:shd w:val="clear" w:color="auto" w:fill="C6EFCE"/>
            <w:noWrap/>
            <w:hideMark/>
          </w:tcPr>
          <w:p w14:paraId="25E520E8"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hideMark/>
          </w:tcPr>
          <w:p w14:paraId="622C29AA" w14:textId="77777777" w:rsidR="003F46B9" w:rsidRDefault="0065662E">
            <w:pPr>
              <w:pStyle w:val="P68B1DB1-Normal5"/>
              <w:spacing w:after="0" w:line="240" w:lineRule="auto"/>
              <w:jc w:val="both"/>
              <w:rPr>
                <w:rFonts w:eastAsia="Times New Roman" w:cs="Times New Roman"/>
                <w:noProof/>
              </w:rPr>
            </w:pPr>
            <w:r>
              <w:rPr>
                <w:noProof/>
              </w:rPr>
              <w:t xml:space="preserve">Smanjenje broja djece odvojene od obitelji koja ulaze u sustav socijalne zaštite </w:t>
            </w:r>
          </w:p>
        </w:tc>
        <w:tc>
          <w:tcPr>
            <w:tcW w:w="1843" w:type="dxa"/>
            <w:tcBorders>
              <w:top w:val="nil"/>
              <w:left w:val="nil"/>
              <w:bottom w:val="single" w:sz="4" w:space="0" w:color="auto"/>
              <w:right w:val="single" w:sz="4" w:space="0" w:color="auto"/>
            </w:tcBorders>
            <w:shd w:val="clear" w:color="auto" w:fill="C6EFCE"/>
            <w:noWrap/>
            <w:hideMark/>
          </w:tcPr>
          <w:p w14:paraId="5347403D" w14:textId="77777777" w:rsidR="003F46B9" w:rsidRDefault="003F46B9">
            <w:pPr>
              <w:spacing w:after="0" w:line="240" w:lineRule="auto"/>
              <w:jc w:val="both"/>
              <w:rPr>
                <w:rFonts w:ascii="Times New Roman" w:eastAsia="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hideMark/>
          </w:tcPr>
          <w:p w14:paraId="6F784A0F" w14:textId="77777777" w:rsidR="003F46B9" w:rsidRDefault="0065662E">
            <w:pPr>
              <w:pStyle w:val="P68B1DB1-Normal5"/>
              <w:spacing w:after="0" w:line="240" w:lineRule="auto"/>
              <w:jc w:val="both"/>
              <w:rPr>
                <w:rFonts w:eastAsia="Times New Roman"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hideMark/>
          </w:tcPr>
          <w:p w14:paraId="74BE22D9" w14:textId="77777777" w:rsidR="003F46B9" w:rsidRDefault="0065662E">
            <w:pPr>
              <w:pStyle w:val="P68B1DB1-Normal5"/>
              <w:spacing w:after="0" w:line="240" w:lineRule="auto"/>
              <w:jc w:val="both"/>
              <w:rPr>
                <w:rFonts w:eastAsia="Times New Roman" w:cs="Times New Roman"/>
                <w:noProof/>
              </w:rPr>
            </w:pPr>
            <w:r>
              <w:rPr>
                <w:noProof/>
              </w:rPr>
              <w:t>12 139</w:t>
            </w:r>
          </w:p>
        </w:tc>
        <w:tc>
          <w:tcPr>
            <w:tcW w:w="851" w:type="dxa"/>
            <w:tcBorders>
              <w:top w:val="nil"/>
              <w:left w:val="nil"/>
              <w:bottom w:val="single" w:sz="4" w:space="0" w:color="auto"/>
              <w:right w:val="single" w:sz="4" w:space="0" w:color="auto"/>
            </w:tcBorders>
            <w:shd w:val="clear" w:color="auto" w:fill="C6EFCE"/>
            <w:noWrap/>
            <w:hideMark/>
          </w:tcPr>
          <w:p w14:paraId="3D4BD359" w14:textId="77777777" w:rsidR="003F46B9" w:rsidRDefault="0065662E">
            <w:pPr>
              <w:pStyle w:val="P68B1DB1-Normal5"/>
              <w:spacing w:after="0" w:line="240" w:lineRule="auto"/>
              <w:jc w:val="both"/>
              <w:rPr>
                <w:rFonts w:eastAsia="Times New Roman" w:cs="Times New Roman"/>
                <w:noProof/>
              </w:rPr>
            </w:pPr>
            <w:r>
              <w:rPr>
                <w:noProof/>
              </w:rPr>
              <w:t xml:space="preserve">6 100 </w:t>
            </w:r>
          </w:p>
        </w:tc>
        <w:tc>
          <w:tcPr>
            <w:tcW w:w="1242" w:type="dxa"/>
            <w:tcBorders>
              <w:top w:val="nil"/>
              <w:left w:val="nil"/>
              <w:bottom w:val="single" w:sz="4" w:space="0" w:color="auto"/>
              <w:right w:val="single" w:sz="4" w:space="0" w:color="auto"/>
            </w:tcBorders>
            <w:shd w:val="clear" w:color="auto" w:fill="C6EFCE"/>
            <w:noWrap/>
            <w:hideMark/>
          </w:tcPr>
          <w:p w14:paraId="20F7C231"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hideMark/>
          </w:tcPr>
          <w:p w14:paraId="5BE1A8DE" w14:textId="77777777" w:rsidR="003F46B9" w:rsidRDefault="0065662E">
            <w:pPr>
              <w:pStyle w:val="P68B1DB1-Normal5"/>
              <w:spacing w:after="0" w:line="240" w:lineRule="auto"/>
              <w:jc w:val="both"/>
              <w:rPr>
                <w:rFonts w:eastAsia="Times New Roman"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hideMark/>
          </w:tcPr>
          <w:p w14:paraId="7B182908" w14:textId="4CAA8C9E" w:rsidR="003F46B9" w:rsidRDefault="0065662E">
            <w:pPr>
              <w:pStyle w:val="P68B1DB1-Normal5"/>
              <w:spacing w:after="0" w:line="240" w:lineRule="auto"/>
              <w:jc w:val="both"/>
              <w:rPr>
                <w:rFonts w:cs="Times New Roman"/>
                <w:noProof/>
              </w:rPr>
            </w:pPr>
            <w:r>
              <w:rPr>
                <w:noProof/>
              </w:rPr>
              <w:t>Smanjenje broja djece odvojene od obitelji koja ulaze u sustav socijalne zaštite u odnosu na 31. prosinca 2020.</w:t>
            </w:r>
          </w:p>
          <w:p w14:paraId="68EB16AF"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133C60A5"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0E14AF0" w14:textId="77777777" w:rsidR="003F46B9" w:rsidRDefault="0065662E">
            <w:pPr>
              <w:pStyle w:val="P68B1DB1-Normal5"/>
              <w:spacing w:after="0" w:line="240" w:lineRule="auto"/>
              <w:jc w:val="center"/>
              <w:rPr>
                <w:rFonts w:eastAsia="Times New Roman" w:cs="Times New Roman"/>
                <w:noProof/>
              </w:rPr>
            </w:pPr>
            <w:r>
              <w:rPr>
                <w:noProof/>
              </w:rPr>
              <w:t>380</w:t>
            </w:r>
          </w:p>
        </w:tc>
        <w:tc>
          <w:tcPr>
            <w:tcW w:w="1842" w:type="dxa"/>
            <w:tcBorders>
              <w:top w:val="nil"/>
              <w:left w:val="nil"/>
              <w:bottom w:val="single" w:sz="4" w:space="0" w:color="auto"/>
              <w:right w:val="single" w:sz="4" w:space="0" w:color="auto"/>
            </w:tcBorders>
            <w:shd w:val="clear" w:color="auto" w:fill="C6EFCE"/>
            <w:noWrap/>
          </w:tcPr>
          <w:p w14:paraId="7E04A04A" w14:textId="77777777" w:rsidR="003F46B9" w:rsidRDefault="0065662E">
            <w:pPr>
              <w:pStyle w:val="P68B1DB1-Normal5"/>
              <w:spacing w:after="0" w:line="240" w:lineRule="auto"/>
              <w:jc w:val="both"/>
              <w:rPr>
                <w:rFonts w:cs="Times New Roman"/>
                <w:noProof/>
              </w:rPr>
            </w:pPr>
            <w:r>
              <w:rPr>
                <w:noProof/>
              </w:rPr>
              <w:t xml:space="preserve">Reforma 2. Reforma sustava zaštite odraslih osoba s invaliditetom </w:t>
            </w:r>
          </w:p>
        </w:tc>
        <w:tc>
          <w:tcPr>
            <w:tcW w:w="1216" w:type="dxa"/>
            <w:tcBorders>
              <w:top w:val="nil"/>
              <w:left w:val="nil"/>
              <w:bottom w:val="single" w:sz="4" w:space="0" w:color="auto"/>
              <w:right w:val="single" w:sz="4" w:space="0" w:color="auto"/>
            </w:tcBorders>
            <w:shd w:val="clear" w:color="auto" w:fill="C6EFCE"/>
            <w:noWrap/>
          </w:tcPr>
          <w:p w14:paraId="1286458D"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4426DFB4" w14:textId="250C8DCB" w:rsidR="003F46B9" w:rsidRDefault="0065662E">
            <w:pPr>
              <w:pStyle w:val="P68B1DB1-Normal5"/>
              <w:spacing w:after="0" w:line="240" w:lineRule="auto"/>
              <w:jc w:val="both"/>
              <w:rPr>
                <w:rFonts w:cs="Times New Roman"/>
                <w:noProof/>
              </w:rPr>
            </w:pPr>
            <w:r>
              <w:rPr>
                <w:noProof/>
              </w:rPr>
              <w:t xml:space="preserve">Stupanje na snagu zakona o provedbi i operacionalizaciji Vodiča za ubrzavanje procesa deinstitucionalizacije </w:t>
            </w:r>
          </w:p>
        </w:tc>
        <w:tc>
          <w:tcPr>
            <w:tcW w:w="1843" w:type="dxa"/>
            <w:tcBorders>
              <w:top w:val="nil"/>
              <w:left w:val="nil"/>
              <w:bottom w:val="single" w:sz="4" w:space="0" w:color="auto"/>
              <w:right w:val="single" w:sz="4" w:space="0" w:color="auto"/>
            </w:tcBorders>
            <w:shd w:val="clear" w:color="auto" w:fill="C6EFCE"/>
            <w:noWrap/>
          </w:tcPr>
          <w:p w14:paraId="2260E00C" w14:textId="77777777" w:rsidR="003F46B9" w:rsidRDefault="0065662E">
            <w:pPr>
              <w:pStyle w:val="P68B1DB1-Normal5"/>
              <w:spacing w:after="0" w:line="240" w:lineRule="auto"/>
              <w:jc w:val="both"/>
              <w:rPr>
                <w:rFonts w:eastAsia="Times New Roman" w:cs="Times New Roman"/>
                <w:noProof/>
              </w:rPr>
            </w:pPr>
            <w:r>
              <w:rPr>
                <w:noProof/>
              </w:rPr>
              <w:t xml:space="preserve">Zakonska odredba o stupanju na snagu zakonodavnog akta </w:t>
            </w:r>
          </w:p>
        </w:tc>
        <w:tc>
          <w:tcPr>
            <w:tcW w:w="1123" w:type="dxa"/>
            <w:tcBorders>
              <w:top w:val="nil"/>
              <w:left w:val="nil"/>
              <w:bottom w:val="single" w:sz="4" w:space="0" w:color="auto"/>
              <w:right w:val="single" w:sz="4" w:space="0" w:color="auto"/>
            </w:tcBorders>
            <w:shd w:val="clear" w:color="auto" w:fill="C6EFCE"/>
            <w:noWrap/>
          </w:tcPr>
          <w:p w14:paraId="797FF629" w14:textId="77777777" w:rsidR="003F46B9" w:rsidRDefault="0065662E">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3D137FE0" w14:textId="77777777" w:rsidR="003F46B9" w:rsidRDefault="0065662E">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301D8D51" w14:textId="77777777" w:rsidR="003F46B9" w:rsidRDefault="0065662E">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78C32733"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71C3DA5E" w14:textId="77777777" w:rsidR="003F46B9" w:rsidRDefault="0065662E">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019D3852" w14:textId="77777777" w:rsidR="003F46B9" w:rsidRDefault="0065662E">
            <w:pPr>
              <w:pStyle w:val="P68B1DB1-Normal5"/>
              <w:spacing w:after="0" w:line="240" w:lineRule="auto"/>
              <w:jc w:val="both"/>
              <w:rPr>
                <w:rFonts w:cs="Times New Roman"/>
                <w:noProof/>
              </w:rPr>
            </w:pPr>
            <w:r>
              <w:rPr>
                <w:noProof/>
              </w:rPr>
              <w:t>Stupanje na snagu zakona o provedbi i operacionalizaciji Vodiča za ubrzavanje procesa deinstitucionalizacije za sve osobe s invaliditetom koje su trenutačno institucionalizirane kako bi se za svaku osobu definirao „neovisan način života” i to na temelju pr</w:t>
            </w:r>
            <w:r>
              <w:rPr>
                <w:noProof/>
              </w:rPr>
              <w:t>istupa vođenja predmeta. Vodič za ubrzavanje postupka deinstitucionalizacije bit će prilog nacionalnoj strategiji, a oba će se odobriti odlukom Vlade.</w:t>
            </w:r>
          </w:p>
          <w:p w14:paraId="0786521F" w14:textId="77777777" w:rsidR="003F46B9" w:rsidRDefault="003F46B9">
            <w:pPr>
              <w:spacing w:after="0" w:line="240" w:lineRule="auto"/>
              <w:jc w:val="both"/>
              <w:rPr>
                <w:rFonts w:ascii="Times New Roman" w:hAnsi="Times New Roman" w:cs="Times New Roman"/>
                <w:noProof/>
                <w:sz w:val="24"/>
              </w:rPr>
            </w:pPr>
          </w:p>
          <w:p w14:paraId="470928CF" w14:textId="77777777" w:rsidR="003F46B9" w:rsidRDefault="0065662E">
            <w:pPr>
              <w:pStyle w:val="P68B1DB1-Normal5"/>
              <w:spacing w:after="0" w:line="240" w:lineRule="auto"/>
              <w:jc w:val="both"/>
              <w:rPr>
                <w:rFonts w:cs="Times New Roman"/>
                <w:noProof/>
              </w:rPr>
            </w:pPr>
            <w:r>
              <w:rPr>
                <w:noProof/>
              </w:rPr>
              <w:t xml:space="preserve">Zakonodavni akt jednako tako podrazumijeva: </w:t>
            </w:r>
          </w:p>
          <w:p w14:paraId="456F5F5C" w14:textId="77777777" w:rsidR="003F46B9" w:rsidRDefault="0065662E">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utvrđeni stabilan izvor financiranja za mjere planirane u s</w:t>
            </w:r>
            <w:r>
              <w:rPr>
                <w:noProof/>
              </w:rPr>
              <w:t xml:space="preserve">mjernici </w:t>
            </w:r>
          </w:p>
          <w:p w14:paraId="5CAA1999" w14:textId="77777777" w:rsidR="003F46B9" w:rsidRDefault="0065662E">
            <w:pPr>
              <w:pStyle w:val="P68B1DB1-Normal5"/>
              <w:numPr>
                <w:ilvl w:val="0"/>
                <w:numId w:val="95"/>
              </w:numPr>
              <w:spacing w:before="120" w:after="0" w:line="240" w:lineRule="auto"/>
              <w:ind w:left="230" w:hanging="218"/>
              <w:contextualSpacing/>
              <w:jc w:val="both"/>
              <w:rPr>
                <w:rFonts w:cs="Times New Roman"/>
                <w:noProof/>
              </w:rPr>
            </w:pPr>
            <w:r>
              <w:rPr>
                <w:noProof/>
              </w:rPr>
              <w:t>mehanizam upravljanja s jasnim odgovornostima dodijeljenima javnim tijelima na nacionalnoj i lokalnoj razini;</w:t>
            </w:r>
          </w:p>
          <w:p w14:paraId="04A4DFDF" w14:textId="77777777" w:rsidR="003F46B9" w:rsidRDefault="0065662E">
            <w:pPr>
              <w:pStyle w:val="P68B1DB1-Normal5"/>
              <w:numPr>
                <w:ilvl w:val="0"/>
                <w:numId w:val="95"/>
              </w:numPr>
              <w:spacing w:before="120" w:after="0" w:line="240" w:lineRule="auto"/>
              <w:ind w:left="230" w:hanging="218"/>
              <w:contextualSpacing/>
              <w:jc w:val="both"/>
              <w:rPr>
                <w:rFonts w:eastAsia="Times New Roman" w:cs="Times New Roman"/>
                <w:noProof/>
              </w:rPr>
            </w:pPr>
            <w:r>
              <w:rPr>
                <w:noProof/>
              </w:rPr>
              <w:t xml:space="preserve">mehanizam isplate sredstava uvjetovan je postizanjem ključnih pokazatelja uspješnosti povezanih s ciljevima politike. </w:t>
            </w:r>
          </w:p>
          <w:p w14:paraId="442D26F5" w14:textId="77777777" w:rsidR="003F46B9" w:rsidRDefault="0065662E">
            <w:pPr>
              <w:pStyle w:val="P68B1DB1-Normal5"/>
              <w:spacing w:after="0" w:line="240" w:lineRule="auto"/>
              <w:jc w:val="both"/>
              <w:rPr>
                <w:rFonts w:cs="Times New Roman"/>
                <w:noProof/>
              </w:rPr>
            </w:pPr>
            <w:r>
              <w:rPr>
                <w:noProof/>
              </w:rPr>
              <w:t>Zakonodavni akt t</w:t>
            </w:r>
            <w:r>
              <w:rPr>
                <w:noProof/>
              </w:rPr>
              <w:t>emelji se na cjelovitom prikazu pojedinačne situacije svih osoba s invaliditetom koje su trenutačno institucionalizirane u Rumunjskoj.</w:t>
            </w:r>
          </w:p>
        </w:tc>
      </w:tr>
      <w:tr w:rsidR="003F46B9" w14:paraId="78B9D47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54530A" w14:textId="77777777" w:rsidR="003F46B9" w:rsidRDefault="0065662E">
            <w:pPr>
              <w:pStyle w:val="P68B1DB1-Normal5"/>
              <w:spacing w:after="0" w:line="240" w:lineRule="auto"/>
              <w:jc w:val="center"/>
              <w:rPr>
                <w:rFonts w:cs="Times New Roman"/>
                <w:noProof/>
              </w:rPr>
            </w:pPr>
            <w:r>
              <w:rPr>
                <w:noProof/>
              </w:rPr>
              <w:t>381</w:t>
            </w:r>
          </w:p>
        </w:tc>
        <w:tc>
          <w:tcPr>
            <w:tcW w:w="1842" w:type="dxa"/>
            <w:tcBorders>
              <w:top w:val="nil"/>
              <w:left w:val="nil"/>
              <w:bottom w:val="single" w:sz="4" w:space="0" w:color="auto"/>
              <w:right w:val="single" w:sz="4" w:space="0" w:color="auto"/>
            </w:tcBorders>
            <w:shd w:val="clear" w:color="auto" w:fill="C6EFCE"/>
            <w:noWrap/>
          </w:tcPr>
          <w:p w14:paraId="540269D8" w14:textId="77777777" w:rsidR="003F46B9" w:rsidRDefault="0065662E">
            <w:pPr>
              <w:pStyle w:val="P68B1DB1-Normal5"/>
              <w:spacing w:after="0" w:line="240" w:lineRule="auto"/>
              <w:jc w:val="both"/>
              <w:rPr>
                <w:rFonts w:cs="Times New Roman"/>
                <w:noProof/>
              </w:rPr>
            </w:pPr>
            <w:r>
              <w:rPr>
                <w:noProof/>
              </w:rPr>
              <w:t xml:space="preserve">Reforma 2. Reforma sustava zaštite odraslih osoba s invaliditetom </w:t>
            </w:r>
          </w:p>
        </w:tc>
        <w:tc>
          <w:tcPr>
            <w:tcW w:w="1216" w:type="dxa"/>
            <w:tcBorders>
              <w:top w:val="nil"/>
              <w:left w:val="nil"/>
              <w:bottom w:val="single" w:sz="4" w:space="0" w:color="auto"/>
              <w:right w:val="single" w:sz="4" w:space="0" w:color="auto"/>
            </w:tcBorders>
            <w:shd w:val="clear" w:color="auto" w:fill="C6EFCE"/>
            <w:noWrap/>
          </w:tcPr>
          <w:p w14:paraId="7BA35AAF"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44DAD5E6" w14:textId="77777777" w:rsidR="003F46B9" w:rsidRDefault="0065662E">
            <w:pPr>
              <w:pStyle w:val="P68B1DB1-Normal5"/>
              <w:spacing w:after="0" w:line="240" w:lineRule="auto"/>
              <w:jc w:val="both"/>
              <w:rPr>
                <w:rFonts w:cs="Times New Roman"/>
                <w:noProof/>
              </w:rPr>
            </w:pPr>
            <w:r>
              <w:rPr>
                <w:noProof/>
              </w:rPr>
              <w:t xml:space="preserve">Stupanje na snagu zakona za potporu provedbi donesene nacionalne strategije za sprečavanje institucionalizacije </w:t>
            </w:r>
          </w:p>
        </w:tc>
        <w:tc>
          <w:tcPr>
            <w:tcW w:w="1843" w:type="dxa"/>
            <w:tcBorders>
              <w:top w:val="nil"/>
              <w:left w:val="nil"/>
              <w:bottom w:val="single" w:sz="4" w:space="0" w:color="auto"/>
              <w:right w:val="single" w:sz="4" w:space="0" w:color="auto"/>
            </w:tcBorders>
            <w:shd w:val="clear" w:color="auto" w:fill="C6EFCE"/>
            <w:noWrap/>
          </w:tcPr>
          <w:p w14:paraId="1A4CA8CE" w14:textId="77777777" w:rsidR="003F46B9" w:rsidRDefault="0065662E">
            <w:pPr>
              <w:pStyle w:val="P68B1DB1-Normal5"/>
              <w:spacing w:after="0" w:line="240" w:lineRule="auto"/>
              <w:jc w:val="both"/>
              <w:rPr>
                <w:rFonts w:cs="Times New Roman"/>
                <w:noProof/>
              </w:rPr>
            </w:pPr>
            <w:r>
              <w:rPr>
                <w:noProof/>
              </w:rPr>
              <w:t>Odredba u zakonu o stupanju na snagu zakonodavnog akta za potporu provedbi donesene nacionalne strategije za sprečavanje institucionalizacije</w:t>
            </w:r>
          </w:p>
        </w:tc>
        <w:tc>
          <w:tcPr>
            <w:tcW w:w="1123" w:type="dxa"/>
            <w:tcBorders>
              <w:top w:val="nil"/>
              <w:left w:val="nil"/>
              <w:bottom w:val="single" w:sz="4" w:space="0" w:color="auto"/>
              <w:right w:val="single" w:sz="4" w:space="0" w:color="auto"/>
            </w:tcBorders>
            <w:shd w:val="clear" w:color="auto" w:fill="C6EFCE"/>
            <w:noWrap/>
          </w:tcPr>
          <w:p w14:paraId="09F4AEEC" w14:textId="77777777" w:rsidR="003F46B9" w:rsidRDefault="0065662E">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0AE73D2C" w14:textId="77777777" w:rsidR="003F46B9" w:rsidRDefault="0065662E">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6422859E" w14:textId="77777777" w:rsidR="003F46B9" w:rsidRDefault="0065662E">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1B6CE6ED"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3BE3D47C" w14:textId="77777777" w:rsidR="003F46B9" w:rsidRDefault="0065662E">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2E5B7057" w14:textId="77777777" w:rsidR="003F46B9" w:rsidRDefault="0065662E">
            <w:pPr>
              <w:pStyle w:val="P68B1DB1-Normal5"/>
              <w:spacing w:after="0" w:line="240" w:lineRule="auto"/>
              <w:jc w:val="both"/>
              <w:rPr>
                <w:rFonts w:cs="Times New Roman"/>
                <w:noProof/>
              </w:rPr>
            </w:pPr>
            <w:r>
              <w:rPr>
                <w:noProof/>
              </w:rPr>
              <w:t>Stupanje na snagu zakona kojim se podupire provedba donesene Nacionalne strategije za sprečavanje institucionalizacije kojom se predviđaju mjere za „neovisan način života” za većinu osoba s invaliditetom i trenutačno instituci</w:t>
            </w:r>
            <w:r>
              <w:rPr>
                <w:noProof/>
              </w:rPr>
              <w:t xml:space="preserve">onalizirane. Zakonodavni akt obuhvaća: </w:t>
            </w:r>
          </w:p>
          <w:p w14:paraId="04F1848A" w14:textId="77777777" w:rsidR="003F46B9" w:rsidRDefault="0065662E">
            <w:pPr>
              <w:pStyle w:val="P68B1DB1-Normal5"/>
              <w:numPr>
                <w:ilvl w:val="0"/>
                <w:numId w:val="95"/>
              </w:numPr>
              <w:spacing w:before="120" w:after="0" w:line="240" w:lineRule="auto"/>
              <w:ind w:left="230" w:hanging="218"/>
              <w:contextualSpacing/>
              <w:jc w:val="both"/>
              <w:rPr>
                <w:rFonts w:cs="Times New Roman"/>
                <w:noProof/>
              </w:rPr>
            </w:pPr>
            <w:r>
              <w:rPr>
                <w:noProof/>
              </w:rPr>
              <w:t>utvrđeni stabilan izvor financiranja za planirane mjere;</w:t>
            </w:r>
          </w:p>
          <w:p w14:paraId="407647D2" w14:textId="77777777" w:rsidR="003F46B9" w:rsidRDefault="0065662E">
            <w:pPr>
              <w:pStyle w:val="P68B1DB1-Normal5"/>
              <w:numPr>
                <w:ilvl w:val="0"/>
                <w:numId w:val="95"/>
              </w:numPr>
              <w:spacing w:before="120" w:after="0" w:line="240" w:lineRule="auto"/>
              <w:ind w:left="230" w:hanging="218"/>
              <w:contextualSpacing/>
              <w:jc w:val="both"/>
              <w:rPr>
                <w:rFonts w:cs="Times New Roman"/>
                <w:noProof/>
              </w:rPr>
            </w:pPr>
            <w:r>
              <w:rPr>
                <w:noProof/>
              </w:rPr>
              <w:t>mehanizam upravljanja s jasnim odgovornostima dodijeljenima javnim tijelima na nacionalnoj i lokalnoj razini;</w:t>
            </w:r>
          </w:p>
          <w:p w14:paraId="14AE2B25" w14:textId="77777777" w:rsidR="003F46B9" w:rsidRDefault="0065662E">
            <w:pPr>
              <w:pStyle w:val="P68B1DB1-Normal5"/>
              <w:numPr>
                <w:ilvl w:val="0"/>
                <w:numId w:val="95"/>
              </w:numPr>
              <w:spacing w:before="120" w:after="0" w:line="240" w:lineRule="auto"/>
              <w:ind w:left="230" w:hanging="218"/>
              <w:contextualSpacing/>
              <w:jc w:val="both"/>
              <w:rPr>
                <w:rFonts w:cs="Times New Roman"/>
                <w:noProof/>
              </w:rPr>
            </w:pPr>
            <w:r>
              <w:rPr>
                <w:noProof/>
              </w:rPr>
              <w:t>mehanizam isplate sredstava uvjetovan je postizan</w:t>
            </w:r>
            <w:r>
              <w:rPr>
                <w:noProof/>
              </w:rPr>
              <w:t>jem ključnih pokazatelja uspješnosti povezanih s ciljevima politike.</w:t>
            </w:r>
          </w:p>
        </w:tc>
      </w:tr>
      <w:tr w:rsidR="003F46B9" w14:paraId="37F4F95F"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C192257" w14:textId="77777777" w:rsidR="003F46B9" w:rsidRDefault="0065662E">
            <w:pPr>
              <w:pStyle w:val="P68B1DB1-Normal5"/>
              <w:spacing w:after="0" w:line="240" w:lineRule="auto"/>
              <w:jc w:val="center"/>
              <w:rPr>
                <w:rFonts w:cs="Times New Roman"/>
                <w:noProof/>
              </w:rPr>
            </w:pPr>
            <w:r>
              <w:rPr>
                <w:noProof/>
              </w:rPr>
              <w:t>382</w:t>
            </w:r>
          </w:p>
        </w:tc>
        <w:tc>
          <w:tcPr>
            <w:tcW w:w="1842" w:type="dxa"/>
            <w:tcBorders>
              <w:top w:val="nil"/>
              <w:left w:val="nil"/>
              <w:bottom w:val="single" w:sz="4" w:space="0" w:color="auto"/>
              <w:right w:val="single" w:sz="4" w:space="0" w:color="auto"/>
            </w:tcBorders>
            <w:shd w:val="clear" w:color="auto" w:fill="C6EFCE"/>
            <w:noWrap/>
          </w:tcPr>
          <w:p w14:paraId="3B472B2A" w14:textId="77777777" w:rsidR="003F46B9" w:rsidRDefault="0065662E">
            <w:pPr>
              <w:pStyle w:val="P68B1DB1-Normal5"/>
              <w:spacing w:after="0" w:line="240" w:lineRule="auto"/>
              <w:jc w:val="both"/>
              <w:rPr>
                <w:rFonts w:cs="Times New Roman"/>
                <w:noProof/>
              </w:rPr>
            </w:pPr>
            <w:r>
              <w:rPr>
                <w:noProof/>
              </w:rPr>
              <w:t>Reforma 2. Reforma sustava zaštite odraslih osoba s invaliditetom</w:t>
            </w:r>
          </w:p>
        </w:tc>
        <w:tc>
          <w:tcPr>
            <w:tcW w:w="1216" w:type="dxa"/>
            <w:tcBorders>
              <w:top w:val="nil"/>
              <w:left w:val="nil"/>
              <w:bottom w:val="single" w:sz="4" w:space="0" w:color="auto"/>
              <w:right w:val="single" w:sz="4" w:space="0" w:color="auto"/>
            </w:tcBorders>
            <w:shd w:val="clear" w:color="auto" w:fill="C6EFCE"/>
            <w:noWrap/>
          </w:tcPr>
          <w:p w14:paraId="344FAFA4"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7012080F" w14:textId="77777777" w:rsidR="003F46B9" w:rsidRDefault="0065662E">
            <w:pPr>
              <w:pStyle w:val="P68B1DB1-Normal5"/>
              <w:spacing w:after="0" w:line="240" w:lineRule="auto"/>
              <w:jc w:val="both"/>
              <w:rPr>
                <w:rFonts w:cs="Times New Roman"/>
                <w:noProof/>
              </w:rPr>
            </w:pPr>
            <w:r>
              <w:rPr>
                <w:noProof/>
              </w:rPr>
              <w:t xml:space="preserve">Institucionalizirane osobe s invaliditetom koje primaju personaliziranu potporu za deinstitucionalizaciju i </w:t>
            </w:r>
            <w:r>
              <w:rPr>
                <w:noProof/>
              </w:rPr>
              <w:t>provedbu „neovisnog načina života”</w:t>
            </w:r>
          </w:p>
        </w:tc>
        <w:tc>
          <w:tcPr>
            <w:tcW w:w="1843" w:type="dxa"/>
            <w:tcBorders>
              <w:top w:val="nil"/>
              <w:left w:val="nil"/>
              <w:bottom w:val="single" w:sz="4" w:space="0" w:color="auto"/>
              <w:right w:val="single" w:sz="4" w:space="0" w:color="auto"/>
            </w:tcBorders>
            <w:shd w:val="clear" w:color="auto" w:fill="C6EFCE"/>
            <w:noWrap/>
          </w:tcPr>
          <w:p w14:paraId="7ECC0D59" w14:textId="77777777" w:rsidR="003F46B9" w:rsidRDefault="003F46B9">
            <w:pPr>
              <w:spacing w:after="0" w:line="240" w:lineRule="auto"/>
              <w:jc w:val="both"/>
              <w:rPr>
                <w:rFonts w:ascii="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tcPr>
          <w:p w14:paraId="752910BB"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4373CA72"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C2A62A3" w14:textId="77777777" w:rsidR="003F46B9" w:rsidRDefault="0065662E">
            <w:pPr>
              <w:pStyle w:val="P68B1DB1-Normal5"/>
              <w:spacing w:after="0" w:line="240" w:lineRule="auto"/>
              <w:jc w:val="both"/>
              <w:rPr>
                <w:rFonts w:cs="Times New Roman"/>
                <w:noProof/>
              </w:rPr>
            </w:pPr>
            <w:r>
              <w:rPr>
                <w:noProof/>
              </w:rPr>
              <w:t>8 455</w:t>
            </w:r>
          </w:p>
        </w:tc>
        <w:tc>
          <w:tcPr>
            <w:tcW w:w="1242" w:type="dxa"/>
            <w:tcBorders>
              <w:top w:val="nil"/>
              <w:left w:val="nil"/>
              <w:bottom w:val="single" w:sz="4" w:space="0" w:color="auto"/>
              <w:right w:val="single" w:sz="4" w:space="0" w:color="auto"/>
            </w:tcBorders>
            <w:shd w:val="clear" w:color="auto" w:fill="C6EFCE"/>
            <w:noWrap/>
          </w:tcPr>
          <w:p w14:paraId="1116DE49"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355A4C8B" w14:textId="77777777" w:rsidR="003F46B9" w:rsidRDefault="0065662E">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643748E9" w14:textId="7C1095A0" w:rsidR="003F46B9" w:rsidRDefault="0065662E">
            <w:pPr>
              <w:pStyle w:val="P68B1DB1-Normal5"/>
              <w:spacing w:after="0" w:line="240" w:lineRule="auto"/>
              <w:jc w:val="both"/>
              <w:rPr>
                <w:rFonts w:cs="Times New Roman"/>
                <w:noProof/>
              </w:rPr>
            </w:pPr>
            <w:r>
              <w:rPr>
                <w:noProof/>
              </w:rPr>
              <w:t>Najmanje 8455 (50 % broja u prosincu 2020.) institucionalizirale su osobe s invaliditetom koje primaju potporu u cilju deinstitucionalizacije i provedbe „samostalnog načina života”.</w:t>
            </w:r>
          </w:p>
        </w:tc>
      </w:tr>
      <w:tr w:rsidR="003F46B9" w14:paraId="610A6B4C"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C0F8C79" w14:textId="77777777" w:rsidR="003F46B9" w:rsidRDefault="0065662E">
            <w:pPr>
              <w:pStyle w:val="P68B1DB1-Normal5"/>
              <w:spacing w:after="0" w:line="240" w:lineRule="auto"/>
              <w:jc w:val="center"/>
              <w:rPr>
                <w:rFonts w:cs="Times New Roman"/>
                <w:noProof/>
              </w:rPr>
            </w:pPr>
            <w:r>
              <w:rPr>
                <w:noProof/>
              </w:rPr>
              <w:t>383</w:t>
            </w:r>
          </w:p>
        </w:tc>
        <w:tc>
          <w:tcPr>
            <w:tcW w:w="1842" w:type="dxa"/>
            <w:tcBorders>
              <w:top w:val="nil"/>
              <w:left w:val="nil"/>
              <w:bottom w:val="single" w:sz="4" w:space="0" w:color="auto"/>
              <w:right w:val="single" w:sz="4" w:space="0" w:color="auto"/>
            </w:tcBorders>
            <w:shd w:val="clear" w:color="auto" w:fill="C6EFCE"/>
            <w:noWrap/>
          </w:tcPr>
          <w:p w14:paraId="0B8CEB6E" w14:textId="77777777" w:rsidR="003F46B9" w:rsidRDefault="0065662E">
            <w:pPr>
              <w:pStyle w:val="P68B1DB1-Normal5"/>
              <w:spacing w:after="0" w:line="240" w:lineRule="auto"/>
              <w:jc w:val="both"/>
              <w:rPr>
                <w:rFonts w:cs="Times New Roman"/>
                <w:noProof/>
              </w:rPr>
            </w:pPr>
            <w:r>
              <w:rPr>
                <w:noProof/>
              </w:rPr>
              <w:t xml:space="preserve">Reforma 2. Reforma sustava zaštite odraslih osoba s invaliditetom </w:t>
            </w:r>
          </w:p>
        </w:tc>
        <w:tc>
          <w:tcPr>
            <w:tcW w:w="1216" w:type="dxa"/>
            <w:tcBorders>
              <w:top w:val="nil"/>
              <w:left w:val="nil"/>
              <w:bottom w:val="single" w:sz="4" w:space="0" w:color="auto"/>
              <w:right w:val="single" w:sz="4" w:space="0" w:color="auto"/>
            </w:tcBorders>
            <w:shd w:val="clear" w:color="auto" w:fill="C6EFCE"/>
            <w:noWrap/>
          </w:tcPr>
          <w:p w14:paraId="38309CE6"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3BFFF766" w14:textId="77777777" w:rsidR="003F46B9" w:rsidRDefault="0065662E">
            <w:pPr>
              <w:pStyle w:val="P68B1DB1-Normal5"/>
              <w:spacing w:after="0" w:line="240" w:lineRule="auto"/>
              <w:jc w:val="both"/>
              <w:rPr>
                <w:rFonts w:cs="Times New Roman"/>
                <w:noProof/>
              </w:rPr>
            </w:pPr>
            <w:r>
              <w:rPr>
                <w:noProof/>
              </w:rPr>
              <w:t xml:space="preserve">Smanjenje ukupnog broja institucionaliziranih osoba s invaliditetom (u usporedbi s podacima iz 31.12.2020.) </w:t>
            </w:r>
          </w:p>
        </w:tc>
        <w:tc>
          <w:tcPr>
            <w:tcW w:w="1843" w:type="dxa"/>
            <w:tcBorders>
              <w:top w:val="nil"/>
              <w:left w:val="nil"/>
              <w:bottom w:val="single" w:sz="4" w:space="0" w:color="auto"/>
              <w:right w:val="single" w:sz="4" w:space="0" w:color="auto"/>
            </w:tcBorders>
            <w:shd w:val="clear" w:color="auto" w:fill="C6EFCE"/>
            <w:noWrap/>
          </w:tcPr>
          <w:p w14:paraId="65C2E7B5"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013FFAED"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0E8A065B" w14:textId="77777777" w:rsidR="003F46B9" w:rsidRDefault="0065662E">
            <w:pPr>
              <w:pStyle w:val="P68B1DB1-Normal5"/>
              <w:spacing w:after="0" w:line="240" w:lineRule="auto"/>
              <w:jc w:val="both"/>
              <w:rPr>
                <w:rFonts w:cs="Times New Roman"/>
                <w:noProof/>
              </w:rPr>
            </w:pPr>
            <w:r>
              <w:rPr>
                <w:noProof/>
              </w:rPr>
              <w:t>16 911</w:t>
            </w:r>
          </w:p>
        </w:tc>
        <w:tc>
          <w:tcPr>
            <w:tcW w:w="851" w:type="dxa"/>
            <w:tcBorders>
              <w:top w:val="nil"/>
              <w:left w:val="nil"/>
              <w:bottom w:val="single" w:sz="4" w:space="0" w:color="auto"/>
              <w:right w:val="single" w:sz="4" w:space="0" w:color="auto"/>
            </w:tcBorders>
            <w:shd w:val="clear" w:color="auto" w:fill="C6EFCE"/>
            <w:noWrap/>
          </w:tcPr>
          <w:p w14:paraId="602283A2" w14:textId="77777777" w:rsidR="003F46B9" w:rsidRDefault="0065662E">
            <w:pPr>
              <w:pStyle w:val="P68B1DB1-Normal5"/>
              <w:spacing w:after="0" w:line="240" w:lineRule="auto"/>
              <w:jc w:val="both"/>
              <w:rPr>
                <w:rFonts w:cs="Times New Roman"/>
                <w:noProof/>
              </w:rPr>
            </w:pPr>
            <w:r>
              <w:rPr>
                <w:noProof/>
              </w:rPr>
              <w:t>11 500</w:t>
            </w:r>
          </w:p>
        </w:tc>
        <w:tc>
          <w:tcPr>
            <w:tcW w:w="1242" w:type="dxa"/>
            <w:tcBorders>
              <w:top w:val="nil"/>
              <w:left w:val="nil"/>
              <w:bottom w:val="single" w:sz="4" w:space="0" w:color="auto"/>
              <w:right w:val="single" w:sz="4" w:space="0" w:color="auto"/>
            </w:tcBorders>
            <w:shd w:val="clear" w:color="auto" w:fill="C6EFCE"/>
            <w:noWrap/>
          </w:tcPr>
          <w:p w14:paraId="2720DA7F"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326B06DD" w14:textId="77777777" w:rsidR="003F46B9" w:rsidRDefault="0065662E">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4EF32620" w14:textId="77777777" w:rsidR="003F46B9" w:rsidRDefault="0065662E">
            <w:pPr>
              <w:pStyle w:val="P68B1DB1-Normal5"/>
              <w:spacing w:after="0" w:line="240" w:lineRule="auto"/>
              <w:jc w:val="both"/>
              <w:rPr>
                <w:rFonts w:cs="Times New Roman"/>
                <w:noProof/>
              </w:rPr>
            </w:pPr>
            <w:r>
              <w:rPr>
                <w:noProof/>
              </w:rPr>
              <w:t>Smanjenje broja institucionaliziran</w:t>
            </w:r>
            <w:r>
              <w:rPr>
                <w:noProof/>
              </w:rPr>
              <w:t>ih osoba s invaliditetom, nakon primanja relevantne potpore, na temelju pristupa vođenja predmeta, kako bi napredovale u „neovisnom načinu života” na 11500 od 16911.</w:t>
            </w:r>
          </w:p>
        </w:tc>
      </w:tr>
      <w:tr w:rsidR="003F46B9" w14:paraId="230E4AF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7C31BFF" w14:textId="77777777" w:rsidR="003F46B9" w:rsidRDefault="0065662E">
            <w:pPr>
              <w:pStyle w:val="P68B1DB1-Normal5"/>
              <w:spacing w:after="0" w:line="240" w:lineRule="auto"/>
              <w:jc w:val="center"/>
              <w:rPr>
                <w:rFonts w:cs="Times New Roman"/>
                <w:noProof/>
              </w:rPr>
            </w:pPr>
            <w:r>
              <w:rPr>
                <w:noProof/>
              </w:rPr>
              <w:t>384</w:t>
            </w:r>
          </w:p>
        </w:tc>
        <w:tc>
          <w:tcPr>
            <w:tcW w:w="1842" w:type="dxa"/>
            <w:tcBorders>
              <w:top w:val="nil"/>
              <w:left w:val="nil"/>
              <w:bottom w:val="single" w:sz="4" w:space="0" w:color="auto"/>
              <w:right w:val="single" w:sz="4" w:space="0" w:color="auto"/>
            </w:tcBorders>
            <w:shd w:val="clear" w:color="auto" w:fill="C6EFCE"/>
            <w:noWrap/>
          </w:tcPr>
          <w:p w14:paraId="4315FA3A" w14:textId="77777777" w:rsidR="003F46B9" w:rsidRDefault="0065662E">
            <w:pPr>
              <w:pStyle w:val="P68B1DB1-Normal5"/>
              <w:spacing w:after="0" w:line="240" w:lineRule="auto"/>
              <w:jc w:val="both"/>
              <w:rPr>
                <w:rFonts w:cs="Times New Roman"/>
                <w:noProof/>
              </w:rPr>
            </w:pPr>
            <w:r>
              <w:rPr>
                <w:noProof/>
              </w:rPr>
              <w:t>Reforma 3. Provedba minimalnog dohotka za uključivanje (VMI)</w:t>
            </w:r>
          </w:p>
        </w:tc>
        <w:tc>
          <w:tcPr>
            <w:tcW w:w="1216" w:type="dxa"/>
            <w:tcBorders>
              <w:top w:val="nil"/>
              <w:left w:val="nil"/>
              <w:bottom w:val="single" w:sz="4" w:space="0" w:color="auto"/>
              <w:right w:val="single" w:sz="4" w:space="0" w:color="auto"/>
            </w:tcBorders>
            <w:shd w:val="clear" w:color="auto" w:fill="C6EFCE"/>
            <w:noWrap/>
          </w:tcPr>
          <w:p w14:paraId="3D2D4ED3"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0E35C0A2" w14:textId="4326B36A" w:rsidR="003F46B9" w:rsidRDefault="0065662E">
            <w:pPr>
              <w:pStyle w:val="P68B1DB1-Normal5"/>
              <w:spacing w:after="0" w:line="240" w:lineRule="auto"/>
              <w:jc w:val="both"/>
              <w:rPr>
                <w:rFonts w:cs="Times New Roman"/>
                <w:noProof/>
              </w:rPr>
            </w:pPr>
            <w:r>
              <w:rPr>
                <w:noProof/>
              </w:rPr>
              <w:t xml:space="preserve">Stupanje na snagu zakonodavstva kojim se odobravaju provedbena pravila za primjenu VMI-ja </w:t>
            </w:r>
          </w:p>
        </w:tc>
        <w:tc>
          <w:tcPr>
            <w:tcW w:w="1843" w:type="dxa"/>
            <w:tcBorders>
              <w:top w:val="nil"/>
              <w:left w:val="nil"/>
              <w:bottom w:val="single" w:sz="4" w:space="0" w:color="auto"/>
              <w:right w:val="single" w:sz="4" w:space="0" w:color="auto"/>
            </w:tcBorders>
            <w:shd w:val="clear" w:color="auto" w:fill="C6EFCE"/>
            <w:noWrap/>
          </w:tcPr>
          <w:p w14:paraId="3F2BC15F" w14:textId="3EBDC4C5" w:rsidR="003F46B9" w:rsidRDefault="0065662E">
            <w:pPr>
              <w:pStyle w:val="P68B1DB1-Normal5"/>
              <w:spacing w:after="0" w:line="240" w:lineRule="auto"/>
              <w:jc w:val="both"/>
              <w:rPr>
                <w:rFonts w:cs="Times New Roman"/>
                <w:noProof/>
              </w:rPr>
            </w:pPr>
            <w:r>
              <w:rPr>
                <w:noProof/>
              </w:rPr>
              <w:t>Odredba u zakonodavstvu u kojoj se navode provedbena pravila za primjenu VMI-ja</w:t>
            </w:r>
          </w:p>
        </w:tc>
        <w:tc>
          <w:tcPr>
            <w:tcW w:w="1123" w:type="dxa"/>
            <w:tcBorders>
              <w:top w:val="nil"/>
              <w:left w:val="nil"/>
              <w:bottom w:val="single" w:sz="4" w:space="0" w:color="auto"/>
              <w:right w:val="single" w:sz="4" w:space="0" w:color="auto"/>
            </w:tcBorders>
            <w:shd w:val="clear" w:color="auto" w:fill="C6EFCE"/>
            <w:noWrap/>
          </w:tcPr>
          <w:p w14:paraId="0CA62E09" w14:textId="77777777" w:rsidR="003F46B9" w:rsidRDefault="0065662E">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5E40BE8C" w14:textId="77777777" w:rsidR="003F46B9" w:rsidRDefault="0065662E">
            <w:pPr>
              <w:pStyle w:val="P68B1DB1-Normal5"/>
              <w:spacing w:after="0" w:line="240" w:lineRule="auto"/>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74DAF24C" w14:textId="77777777" w:rsidR="003F46B9" w:rsidRDefault="0065662E">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0E8E4DF7"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0451B60E" w14:textId="77777777" w:rsidR="003F46B9" w:rsidRDefault="0065662E">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4DC1E8D6" w14:textId="5DAC7EAD" w:rsidR="003F46B9" w:rsidRDefault="0065662E">
            <w:pPr>
              <w:pStyle w:val="P68B1DB1-Normal5"/>
              <w:spacing w:after="0" w:line="240" w:lineRule="auto"/>
              <w:jc w:val="both"/>
              <w:rPr>
                <w:rFonts w:cs="Times New Roman"/>
                <w:noProof/>
              </w:rPr>
            </w:pPr>
            <w:r>
              <w:rPr>
                <w:noProof/>
              </w:rPr>
              <w:t>Zakonodavstvom se utvrđuju metodološka pravila za provedbu zak</w:t>
            </w:r>
            <w:r>
              <w:rPr>
                <w:noProof/>
              </w:rPr>
              <w:t>ona o VMI-ju, pri čemu se zadržava barem ista razina primjerenosti naknada i uvjeta prihvatljivosti kako je predviđeno u postojećem zakonu (Zakon 196/2016) s ciljem smanjenja siromaštva, poticanja zapošljavanja s pomoću poticajnih mjera i većeg stupnja obr</w:t>
            </w:r>
            <w:r>
              <w:rPr>
                <w:noProof/>
              </w:rPr>
              <w:t xml:space="preserve">azovanja. </w:t>
            </w:r>
          </w:p>
        </w:tc>
      </w:tr>
      <w:tr w:rsidR="003F46B9" w14:paraId="25677C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765E8473" w14:textId="77777777" w:rsidR="003F46B9" w:rsidRDefault="0065662E">
            <w:pPr>
              <w:pStyle w:val="P68B1DB1-Normal5"/>
              <w:spacing w:after="0" w:line="240" w:lineRule="auto"/>
              <w:jc w:val="center"/>
              <w:rPr>
                <w:rFonts w:cs="Times New Roman"/>
                <w:noProof/>
              </w:rPr>
            </w:pPr>
            <w:r>
              <w:rPr>
                <w:noProof/>
              </w:rPr>
              <w:t>385</w:t>
            </w:r>
          </w:p>
        </w:tc>
        <w:tc>
          <w:tcPr>
            <w:tcW w:w="1842" w:type="dxa"/>
            <w:tcBorders>
              <w:top w:val="nil"/>
              <w:left w:val="nil"/>
              <w:bottom w:val="single" w:sz="4" w:space="0" w:color="auto"/>
              <w:right w:val="single" w:sz="4" w:space="0" w:color="auto"/>
            </w:tcBorders>
            <w:shd w:val="clear" w:color="auto" w:fill="C6EFCE"/>
            <w:noWrap/>
          </w:tcPr>
          <w:p w14:paraId="230C1BC0" w14:textId="77777777" w:rsidR="003F46B9" w:rsidRDefault="0065662E">
            <w:pPr>
              <w:pStyle w:val="P68B1DB1-Normal5"/>
              <w:spacing w:after="0" w:line="240" w:lineRule="auto"/>
              <w:jc w:val="both"/>
              <w:rPr>
                <w:rFonts w:cs="Times New Roman"/>
                <w:noProof/>
              </w:rPr>
            </w:pPr>
            <w:r>
              <w:rPr>
                <w:noProof/>
              </w:rPr>
              <w:t>Reforma 3. Provedba minimalnog dohotka za uključivanje (VMI)</w:t>
            </w:r>
          </w:p>
        </w:tc>
        <w:tc>
          <w:tcPr>
            <w:tcW w:w="1216" w:type="dxa"/>
            <w:tcBorders>
              <w:top w:val="nil"/>
              <w:left w:val="nil"/>
              <w:bottom w:val="single" w:sz="4" w:space="0" w:color="auto"/>
              <w:right w:val="single" w:sz="4" w:space="0" w:color="auto"/>
            </w:tcBorders>
            <w:shd w:val="clear" w:color="auto" w:fill="C6EFCE"/>
            <w:noWrap/>
          </w:tcPr>
          <w:p w14:paraId="229164DA"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3ED6B957" w14:textId="77777777" w:rsidR="003F46B9" w:rsidRDefault="0065662E">
            <w:pPr>
              <w:pStyle w:val="P68B1DB1-Normal5"/>
              <w:spacing w:after="0" w:line="240" w:lineRule="auto"/>
              <w:jc w:val="both"/>
              <w:rPr>
                <w:rFonts w:cs="Times New Roman"/>
                <w:noProof/>
              </w:rPr>
            </w:pPr>
            <w:r>
              <w:rPr>
                <w:noProof/>
              </w:rPr>
              <w:t xml:space="preserve">Broj dodatnih prihvatljivih obiteljskih primatelja poboljšanog programa </w:t>
            </w:r>
          </w:p>
        </w:tc>
        <w:tc>
          <w:tcPr>
            <w:tcW w:w="1843" w:type="dxa"/>
            <w:tcBorders>
              <w:top w:val="nil"/>
              <w:left w:val="nil"/>
              <w:bottom w:val="single" w:sz="4" w:space="0" w:color="auto"/>
              <w:right w:val="single" w:sz="4" w:space="0" w:color="auto"/>
            </w:tcBorders>
            <w:shd w:val="clear" w:color="auto" w:fill="C6EFCE"/>
            <w:noWrap/>
          </w:tcPr>
          <w:p w14:paraId="4E9116A5"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2F1EA231" w14:textId="77777777" w:rsidR="003F46B9" w:rsidRDefault="0065662E">
            <w:pPr>
              <w:pStyle w:val="P68B1DB1-Normal5"/>
              <w:spacing w:after="0" w:line="240" w:lineRule="auto"/>
              <w:jc w:val="both"/>
              <w:rPr>
                <w:rFonts w:cs="Times New Roman"/>
                <w:noProof/>
              </w:rPr>
            </w:pPr>
            <w:r>
              <w:rPr>
                <w:noProof/>
              </w:rPr>
              <w:t xml:space="preserve">Broj </w:t>
            </w:r>
          </w:p>
        </w:tc>
        <w:tc>
          <w:tcPr>
            <w:tcW w:w="1145" w:type="dxa"/>
            <w:tcBorders>
              <w:top w:val="nil"/>
              <w:left w:val="nil"/>
              <w:bottom w:val="single" w:sz="4" w:space="0" w:color="auto"/>
              <w:right w:val="single" w:sz="4" w:space="0" w:color="auto"/>
            </w:tcBorders>
            <w:shd w:val="clear" w:color="auto" w:fill="C6EFCE"/>
            <w:noWrap/>
          </w:tcPr>
          <w:p w14:paraId="4540FB01" w14:textId="1A3CFCA6" w:rsidR="003F46B9" w:rsidRDefault="0065662E">
            <w:pPr>
              <w:pStyle w:val="P68B1DB1-Normal5"/>
              <w:spacing w:after="0" w:line="240" w:lineRule="auto"/>
              <w:jc w:val="both"/>
              <w:rPr>
                <w:rFonts w:cs="Times New Roman"/>
                <w:noProof/>
              </w:rPr>
            </w:pPr>
            <w:r>
              <w:rPr>
                <w:noProof/>
              </w:rPr>
              <w:t>189 000</w:t>
            </w:r>
          </w:p>
        </w:tc>
        <w:tc>
          <w:tcPr>
            <w:tcW w:w="851" w:type="dxa"/>
            <w:tcBorders>
              <w:top w:val="nil"/>
              <w:left w:val="nil"/>
              <w:bottom w:val="single" w:sz="4" w:space="0" w:color="auto"/>
              <w:right w:val="single" w:sz="4" w:space="0" w:color="auto"/>
            </w:tcBorders>
            <w:shd w:val="clear" w:color="auto" w:fill="C6EFCE"/>
            <w:noWrap/>
          </w:tcPr>
          <w:p w14:paraId="68EA40F5" w14:textId="77777777" w:rsidR="003F46B9" w:rsidRDefault="0065662E">
            <w:pPr>
              <w:pStyle w:val="P68B1DB1-Normal5"/>
              <w:spacing w:after="0" w:line="240" w:lineRule="auto"/>
              <w:jc w:val="both"/>
              <w:rPr>
                <w:rFonts w:cs="Times New Roman"/>
                <w:noProof/>
              </w:rPr>
            </w:pPr>
            <w:r>
              <w:rPr>
                <w:noProof/>
              </w:rPr>
              <w:t>245 700</w:t>
            </w:r>
          </w:p>
        </w:tc>
        <w:tc>
          <w:tcPr>
            <w:tcW w:w="1242" w:type="dxa"/>
            <w:tcBorders>
              <w:top w:val="nil"/>
              <w:left w:val="nil"/>
              <w:bottom w:val="single" w:sz="4" w:space="0" w:color="auto"/>
              <w:right w:val="single" w:sz="4" w:space="0" w:color="auto"/>
            </w:tcBorders>
            <w:shd w:val="clear" w:color="auto" w:fill="C6EFCE"/>
            <w:noWrap/>
          </w:tcPr>
          <w:p w14:paraId="7DCAF0E9"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6D8908C9" w14:textId="77777777" w:rsidR="003F46B9" w:rsidRDefault="0065662E">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3D2307D2" w14:textId="77777777" w:rsidR="003F46B9" w:rsidRDefault="0065662E">
            <w:pPr>
              <w:pStyle w:val="P68B1DB1-Normal5"/>
              <w:spacing w:after="0" w:line="240" w:lineRule="auto"/>
              <w:jc w:val="both"/>
              <w:rPr>
                <w:rFonts w:cs="Times New Roman"/>
                <w:noProof/>
              </w:rPr>
            </w:pPr>
            <w:r>
              <w:rPr>
                <w:noProof/>
              </w:rPr>
              <w:t xml:space="preserve">Dodatne obitelji koje ispunjavaju uvjete i koje primaju </w:t>
            </w:r>
            <w:r>
              <w:rPr>
                <w:noProof/>
              </w:rPr>
              <w:t>poboljšani program (izračunano na temelju procjene broja obiteljskih korisnika u skladu s ažuriranim zakonom), uz trenutačne prihvatljive primatelje zajamčenog minimalnog dohotka, tj. 189000 obitelji na dan 31. prosinca 2020.</w:t>
            </w:r>
          </w:p>
          <w:p w14:paraId="03EFE66C" w14:textId="6F5008BD" w:rsidR="003F46B9" w:rsidRDefault="0065662E">
            <w:pPr>
              <w:pStyle w:val="P68B1DB1-Normal5"/>
              <w:spacing w:after="0" w:line="240" w:lineRule="auto"/>
              <w:jc w:val="both"/>
              <w:rPr>
                <w:rFonts w:cs="Times New Roman"/>
                <w:noProof/>
              </w:rPr>
            </w:pPr>
            <w:r>
              <w:rPr>
                <w:noProof/>
              </w:rPr>
              <w:t>Isplata minimalnog dohotka/pri</w:t>
            </w:r>
            <w:r>
              <w:rPr>
                <w:noProof/>
              </w:rPr>
              <w:t xml:space="preserve">hoda za obiteljske potpore financira se iz državnog proračuna.  </w:t>
            </w:r>
          </w:p>
        </w:tc>
      </w:tr>
      <w:tr w:rsidR="003F46B9" w14:paraId="14D422A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E24D33B" w14:textId="77777777" w:rsidR="003F46B9" w:rsidRDefault="0065662E">
            <w:pPr>
              <w:pStyle w:val="P68B1DB1-Normal5"/>
              <w:spacing w:after="0" w:line="240" w:lineRule="auto"/>
              <w:jc w:val="center"/>
              <w:rPr>
                <w:rFonts w:cs="Times New Roman"/>
                <w:noProof/>
              </w:rPr>
            </w:pPr>
            <w:r>
              <w:rPr>
                <w:noProof/>
              </w:rPr>
              <w:t>386</w:t>
            </w:r>
          </w:p>
        </w:tc>
        <w:tc>
          <w:tcPr>
            <w:tcW w:w="1842" w:type="dxa"/>
            <w:tcBorders>
              <w:top w:val="nil"/>
              <w:left w:val="nil"/>
              <w:bottom w:val="single" w:sz="4" w:space="0" w:color="auto"/>
              <w:right w:val="single" w:sz="4" w:space="0" w:color="auto"/>
            </w:tcBorders>
            <w:shd w:val="clear" w:color="auto" w:fill="C6EFCE"/>
            <w:noWrap/>
          </w:tcPr>
          <w:p w14:paraId="35C82E63" w14:textId="77777777" w:rsidR="003F46B9" w:rsidRDefault="0065662E">
            <w:pPr>
              <w:pStyle w:val="P68B1DB1-Normal5"/>
              <w:spacing w:after="0" w:line="240" w:lineRule="auto"/>
              <w:jc w:val="both"/>
              <w:rPr>
                <w:rFonts w:cs="Times New Roman"/>
                <w:noProof/>
              </w:rPr>
            </w:pPr>
            <w:r>
              <w:rPr>
                <w:noProof/>
              </w:rPr>
              <w:t>Reforma 3. Provedba minimalnog dohotka za uključivanje (VMI)</w:t>
            </w:r>
          </w:p>
        </w:tc>
        <w:tc>
          <w:tcPr>
            <w:tcW w:w="1216" w:type="dxa"/>
            <w:tcBorders>
              <w:top w:val="nil"/>
              <w:left w:val="nil"/>
              <w:bottom w:val="single" w:sz="4" w:space="0" w:color="auto"/>
              <w:right w:val="single" w:sz="4" w:space="0" w:color="auto"/>
            </w:tcBorders>
            <w:shd w:val="clear" w:color="auto" w:fill="C6EFCE"/>
            <w:noWrap/>
          </w:tcPr>
          <w:p w14:paraId="5BA86F65"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67C650F4" w14:textId="77777777" w:rsidR="003F46B9" w:rsidRDefault="0065662E">
            <w:pPr>
              <w:pStyle w:val="P68B1DB1-Normal5"/>
              <w:spacing w:after="0" w:line="240" w:lineRule="auto"/>
              <w:jc w:val="both"/>
              <w:rPr>
                <w:rFonts w:cs="Times New Roman"/>
                <w:noProof/>
              </w:rPr>
            </w:pPr>
            <w:r>
              <w:rPr>
                <w:noProof/>
              </w:rPr>
              <w:t xml:space="preserve">Primatelj minimalnog prihoda za uključivanje prima barem jednu aktivacijsku mjeru </w:t>
            </w:r>
          </w:p>
        </w:tc>
        <w:tc>
          <w:tcPr>
            <w:tcW w:w="1843" w:type="dxa"/>
            <w:tcBorders>
              <w:top w:val="nil"/>
              <w:left w:val="nil"/>
              <w:bottom w:val="single" w:sz="4" w:space="0" w:color="auto"/>
              <w:right w:val="single" w:sz="4" w:space="0" w:color="auto"/>
            </w:tcBorders>
            <w:shd w:val="clear" w:color="auto" w:fill="C6EFCE"/>
            <w:noWrap/>
          </w:tcPr>
          <w:p w14:paraId="3E1C839F" w14:textId="77777777" w:rsidR="003F46B9" w:rsidRDefault="003F46B9">
            <w:pPr>
              <w:spacing w:after="0" w:line="240" w:lineRule="auto"/>
              <w:jc w:val="both"/>
              <w:rPr>
                <w:rFonts w:ascii="Times New Roman" w:hAnsi="Times New Roman" w:cs="Times New Roman"/>
                <w:noProof/>
                <w:sz w:val="24"/>
              </w:rPr>
            </w:pPr>
          </w:p>
        </w:tc>
        <w:tc>
          <w:tcPr>
            <w:tcW w:w="1123" w:type="dxa"/>
            <w:tcBorders>
              <w:top w:val="nil"/>
              <w:left w:val="nil"/>
              <w:bottom w:val="single" w:sz="4" w:space="0" w:color="auto"/>
              <w:right w:val="single" w:sz="4" w:space="0" w:color="auto"/>
            </w:tcBorders>
            <w:shd w:val="clear" w:color="auto" w:fill="C6EFCE"/>
            <w:noWrap/>
          </w:tcPr>
          <w:p w14:paraId="66F24293" w14:textId="77777777" w:rsidR="003F46B9" w:rsidRDefault="0065662E">
            <w:pPr>
              <w:pStyle w:val="P68B1DB1-Normal5"/>
              <w:spacing w:after="0" w:line="240" w:lineRule="auto"/>
              <w:jc w:val="both"/>
              <w:rPr>
                <w:rFonts w:eastAsia="Times New Roman" w:cs="Times New Roman"/>
                <w:noProof/>
              </w:rPr>
            </w:pPr>
            <w:r>
              <w:rPr>
                <w:noProof/>
              </w:rPr>
              <w:t>% (postotak)</w:t>
            </w:r>
          </w:p>
          <w:p w14:paraId="76F0FD1B" w14:textId="77777777" w:rsidR="003F46B9" w:rsidRDefault="003F46B9">
            <w:pPr>
              <w:spacing w:after="0" w:line="240" w:lineRule="auto"/>
              <w:jc w:val="both"/>
              <w:rPr>
                <w:rFonts w:ascii="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tcPr>
          <w:p w14:paraId="162AF0BE"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08626D49" w14:textId="77777777" w:rsidR="003F46B9" w:rsidRDefault="0065662E">
            <w:pPr>
              <w:pStyle w:val="P68B1DB1-Normal5"/>
              <w:spacing w:after="0" w:line="240" w:lineRule="auto"/>
              <w:jc w:val="both"/>
              <w:rPr>
                <w:rFonts w:cs="Times New Roman"/>
                <w:noProof/>
              </w:rPr>
            </w:pPr>
            <w:r>
              <w:rPr>
                <w:noProof/>
              </w:rPr>
              <w:t>60 %</w:t>
            </w:r>
          </w:p>
        </w:tc>
        <w:tc>
          <w:tcPr>
            <w:tcW w:w="1242" w:type="dxa"/>
            <w:tcBorders>
              <w:top w:val="nil"/>
              <w:left w:val="nil"/>
              <w:bottom w:val="single" w:sz="4" w:space="0" w:color="auto"/>
              <w:right w:val="single" w:sz="4" w:space="0" w:color="auto"/>
            </w:tcBorders>
            <w:shd w:val="clear" w:color="auto" w:fill="C6EFCE"/>
            <w:noWrap/>
          </w:tcPr>
          <w:p w14:paraId="43074F34"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0A7654E3" w14:textId="77777777" w:rsidR="003F46B9" w:rsidRDefault="0065662E">
            <w:pPr>
              <w:pStyle w:val="P68B1DB1-Normal5"/>
              <w:spacing w:after="0" w:line="240" w:lineRule="auto"/>
              <w:jc w:val="both"/>
              <w:rPr>
                <w:rFonts w:cs="Times New Roman"/>
                <w:noProof/>
              </w:rPr>
            </w:pPr>
            <w:r>
              <w:rPr>
                <w:noProof/>
              </w:rPr>
              <w:t>2025</w:t>
            </w:r>
          </w:p>
        </w:tc>
        <w:tc>
          <w:tcPr>
            <w:tcW w:w="2693" w:type="dxa"/>
            <w:tcBorders>
              <w:top w:val="nil"/>
              <w:left w:val="nil"/>
              <w:bottom w:val="single" w:sz="4" w:space="0" w:color="auto"/>
              <w:right w:val="single" w:sz="4" w:space="0" w:color="auto"/>
            </w:tcBorders>
            <w:shd w:val="clear" w:color="auto" w:fill="C6EFCE"/>
            <w:noWrap/>
          </w:tcPr>
          <w:p w14:paraId="78A33784" w14:textId="77777777" w:rsidR="003F46B9" w:rsidRDefault="0065662E">
            <w:pPr>
              <w:pStyle w:val="P68B1DB1-Normal5"/>
              <w:spacing w:after="0" w:line="240" w:lineRule="auto"/>
              <w:jc w:val="both"/>
              <w:rPr>
                <w:rFonts w:cs="Times New Roman"/>
                <w:noProof/>
              </w:rPr>
            </w:pPr>
            <w:r>
              <w:rPr>
                <w:noProof/>
              </w:rPr>
              <w:t>Najmanje 60 % primatelja minimalnog dohotka za uključivanje u posljednjih 12 mjeseci primilo je najmanje jednu aktivacijsku mjeru.</w:t>
            </w:r>
          </w:p>
          <w:p w14:paraId="2895C5DB" w14:textId="77777777" w:rsidR="003F46B9" w:rsidRDefault="0065662E">
            <w:pPr>
              <w:pStyle w:val="P68B1DB1-Normal5"/>
              <w:spacing w:after="0" w:line="240" w:lineRule="auto"/>
              <w:jc w:val="both"/>
              <w:rPr>
                <w:rFonts w:cs="Times New Roman"/>
                <w:noProof/>
              </w:rPr>
            </w:pPr>
            <w:r>
              <w:rPr>
                <w:noProof/>
              </w:rPr>
              <w:t>Aktivacijska mjera sastoji se od: prijedlozi radnih mjesta, aktivnosti osposobljavanja u skladu s potrebama utvrđenima n</w:t>
            </w:r>
            <w:r>
              <w:rPr>
                <w:noProof/>
              </w:rPr>
              <w:t>a temelju načela vođenja predmeta (u skladu s projektom INTESPO koji se financira iz ESF-a),</w:t>
            </w:r>
          </w:p>
        </w:tc>
      </w:tr>
      <w:tr w:rsidR="003F46B9" w14:paraId="0E5C3719"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9411337" w14:textId="77777777" w:rsidR="003F46B9" w:rsidRDefault="0065662E">
            <w:pPr>
              <w:pStyle w:val="P68B1DB1-Normal5"/>
              <w:spacing w:after="0" w:line="240" w:lineRule="auto"/>
              <w:jc w:val="center"/>
              <w:rPr>
                <w:rFonts w:cs="Times New Roman"/>
                <w:noProof/>
              </w:rPr>
            </w:pPr>
            <w:r>
              <w:rPr>
                <w:noProof/>
              </w:rPr>
              <w:t>387</w:t>
            </w:r>
          </w:p>
        </w:tc>
        <w:tc>
          <w:tcPr>
            <w:tcW w:w="1842" w:type="dxa"/>
            <w:tcBorders>
              <w:top w:val="nil"/>
              <w:left w:val="nil"/>
              <w:bottom w:val="single" w:sz="4" w:space="0" w:color="auto"/>
              <w:right w:val="single" w:sz="4" w:space="0" w:color="auto"/>
            </w:tcBorders>
            <w:shd w:val="clear" w:color="auto" w:fill="C6EFCE"/>
            <w:noWrap/>
          </w:tcPr>
          <w:p w14:paraId="408AFC92" w14:textId="77777777" w:rsidR="003F46B9" w:rsidRDefault="0065662E">
            <w:pPr>
              <w:pStyle w:val="P68B1DB1-Normal5"/>
              <w:spacing w:after="0" w:line="240" w:lineRule="auto"/>
              <w:jc w:val="both"/>
              <w:rPr>
                <w:rFonts w:cs="Times New Roman"/>
                <w:noProof/>
              </w:rPr>
            </w:pPr>
            <w:r>
              <w:rPr>
                <w:noProof/>
              </w:rPr>
              <w:t>Reforma 4. Uvođenje radnih iskaznica i formalizacija rada u kućanstvu</w:t>
            </w:r>
          </w:p>
        </w:tc>
        <w:tc>
          <w:tcPr>
            <w:tcW w:w="1216" w:type="dxa"/>
            <w:tcBorders>
              <w:top w:val="nil"/>
              <w:left w:val="nil"/>
              <w:bottom w:val="single" w:sz="4" w:space="0" w:color="auto"/>
              <w:right w:val="single" w:sz="4" w:space="0" w:color="auto"/>
            </w:tcBorders>
            <w:shd w:val="clear" w:color="auto" w:fill="C6EFCE"/>
            <w:noWrap/>
          </w:tcPr>
          <w:p w14:paraId="2F0853D8"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6D854109" w14:textId="77777777" w:rsidR="003F46B9" w:rsidRDefault="0065662E">
            <w:pPr>
              <w:pStyle w:val="P68B1DB1-Normal5"/>
              <w:spacing w:after="0" w:line="240" w:lineRule="auto"/>
              <w:jc w:val="both"/>
              <w:rPr>
                <w:rFonts w:cs="Times New Roman"/>
                <w:noProof/>
              </w:rPr>
            </w:pPr>
            <w:r>
              <w:rPr>
                <w:noProof/>
              </w:rPr>
              <w:t xml:space="preserve">Stupanje na snagu zakonodavstva i njegovih provedbenih pravila za sustav vrijednosnih kupona radnika u kućanstvu </w:t>
            </w:r>
          </w:p>
        </w:tc>
        <w:tc>
          <w:tcPr>
            <w:tcW w:w="1843" w:type="dxa"/>
            <w:tcBorders>
              <w:top w:val="nil"/>
              <w:left w:val="nil"/>
              <w:bottom w:val="single" w:sz="4" w:space="0" w:color="auto"/>
              <w:right w:val="single" w:sz="4" w:space="0" w:color="auto"/>
            </w:tcBorders>
            <w:shd w:val="clear" w:color="auto" w:fill="C6EFCE"/>
            <w:noWrap/>
          </w:tcPr>
          <w:p w14:paraId="2C1CDF9F" w14:textId="77777777" w:rsidR="003F46B9" w:rsidRDefault="0065662E">
            <w:pPr>
              <w:pStyle w:val="P68B1DB1-Normal5"/>
              <w:spacing w:after="0" w:line="240" w:lineRule="auto"/>
              <w:jc w:val="both"/>
              <w:rPr>
                <w:rFonts w:cs="Times New Roman"/>
                <w:noProof/>
              </w:rPr>
            </w:pPr>
            <w:r>
              <w:rPr>
                <w:noProof/>
              </w:rPr>
              <w:t>Odredba zakona o stupanju na snagu zakona za provedbu sustava vrijednosnih kupona radne snage</w:t>
            </w:r>
          </w:p>
        </w:tc>
        <w:tc>
          <w:tcPr>
            <w:tcW w:w="1123" w:type="dxa"/>
            <w:tcBorders>
              <w:top w:val="nil"/>
              <w:left w:val="nil"/>
              <w:bottom w:val="single" w:sz="4" w:space="0" w:color="auto"/>
              <w:right w:val="single" w:sz="4" w:space="0" w:color="auto"/>
            </w:tcBorders>
            <w:shd w:val="clear" w:color="auto" w:fill="C6EFCE"/>
            <w:noWrap/>
          </w:tcPr>
          <w:p w14:paraId="6ABB9939" w14:textId="77777777" w:rsidR="003F46B9" w:rsidRDefault="0065662E">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39F1FDF8" w14:textId="77777777" w:rsidR="003F46B9" w:rsidRDefault="003F46B9">
            <w:pPr>
              <w:spacing w:after="0" w:line="240" w:lineRule="auto"/>
              <w:jc w:val="both"/>
              <w:rPr>
                <w:rFonts w:ascii="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13A8D9E7" w14:textId="77777777" w:rsidR="003F46B9" w:rsidRDefault="003F46B9">
            <w:pPr>
              <w:spacing w:after="0" w:line="240" w:lineRule="auto"/>
              <w:jc w:val="both"/>
              <w:rPr>
                <w:rFonts w:ascii="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tcPr>
          <w:p w14:paraId="4FBC3F58"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03D6F74D" w14:textId="77777777" w:rsidR="003F46B9" w:rsidRDefault="0065662E">
            <w:pPr>
              <w:pStyle w:val="P68B1DB1-Normal5"/>
              <w:spacing w:after="0" w:line="240" w:lineRule="auto"/>
              <w:jc w:val="both"/>
              <w:rPr>
                <w:rFonts w:cs="Times New Roman"/>
                <w:noProof/>
              </w:rPr>
            </w:pPr>
            <w:r>
              <w:rPr>
                <w:noProof/>
              </w:rPr>
              <w:t>2022</w:t>
            </w:r>
          </w:p>
        </w:tc>
        <w:tc>
          <w:tcPr>
            <w:tcW w:w="2693" w:type="dxa"/>
            <w:tcBorders>
              <w:top w:val="nil"/>
              <w:left w:val="nil"/>
              <w:bottom w:val="single" w:sz="4" w:space="0" w:color="auto"/>
              <w:right w:val="single" w:sz="4" w:space="0" w:color="auto"/>
            </w:tcBorders>
            <w:shd w:val="clear" w:color="auto" w:fill="C6EFCE"/>
            <w:noWrap/>
          </w:tcPr>
          <w:p w14:paraId="68DA00C3" w14:textId="77777777" w:rsidR="003F46B9" w:rsidRDefault="0065662E">
            <w:pPr>
              <w:pStyle w:val="P68B1DB1-Normal5"/>
              <w:spacing w:after="0" w:line="240" w:lineRule="auto"/>
              <w:jc w:val="both"/>
              <w:rPr>
                <w:rFonts w:cs="Times New Roman"/>
                <w:noProof/>
              </w:rPr>
            </w:pPr>
            <w:r>
              <w:rPr>
                <w:noProof/>
              </w:rPr>
              <w:t xml:space="preserve">Stupanje na snagu zakona o </w:t>
            </w:r>
            <w:r>
              <w:rPr>
                <w:noProof/>
              </w:rPr>
              <w:t>uspostavi sustava vrijednosnih kupona za rad kako bi se potaknulo formalno zapošljavanje radnika u kućanstvu koji su trenutačno prijavljeni kao nezaposleni ili neaktivni.</w:t>
            </w:r>
          </w:p>
        </w:tc>
      </w:tr>
      <w:tr w:rsidR="003F46B9" w14:paraId="662F659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02BA7009" w14:textId="77777777" w:rsidR="003F46B9" w:rsidRDefault="0065662E">
            <w:pPr>
              <w:pStyle w:val="P68B1DB1-Normal5"/>
              <w:spacing w:after="0" w:line="240" w:lineRule="auto"/>
              <w:jc w:val="center"/>
              <w:rPr>
                <w:rFonts w:cs="Times New Roman"/>
                <w:noProof/>
              </w:rPr>
            </w:pPr>
            <w:r>
              <w:rPr>
                <w:noProof/>
              </w:rPr>
              <w:t>388</w:t>
            </w:r>
          </w:p>
        </w:tc>
        <w:tc>
          <w:tcPr>
            <w:tcW w:w="1842" w:type="dxa"/>
            <w:tcBorders>
              <w:top w:val="nil"/>
              <w:left w:val="nil"/>
              <w:bottom w:val="single" w:sz="4" w:space="0" w:color="auto"/>
              <w:right w:val="single" w:sz="4" w:space="0" w:color="auto"/>
            </w:tcBorders>
            <w:shd w:val="clear" w:color="auto" w:fill="C6EFCE"/>
            <w:noWrap/>
          </w:tcPr>
          <w:p w14:paraId="4568B45A" w14:textId="77777777" w:rsidR="003F46B9" w:rsidRDefault="0065662E">
            <w:pPr>
              <w:pStyle w:val="P68B1DB1-Normal5"/>
              <w:spacing w:after="0" w:line="240" w:lineRule="auto"/>
              <w:jc w:val="both"/>
              <w:rPr>
                <w:rFonts w:cs="Times New Roman"/>
                <w:noProof/>
              </w:rPr>
            </w:pPr>
            <w:r>
              <w:rPr>
                <w:noProof/>
              </w:rPr>
              <w:t>Reforma 4. Uvođenje radnih iskaznica i formalizacija rada u kućanstvu</w:t>
            </w:r>
          </w:p>
        </w:tc>
        <w:tc>
          <w:tcPr>
            <w:tcW w:w="1216" w:type="dxa"/>
            <w:tcBorders>
              <w:top w:val="nil"/>
              <w:left w:val="nil"/>
              <w:bottom w:val="single" w:sz="4" w:space="0" w:color="auto"/>
              <w:right w:val="single" w:sz="4" w:space="0" w:color="auto"/>
            </w:tcBorders>
            <w:shd w:val="clear" w:color="auto" w:fill="C6EFCE"/>
            <w:noWrap/>
          </w:tcPr>
          <w:p w14:paraId="5CDBCB8B"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771C8516" w14:textId="77777777" w:rsidR="003F46B9" w:rsidRDefault="0065662E">
            <w:pPr>
              <w:pStyle w:val="P68B1DB1-Normal5"/>
              <w:spacing w:after="0" w:line="240" w:lineRule="auto"/>
              <w:jc w:val="both"/>
              <w:rPr>
                <w:rFonts w:cs="Times New Roman"/>
                <w:noProof/>
              </w:rPr>
            </w:pPr>
            <w:r>
              <w:rPr>
                <w:noProof/>
              </w:rPr>
              <w:t xml:space="preserve">Korisnici (radnici u kućanstvu) </w:t>
            </w:r>
          </w:p>
        </w:tc>
        <w:tc>
          <w:tcPr>
            <w:tcW w:w="1843" w:type="dxa"/>
            <w:tcBorders>
              <w:top w:val="nil"/>
              <w:left w:val="nil"/>
              <w:bottom w:val="single" w:sz="4" w:space="0" w:color="auto"/>
              <w:right w:val="single" w:sz="4" w:space="0" w:color="auto"/>
            </w:tcBorders>
            <w:shd w:val="clear" w:color="auto" w:fill="C6EFCE"/>
            <w:noWrap/>
          </w:tcPr>
          <w:p w14:paraId="1C2A84EC"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263A02D0"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1A8ABE6E"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57B845C5" w14:textId="77777777" w:rsidR="003F46B9" w:rsidRDefault="0065662E">
            <w:pPr>
              <w:pStyle w:val="P68B1DB1-Normal5"/>
              <w:spacing w:after="0" w:line="240" w:lineRule="auto"/>
              <w:jc w:val="both"/>
              <w:rPr>
                <w:rFonts w:cs="Times New Roman"/>
                <w:noProof/>
              </w:rPr>
            </w:pPr>
            <w:r>
              <w:rPr>
                <w:noProof/>
              </w:rPr>
              <w:t>10 000</w:t>
            </w:r>
          </w:p>
        </w:tc>
        <w:tc>
          <w:tcPr>
            <w:tcW w:w="1242" w:type="dxa"/>
            <w:tcBorders>
              <w:top w:val="nil"/>
              <w:left w:val="nil"/>
              <w:bottom w:val="single" w:sz="4" w:space="0" w:color="auto"/>
              <w:right w:val="single" w:sz="4" w:space="0" w:color="auto"/>
            </w:tcBorders>
            <w:shd w:val="clear" w:color="auto" w:fill="C6EFCE"/>
            <w:noWrap/>
          </w:tcPr>
          <w:p w14:paraId="53597F2A"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2B705DFA" w14:textId="77777777" w:rsidR="003F46B9" w:rsidRDefault="0065662E">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10D212FE"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Najmanje 10000 korisnika zapošljava radnike u kućanstvu putem sustava vaučera.</w:t>
            </w:r>
            <w:r>
              <w:rPr>
                <w:noProof/>
              </w:rPr>
              <w:t xml:space="preserve"> </w:t>
            </w:r>
            <w:r>
              <w:rPr>
                <w:noProof/>
              </w:rPr>
              <w:br/>
            </w:r>
          </w:p>
        </w:tc>
      </w:tr>
      <w:tr w:rsidR="003F46B9" w14:paraId="625EDF63"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358A74C" w14:textId="77777777" w:rsidR="003F46B9" w:rsidRDefault="0065662E">
            <w:pPr>
              <w:pStyle w:val="P68B1DB1-Normal5"/>
              <w:spacing w:after="0" w:line="240" w:lineRule="auto"/>
              <w:jc w:val="center"/>
              <w:rPr>
                <w:rFonts w:cs="Times New Roman"/>
                <w:noProof/>
              </w:rPr>
            </w:pPr>
            <w:r>
              <w:rPr>
                <w:noProof/>
              </w:rPr>
              <w:t>389</w:t>
            </w:r>
          </w:p>
        </w:tc>
        <w:tc>
          <w:tcPr>
            <w:tcW w:w="1842" w:type="dxa"/>
            <w:tcBorders>
              <w:top w:val="nil"/>
              <w:left w:val="nil"/>
              <w:bottom w:val="single" w:sz="4" w:space="0" w:color="auto"/>
              <w:right w:val="single" w:sz="4" w:space="0" w:color="auto"/>
            </w:tcBorders>
            <w:shd w:val="clear" w:color="auto" w:fill="C6EFCE"/>
            <w:noWrap/>
          </w:tcPr>
          <w:p w14:paraId="3B16E1DB" w14:textId="77777777" w:rsidR="003F46B9" w:rsidRDefault="0065662E">
            <w:pPr>
              <w:pStyle w:val="P68B1DB1-Normal5"/>
              <w:spacing w:after="0" w:line="240" w:lineRule="auto"/>
              <w:jc w:val="both"/>
              <w:rPr>
                <w:rFonts w:cs="Times New Roman"/>
                <w:noProof/>
              </w:rPr>
            </w:pPr>
            <w:r>
              <w:rPr>
                <w:noProof/>
              </w:rPr>
              <w:t>Reforma 4. Uvođenje radnih iskaznica i formalizacija rada u kućanstvu</w:t>
            </w:r>
          </w:p>
        </w:tc>
        <w:tc>
          <w:tcPr>
            <w:tcW w:w="1216" w:type="dxa"/>
            <w:tcBorders>
              <w:top w:val="nil"/>
              <w:left w:val="nil"/>
              <w:bottom w:val="single" w:sz="4" w:space="0" w:color="auto"/>
              <w:right w:val="single" w:sz="4" w:space="0" w:color="auto"/>
            </w:tcBorders>
            <w:shd w:val="clear" w:color="auto" w:fill="C6EFCE"/>
            <w:noWrap/>
          </w:tcPr>
          <w:p w14:paraId="77E360D4"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69068FC9" w14:textId="77777777" w:rsidR="003F46B9" w:rsidRDefault="0065662E">
            <w:pPr>
              <w:pStyle w:val="P68B1DB1-Normal5"/>
              <w:spacing w:after="0" w:line="240" w:lineRule="auto"/>
              <w:jc w:val="both"/>
              <w:rPr>
                <w:rFonts w:cs="Times New Roman"/>
                <w:noProof/>
              </w:rPr>
            </w:pPr>
            <w:r>
              <w:rPr>
                <w:noProof/>
              </w:rPr>
              <w:t xml:space="preserve">Korisnici (radnici u kućanstvu) </w:t>
            </w:r>
          </w:p>
        </w:tc>
        <w:tc>
          <w:tcPr>
            <w:tcW w:w="1843" w:type="dxa"/>
            <w:tcBorders>
              <w:top w:val="nil"/>
              <w:left w:val="nil"/>
              <w:bottom w:val="single" w:sz="4" w:space="0" w:color="auto"/>
              <w:right w:val="single" w:sz="4" w:space="0" w:color="auto"/>
            </w:tcBorders>
            <w:shd w:val="clear" w:color="auto" w:fill="C6EFCE"/>
            <w:noWrap/>
          </w:tcPr>
          <w:p w14:paraId="3BC70C14"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5E2730FB"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208F0598" w14:textId="77777777" w:rsidR="003F46B9" w:rsidRDefault="0065662E">
            <w:pPr>
              <w:pStyle w:val="P68B1DB1-Normal5"/>
              <w:spacing w:after="0" w:line="240" w:lineRule="auto"/>
              <w:jc w:val="both"/>
              <w:rPr>
                <w:rFonts w:cs="Times New Roman"/>
                <w:noProof/>
              </w:rPr>
            </w:pPr>
            <w:r>
              <w:rPr>
                <w:noProof/>
              </w:rPr>
              <w:t>10 000</w:t>
            </w:r>
          </w:p>
        </w:tc>
        <w:tc>
          <w:tcPr>
            <w:tcW w:w="851" w:type="dxa"/>
            <w:tcBorders>
              <w:top w:val="nil"/>
              <w:left w:val="nil"/>
              <w:bottom w:val="single" w:sz="4" w:space="0" w:color="auto"/>
              <w:right w:val="single" w:sz="4" w:space="0" w:color="auto"/>
            </w:tcBorders>
            <w:shd w:val="clear" w:color="auto" w:fill="C6EFCE"/>
            <w:noWrap/>
          </w:tcPr>
          <w:p w14:paraId="29D66E17" w14:textId="77777777" w:rsidR="003F46B9" w:rsidRDefault="0065662E">
            <w:pPr>
              <w:pStyle w:val="P68B1DB1-Normal5"/>
              <w:spacing w:after="0" w:line="240" w:lineRule="auto"/>
              <w:jc w:val="both"/>
              <w:rPr>
                <w:rFonts w:cs="Times New Roman"/>
                <w:noProof/>
              </w:rPr>
            </w:pPr>
            <w:r>
              <w:rPr>
                <w:noProof/>
              </w:rPr>
              <w:t>30 000</w:t>
            </w:r>
          </w:p>
        </w:tc>
        <w:tc>
          <w:tcPr>
            <w:tcW w:w="1242" w:type="dxa"/>
            <w:tcBorders>
              <w:top w:val="nil"/>
              <w:left w:val="nil"/>
              <w:bottom w:val="single" w:sz="4" w:space="0" w:color="auto"/>
              <w:right w:val="single" w:sz="4" w:space="0" w:color="auto"/>
            </w:tcBorders>
            <w:shd w:val="clear" w:color="auto" w:fill="C6EFCE"/>
            <w:noWrap/>
          </w:tcPr>
          <w:p w14:paraId="224A21FA"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11064173" w14:textId="77777777" w:rsidR="003F46B9" w:rsidRDefault="0065662E">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38099326"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Najmanje 30000 korisnika zapošljava radnike u kućanstvu putem sustava vaučera.</w:t>
            </w:r>
            <w:r>
              <w:rPr>
                <w:noProof/>
              </w:rPr>
              <w:t xml:space="preserve"> </w:t>
            </w:r>
            <w:r>
              <w:rPr>
                <w:noProof/>
              </w:rPr>
              <w:br/>
            </w:r>
          </w:p>
        </w:tc>
      </w:tr>
      <w:tr w:rsidR="003F46B9" w14:paraId="3881BC4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ACB6D9" w14:textId="77777777" w:rsidR="003F46B9" w:rsidRDefault="0065662E">
            <w:pPr>
              <w:pStyle w:val="P68B1DB1-Normal5"/>
              <w:spacing w:after="0" w:line="240" w:lineRule="auto"/>
              <w:jc w:val="center"/>
              <w:rPr>
                <w:rFonts w:cs="Times New Roman"/>
                <w:noProof/>
              </w:rPr>
            </w:pPr>
            <w:r>
              <w:rPr>
                <w:noProof/>
              </w:rPr>
              <w:t>390</w:t>
            </w:r>
          </w:p>
        </w:tc>
        <w:tc>
          <w:tcPr>
            <w:tcW w:w="1842" w:type="dxa"/>
            <w:tcBorders>
              <w:top w:val="nil"/>
              <w:left w:val="nil"/>
              <w:bottom w:val="single" w:sz="4" w:space="0" w:color="auto"/>
              <w:right w:val="single" w:sz="4" w:space="0" w:color="auto"/>
            </w:tcBorders>
            <w:shd w:val="clear" w:color="auto" w:fill="C6EFCE"/>
            <w:noWrap/>
          </w:tcPr>
          <w:p w14:paraId="38EF9386" w14:textId="77777777" w:rsidR="003F46B9" w:rsidRDefault="0065662E">
            <w:pPr>
              <w:pStyle w:val="P68B1DB1-Normal5"/>
              <w:spacing w:after="0" w:line="240" w:lineRule="auto"/>
              <w:jc w:val="both"/>
              <w:rPr>
                <w:rFonts w:cs="Times New Roman"/>
                <w:noProof/>
              </w:rPr>
            </w:pPr>
            <w:r>
              <w:rPr>
                <w:noProof/>
              </w:rPr>
              <w:t>Reforma 4. Uvođenje radnih iskaznica i formalizacija rada u kućanstvu</w:t>
            </w:r>
          </w:p>
        </w:tc>
        <w:tc>
          <w:tcPr>
            <w:tcW w:w="1216" w:type="dxa"/>
            <w:tcBorders>
              <w:top w:val="nil"/>
              <w:left w:val="nil"/>
              <w:bottom w:val="single" w:sz="4" w:space="0" w:color="auto"/>
              <w:right w:val="single" w:sz="4" w:space="0" w:color="auto"/>
            </w:tcBorders>
            <w:shd w:val="clear" w:color="auto" w:fill="C6EFCE"/>
            <w:noWrap/>
          </w:tcPr>
          <w:p w14:paraId="59FB5CB6"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1B209493" w14:textId="77777777" w:rsidR="003F46B9" w:rsidRDefault="0065662E">
            <w:pPr>
              <w:pStyle w:val="P68B1DB1-Normal5"/>
              <w:spacing w:after="0" w:line="240" w:lineRule="auto"/>
              <w:jc w:val="both"/>
              <w:rPr>
                <w:rFonts w:cs="Times New Roman"/>
                <w:noProof/>
              </w:rPr>
            </w:pPr>
            <w:r>
              <w:rPr>
                <w:noProof/>
              </w:rPr>
              <w:t xml:space="preserve">Radnici/pružatelji </w:t>
            </w:r>
            <w:r>
              <w:rPr>
                <w:noProof/>
              </w:rPr>
              <w:t>usluga u kućanstvu koji su prethodno evidentirani kao nezaposleni ili neaktivni pružaju usluge s pomoću radnih kartica</w:t>
            </w:r>
          </w:p>
        </w:tc>
        <w:tc>
          <w:tcPr>
            <w:tcW w:w="1843" w:type="dxa"/>
            <w:tcBorders>
              <w:top w:val="nil"/>
              <w:left w:val="nil"/>
              <w:bottom w:val="single" w:sz="4" w:space="0" w:color="auto"/>
              <w:right w:val="single" w:sz="4" w:space="0" w:color="auto"/>
            </w:tcBorders>
            <w:shd w:val="clear" w:color="auto" w:fill="C6EFCE"/>
            <w:noWrap/>
          </w:tcPr>
          <w:p w14:paraId="4BF098CE"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6822E2A9"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1D5E66B5" w14:textId="77777777" w:rsidR="003F46B9" w:rsidRDefault="0065662E">
            <w:pPr>
              <w:pStyle w:val="P68B1DB1-Normal5"/>
              <w:spacing w:after="0" w:line="240" w:lineRule="auto"/>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996E427" w14:textId="77777777" w:rsidR="003F46B9" w:rsidRDefault="0065662E">
            <w:pPr>
              <w:pStyle w:val="P68B1DB1-Normal5"/>
              <w:spacing w:after="0" w:line="240" w:lineRule="auto"/>
              <w:jc w:val="both"/>
              <w:rPr>
                <w:rFonts w:cs="Times New Roman"/>
                <w:noProof/>
              </w:rPr>
            </w:pPr>
            <w:r>
              <w:rPr>
                <w:noProof/>
              </w:rPr>
              <w:t>20 000</w:t>
            </w:r>
          </w:p>
        </w:tc>
        <w:tc>
          <w:tcPr>
            <w:tcW w:w="1242" w:type="dxa"/>
            <w:tcBorders>
              <w:top w:val="nil"/>
              <w:left w:val="nil"/>
              <w:bottom w:val="single" w:sz="4" w:space="0" w:color="auto"/>
              <w:right w:val="single" w:sz="4" w:space="0" w:color="auto"/>
            </w:tcBorders>
            <w:shd w:val="clear" w:color="auto" w:fill="C6EFCE"/>
            <w:noWrap/>
          </w:tcPr>
          <w:p w14:paraId="3CBB8110"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005314F0" w14:textId="77777777" w:rsidR="003F46B9" w:rsidRDefault="0065662E">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0E56F1AA" w14:textId="77777777" w:rsidR="003F46B9" w:rsidRDefault="0065662E">
            <w:pPr>
              <w:pStyle w:val="P68B1DB1-Normal5"/>
              <w:spacing w:after="0" w:line="240" w:lineRule="auto"/>
              <w:jc w:val="both"/>
              <w:rPr>
                <w:rFonts w:cs="Times New Roman"/>
                <w:noProof/>
              </w:rPr>
            </w:pPr>
            <w:r>
              <w:rPr>
                <w:noProof/>
              </w:rPr>
              <w:t xml:space="preserve">Najmanje 20000 radnika u kućanstvu/pružatelja koji su prethodno zabilježeni kao nezaposleni ili </w:t>
            </w:r>
            <w:r>
              <w:rPr>
                <w:noProof/>
              </w:rPr>
              <w:t>neaktivni pružaju usluge s pomoću radnih iskaznica</w:t>
            </w:r>
          </w:p>
        </w:tc>
      </w:tr>
      <w:tr w:rsidR="003F46B9" w14:paraId="361B440D"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4200C58" w14:textId="77777777" w:rsidR="003F46B9" w:rsidRDefault="0065662E">
            <w:pPr>
              <w:pStyle w:val="P68B1DB1-Normal5"/>
              <w:spacing w:after="0" w:line="240" w:lineRule="auto"/>
              <w:jc w:val="center"/>
              <w:rPr>
                <w:rFonts w:cs="Times New Roman"/>
                <w:noProof/>
              </w:rPr>
            </w:pPr>
            <w:r>
              <w:rPr>
                <w:noProof/>
              </w:rPr>
              <w:t>391</w:t>
            </w:r>
          </w:p>
        </w:tc>
        <w:tc>
          <w:tcPr>
            <w:tcW w:w="1842" w:type="dxa"/>
            <w:tcBorders>
              <w:top w:val="nil"/>
              <w:left w:val="nil"/>
              <w:bottom w:val="single" w:sz="4" w:space="0" w:color="auto"/>
              <w:right w:val="single" w:sz="4" w:space="0" w:color="auto"/>
            </w:tcBorders>
            <w:shd w:val="clear" w:color="auto" w:fill="C6EFCE"/>
            <w:noWrap/>
          </w:tcPr>
          <w:p w14:paraId="3C866C41" w14:textId="77777777" w:rsidR="003F46B9" w:rsidRDefault="0065662E">
            <w:pPr>
              <w:pStyle w:val="P68B1DB1-Normal5"/>
              <w:spacing w:after="0" w:line="240" w:lineRule="auto"/>
              <w:jc w:val="both"/>
              <w:rPr>
                <w:rFonts w:cs="Times New Roman"/>
                <w:noProof/>
              </w:rPr>
            </w:pPr>
            <w:r>
              <w:rPr>
                <w:noProof/>
              </w:rPr>
              <w:t>Reforma 4. Uvođenje radnih iskaznica i formalizacija rada u kućanstvu</w:t>
            </w:r>
          </w:p>
        </w:tc>
        <w:tc>
          <w:tcPr>
            <w:tcW w:w="1216" w:type="dxa"/>
            <w:tcBorders>
              <w:top w:val="nil"/>
              <w:left w:val="nil"/>
              <w:bottom w:val="single" w:sz="4" w:space="0" w:color="auto"/>
              <w:right w:val="single" w:sz="4" w:space="0" w:color="auto"/>
            </w:tcBorders>
            <w:shd w:val="clear" w:color="auto" w:fill="C6EFCE"/>
            <w:noWrap/>
          </w:tcPr>
          <w:p w14:paraId="0BF3BCC1"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209CE200" w14:textId="77777777" w:rsidR="003F46B9" w:rsidRDefault="0065662E">
            <w:pPr>
              <w:pStyle w:val="P68B1DB1-Normal5"/>
              <w:spacing w:after="0" w:line="240" w:lineRule="auto"/>
              <w:jc w:val="both"/>
              <w:rPr>
                <w:rFonts w:cs="Times New Roman"/>
                <w:noProof/>
              </w:rPr>
            </w:pPr>
            <w:r>
              <w:rPr>
                <w:noProof/>
              </w:rPr>
              <w:t xml:space="preserve">Radnici/pružatelji usluga u kućanstvu koji su prethodno evidentirani kao nezaposleni ili neaktivni pružaju usluge s pomoću </w:t>
            </w:r>
            <w:r>
              <w:rPr>
                <w:noProof/>
              </w:rPr>
              <w:t>radnih kartica</w:t>
            </w:r>
          </w:p>
        </w:tc>
        <w:tc>
          <w:tcPr>
            <w:tcW w:w="1843" w:type="dxa"/>
            <w:tcBorders>
              <w:top w:val="nil"/>
              <w:left w:val="nil"/>
              <w:bottom w:val="single" w:sz="4" w:space="0" w:color="auto"/>
              <w:right w:val="single" w:sz="4" w:space="0" w:color="auto"/>
            </w:tcBorders>
            <w:shd w:val="clear" w:color="auto" w:fill="C6EFCE"/>
            <w:noWrap/>
          </w:tcPr>
          <w:p w14:paraId="3D96E215"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606C0F6D"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2C98B399" w14:textId="77777777" w:rsidR="003F46B9" w:rsidRDefault="0065662E">
            <w:pPr>
              <w:pStyle w:val="P68B1DB1-Normal5"/>
              <w:spacing w:after="0" w:line="240" w:lineRule="auto"/>
              <w:jc w:val="both"/>
              <w:rPr>
                <w:rFonts w:cs="Times New Roman"/>
                <w:noProof/>
              </w:rPr>
            </w:pPr>
            <w:r>
              <w:rPr>
                <w:noProof/>
              </w:rPr>
              <w:t>20 000</w:t>
            </w:r>
          </w:p>
        </w:tc>
        <w:tc>
          <w:tcPr>
            <w:tcW w:w="851" w:type="dxa"/>
            <w:tcBorders>
              <w:top w:val="nil"/>
              <w:left w:val="nil"/>
              <w:bottom w:val="single" w:sz="4" w:space="0" w:color="auto"/>
              <w:right w:val="single" w:sz="4" w:space="0" w:color="auto"/>
            </w:tcBorders>
            <w:shd w:val="clear" w:color="auto" w:fill="C6EFCE"/>
            <w:noWrap/>
          </w:tcPr>
          <w:p w14:paraId="792EB6BE" w14:textId="77777777" w:rsidR="003F46B9" w:rsidRDefault="0065662E">
            <w:pPr>
              <w:pStyle w:val="P68B1DB1-Normal5"/>
              <w:spacing w:after="0" w:line="240" w:lineRule="auto"/>
              <w:jc w:val="both"/>
              <w:rPr>
                <w:rFonts w:cs="Times New Roman"/>
                <w:noProof/>
              </w:rPr>
            </w:pPr>
            <w:r>
              <w:rPr>
                <w:noProof/>
              </w:rPr>
              <w:t>60 000</w:t>
            </w:r>
          </w:p>
        </w:tc>
        <w:tc>
          <w:tcPr>
            <w:tcW w:w="1242" w:type="dxa"/>
            <w:tcBorders>
              <w:top w:val="nil"/>
              <w:left w:val="nil"/>
              <w:bottom w:val="single" w:sz="4" w:space="0" w:color="auto"/>
              <w:right w:val="single" w:sz="4" w:space="0" w:color="auto"/>
            </w:tcBorders>
            <w:shd w:val="clear" w:color="auto" w:fill="C6EFCE"/>
            <w:noWrap/>
          </w:tcPr>
          <w:p w14:paraId="10257FC7"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09A3A660" w14:textId="77777777" w:rsidR="003F46B9" w:rsidRDefault="0065662E">
            <w:pPr>
              <w:pStyle w:val="P68B1DB1-Normal5"/>
              <w:spacing w:after="0" w:line="240" w:lineRule="auto"/>
              <w:jc w:val="both"/>
              <w:rPr>
                <w:rFonts w:cs="Times New Roman"/>
                <w:noProof/>
              </w:rPr>
            </w:pPr>
            <w:r>
              <w:rPr>
                <w:noProof/>
              </w:rPr>
              <w:t>2026</w:t>
            </w:r>
          </w:p>
        </w:tc>
        <w:tc>
          <w:tcPr>
            <w:tcW w:w="2693" w:type="dxa"/>
            <w:tcBorders>
              <w:top w:val="nil"/>
              <w:left w:val="nil"/>
              <w:bottom w:val="single" w:sz="4" w:space="0" w:color="auto"/>
              <w:right w:val="single" w:sz="4" w:space="0" w:color="auto"/>
            </w:tcBorders>
            <w:shd w:val="clear" w:color="auto" w:fill="C6EFCE"/>
            <w:noWrap/>
          </w:tcPr>
          <w:p w14:paraId="66326360" w14:textId="77777777" w:rsidR="003F46B9" w:rsidRDefault="0065662E">
            <w:pPr>
              <w:pStyle w:val="P68B1DB1-Normal5"/>
              <w:spacing w:after="0" w:line="240" w:lineRule="auto"/>
              <w:jc w:val="both"/>
              <w:rPr>
                <w:rFonts w:cs="Times New Roman"/>
                <w:noProof/>
              </w:rPr>
            </w:pPr>
            <w:r>
              <w:rPr>
                <w:noProof/>
              </w:rPr>
              <w:t>Najmanje 60000 radnika u kućanstvu/pružatelja koji su prethodno zabilježeni kao nezaposleni ili neaktivni pružaju usluge s pomoću radnih iskaznica</w:t>
            </w:r>
          </w:p>
        </w:tc>
      </w:tr>
      <w:tr w:rsidR="003F46B9" w14:paraId="484D14D2"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4F0E68F5" w14:textId="77777777" w:rsidR="003F46B9" w:rsidRDefault="0065662E">
            <w:pPr>
              <w:pStyle w:val="P68B1DB1-Normal5"/>
              <w:spacing w:after="0" w:line="240" w:lineRule="auto"/>
              <w:jc w:val="center"/>
              <w:rPr>
                <w:rFonts w:cs="Times New Roman"/>
                <w:noProof/>
              </w:rPr>
            </w:pPr>
            <w:r>
              <w:rPr>
                <w:noProof/>
              </w:rPr>
              <w:t>392</w:t>
            </w:r>
          </w:p>
        </w:tc>
        <w:tc>
          <w:tcPr>
            <w:tcW w:w="1842" w:type="dxa"/>
            <w:tcBorders>
              <w:top w:val="nil"/>
              <w:left w:val="nil"/>
              <w:bottom w:val="single" w:sz="4" w:space="0" w:color="auto"/>
              <w:right w:val="single" w:sz="4" w:space="0" w:color="auto"/>
            </w:tcBorders>
            <w:shd w:val="clear" w:color="auto" w:fill="C6EFCE"/>
            <w:noWrap/>
          </w:tcPr>
          <w:p w14:paraId="76DD6EB8" w14:textId="77777777" w:rsidR="003F46B9" w:rsidRDefault="0065662E">
            <w:pPr>
              <w:pStyle w:val="P68B1DB1-Normal5"/>
              <w:spacing w:after="0" w:line="240" w:lineRule="auto"/>
              <w:jc w:val="both"/>
              <w:rPr>
                <w:rFonts w:cs="Times New Roman"/>
                <w:noProof/>
              </w:rPr>
            </w:pPr>
            <w:r>
              <w:rPr>
                <w:noProof/>
              </w:rPr>
              <w:t xml:space="preserve">Reforma 5. Osigurati određivanje minimalne plaće </w:t>
            </w:r>
          </w:p>
        </w:tc>
        <w:tc>
          <w:tcPr>
            <w:tcW w:w="1216" w:type="dxa"/>
            <w:tcBorders>
              <w:top w:val="nil"/>
              <w:left w:val="nil"/>
              <w:bottom w:val="single" w:sz="4" w:space="0" w:color="auto"/>
              <w:right w:val="single" w:sz="4" w:space="0" w:color="auto"/>
            </w:tcBorders>
            <w:shd w:val="clear" w:color="auto" w:fill="C6EFCE"/>
            <w:noWrap/>
          </w:tcPr>
          <w:p w14:paraId="27ED8261"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5DAF8EB1" w14:textId="77777777" w:rsidR="003F46B9" w:rsidRDefault="0065662E">
            <w:pPr>
              <w:pStyle w:val="P68B1DB1-Normal5"/>
              <w:spacing w:after="0" w:line="240" w:lineRule="auto"/>
              <w:jc w:val="both"/>
              <w:rPr>
                <w:rFonts w:cs="Times New Roman"/>
                <w:noProof/>
              </w:rPr>
            </w:pPr>
            <w:r>
              <w:rPr>
                <w:noProof/>
              </w:rPr>
              <w:t>Stupanje na snagu uredbe kojom se uređuje novi sustav određivanja minimalne plaće</w:t>
            </w:r>
          </w:p>
        </w:tc>
        <w:tc>
          <w:tcPr>
            <w:tcW w:w="1843" w:type="dxa"/>
            <w:tcBorders>
              <w:top w:val="nil"/>
              <w:left w:val="nil"/>
              <w:bottom w:val="single" w:sz="4" w:space="0" w:color="auto"/>
              <w:right w:val="single" w:sz="4" w:space="0" w:color="auto"/>
            </w:tcBorders>
            <w:shd w:val="clear" w:color="auto" w:fill="C6EFCE"/>
            <w:noWrap/>
          </w:tcPr>
          <w:p w14:paraId="3301F2C5" w14:textId="77777777" w:rsidR="003F46B9" w:rsidRDefault="0065662E">
            <w:pPr>
              <w:pStyle w:val="P68B1DB1-Normal5"/>
              <w:spacing w:after="0" w:line="240" w:lineRule="auto"/>
              <w:jc w:val="both"/>
              <w:rPr>
                <w:rFonts w:cs="Times New Roman"/>
                <w:noProof/>
              </w:rPr>
            </w:pPr>
            <w:r>
              <w:rPr>
                <w:noProof/>
              </w:rPr>
              <w:t xml:space="preserve">Zakonska odredba o stupanju na snagu zakonodavnog akta </w:t>
            </w:r>
          </w:p>
        </w:tc>
        <w:tc>
          <w:tcPr>
            <w:tcW w:w="1123" w:type="dxa"/>
            <w:tcBorders>
              <w:top w:val="nil"/>
              <w:left w:val="nil"/>
              <w:bottom w:val="single" w:sz="4" w:space="0" w:color="auto"/>
              <w:right w:val="single" w:sz="4" w:space="0" w:color="auto"/>
            </w:tcBorders>
            <w:shd w:val="clear" w:color="auto" w:fill="C6EFCE"/>
            <w:noWrap/>
          </w:tcPr>
          <w:p w14:paraId="6CCB3A91" w14:textId="77777777" w:rsidR="003F46B9" w:rsidRDefault="003F46B9">
            <w:pPr>
              <w:spacing w:after="0" w:line="240" w:lineRule="auto"/>
              <w:jc w:val="both"/>
              <w:rPr>
                <w:rFonts w:ascii="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tcPr>
          <w:p w14:paraId="4B92C60F" w14:textId="77777777" w:rsidR="003F46B9" w:rsidRDefault="003F46B9">
            <w:pPr>
              <w:spacing w:after="0" w:line="240" w:lineRule="auto"/>
              <w:jc w:val="both"/>
              <w:rPr>
                <w:rFonts w:ascii="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tcPr>
          <w:p w14:paraId="58C5112D" w14:textId="77777777" w:rsidR="003F46B9" w:rsidRDefault="003F46B9">
            <w:pPr>
              <w:spacing w:after="0" w:line="240" w:lineRule="auto"/>
              <w:jc w:val="both"/>
              <w:rPr>
                <w:rFonts w:ascii="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tcPr>
          <w:p w14:paraId="1B30E27C" w14:textId="77777777" w:rsidR="003F46B9" w:rsidRDefault="0065662E">
            <w:pPr>
              <w:pStyle w:val="P68B1DB1-Normal5"/>
              <w:spacing w:after="0" w:line="240" w:lineRule="auto"/>
              <w:jc w:val="both"/>
              <w:rPr>
                <w:rFonts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tcPr>
          <w:p w14:paraId="3D6D818B" w14:textId="77777777" w:rsidR="003F46B9" w:rsidRDefault="0065662E">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2D0F8AD0" w14:textId="77777777" w:rsidR="003F46B9" w:rsidRDefault="0065662E">
            <w:pPr>
              <w:pStyle w:val="P68B1DB1-Normal5"/>
              <w:spacing w:after="0" w:line="240" w:lineRule="auto"/>
              <w:jc w:val="both"/>
              <w:rPr>
                <w:rFonts w:cs="Times New Roman"/>
                <w:noProof/>
              </w:rPr>
            </w:pPr>
            <w:r>
              <w:rPr>
                <w:noProof/>
              </w:rPr>
              <w:t>Zakonodavnim aktom uspostavlja se novi mehanizam i formula za objektivno i sustavno ut</w:t>
            </w:r>
            <w:r>
              <w:rPr>
                <w:noProof/>
              </w:rPr>
              <w:t>vrđivanje razine minimalne plaće, uz savjetovanje sa socijalnim partnerima i uzimajući u obzir djelovanja Unije.</w:t>
            </w:r>
          </w:p>
        </w:tc>
      </w:tr>
      <w:tr w:rsidR="003F46B9" w14:paraId="10586CB0"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50248C29" w14:textId="77777777" w:rsidR="003F46B9" w:rsidRDefault="0065662E">
            <w:pPr>
              <w:pStyle w:val="P68B1DB1-Normal5"/>
              <w:spacing w:after="0" w:line="240" w:lineRule="auto"/>
              <w:jc w:val="center"/>
              <w:rPr>
                <w:rFonts w:eastAsia="Times New Roman" w:cs="Times New Roman"/>
                <w:noProof/>
              </w:rPr>
            </w:pPr>
            <w:r>
              <w:rPr>
                <w:noProof/>
              </w:rPr>
              <w:t>393</w:t>
            </w:r>
          </w:p>
        </w:tc>
        <w:tc>
          <w:tcPr>
            <w:tcW w:w="1842" w:type="dxa"/>
            <w:tcBorders>
              <w:top w:val="nil"/>
              <w:left w:val="nil"/>
              <w:bottom w:val="single" w:sz="4" w:space="0" w:color="auto"/>
              <w:right w:val="single" w:sz="4" w:space="0" w:color="auto"/>
            </w:tcBorders>
            <w:shd w:val="clear" w:color="auto" w:fill="C6EFCE"/>
            <w:noWrap/>
            <w:hideMark/>
          </w:tcPr>
          <w:p w14:paraId="2521F2DD" w14:textId="77777777" w:rsidR="003F46B9" w:rsidRDefault="0065662E">
            <w:pPr>
              <w:pStyle w:val="P68B1DB1-Normal5"/>
              <w:spacing w:after="0" w:line="240" w:lineRule="auto"/>
              <w:jc w:val="both"/>
              <w:rPr>
                <w:rFonts w:cs="Times New Roman"/>
                <w:noProof/>
              </w:rPr>
            </w:pPr>
            <w:r>
              <w:rPr>
                <w:noProof/>
              </w:rPr>
              <w:t>Ulaganje 1. Stvaranje mreže dnevnih centara za djecu kojoj prijeti odvajanje</w:t>
            </w:r>
          </w:p>
          <w:p w14:paraId="226EC654" w14:textId="77777777" w:rsidR="003F46B9" w:rsidRDefault="003F46B9">
            <w:pPr>
              <w:spacing w:after="0" w:line="240" w:lineRule="auto"/>
              <w:jc w:val="both"/>
              <w:rPr>
                <w:rFonts w:ascii="Times New Roman" w:eastAsia="Times New Roman" w:hAnsi="Times New Roman" w:cs="Times New Roman"/>
                <w:noProof/>
                <w:sz w:val="24"/>
              </w:rPr>
            </w:pPr>
          </w:p>
        </w:tc>
        <w:tc>
          <w:tcPr>
            <w:tcW w:w="1216" w:type="dxa"/>
            <w:tcBorders>
              <w:top w:val="nil"/>
              <w:left w:val="nil"/>
              <w:bottom w:val="single" w:sz="4" w:space="0" w:color="auto"/>
              <w:right w:val="single" w:sz="4" w:space="0" w:color="auto"/>
            </w:tcBorders>
            <w:shd w:val="clear" w:color="auto" w:fill="C6EFCE"/>
            <w:noWrap/>
            <w:hideMark/>
          </w:tcPr>
          <w:p w14:paraId="0EBB4748"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hideMark/>
          </w:tcPr>
          <w:p w14:paraId="41AA4290" w14:textId="77777777" w:rsidR="003F46B9" w:rsidRDefault="0065662E">
            <w:pPr>
              <w:pStyle w:val="P68B1DB1-Normal5"/>
              <w:spacing w:after="0" w:line="240" w:lineRule="auto"/>
              <w:jc w:val="both"/>
              <w:rPr>
                <w:rFonts w:eastAsia="Times New Roman" w:cs="Times New Roman"/>
                <w:noProof/>
              </w:rPr>
            </w:pPr>
            <w:r>
              <w:rPr>
                <w:noProof/>
              </w:rPr>
              <w:t xml:space="preserve">Pružanje mapiranja potreba, dostupnih usluga i </w:t>
            </w:r>
            <w:r>
              <w:rPr>
                <w:noProof/>
              </w:rPr>
              <w:t>infrastrukture za djecu kojoj prijeti rizik od odvajanja od obitelji, posebno u ranjivim zajednicama.</w:t>
            </w:r>
          </w:p>
        </w:tc>
        <w:tc>
          <w:tcPr>
            <w:tcW w:w="1843" w:type="dxa"/>
            <w:tcBorders>
              <w:top w:val="nil"/>
              <w:left w:val="nil"/>
              <w:bottom w:val="single" w:sz="4" w:space="0" w:color="auto"/>
              <w:right w:val="single" w:sz="4" w:space="0" w:color="auto"/>
            </w:tcBorders>
            <w:shd w:val="clear" w:color="auto" w:fill="C6EFCE"/>
            <w:noWrap/>
            <w:hideMark/>
          </w:tcPr>
          <w:p w14:paraId="3BC86B00" w14:textId="77777777" w:rsidR="003F46B9" w:rsidRDefault="0065662E">
            <w:pPr>
              <w:pStyle w:val="P68B1DB1-Normal5"/>
              <w:spacing w:after="0" w:line="240" w:lineRule="auto"/>
              <w:jc w:val="both"/>
              <w:rPr>
                <w:rFonts w:eastAsia="Times New Roman" w:cs="Times New Roman"/>
                <w:noProof/>
              </w:rPr>
            </w:pPr>
            <w:r>
              <w:rPr>
                <w:noProof/>
              </w:rPr>
              <w:t>Mapiranje potreba, dostupnih usluga i isporučenih infrastrukturnih objekata</w:t>
            </w:r>
          </w:p>
        </w:tc>
        <w:tc>
          <w:tcPr>
            <w:tcW w:w="1123" w:type="dxa"/>
            <w:tcBorders>
              <w:top w:val="nil"/>
              <w:left w:val="nil"/>
              <w:bottom w:val="single" w:sz="4" w:space="0" w:color="auto"/>
              <w:right w:val="single" w:sz="4" w:space="0" w:color="auto"/>
            </w:tcBorders>
            <w:shd w:val="clear" w:color="auto" w:fill="C6EFCE"/>
            <w:noWrap/>
            <w:hideMark/>
          </w:tcPr>
          <w:p w14:paraId="12BDACEE" w14:textId="77777777" w:rsidR="003F46B9" w:rsidRDefault="003F46B9">
            <w:pPr>
              <w:spacing w:after="0" w:line="240" w:lineRule="auto"/>
              <w:jc w:val="both"/>
              <w:rPr>
                <w:rFonts w:ascii="Times New Roman" w:eastAsia="Times New Roman" w:hAnsi="Times New Roman" w:cs="Times New Roman"/>
                <w:noProof/>
                <w:sz w:val="24"/>
              </w:rPr>
            </w:pPr>
          </w:p>
        </w:tc>
        <w:tc>
          <w:tcPr>
            <w:tcW w:w="1145" w:type="dxa"/>
            <w:tcBorders>
              <w:top w:val="nil"/>
              <w:left w:val="nil"/>
              <w:bottom w:val="single" w:sz="4" w:space="0" w:color="auto"/>
              <w:right w:val="single" w:sz="4" w:space="0" w:color="auto"/>
            </w:tcBorders>
            <w:shd w:val="clear" w:color="auto" w:fill="C6EFCE"/>
            <w:noWrap/>
            <w:hideMark/>
          </w:tcPr>
          <w:p w14:paraId="119FD658" w14:textId="77777777" w:rsidR="003F46B9" w:rsidRDefault="003F46B9">
            <w:pPr>
              <w:spacing w:after="0" w:line="240" w:lineRule="auto"/>
              <w:jc w:val="both"/>
              <w:rPr>
                <w:rFonts w:ascii="Times New Roman" w:eastAsia="Times New Roman" w:hAnsi="Times New Roman" w:cs="Times New Roman"/>
                <w:noProof/>
                <w:sz w:val="24"/>
              </w:rPr>
            </w:pPr>
          </w:p>
        </w:tc>
        <w:tc>
          <w:tcPr>
            <w:tcW w:w="851" w:type="dxa"/>
            <w:tcBorders>
              <w:top w:val="nil"/>
              <w:left w:val="nil"/>
              <w:bottom w:val="single" w:sz="4" w:space="0" w:color="auto"/>
              <w:right w:val="single" w:sz="4" w:space="0" w:color="auto"/>
            </w:tcBorders>
            <w:shd w:val="clear" w:color="auto" w:fill="C6EFCE"/>
            <w:noWrap/>
            <w:hideMark/>
          </w:tcPr>
          <w:p w14:paraId="3BEEA411" w14:textId="77777777" w:rsidR="003F46B9" w:rsidRDefault="003F46B9">
            <w:pPr>
              <w:spacing w:after="0" w:line="240" w:lineRule="auto"/>
              <w:jc w:val="both"/>
              <w:rPr>
                <w:rFonts w:ascii="Times New Roman" w:eastAsia="Times New Roman" w:hAnsi="Times New Roman" w:cs="Times New Roman"/>
                <w:noProof/>
                <w:sz w:val="24"/>
              </w:rPr>
            </w:pPr>
          </w:p>
        </w:tc>
        <w:tc>
          <w:tcPr>
            <w:tcW w:w="1242" w:type="dxa"/>
            <w:tcBorders>
              <w:top w:val="nil"/>
              <w:left w:val="nil"/>
              <w:bottom w:val="single" w:sz="4" w:space="0" w:color="auto"/>
              <w:right w:val="single" w:sz="4" w:space="0" w:color="auto"/>
            </w:tcBorders>
            <w:shd w:val="clear" w:color="auto" w:fill="C6EFCE"/>
            <w:noWrap/>
            <w:hideMark/>
          </w:tcPr>
          <w:p w14:paraId="4D18FF8F"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25" w:type="dxa"/>
            <w:tcBorders>
              <w:top w:val="nil"/>
              <w:left w:val="nil"/>
              <w:bottom w:val="single" w:sz="4" w:space="0" w:color="auto"/>
              <w:right w:val="single" w:sz="4" w:space="0" w:color="auto"/>
            </w:tcBorders>
            <w:shd w:val="clear" w:color="auto" w:fill="C6EFCE"/>
            <w:noWrap/>
            <w:hideMark/>
          </w:tcPr>
          <w:p w14:paraId="5310F38E" w14:textId="77777777" w:rsidR="003F46B9" w:rsidRDefault="0065662E">
            <w:pPr>
              <w:pStyle w:val="P68B1DB1-Normal5"/>
              <w:spacing w:after="0" w:line="240" w:lineRule="auto"/>
              <w:jc w:val="both"/>
              <w:rPr>
                <w:rFonts w:eastAsia="Times New Roman" w:cs="Times New Roman"/>
                <w:noProof/>
              </w:rPr>
            </w:pPr>
            <w:r>
              <w:rPr>
                <w:noProof/>
              </w:rPr>
              <w:t>2023</w:t>
            </w:r>
          </w:p>
        </w:tc>
        <w:tc>
          <w:tcPr>
            <w:tcW w:w="2693" w:type="dxa"/>
            <w:tcBorders>
              <w:top w:val="nil"/>
              <w:left w:val="nil"/>
              <w:bottom w:val="single" w:sz="4" w:space="0" w:color="auto"/>
              <w:right w:val="single" w:sz="4" w:space="0" w:color="auto"/>
            </w:tcBorders>
            <w:shd w:val="clear" w:color="auto" w:fill="C6EFCE"/>
            <w:noWrap/>
            <w:hideMark/>
          </w:tcPr>
          <w:p w14:paraId="4C5C69EC" w14:textId="77777777" w:rsidR="003F46B9" w:rsidRDefault="0065662E">
            <w:pPr>
              <w:pStyle w:val="P68B1DB1-Normal5"/>
              <w:spacing w:after="0" w:line="240" w:lineRule="auto"/>
              <w:jc w:val="both"/>
              <w:rPr>
                <w:rFonts w:eastAsia="Times New Roman" w:cs="Times New Roman"/>
                <w:noProof/>
              </w:rPr>
            </w:pPr>
            <w:r>
              <w:rPr>
                <w:noProof/>
              </w:rPr>
              <w:t xml:space="preserve">Provodi se mapiranje dostupnih usluga i infrastrukture za </w:t>
            </w:r>
            <w:r>
              <w:rPr>
                <w:noProof/>
              </w:rPr>
              <w:t>djecu kojoj prijeti rizik odvajanja od obitelji, posebno u ranjivim zajednicama. Dnevni centri grade se na temelju rezultata tog mapiranja kako bi se odgovorilo na utvrđene potrebe, posebno ranjivih zajednica (kao što su osobe s niskim prihodima, osobe s i</w:t>
            </w:r>
            <w:r>
              <w:rPr>
                <w:noProof/>
              </w:rPr>
              <w:t>nvaliditetom, osobe iz marginaliziranih zajednica, uključujući Rome, osobe migrantskog podrijetla). Mapiranjem se jednako utvrđuju zapostavljene/segregirane četvrti kako bi se odgovorilo na potrebe ranjivih/marginaliziranih zajednica (kao što su niska razi</w:t>
            </w:r>
            <w:r>
              <w:rPr>
                <w:noProof/>
              </w:rPr>
              <w:t>na prihoda, visoke stope nezaposlenosti, niska razina obrazovanja).</w:t>
            </w:r>
          </w:p>
        </w:tc>
      </w:tr>
      <w:tr w:rsidR="003F46B9" w14:paraId="71307D14"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hideMark/>
          </w:tcPr>
          <w:p w14:paraId="2B4E4945" w14:textId="77777777" w:rsidR="003F46B9" w:rsidRDefault="0065662E">
            <w:pPr>
              <w:pStyle w:val="P68B1DB1-Normal5"/>
              <w:spacing w:after="0" w:line="240" w:lineRule="auto"/>
              <w:jc w:val="center"/>
              <w:rPr>
                <w:rFonts w:eastAsia="Times New Roman" w:cs="Times New Roman"/>
                <w:noProof/>
              </w:rPr>
            </w:pPr>
            <w:r>
              <w:rPr>
                <w:noProof/>
              </w:rPr>
              <w:t>394</w:t>
            </w:r>
          </w:p>
        </w:tc>
        <w:tc>
          <w:tcPr>
            <w:tcW w:w="1842" w:type="dxa"/>
            <w:tcBorders>
              <w:top w:val="nil"/>
              <w:left w:val="nil"/>
              <w:bottom w:val="single" w:sz="4" w:space="0" w:color="auto"/>
              <w:right w:val="single" w:sz="4" w:space="0" w:color="auto"/>
            </w:tcBorders>
            <w:shd w:val="clear" w:color="auto" w:fill="C6EFCE"/>
            <w:noWrap/>
            <w:hideMark/>
          </w:tcPr>
          <w:p w14:paraId="755DB1C8" w14:textId="77777777" w:rsidR="003F46B9" w:rsidRDefault="0065662E">
            <w:pPr>
              <w:pStyle w:val="P68B1DB1-Normal5"/>
              <w:spacing w:after="0" w:line="240" w:lineRule="auto"/>
              <w:jc w:val="both"/>
              <w:rPr>
                <w:rFonts w:cs="Times New Roman"/>
                <w:noProof/>
              </w:rPr>
            </w:pPr>
            <w:r>
              <w:rPr>
                <w:noProof/>
              </w:rPr>
              <w:t>Ulaganje 1. Stvaranje mreže dnevnih centara za djecu kojoj prijeti odvajanje</w:t>
            </w:r>
          </w:p>
          <w:p w14:paraId="267A3E11" w14:textId="77777777" w:rsidR="003F46B9" w:rsidRDefault="003F46B9">
            <w:pPr>
              <w:spacing w:after="0" w:line="240" w:lineRule="auto"/>
              <w:jc w:val="both"/>
              <w:rPr>
                <w:rFonts w:ascii="Times New Roman" w:eastAsia="Times New Roman" w:hAnsi="Times New Roman" w:cs="Times New Roman"/>
                <w:noProof/>
                <w:sz w:val="24"/>
              </w:rPr>
            </w:pPr>
          </w:p>
        </w:tc>
        <w:tc>
          <w:tcPr>
            <w:tcW w:w="1216" w:type="dxa"/>
            <w:tcBorders>
              <w:top w:val="nil"/>
              <w:left w:val="nil"/>
              <w:bottom w:val="single" w:sz="4" w:space="0" w:color="auto"/>
              <w:right w:val="single" w:sz="4" w:space="0" w:color="auto"/>
            </w:tcBorders>
            <w:shd w:val="clear" w:color="auto" w:fill="C6EFCE"/>
            <w:noWrap/>
            <w:hideMark/>
          </w:tcPr>
          <w:p w14:paraId="3AABE81F"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hideMark/>
          </w:tcPr>
          <w:p w14:paraId="6FF4ADD9" w14:textId="77777777" w:rsidR="003F46B9" w:rsidRDefault="0065662E">
            <w:pPr>
              <w:pStyle w:val="P68B1DB1-Normal5"/>
              <w:spacing w:after="0" w:line="240" w:lineRule="auto"/>
              <w:jc w:val="both"/>
              <w:rPr>
                <w:rFonts w:eastAsia="Times New Roman" w:cs="Times New Roman"/>
                <w:noProof/>
              </w:rPr>
            </w:pPr>
            <w:r>
              <w:rPr>
                <w:noProof/>
              </w:rPr>
              <w:t>Dnevni centri za sprečavanje odvajanja djece od obitelji</w:t>
            </w:r>
          </w:p>
        </w:tc>
        <w:tc>
          <w:tcPr>
            <w:tcW w:w="1843" w:type="dxa"/>
            <w:tcBorders>
              <w:top w:val="nil"/>
              <w:left w:val="nil"/>
              <w:bottom w:val="single" w:sz="4" w:space="0" w:color="auto"/>
              <w:right w:val="single" w:sz="4" w:space="0" w:color="auto"/>
            </w:tcBorders>
            <w:shd w:val="clear" w:color="auto" w:fill="C6EFCE"/>
            <w:noWrap/>
            <w:hideMark/>
          </w:tcPr>
          <w:p w14:paraId="18BE4DB4"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hideMark/>
          </w:tcPr>
          <w:p w14:paraId="57B7AD35" w14:textId="77777777" w:rsidR="003F46B9" w:rsidRDefault="0065662E">
            <w:pPr>
              <w:pStyle w:val="P68B1DB1-Normal5"/>
              <w:spacing w:after="0" w:line="240" w:lineRule="auto"/>
              <w:jc w:val="both"/>
              <w:rPr>
                <w:rFonts w:eastAsia="Times New Roman"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hideMark/>
          </w:tcPr>
          <w:p w14:paraId="3C7CBAA6" w14:textId="77777777" w:rsidR="003F46B9" w:rsidRDefault="0065662E">
            <w:pPr>
              <w:pStyle w:val="P68B1DB1-Normal5"/>
              <w:spacing w:after="0" w:line="240" w:lineRule="auto"/>
              <w:jc w:val="both"/>
              <w:rPr>
                <w:rFonts w:eastAsia="Times New Roman"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hideMark/>
          </w:tcPr>
          <w:p w14:paraId="18113777" w14:textId="77777777" w:rsidR="003F46B9" w:rsidRDefault="0065662E">
            <w:pPr>
              <w:pStyle w:val="P68B1DB1-Normal5"/>
              <w:spacing w:after="0" w:line="240" w:lineRule="auto"/>
              <w:jc w:val="both"/>
              <w:rPr>
                <w:rFonts w:eastAsia="Times New Roman" w:cs="Times New Roman"/>
                <w:noProof/>
              </w:rPr>
            </w:pPr>
            <w:r>
              <w:rPr>
                <w:noProof/>
              </w:rPr>
              <w:t>150</w:t>
            </w:r>
          </w:p>
        </w:tc>
        <w:tc>
          <w:tcPr>
            <w:tcW w:w="1242" w:type="dxa"/>
            <w:tcBorders>
              <w:top w:val="nil"/>
              <w:left w:val="nil"/>
              <w:bottom w:val="single" w:sz="4" w:space="0" w:color="auto"/>
              <w:right w:val="single" w:sz="4" w:space="0" w:color="auto"/>
            </w:tcBorders>
            <w:shd w:val="clear" w:color="auto" w:fill="C6EFCE"/>
            <w:noWrap/>
            <w:hideMark/>
          </w:tcPr>
          <w:p w14:paraId="67899CCE"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hideMark/>
          </w:tcPr>
          <w:p w14:paraId="25517D1B" w14:textId="77777777" w:rsidR="003F46B9" w:rsidRDefault="0065662E">
            <w:pPr>
              <w:pStyle w:val="P68B1DB1-Normal5"/>
              <w:spacing w:after="0" w:line="240" w:lineRule="auto"/>
              <w:jc w:val="both"/>
              <w:rPr>
                <w:rFonts w:eastAsia="Times New Roman"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hideMark/>
          </w:tcPr>
          <w:p w14:paraId="4239285C" w14:textId="77777777" w:rsidR="003F46B9" w:rsidRDefault="0065662E">
            <w:pPr>
              <w:pStyle w:val="P68B1DB1-Normal5"/>
              <w:spacing w:after="0" w:line="240" w:lineRule="auto"/>
              <w:jc w:val="both"/>
              <w:rPr>
                <w:rFonts w:cs="Times New Roman"/>
                <w:noProof/>
              </w:rPr>
            </w:pPr>
            <w:r>
              <w:rPr>
                <w:noProof/>
              </w:rPr>
              <w:t xml:space="preserve">Početak rada mreže od 150 centara za dnevnu službu najmanje 10 % u zajednicama sa znatnim brojem romskog stanovništva kako bi se spriječilo odvajanje djece od obitelji. </w:t>
            </w:r>
          </w:p>
          <w:p w14:paraId="25CE2A10" w14:textId="77777777" w:rsidR="003F46B9" w:rsidRDefault="0065662E">
            <w:pPr>
              <w:pStyle w:val="P68B1DB1-Normal5"/>
              <w:spacing w:after="0" w:line="240" w:lineRule="auto"/>
              <w:jc w:val="both"/>
              <w:rPr>
                <w:rFonts w:cs="Times New Roman"/>
                <w:noProof/>
              </w:rPr>
            </w:pPr>
            <w:r>
              <w:rPr>
                <w:noProof/>
              </w:rPr>
              <w:t>145 od novoizgrađenih zgrada mora biti u skladu sa zahtjevom zgrade gotovo nulte energ</w:t>
            </w:r>
            <w:r>
              <w:rPr>
                <w:noProof/>
              </w:rPr>
              <w:t>ije (NZEB) u skladu s nacionalnim smjernicama. Pet od novoizgrađenih zgrada mora biti u skladu s ciljem postizanja potražnje za primarnom energijom (PED) koja je najmanje 20 % niža od zahtjeva za zgradu gotovo nulte energije (NZEB) u skladu s nacionalnim s</w:t>
            </w:r>
            <w:r>
              <w:rPr>
                <w:noProof/>
              </w:rPr>
              <w:t xml:space="preserve">mjernicama, što se osigurava energetskim certifikatima. </w:t>
            </w:r>
          </w:p>
        </w:tc>
      </w:tr>
      <w:tr w:rsidR="003F46B9" w14:paraId="3BC2DA66"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6C3B5D3A" w14:textId="77777777" w:rsidR="003F46B9" w:rsidRDefault="0065662E">
            <w:pPr>
              <w:pStyle w:val="P68B1DB1-Normal5"/>
              <w:spacing w:after="0" w:line="240" w:lineRule="auto"/>
              <w:jc w:val="center"/>
              <w:rPr>
                <w:rFonts w:cs="Times New Roman"/>
                <w:noProof/>
              </w:rPr>
            </w:pPr>
            <w:r>
              <w:rPr>
                <w:noProof/>
              </w:rPr>
              <w:t>395</w:t>
            </w:r>
          </w:p>
        </w:tc>
        <w:tc>
          <w:tcPr>
            <w:tcW w:w="1842" w:type="dxa"/>
            <w:tcBorders>
              <w:top w:val="nil"/>
              <w:left w:val="nil"/>
              <w:bottom w:val="single" w:sz="4" w:space="0" w:color="auto"/>
              <w:right w:val="single" w:sz="4" w:space="0" w:color="auto"/>
            </w:tcBorders>
            <w:shd w:val="clear" w:color="auto" w:fill="C6EFCE"/>
            <w:noWrap/>
          </w:tcPr>
          <w:p w14:paraId="3C7468BD" w14:textId="77777777" w:rsidR="003F46B9" w:rsidRDefault="0065662E">
            <w:pPr>
              <w:pStyle w:val="P68B1DB1-Normal5"/>
              <w:spacing w:after="0" w:line="240" w:lineRule="auto"/>
              <w:jc w:val="both"/>
              <w:rPr>
                <w:rFonts w:cs="Times New Roman"/>
                <w:noProof/>
              </w:rPr>
            </w:pPr>
            <w:r>
              <w:rPr>
                <w:noProof/>
              </w:rPr>
              <w:t>Ulaganje 2. Sanacija, obnova i razvoj socijalne infrastrukture za osobe s invaliditetom</w:t>
            </w:r>
          </w:p>
        </w:tc>
        <w:tc>
          <w:tcPr>
            <w:tcW w:w="1216" w:type="dxa"/>
            <w:tcBorders>
              <w:top w:val="nil"/>
              <w:left w:val="nil"/>
              <w:bottom w:val="single" w:sz="4" w:space="0" w:color="auto"/>
              <w:right w:val="single" w:sz="4" w:space="0" w:color="auto"/>
            </w:tcBorders>
            <w:shd w:val="clear" w:color="auto" w:fill="C6EFCE"/>
            <w:noWrap/>
          </w:tcPr>
          <w:p w14:paraId="58E2FF70"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176E514B" w14:textId="77777777" w:rsidR="003F46B9" w:rsidRDefault="0065662E">
            <w:pPr>
              <w:pStyle w:val="P68B1DB1-Normal5"/>
              <w:spacing w:after="0" w:line="240" w:lineRule="auto"/>
              <w:jc w:val="both"/>
              <w:rPr>
                <w:rFonts w:cs="Times New Roman"/>
                <w:noProof/>
              </w:rPr>
            </w:pPr>
            <w:r>
              <w:rPr>
                <w:noProof/>
              </w:rPr>
              <w:t xml:space="preserve">Modernizirane usluge u zajednici za osobe s invaliditetom </w:t>
            </w:r>
          </w:p>
        </w:tc>
        <w:tc>
          <w:tcPr>
            <w:tcW w:w="1843" w:type="dxa"/>
            <w:tcBorders>
              <w:top w:val="nil"/>
              <w:left w:val="nil"/>
              <w:bottom w:val="single" w:sz="4" w:space="0" w:color="auto"/>
              <w:right w:val="single" w:sz="4" w:space="0" w:color="auto"/>
            </w:tcBorders>
            <w:shd w:val="clear" w:color="auto" w:fill="C6EFCE"/>
            <w:noWrap/>
          </w:tcPr>
          <w:p w14:paraId="7E316968"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48A5BFB4"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19B83F39" w14:textId="77777777" w:rsidR="003F46B9" w:rsidRDefault="0065662E">
            <w:pPr>
              <w:pStyle w:val="P68B1DB1-Normal5"/>
              <w:spacing w:after="0" w:line="240" w:lineRule="auto"/>
              <w:ind w:left="-102"/>
              <w:contextualSpacing/>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4C5E3796" w14:textId="77777777" w:rsidR="003F46B9" w:rsidRDefault="0065662E">
            <w:pPr>
              <w:pStyle w:val="P68B1DB1-Normal5"/>
              <w:spacing w:after="0" w:line="240" w:lineRule="auto"/>
              <w:jc w:val="both"/>
              <w:rPr>
                <w:rFonts w:cs="Times New Roman"/>
                <w:noProof/>
              </w:rPr>
            </w:pPr>
            <w:r>
              <w:rPr>
                <w:noProof/>
              </w:rPr>
              <w:t>50</w:t>
            </w:r>
          </w:p>
        </w:tc>
        <w:tc>
          <w:tcPr>
            <w:tcW w:w="1242" w:type="dxa"/>
            <w:tcBorders>
              <w:top w:val="nil"/>
              <w:left w:val="nil"/>
              <w:bottom w:val="single" w:sz="4" w:space="0" w:color="auto"/>
              <w:right w:val="single" w:sz="4" w:space="0" w:color="auto"/>
            </w:tcBorders>
            <w:shd w:val="clear" w:color="auto" w:fill="C6EFCE"/>
            <w:noWrap/>
          </w:tcPr>
          <w:p w14:paraId="55875314"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438AFB16" w14:textId="77777777" w:rsidR="003F46B9" w:rsidRDefault="0065662E">
            <w:pPr>
              <w:pStyle w:val="P68B1DB1-Normal5"/>
              <w:spacing w:after="0" w:line="240" w:lineRule="auto"/>
              <w:jc w:val="both"/>
              <w:rPr>
                <w:rFonts w:cs="Times New Roman"/>
                <w:noProof/>
              </w:rPr>
            </w:pPr>
            <w:r>
              <w:rPr>
                <w:noProof/>
              </w:rPr>
              <w:t>2024</w:t>
            </w:r>
          </w:p>
        </w:tc>
        <w:tc>
          <w:tcPr>
            <w:tcW w:w="2693" w:type="dxa"/>
            <w:tcBorders>
              <w:top w:val="nil"/>
              <w:left w:val="nil"/>
              <w:bottom w:val="single" w:sz="4" w:space="0" w:color="auto"/>
              <w:right w:val="single" w:sz="4" w:space="0" w:color="auto"/>
            </w:tcBorders>
            <w:shd w:val="clear" w:color="auto" w:fill="C6EFCE"/>
            <w:noWrap/>
          </w:tcPr>
          <w:p w14:paraId="45CF4625" w14:textId="77777777" w:rsidR="003F46B9" w:rsidRDefault="0065662E">
            <w:pPr>
              <w:pStyle w:val="P68B1DB1-Normal5"/>
              <w:spacing w:after="0" w:line="240" w:lineRule="auto"/>
              <w:jc w:val="both"/>
              <w:rPr>
                <w:rFonts w:cs="Times New Roman"/>
                <w:noProof/>
              </w:rPr>
            </w:pPr>
            <w:r>
              <w:rPr>
                <w:noProof/>
              </w:rPr>
              <w:t xml:space="preserve">Broj moderniziranih usluga u zajednici (dnevni centri i neuromotorni centri za oporavak za osobe s invaliditetom) u okviru nacionalnog programa za financiranje ulaganja kao što su rehabilitacija, konsolidacija, modernizacija i pružanje usluga u zajednici. </w:t>
            </w:r>
            <w:r>
              <w:rPr>
                <w:noProof/>
              </w:rPr>
              <w:t>Nakon toga 25-dnevnih centara i 25 centara za oporavak neuromobilnosti izvan pacijenta započinju s radom putem otvorenog poziva za pružanje javnih socijalnih usluga koje ispunjavaju kriterije prihvatljivosti za ta ulaganja, uključujući uvjet za smještaj na</w:t>
            </w:r>
            <w:r>
              <w:rPr>
                <w:noProof/>
              </w:rPr>
              <w:t>jmanje 1000 osoba s invaliditetom godišnje.</w:t>
            </w:r>
          </w:p>
        </w:tc>
      </w:tr>
      <w:tr w:rsidR="003F46B9" w14:paraId="63A79B17"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3D41568B" w14:textId="77777777" w:rsidR="003F46B9" w:rsidRDefault="0065662E">
            <w:pPr>
              <w:pStyle w:val="P68B1DB1-Normal5"/>
              <w:spacing w:after="0" w:line="240" w:lineRule="auto"/>
              <w:jc w:val="center"/>
              <w:rPr>
                <w:rFonts w:cs="Times New Roman"/>
                <w:noProof/>
              </w:rPr>
            </w:pPr>
            <w:r>
              <w:rPr>
                <w:noProof/>
              </w:rPr>
              <w:t>396</w:t>
            </w:r>
          </w:p>
        </w:tc>
        <w:tc>
          <w:tcPr>
            <w:tcW w:w="1842" w:type="dxa"/>
            <w:tcBorders>
              <w:top w:val="nil"/>
              <w:left w:val="nil"/>
              <w:bottom w:val="single" w:sz="4" w:space="0" w:color="auto"/>
              <w:right w:val="single" w:sz="4" w:space="0" w:color="auto"/>
            </w:tcBorders>
            <w:shd w:val="clear" w:color="auto" w:fill="C6EFCE"/>
            <w:noWrap/>
          </w:tcPr>
          <w:p w14:paraId="0EA1E405" w14:textId="77777777" w:rsidR="003F46B9" w:rsidRDefault="0065662E">
            <w:pPr>
              <w:pStyle w:val="P68B1DB1-Normal5"/>
              <w:spacing w:after="0" w:line="240" w:lineRule="auto"/>
              <w:jc w:val="both"/>
              <w:rPr>
                <w:rFonts w:cs="Times New Roman"/>
                <w:noProof/>
              </w:rPr>
            </w:pPr>
            <w:r>
              <w:rPr>
                <w:noProof/>
              </w:rPr>
              <w:t>Ulaganje 2. Sanacija, obnova i razvoj socijalne infrastrukture za osobe s invaliditetom</w:t>
            </w:r>
          </w:p>
        </w:tc>
        <w:tc>
          <w:tcPr>
            <w:tcW w:w="1216" w:type="dxa"/>
            <w:tcBorders>
              <w:top w:val="nil"/>
              <w:left w:val="nil"/>
              <w:bottom w:val="single" w:sz="4" w:space="0" w:color="auto"/>
              <w:right w:val="single" w:sz="4" w:space="0" w:color="auto"/>
            </w:tcBorders>
            <w:shd w:val="clear" w:color="auto" w:fill="C6EFCE"/>
            <w:noWrap/>
          </w:tcPr>
          <w:p w14:paraId="73B55F44" w14:textId="77777777" w:rsidR="003F46B9" w:rsidRDefault="0065662E">
            <w:pPr>
              <w:pStyle w:val="P68B1DB1-Normal5"/>
              <w:spacing w:after="0" w:line="240" w:lineRule="auto"/>
              <w:jc w:val="both"/>
              <w:rPr>
                <w:rFonts w:cs="Times New Roman"/>
                <w:noProof/>
              </w:rPr>
            </w:pPr>
            <w:r>
              <w:rPr>
                <w:noProof/>
              </w:rPr>
              <w:t>Ciljna</w:t>
            </w:r>
          </w:p>
        </w:tc>
        <w:tc>
          <w:tcPr>
            <w:tcW w:w="1619" w:type="dxa"/>
            <w:tcBorders>
              <w:top w:val="nil"/>
              <w:left w:val="nil"/>
              <w:bottom w:val="single" w:sz="4" w:space="0" w:color="auto"/>
              <w:right w:val="single" w:sz="4" w:space="0" w:color="auto"/>
            </w:tcBorders>
            <w:shd w:val="clear" w:color="auto" w:fill="C6EFCE"/>
            <w:noWrap/>
          </w:tcPr>
          <w:p w14:paraId="1014B089" w14:textId="77777777" w:rsidR="003F46B9" w:rsidRDefault="0065662E">
            <w:pPr>
              <w:pStyle w:val="P68B1DB1-Normal5"/>
              <w:spacing w:after="0" w:line="240" w:lineRule="auto"/>
              <w:jc w:val="both"/>
              <w:rPr>
                <w:rFonts w:cs="Times New Roman"/>
                <w:noProof/>
              </w:rPr>
            </w:pPr>
            <w:r>
              <w:rPr>
                <w:noProof/>
              </w:rPr>
              <w:t>Nove usluge u zajednici za osobe s invaliditetom</w:t>
            </w:r>
          </w:p>
        </w:tc>
        <w:tc>
          <w:tcPr>
            <w:tcW w:w="1843" w:type="dxa"/>
            <w:tcBorders>
              <w:top w:val="nil"/>
              <w:left w:val="nil"/>
              <w:bottom w:val="single" w:sz="4" w:space="0" w:color="auto"/>
              <w:right w:val="single" w:sz="4" w:space="0" w:color="auto"/>
            </w:tcBorders>
            <w:shd w:val="clear" w:color="auto" w:fill="C6EFCE"/>
            <w:noWrap/>
          </w:tcPr>
          <w:p w14:paraId="04C542ED" w14:textId="77777777" w:rsidR="003F46B9" w:rsidRDefault="0065662E">
            <w:pPr>
              <w:pStyle w:val="P68B1DB1-Normal5"/>
              <w:spacing w:after="0" w:line="240" w:lineRule="auto"/>
              <w:jc w:val="both"/>
              <w:rPr>
                <w:rFonts w:cs="Times New Roman"/>
                <w:noProof/>
              </w:rPr>
            </w:pPr>
            <w:r>
              <w:rPr>
                <w:noProof/>
              </w:rPr>
              <w:t xml:space="preserve"> </w:t>
            </w:r>
          </w:p>
        </w:tc>
        <w:tc>
          <w:tcPr>
            <w:tcW w:w="1123" w:type="dxa"/>
            <w:tcBorders>
              <w:top w:val="nil"/>
              <w:left w:val="nil"/>
              <w:bottom w:val="single" w:sz="4" w:space="0" w:color="auto"/>
              <w:right w:val="single" w:sz="4" w:space="0" w:color="auto"/>
            </w:tcBorders>
            <w:shd w:val="clear" w:color="auto" w:fill="C6EFCE"/>
            <w:noWrap/>
          </w:tcPr>
          <w:p w14:paraId="1EA538B2" w14:textId="77777777" w:rsidR="003F46B9" w:rsidRDefault="0065662E">
            <w:pPr>
              <w:pStyle w:val="P68B1DB1-Normal5"/>
              <w:spacing w:after="0" w:line="240" w:lineRule="auto"/>
              <w:jc w:val="both"/>
              <w:rPr>
                <w:rFonts w:cs="Times New Roman"/>
                <w:noProof/>
              </w:rPr>
            </w:pPr>
            <w:r>
              <w:rPr>
                <w:noProof/>
              </w:rPr>
              <w:t>Broj</w:t>
            </w:r>
          </w:p>
        </w:tc>
        <w:tc>
          <w:tcPr>
            <w:tcW w:w="1145" w:type="dxa"/>
            <w:tcBorders>
              <w:top w:val="nil"/>
              <w:left w:val="nil"/>
              <w:bottom w:val="single" w:sz="4" w:space="0" w:color="auto"/>
              <w:right w:val="single" w:sz="4" w:space="0" w:color="auto"/>
            </w:tcBorders>
            <w:shd w:val="clear" w:color="auto" w:fill="C6EFCE"/>
            <w:noWrap/>
          </w:tcPr>
          <w:p w14:paraId="437CB9CA" w14:textId="77777777" w:rsidR="003F46B9" w:rsidRDefault="0065662E">
            <w:pPr>
              <w:pStyle w:val="P68B1DB1-Normal5"/>
              <w:spacing w:after="0" w:line="240" w:lineRule="auto"/>
              <w:ind w:left="-102"/>
              <w:contextualSpacing/>
              <w:jc w:val="both"/>
              <w:rPr>
                <w:rFonts w:cs="Times New Roman"/>
                <w:noProof/>
              </w:rPr>
            </w:pPr>
            <w:r>
              <w:rPr>
                <w:noProof/>
              </w:rPr>
              <w:t>0</w:t>
            </w:r>
          </w:p>
        </w:tc>
        <w:tc>
          <w:tcPr>
            <w:tcW w:w="851" w:type="dxa"/>
            <w:tcBorders>
              <w:top w:val="nil"/>
              <w:left w:val="nil"/>
              <w:bottom w:val="single" w:sz="4" w:space="0" w:color="auto"/>
              <w:right w:val="single" w:sz="4" w:space="0" w:color="auto"/>
            </w:tcBorders>
            <w:shd w:val="clear" w:color="auto" w:fill="C6EFCE"/>
            <w:noWrap/>
          </w:tcPr>
          <w:p w14:paraId="22F04BE8" w14:textId="77777777" w:rsidR="003F46B9" w:rsidRDefault="0065662E">
            <w:pPr>
              <w:pStyle w:val="P68B1DB1-Normal5"/>
              <w:spacing w:after="0" w:line="240" w:lineRule="auto"/>
              <w:jc w:val="both"/>
              <w:rPr>
                <w:rFonts w:cs="Times New Roman"/>
                <w:noProof/>
              </w:rPr>
            </w:pPr>
            <w:r>
              <w:rPr>
                <w:noProof/>
              </w:rPr>
              <w:t>55</w:t>
            </w:r>
          </w:p>
        </w:tc>
        <w:tc>
          <w:tcPr>
            <w:tcW w:w="1242" w:type="dxa"/>
            <w:tcBorders>
              <w:top w:val="nil"/>
              <w:left w:val="nil"/>
              <w:bottom w:val="single" w:sz="4" w:space="0" w:color="auto"/>
              <w:right w:val="single" w:sz="4" w:space="0" w:color="auto"/>
            </w:tcBorders>
            <w:shd w:val="clear" w:color="auto" w:fill="C6EFCE"/>
            <w:noWrap/>
          </w:tcPr>
          <w:p w14:paraId="779CCEBB"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55B3D8C3" w14:textId="77777777" w:rsidR="003F46B9" w:rsidRDefault="0065662E">
            <w:pPr>
              <w:pStyle w:val="P68B1DB1-Normal5"/>
              <w:spacing w:after="0" w:line="240" w:lineRule="auto"/>
              <w:jc w:val="both"/>
              <w:rPr>
                <w:rFonts w:cs="Times New Roman"/>
                <w:noProof/>
              </w:rPr>
            </w:pPr>
            <w:r>
              <w:rPr>
                <w:noProof/>
              </w:rPr>
              <w:t>2025</w:t>
            </w:r>
          </w:p>
        </w:tc>
        <w:tc>
          <w:tcPr>
            <w:tcW w:w="2693" w:type="dxa"/>
            <w:tcBorders>
              <w:top w:val="nil"/>
              <w:left w:val="nil"/>
              <w:bottom w:val="single" w:sz="4" w:space="0" w:color="auto"/>
              <w:right w:val="single" w:sz="4" w:space="0" w:color="auto"/>
            </w:tcBorders>
            <w:shd w:val="clear" w:color="auto" w:fill="C6EFCE"/>
            <w:noWrap/>
          </w:tcPr>
          <w:p w14:paraId="6F8FA25B" w14:textId="0B32AF0A" w:rsidR="003F46B9" w:rsidRDefault="0065662E">
            <w:pPr>
              <w:pStyle w:val="P68B1DB1-Normal5"/>
              <w:spacing w:after="0" w:line="240" w:lineRule="auto"/>
              <w:jc w:val="both"/>
              <w:rPr>
                <w:rFonts w:eastAsia="Times New Roman" w:cs="Times New Roman"/>
                <w:noProof/>
              </w:rPr>
            </w:pPr>
            <w:r>
              <w:rPr>
                <w:noProof/>
              </w:rPr>
              <w:t>Početak rada 55 novih usluga u zajednici (45 novih zgrada gotovo nulte energije i 10 zgrada gotovo nulte energije +) za osobe s invaliditetom (dnevni centri, službe za pomoć i podršku te centri za neuromotornu regeneraciju pacijenata) koji će pružati aktiv</w:t>
            </w:r>
            <w:r>
              <w:rPr>
                <w:noProof/>
              </w:rPr>
              <w:t xml:space="preserve">nosti za najmanje 4870 osoba s invaliditetom u četiri godine s ciljem samostalnog života. </w:t>
            </w:r>
          </w:p>
          <w:p w14:paraId="74545E03" w14:textId="77777777" w:rsidR="003F46B9" w:rsidRDefault="0065662E">
            <w:pPr>
              <w:pStyle w:val="P68B1DB1-Normal5"/>
              <w:spacing w:after="0" w:line="240" w:lineRule="auto"/>
              <w:jc w:val="both"/>
              <w:rPr>
                <w:rFonts w:cs="Times New Roman"/>
                <w:noProof/>
              </w:rPr>
            </w:pPr>
            <w:r>
              <w:rPr>
                <w:noProof/>
              </w:rPr>
              <w:t xml:space="preserve">Deset novih zgrada gotovo nulte stope emisija + mora biti u skladu s ciljem postizanja potražnje za primarnom energijom (PED) koja je najmanje 20 % niža od zahtjeva </w:t>
            </w:r>
            <w:r>
              <w:rPr>
                <w:noProof/>
              </w:rPr>
              <w:t>za zgrade gotovo nulte energije u skladu s nacionalnim smjernicama, što se osigurava energetskim certifikatima.</w:t>
            </w:r>
          </w:p>
        </w:tc>
      </w:tr>
      <w:tr w:rsidR="003F46B9" w14:paraId="21DC9AE8" w14:textId="77777777">
        <w:trPr>
          <w:trHeight w:val="309"/>
          <w:jc w:val="center"/>
        </w:trPr>
        <w:tc>
          <w:tcPr>
            <w:tcW w:w="988" w:type="dxa"/>
            <w:tcBorders>
              <w:top w:val="nil"/>
              <w:left w:val="single" w:sz="4" w:space="0" w:color="auto"/>
              <w:bottom w:val="single" w:sz="4" w:space="0" w:color="auto"/>
              <w:right w:val="single" w:sz="4" w:space="0" w:color="auto"/>
            </w:tcBorders>
            <w:shd w:val="clear" w:color="auto" w:fill="C6EFCE"/>
            <w:noWrap/>
          </w:tcPr>
          <w:p w14:paraId="2FF5A0E4" w14:textId="77777777" w:rsidR="003F46B9" w:rsidRDefault="0065662E">
            <w:pPr>
              <w:pStyle w:val="P68B1DB1-Normal5"/>
              <w:spacing w:after="0" w:line="240" w:lineRule="auto"/>
              <w:jc w:val="center"/>
              <w:rPr>
                <w:rFonts w:cs="Times New Roman"/>
                <w:noProof/>
              </w:rPr>
            </w:pPr>
            <w:r>
              <w:rPr>
                <w:noProof/>
              </w:rPr>
              <w:t>397</w:t>
            </w:r>
          </w:p>
        </w:tc>
        <w:tc>
          <w:tcPr>
            <w:tcW w:w="1842" w:type="dxa"/>
            <w:tcBorders>
              <w:top w:val="nil"/>
              <w:left w:val="nil"/>
              <w:bottom w:val="single" w:sz="4" w:space="0" w:color="auto"/>
              <w:right w:val="single" w:sz="4" w:space="0" w:color="auto"/>
            </w:tcBorders>
            <w:shd w:val="clear" w:color="auto" w:fill="C6EFCE"/>
            <w:noWrap/>
          </w:tcPr>
          <w:p w14:paraId="7D2A1501" w14:textId="77777777" w:rsidR="003F46B9" w:rsidRDefault="0065662E">
            <w:pPr>
              <w:pStyle w:val="P68B1DB1-Normal5"/>
              <w:spacing w:after="0" w:line="240" w:lineRule="auto"/>
              <w:jc w:val="both"/>
              <w:rPr>
                <w:rFonts w:cs="Times New Roman"/>
                <w:noProof/>
              </w:rPr>
            </w:pPr>
            <w:r>
              <w:rPr>
                <w:noProof/>
              </w:rPr>
              <w:t>Ulaganje 3. Operacionalizacija uvođenja radnih iskaznica za rad u kućanstvu</w:t>
            </w:r>
          </w:p>
        </w:tc>
        <w:tc>
          <w:tcPr>
            <w:tcW w:w="1216" w:type="dxa"/>
            <w:tcBorders>
              <w:top w:val="nil"/>
              <w:left w:val="nil"/>
              <w:bottom w:val="single" w:sz="4" w:space="0" w:color="auto"/>
              <w:right w:val="single" w:sz="4" w:space="0" w:color="auto"/>
            </w:tcBorders>
            <w:shd w:val="clear" w:color="auto" w:fill="C6EFCE"/>
            <w:noWrap/>
          </w:tcPr>
          <w:p w14:paraId="5274C0D2" w14:textId="77777777" w:rsidR="003F46B9" w:rsidRDefault="0065662E">
            <w:pPr>
              <w:pStyle w:val="P68B1DB1-Normal5"/>
              <w:spacing w:after="0" w:line="240" w:lineRule="auto"/>
              <w:jc w:val="both"/>
              <w:rPr>
                <w:rFonts w:cs="Times New Roman"/>
                <w:noProof/>
              </w:rPr>
            </w:pPr>
            <w:r>
              <w:rPr>
                <w:noProof/>
              </w:rPr>
              <w:t>Prekretnica</w:t>
            </w:r>
          </w:p>
        </w:tc>
        <w:tc>
          <w:tcPr>
            <w:tcW w:w="1619" w:type="dxa"/>
            <w:tcBorders>
              <w:top w:val="nil"/>
              <w:left w:val="nil"/>
              <w:bottom w:val="single" w:sz="4" w:space="0" w:color="auto"/>
              <w:right w:val="single" w:sz="4" w:space="0" w:color="auto"/>
            </w:tcBorders>
            <w:shd w:val="clear" w:color="auto" w:fill="C6EFCE"/>
            <w:noWrap/>
          </w:tcPr>
          <w:p w14:paraId="6416230F" w14:textId="77777777" w:rsidR="003F46B9" w:rsidRDefault="0065662E">
            <w:pPr>
              <w:pStyle w:val="P68B1DB1-Normal5"/>
              <w:spacing w:after="0" w:line="240" w:lineRule="auto"/>
              <w:jc w:val="both"/>
              <w:rPr>
                <w:rFonts w:cs="Times New Roman"/>
                <w:noProof/>
              </w:rPr>
            </w:pPr>
            <w:r>
              <w:rPr>
                <w:noProof/>
              </w:rPr>
              <w:t xml:space="preserve">Početak rada funkcionalne digitalne platforme za </w:t>
            </w:r>
            <w:r>
              <w:rPr>
                <w:noProof/>
              </w:rPr>
              <w:t>upotrebu vaučera za radnike u kućanstvu</w:t>
            </w:r>
          </w:p>
        </w:tc>
        <w:tc>
          <w:tcPr>
            <w:tcW w:w="1843" w:type="dxa"/>
            <w:tcBorders>
              <w:top w:val="nil"/>
              <w:left w:val="nil"/>
              <w:bottom w:val="single" w:sz="4" w:space="0" w:color="auto"/>
              <w:right w:val="single" w:sz="4" w:space="0" w:color="auto"/>
            </w:tcBorders>
            <w:shd w:val="clear" w:color="auto" w:fill="C6EFCE"/>
            <w:noWrap/>
          </w:tcPr>
          <w:p w14:paraId="404BF06F" w14:textId="30B520D5" w:rsidR="003F46B9" w:rsidRDefault="0065662E">
            <w:pPr>
              <w:pStyle w:val="P68B1DB1-Normal5"/>
              <w:spacing w:after="0" w:line="240" w:lineRule="auto"/>
              <w:jc w:val="both"/>
              <w:rPr>
                <w:rFonts w:cs="Times New Roman"/>
                <w:noProof/>
              </w:rPr>
            </w:pPr>
            <w:r>
              <w:rPr>
                <w:noProof/>
              </w:rPr>
              <w:t>Operativna digitalna platforma</w:t>
            </w:r>
          </w:p>
        </w:tc>
        <w:tc>
          <w:tcPr>
            <w:tcW w:w="1123" w:type="dxa"/>
            <w:tcBorders>
              <w:top w:val="nil"/>
              <w:left w:val="nil"/>
              <w:bottom w:val="single" w:sz="4" w:space="0" w:color="auto"/>
              <w:right w:val="single" w:sz="4" w:space="0" w:color="auto"/>
            </w:tcBorders>
            <w:shd w:val="clear" w:color="auto" w:fill="C6EFCE"/>
            <w:noWrap/>
          </w:tcPr>
          <w:p w14:paraId="3C53A113" w14:textId="77777777" w:rsidR="003F46B9" w:rsidRDefault="0065662E">
            <w:pPr>
              <w:pStyle w:val="P68B1DB1-Normal5"/>
              <w:spacing w:after="0" w:line="240" w:lineRule="auto"/>
              <w:jc w:val="both"/>
              <w:rPr>
                <w:rFonts w:cs="Times New Roman"/>
                <w:noProof/>
              </w:rPr>
            </w:pPr>
            <w:r>
              <w:rPr>
                <w:noProof/>
              </w:rPr>
              <w:t xml:space="preserve"> </w:t>
            </w:r>
          </w:p>
        </w:tc>
        <w:tc>
          <w:tcPr>
            <w:tcW w:w="1145" w:type="dxa"/>
            <w:tcBorders>
              <w:top w:val="nil"/>
              <w:left w:val="nil"/>
              <w:bottom w:val="single" w:sz="4" w:space="0" w:color="auto"/>
              <w:right w:val="single" w:sz="4" w:space="0" w:color="auto"/>
            </w:tcBorders>
            <w:shd w:val="clear" w:color="auto" w:fill="C6EFCE"/>
            <w:noWrap/>
          </w:tcPr>
          <w:p w14:paraId="6F572C11" w14:textId="77777777" w:rsidR="003F46B9" w:rsidRDefault="0065662E">
            <w:pPr>
              <w:pStyle w:val="P68B1DB1-Normal5"/>
              <w:spacing w:after="0" w:line="240" w:lineRule="auto"/>
              <w:ind w:left="720"/>
              <w:contextualSpacing/>
              <w:jc w:val="both"/>
              <w:rPr>
                <w:rFonts w:cs="Times New Roman"/>
                <w:noProof/>
              </w:rPr>
            </w:pPr>
            <w:r>
              <w:rPr>
                <w:noProof/>
              </w:rPr>
              <w:t xml:space="preserve"> </w:t>
            </w:r>
          </w:p>
        </w:tc>
        <w:tc>
          <w:tcPr>
            <w:tcW w:w="851" w:type="dxa"/>
            <w:tcBorders>
              <w:top w:val="nil"/>
              <w:left w:val="nil"/>
              <w:bottom w:val="single" w:sz="4" w:space="0" w:color="auto"/>
              <w:right w:val="single" w:sz="4" w:space="0" w:color="auto"/>
            </w:tcBorders>
            <w:shd w:val="clear" w:color="auto" w:fill="C6EFCE"/>
            <w:noWrap/>
          </w:tcPr>
          <w:p w14:paraId="7E428407" w14:textId="77777777" w:rsidR="003F46B9" w:rsidRDefault="0065662E">
            <w:pPr>
              <w:pStyle w:val="P68B1DB1-Normal5"/>
              <w:spacing w:after="0" w:line="240" w:lineRule="auto"/>
              <w:jc w:val="both"/>
              <w:rPr>
                <w:rFonts w:cs="Times New Roman"/>
                <w:noProof/>
              </w:rPr>
            </w:pPr>
            <w:r>
              <w:rPr>
                <w:noProof/>
              </w:rPr>
              <w:t xml:space="preserve"> </w:t>
            </w:r>
          </w:p>
        </w:tc>
        <w:tc>
          <w:tcPr>
            <w:tcW w:w="1242" w:type="dxa"/>
            <w:tcBorders>
              <w:top w:val="nil"/>
              <w:left w:val="nil"/>
              <w:bottom w:val="single" w:sz="4" w:space="0" w:color="auto"/>
              <w:right w:val="single" w:sz="4" w:space="0" w:color="auto"/>
            </w:tcBorders>
            <w:shd w:val="clear" w:color="auto" w:fill="C6EFCE"/>
            <w:noWrap/>
          </w:tcPr>
          <w:p w14:paraId="58D00A7C" w14:textId="77777777" w:rsidR="003F46B9" w:rsidRDefault="0065662E">
            <w:pPr>
              <w:pStyle w:val="P68B1DB1-Normal5"/>
              <w:spacing w:after="0" w:line="240" w:lineRule="auto"/>
              <w:jc w:val="both"/>
              <w:rPr>
                <w:rFonts w:cs="Times New Roman"/>
                <w:noProof/>
              </w:rPr>
            </w:pPr>
            <w:r>
              <w:rPr>
                <w:noProof/>
              </w:rPr>
              <w:t>ČETVRTO TROMJESEČJE</w:t>
            </w:r>
          </w:p>
        </w:tc>
        <w:tc>
          <w:tcPr>
            <w:tcW w:w="825" w:type="dxa"/>
            <w:tcBorders>
              <w:top w:val="nil"/>
              <w:left w:val="nil"/>
              <w:bottom w:val="single" w:sz="4" w:space="0" w:color="auto"/>
              <w:right w:val="single" w:sz="4" w:space="0" w:color="auto"/>
            </w:tcBorders>
            <w:shd w:val="clear" w:color="auto" w:fill="C6EFCE"/>
            <w:noWrap/>
          </w:tcPr>
          <w:p w14:paraId="402F2052" w14:textId="77777777" w:rsidR="003F46B9" w:rsidRDefault="0065662E">
            <w:pPr>
              <w:pStyle w:val="P68B1DB1-Normal5"/>
              <w:spacing w:after="0" w:line="240" w:lineRule="auto"/>
              <w:jc w:val="both"/>
              <w:rPr>
                <w:rFonts w:cs="Times New Roman"/>
                <w:noProof/>
              </w:rPr>
            </w:pPr>
            <w:r>
              <w:rPr>
                <w:noProof/>
              </w:rPr>
              <w:t>2023</w:t>
            </w:r>
          </w:p>
        </w:tc>
        <w:tc>
          <w:tcPr>
            <w:tcW w:w="2693" w:type="dxa"/>
            <w:tcBorders>
              <w:top w:val="nil"/>
              <w:left w:val="nil"/>
              <w:bottom w:val="single" w:sz="4" w:space="0" w:color="auto"/>
              <w:right w:val="single" w:sz="4" w:space="0" w:color="auto"/>
            </w:tcBorders>
            <w:shd w:val="clear" w:color="auto" w:fill="C6EFCE"/>
            <w:noWrap/>
          </w:tcPr>
          <w:p w14:paraId="6AF7CB7E" w14:textId="77777777" w:rsidR="003F46B9" w:rsidRDefault="0065662E">
            <w:pPr>
              <w:pStyle w:val="P68B1DB1-Normal5"/>
              <w:spacing w:after="0" w:line="240" w:lineRule="auto"/>
              <w:jc w:val="both"/>
              <w:rPr>
                <w:rFonts w:cs="Times New Roman"/>
                <w:noProof/>
              </w:rPr>
            </w:pPr>
            <w:r>
              <w:rPr>
                <w:noProof/>
              </w:rPr>
              <w:t>Isporuka funkcionalne digitalne platforme za vaučere za radnike u kućanstvu, za koju se očekuje da će omogućiti, među ostalim,</w:t>
            </w:r>
          </w:p>
          <w:p w14:paraId="3F469B95" w14:textId="77777777" w:rsidR="003F46B9" w:rsidRDefault="0065662E">
            <w:pPr>
              <w:pStyle w:val="P68B1DB1-Normal5"/>
              <w:numPr>
                <w:ilvl w:val="0"/>
                <w:numId w:val="96"/>
              </w:numPr>
              <w:spacing w:before="120" w:after="0" w:line="240" w:lineRule="auto"/>
              <w:ind w:left="230" w:hanging="218"/>
              <w:contextualSpacing/>
              <w:jc w:val="both"/>
              <w:rPr>
                <w:rFonts w:cs="Times New Roman"/>
                <w:noProof/>
              </w:rPr>
            </w:pPr>
            <w:r>
              <w:rPr>
                <w:noProof/>
              </w:rPr>
              <w:t>Za digitalno izvršenje svih</w:t>
            </w:r>
            <w:r>
              <w:rPr>
                <w:noProof/>
              </w:rPr>
              <w:t xml:space="preserve"> transakcija povezanih s vaučerima (kupnja, kodiranje radnog vremena)</w:t>
            </w:r>
          </w:p>
          <w:p w14:paraId="12CB71E2" w14:textId="77777777" w:rsidR="003F46B9" w:rsidRDefault="0065662E">
            <w:pPr>
              <w:pStyle w:val="P68B1DB1-Normal5"/>
              <w:numPr>
                <w:ilvl w:val="0"/>
                <w:numId w:val="96"/>
              </w:numPr>
              <w:spacing w:before="120" w:after="0" w:line="240" w:lineRule="auto"/>
              <w:ind w:left="230" w:hanging="218"/>
              <w:contextualSpacing/>
              <w:jc w:val="both"/>
              <w:rPr>
                <w:rFonts w:cs="Times New Roman"/>
                <w:noProof/>
              </w:rPr>
            </w:pPr>
            <w:r>
              <w:rPr>
                <w:noProof/>
              </w:rPr>
              <w:t>Kodiranje podataka o aktivnostima radnika u kućanstvu (broj sati, vrsta obavljene djelatnosti u kućanstvu) digitalna interoperabilnost s drugim relevantnim bazama podataka (kao što su Mi</w:t>
            </w:r>
            <w:r>
              <w:rPr>
                <w:noProof/>
              </w:rPr>
              <w:t xml:space="preserve">nistarstvo financija, Ministarstvo rada i socijalne zaštite, baze podataka javnih službi za zapošljavanje). </w:t>
            </w:r>
          </w:p>
        </w:tc>
      </w:tr>
    </w:tbl>
    <w:p w14:paraId="272F8BC7" w14:textId="77777777" w:rsidR="003F46B9" w:rsidRDefault="003F46B9">
      <w:pPr>
        <w:spacing w:before="120" w:after="120" w:line="240" w:lineRule="auto"/>
        <w:ind w:left="709"/>
        <w:jc w:val="both"/>
        <w:rPr>
          <w:rFonts w:ascii="Times New Roman" w:hAnsi="Times New Roman" w:cs="Times New Roman"/>
          <w:noProof/>
          <w:sz w:val="24"/>
        </w:rPr>
      </w:pPr>
    </w:p>
    <w:p w14:paraId="66120E6F" w14:textId="77777777" w:rsidR="003F46B9" w:rsidRDefault="003F46B9">
      <w:pPr>
        <w:spacing w:before="120" w:after="120" w:line="240" w:lineRule="auto"/>
        <w:ind w:left="709"/>
        <w:jc w:val="both"/>
        <w:rPr>
          <w:rFonts w:ascii="Times New Roman" w:hAnsi="Times New Roman" w:cs="Times New Roman"/>
          <w:noProof/>
          <w:sz w:val="24"/>
        </w:rPr>
        <w:sectPr w:rsidR="003F46B9">
          <w:headerReference w:type="even" r:id="rId271"/>
          <w:headerReference w:type="default" r:id="rId272"/>
          <w:footerReference w:type="even" r:id="rId273"/>
          <w:footerReference w:type="default" r:id="rId274"/>
          <w:headerReference w:type="first" r:id="rId275"/>
          <w:footerReference w:type="first" r:id="rId276"/>
          <w:pgSz w:w="16839" w:h="11907" w:orient="landscape"/>
          <w:pgMar w:top="720" w:right="720" w:bottom="720" w:left="720" w:header="709" w:footer="709" w:gutter="0"/>
          <w:cols w:space="720"/>
          <w:docGrid w:linePitch="360"/>
        </w:sectPr>
      </w:pPr>
    </w:p>
    <w:p w14:paraId="5DC09A8E"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M.3. </w:t>
      </w:r>
      <w:r>
        <w:rPr>
          <w:noProof/>
        </w:rPr>
        <w:tab/>
      </w:r>
      <w:r>
        <w:rPr>
          <w:rFonts w:ascii="Times New Roman" w:hAnsi="Times New Roman"/>
          <w:b/>
          <w:noProof/>
          <w:sz w:val="24"/>
        </w:rPr>
        <w:t xml:space="preserve">Opis reformi i ulaganja za zajam </w:t>
      </w:r>
    </w:p>
    <w:p w14:paraId="40F61872"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6. Poboljšanje zakonodavstva o </w:t>
      </w:r>
      <w:r>
        <w:rPr>
          <w:noProof/>
        </w:rPr>
        <w:t>socijalnoj ekonomiji</w:t>
      </w:r>
      <w:r>
        <w:rPr>
          <w:rFonts w:ascii="Times New Roman" w:hAnsi="Times New Roman"/>
          <w:noProof/>
        </w:rPr>
        <w:t xml:space="preserve"> </w:t>
      </w:r>
    </w:p>
    <w:p w14:paraId="3C14A59B" w14:textId="77777777" w:rsidR="003F46B9" w:rsidRDefault="0065662E">
      <w:pPr>
        <w:pStyle w:val="P68B1DB1-Normal5"/>
        <w:spacing w:before="120" w:after="120" w:line="240" w:lineRule="auto"/>
        <w:jc w:val="both"/>
        <w:rPr>
          <w:rFonts w:cs="Times New Roman"/>
          <w:noProof/>
        </w:rPr>
      </w:pPr>
      <w:r>
        <w:rPr>
          <w:noProof/>
        </w:rPr>
        <w:t xml:space="preserve">Cilj je te reforme u većoj mjeri mobilizirati potencijal poduzeća socijalne ekonomije za inovacije i doprinos socijalnim i ekološkim izazovima. </w:t>
      </w:r>
    </w:p>
    <w:p w14:paraId="7F21FD20" w14:textId="76E8F3BB" w:rsidR="003F46B9" w:rsidRDefault="0065662E">
      <w:pPr>
        <w:pStyle w:val="P68B1DB1-Normal5"/>
        <w:spacing w:before="120" w:after="120" w:line="240" w:lineRule="auto"/>
        <w:jc w:val="both"/>
        <w:rPr>
          <w:rFonts w:cs="Times New Roman"/>
          <w:noProof/>
        </w:rPr>
      </w:pPr>
      <w:r>
        <w:rPr>
          <w:noProof/>
        </w:rPr>
        <w:t>Reforma se provodi izmjenom Zakona br. 219/2015 o socijalnoj ekonomiji i provedbenih pravila radi pojednostavnjenja postupka registracije socijalnih poduzeća, osiguravanja njihove učinkovite integracije u politike zapošljavanja, kao i mjera aktivnog zapošl</w:t>
      </w:r>
      <w:r>
        <w:rPr>
          <w:noProof/>
        </w:rPr>
        <w:t xml:space="preserve">javanja, uključujući uvođenje mjera za poboljšanje održivosti struktura socijalne ekonomije, na primjer povlaštenim režimima javne nabave za robu i usluge koje pružaju poduzeća socijalne ekonomije.  </w:t>
      </w:r>
    </w:p>
    <w:p w14:paraId="55F8C250" w14:textId="77777777" w:rsidR="003F46B9" w:rsidRDefault="0065662E">
      <w:pPr>
        <w:pStyle w:val="P68B1DB1-Normal5"/>
        <w:spacing w:after="0" w:line="240" w:lineRule="auto"/>
        <w:jc w:val="both"/>
        <w:rPr>
          <w:rFonts w:cs="Times New Roman"/>
          <w:noProof/>
        </w:rPr>
      </w:pPr>
      <w:r>
        <w:rPr>
          <w:noProof/>
        </w:rPr>
        <w:t>Provedba reforme mora biti dovršena do 30. lipnja 2022.</w:t>
      </w:r>
    </w:p>
    <w:p w14:paraId="4343637C" w14:textId="77777777" w:rsidR="003F46B9" w:rsidRDefault="0065662E">
      <w:pPr>
        <w:pStyle w:val="P68B1DB1-Standard6"/>
        <w:spacing w:before="240"/>
        <w:jc w:val="both"/>
        <w:rPr>
          <w:rFonts w:ascii="Times New Roman" w:eastAsiaTheme="majorEastAsia" w:hAnsi="Times New Roman" w:cs="Times New Roman"/>
          <w:noProof/>
        </w:rPr>
      </w:pPr>
      <w:r>
        <w:rPr>
          <w:noProof/>
        </w:rPr>
        <w:t>Reforma 7. Reforma usluga dugotrajne skrbi za starije osobe</w:t>
      </w:r>
    </w:p>
    <w:p w14:paraId="0B4C5F85" w14:textId="77777777" w:rsidR="003F46B9" w:rsidRDefault="0065662E">
      <w:pPr>
        <w:pStyle w:val="P68B1DB1-Normal5"/>
        <w:spacing w:before="120" w:after="120" w:line="240" w:lineRule="auto"/>
        <w:jc w:val="both"/>
        <w:rPr>
          <w:rFonts w:cs="Times New Roman"/>
          <w:noProof/>
        </w:rPr>
      </w:pPr>
      <w:r>
        <w:rPr>
          <w:noProof/>
        </w:rPr>
        <w:t xml:space="preserve">Cilj je te reforme poboljšati kvalitetu usluga dugotrajne skrbi za starije osobe. </w:t>
      </w:r>
    </w:p>
    <w:p w14:paraId="0BF93222" w14:textId="77777777" w:rsidR="003F46B9" w:rsidRDefault="0065662E">
      <w:pPr>
        <w:pStyle w:val="P68B1DB1-Normal5"/>
        <w:spacing w:before="120" w:after="120" w:line="240" w:lineRule="auto"/>
        <w:jc w:val="both"/>
        <w:rPr>
          <w:rFonts w:cs="Times New Roman"/>
          <w:noProof/>
        </w:rPr>
      </w:pPr>
      <w:r>
        <w:rPr>
          <w:noProof/>
        </w:rPr>
        <w:t>Reforma se provodi stupanjem na snagu strategije zakonodavnim aktom, uključujući politike aktivnog starenja, medi</w:t>
      </w:r>
      <w:r>
        <w:rPr>
          <w:noProof/>
        </w:rPr>
        <w:t>cinske potrebe za dugotrajnom skrbi i usluge za starije osobe koje se pružaju u zajednici. Zakonodavni akt između ostalog obuhvaća: utvrđeni stabilan izvor financiranja mjera, mehanizam upravljanja s jasnim odgovornostima dodijeljenima javnim tijelima na n</w:t>
      </w:r>
      <w:r>
        <w:rPr>
          <w:noProof/>
        </w:rPr>
        <w:t>acionalnoj i lokalnoj razini, mehanizam isplate sredstava uvjetovan postizanjem ključnih pokazatelja uspješnosti povezanih s ciljevima politike i revizijom minimalnih standarda kvalitete usluga dugotrajne skrbi. Zakonodavni akt temelji se i na cjelovitom m</w:t>
      </w:r>
      <w:r>
        <w:rPr>
          <w:noProof/>
        </w:rPr>
        <w:t xml:space="preserve">apiranju na razini zajednice (na razini općine/grada/zemlje) potencijalno uzdržavanog starijeg stanovništva ili ugroženog (npr. siromaštvo, zdravlje, bez pratnje, visok stupanj ovisnosti) kako bi se utvrdila vrsta potrebnih usluga dugotrajne skrbi. </w:t>
      </w:r>
    </w:p>
    <w:p w14:paraId="7204FA65" w14:textId="77777777" w:rsidR="003F46B9" w:rsidRDefault="0065662E">
      <w:pPr>
        <w:pStyle w:val="P68B1DB1-Normal5"/>
        <w:spacing w:after="0" w:line="240" w:lineRule="auto"/>
        <w:jc w:val="both"/>
        <w:rPr>
          <w:rFonts w:cs="Times New Roman"/>
          <w:noProof/>
        </w:rPr>
      </w:pPr>
      <w:r>
        <w:rPr>
          <w:noProof/>
        </w:rPr>
        <w:t>Proved</w:t>
      </w:r>
      <w:r>
        <w:rPr>
          <w:noProof/>
        </w:rPr>
        <w:t>ba reforme mora biti dovršena do 31. prosinca 2024.</w:t>
      </w:r>
    </w:p>
    <w:p w14:paraId="4406EFCC"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4. Stvaranje mreže centara za dnevnu skrb i rehabilitaciju za starije osobe </w:t>
      </w:r>
    </w:p>
    <w:p w14:paraId="592A4FBB" w14:textId="77777777" w:rsidR="003F46B9" w:rsidRDefault="0065662E">
      <w:pPr>
        <w:pStyle w:val="P68B1DB1-Normal5"/>
        <w:spacing w:after="0" w:line="240" w:lineRule="auto"/>
        <w:jc w:val="both"/>
        <w:rPr>
          <w:rFonts w:cs="Times New Roman"/>
          <w:noProof/>
        </w:rPr>
      </w:pPr>
      <w:r>
        <w:rPr>
          <w:noProof/>
        </w:rPr>
        <w:t>Cilj je ulaganja omogućiti pristup kvalitetnim uslugama dugotrajne skrbi za starije osobe putem mreže centara za dnevn</w:t>
      </w:r>
      <w:r>
        <w:rPr>
          <w:noProof/>
        </w:rPr>
        <w:t>u skrb i rehabilitaciju. Ulaganje omogućuje početak rada mreže od 71 dnevnih centara. Centri pružaju usluge socijalne pomoći i rehabilitacije, a svaki od njih ima barem mobilni tim pružatelja usluga za starije osobe koji ne mogu doći u centar. To se temelj</w:t>
      </w:r>
      <w:r>
        <w:rPr>
          <w:noProof/>
        </w:rPr>
        <w:t>i na mapiranju koje treba provesti u skladu s nacionalnom strategijom za dugotrajnu skrb.</w:t>
      </w:r>
    </w:p>
    <w:p w14:paraId="4741A4FB" w14:textId="77777777" w:rsidR="003F46B9" w:rsidRDefault="0065662E">
      <w:pPr>
        <w:pStyle w:val="P68B1DB1-Normal5"/>
        <w:spacing w:after="0" w:line="240" w:lineRule="auto"/>
        <w:jc w:val="both"/>
        <w:rPr>
          <w:rFonts w:cs="Times New Roman"/>
          <w:noProof/>
        </w:rPr>
      </w:pPr>
      <w:r>
        <w:rPr>
          <w:noProof/>
        </w:rPr>
        <w:t>Provedba ulaganja mora biti dovršena do 30. lipnja 2026.</w:t>
      </w:r>
    </w:p>
    <w:p w14:paraId="3C63082D" w14:textId="77777777" w:rsidR="003F46B9" w:rsidRDefault="003F46B9">
      <w:pPr>
        <w:spacing w:after="0" w:line="240" w:lineRule="auto"/>
        <w:jc w:val="both"/>
        <w:rPr>
          <w:rFonts w:ascii="Times New Roman" w:hAnsi="Times New Roman" w:cs="Times New Roman"/>
          <w:noProof/>
          <w:sz w:val="24"/>
        </w:rPr>
        <w:sectPr w:rsidR="003F46B9">
          <w:headerReference w:type="even" r:id="rId277"/>
          <w:headerReference w:type="default" r:id="rId278"/>
          <w:footerReference w:type="even" r:id="rId279"/>
          <w:footerReference w:type="default" r:id="rId280"/>
          <w:headerReference w:type="first" r:id="rId281"/>
          <w:footerReference w:type="first" r:id="rId282"/>
          <w:pgSz w:w="11907" w:h="16839"/>
          <w:pgMar w:top="1134" w:right="1417" w:bottom="1134" w:left="1417" w:header="709" w:footer="709" w:gutter="0"/>
          <w:cols w:space="720"/>
          <w:docGrid w:linePitch="360"/>
        </w:sectPr>
      </w:pPr>
    </w:p>
    <w:p w14:paraId="3E3D7BC4" w14:textId="77777777" w:rsidR="003F46B9" w:rsidRDefault="0065662E">
      <w:pPr>
        <w:keepNext/>
        <w:spacing w:before="120" w:after="120" w:line="240" w:lineRule="auto"/>
        <w:ind w:left="709"/>
        <w:jc w:val="both"/>
        <w:outlineLvl w:val="1"/>
        <w:rPr>
          <w:rFonts w:ascii="Times New Roman" w:eastAsiaTheme="majorEastAsia" w:hAnsi="Times New Roman" w:cs="Times New Roman"/>
          <w:b/>
          <w:noProof/>
          <w:sz w:val="24"/>
        </w:rPr>
      </w:pPr>
      <w:r>
        <w:rPr>
          <w:rFonts w:ascii="Times New Roman" w:hAnsi="Times New Roman"/>
          <w:b/>
          <w:noProof/>
          <w:sz w:val="24"/>
        </w:rPr>
        <w:t xml:space="preserve">M.4. </w:t>
      </w:r>
      <w:r>
        <w:rPr>
          <w:noProof/>
        </w:rPr>
        <w:tab/>
      </w:r>
      <w:r>
        <w:rPr>
          <w:rFonts w:ascii="Times New Roman" w:hAnsi="Times New Roman"/>
          <w:b/>
          <w:noProof/>
          <w:sz w:val="24"/>
        </w:rPr>
        <w:t xml:space="preserve">Ključne etape, ciljne vrijednosti, pokazatelji i vremenski raspored za praćenje i provedbu zajma </w:t>
      </w:r>
    </w:p>
    <w:tbl>
      <w:tblPr>
        <w:tblW w:w="15730" w:type="dxa"/>
        <w:jc w:val="center"/>
        <w:tblLayout w:type="fixed"/>
        <w:tblLook w:val="04A0" w:firstRow="1" w:lastRow="0" w:firstColumn="1" w:lastColumn="0" w:noHBand="0" w:noVBand="1"/>
      </w:tblPr>
      <w:tblGrid>
        <w:gridCol w:w="846"/>
        <w:gridCol w:w="1836"/>
        <w:gridCol w:w="1282"/>
        <w:gridCol w:w="1693"/>
        <w:gridCol w:w="1597"/>
        <w:gridCol w:w="1246"/>
        <w:gridCol w:w="1134"/>
        <w:gridCol w:w="920"/>
        <w:gridCol w:w="1065"/>
        <w:gridCol w:w="850"/>
        <w:gridCol w:w="3261"/>
      </w:tblGrid>
      <w:tr w:rsidR="003F46B9" w14:paraId="28AA4C11" w14:textId="77777777">
        <w:trPr>
          <w:trHeight w:val="939"/>
          <w:tblHeader/>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C1EABD" w14:textId="77777777" w:rsidR="003F46B9" w:rsidRDefault="0065662E">
            <w:pPr>
              <w:pStyle w:val="P68B1DB1-Normal1"/>
              <w:spacing w:after="0" w:line="240" w:lineRule="auto"/>
              <w:jc w:val="center"/>
              <w:rPr>
                <w:rFonts w:eastAsia="Times New Roman" w:cs="Times New Roman"/>
                <w:noProof/>
              </w:rPr>
            </w:pPr>
            <w:r>
              <w:rPr>
                <w:noProof/>
              </w:rPr>
              <w:t>Sljedeće NUM.</w:t>
            </w:r>
          </w:p>
        </w:tc>
        <w:tc>
          <w:tcPr>
            <w:tcW w:w="183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5573B03"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8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E7FC093"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6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60BA31D" w14:textId="77777777" w:rsidR="003F46B9" w:rsidRDefault="0065662E">
            <w:pPr>
              <w:pStyle w:val="P68B1DB1-Normal1"/>
              <w:spacing w:after="0" w:line="240" w:lineRule="auto"/>
              <w:jc w:val="center"/>
              <w:rPr>
                <w:rFonts w:eastAsia="Times New Roman" w:cs="Times New Roman"/>
                <w:noProof/>
              </w:rPr>
            </w:pPr>
            <w:r>
              <w:rPr>
                <w:noProof/>
              </w:rPr>
              <w:t>Ime</w:t>
            </w:r>
          </w:p>
        </w:tc>
        <w:tc>
          <w:tcPr>
            <w:tcW w:w="15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77D75F6" w14:textId="32A7266F"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300" w:type="dxa"/>
            <w:gridSpan w:val="3"/>
            <w:tcBorders>
              <w:top w:val="single" w:sz="4" w:space="0" w:color="auto"/>
              <w:left w:val="nil"/>
              <w:bottom w:val="single" w:sz="4" w:space="0" w:color="auto"/>
              <w:right w:val="single" w:sz="4" w:space="0" w:color="auto"/>
            </w:tcBorders>
            <w:shd w:val="clear" w:color="auto" w:fill="BDD7EE"/>
            <w:vAlign w:val="center"/>
            <w:hideMark/>
          </w:tcPr>
          <w:p w14:paraId="332343D2" w14:textId="571251C1"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1915" w:type="dxa"/>
            <w:gridSpan w:val="2"/>
            <w:tcBorders>
              <w:top w:val="single" w:sz="4" w:space="0" w:color="auto"/>
              <w:left w:val="nil"/>
              <w:bottom w:val="single" w:sz="4" w:space="0" w:color="auto"/>
              <w:right w:val="single" w:sz="4" w:space="0" w:color="auto"/>
            </w:tcBorders>
            <w:shd w:val="clear" w:color="auto" w:fill="BDD7EE"/>
            <w:vAlign w:val="center"/>
            <w:hideMark/>
          </w:tcPr>
          <w:p w14:paraId="6AEDA6E1" w14:textId="77777777" w:rsidR="003F46B9" w:rsidRDefault="0065662E">
            <w:pPr>
              <w:pStyle w:val="P68B1DB1-Normal1"/>
              <w:spacing w:after="0" w:line="240" w:lineRule="auto"/>
              <w:jc w:val="center"/>
              <w:rPr>
                <w:rFonts w:eastAsia="Times New Roman" w:cs="Times New Roman"/>
                <w:noProof/>
              </w:rPr>
            </w:pPr>
            <w:r>
              <w:rPr>
                <w:noProof/>
              </w:rPr>
              <w:t>Okvirni vremenski okvir za dovršetak</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27EC8A"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3F218879" w14:textId="77777777">
        <w:trPr>
          <w:trHeight w:val="122"/>
          <w:tblHeader/>
          <w:jc w:val="center"/>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834EB2A" w14:textId="77777777" w:rsidR="003F46B9" w:rsidRDefault="003F46B9">
            <w:pPr>
              <w:spacing w:after="0" w:line="240" w:lineRule="auto"/>
              <w:jc w:val="both"/>
              <w:rPr>
                <w:rFonts w:ascii="Times New Roman" w:eastAsia="Times New Roman" w:hAnsi="Times New Roman" w:cs="Times New Roman"/>
                <w:b/>
                <w:noProof/>
                <w:sz w:val="24"/>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112E6C93" w14:textId="77777777" w:rsidR="003F46B9" w:rsidRDefault="003F46B9">
            <w:pPr>
              <w:spacing w:after="0" w:line="240" w:lineRule="auto"/>
              <w:jc w:val="both"/>
              <w:rPr>
                <w:rFonts w:ascii="Times New Roman" w:eastAsia="Times New Roman" w:hAnsi="Times New Roman" w:cs="Times New Roman"/>
                <w:b/>
                <w:noProof/>
                <w:sz w:val="24"/>
              </w:rPr>
            </w:pPr>
          </w:p>
        </w:tc>
        <w:tc>
          <w:tcPr>
            <w:tcW w:w="1282" w:type="dxa"/>
            <w:vMerge/>
            <w:tcBorders>
              <w:top w:val="single" w:sz="4" w:space="0" w:color="auto"/>
              <w:left w:val="single" w:sz="4" w:space="0" w:color="auto"/>
              <w:bottom w:val="single" w:sz="4" w:space="0" w:color="000000"/>
              <w:right w:val="single" w:sz="4" w:space="0" w:color="auto"/>
            </w:tcBorders>
            <w:vAlign w:val="center"/>
            <w:hideMark/>
          </w:tcPr>
          <w:p w14:paraId="3D07ED5D" w14:textId="77777777" w:rsidR="003F46B9" w:rsidRDefault="003F46B9">
            <w:pPr>
              <w:spacing w:after="0" w:line="240" w:lineRule="auto"/>
              <w:jc w:val="both"/>
              <w:rPr>
                <w:rFonts w:ascii="Times New Roman" w:eastAsia="Times New Roman" w:hAnsi="Times New Roman" w:cs="Times New Roman"/>
                <w:b/>
                <w:noProof/>
                <w:sz w:val="24"/>
              </w:rPr>
            </w:pPr>
          </w:p>
        </w:tc>
        <w:tc>
          <w:tcPr>
            <w:tcW w:w="1693" w:type="dxa"/>
            <w:vMerge/>
            <w:tcBorders>
              <w:top w:val="single" w:sz="4" w:space="0" w:color="auto"/>
              <w:left w:val="nil"/>
              <w:bottom w:val="single" w:sz="4" w:space="0" w:color="000000"/>
              <w:right w:val="single" w:sz="4" w:space="0" w:color="auto"/>
            </w:tcBorders>
            <w:vAlign w:val="center"/>
            <w:hideMark/>
          </w:tcPr>
          <w:p w14:paraId="7429D7D5" w14:textId="77777777" w:rsidR="003F46B9" w:rsidRDefault="003F46B9">
            <w:pPr>
              <w:spacing w:after="0" w:line="240" w:lineRule="auto"/>
              <w:jc w:val="both"/>
              <w:rPr>
                <w:rFonts w:ascii="Times New Roman" w:eastAsia="Times New Roman" w:hAnsi="Times New Roman" w:cs="Times New Roman"/>
                <w:b/>
                <w:noProof/>
                <w:sz w:val="24"/>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14:paraId="0449F86C" w14:textId="77777777" w:rsidR="003F46B9" w:rsidRDefault="003F46B9">
            <w:pPr>
              <w:spacing w:after="0" w:line="240" w:lineRule="auto"/>
              <w:jc w:val="both"/>
              <w:rPr>
                <w:rFonts w:ascii="Times New Roman" w:eastAsia="Times New Roman" w:hAnsi="Times New Roman" w:cs="Times New Roman"/>
                <w:b/>
                <w:noProof/>
                <w:sz w:val="24"/>
              </w:rPr>
            </w:pPr>
          </w:p>
        </w:tc>
        <w:tc>
          <w:tcPr>
            <w:tcW w:w="1246" w:type="dxa"/>
            <w:tcBorders>
              <w:top w:val="nil"/>
              <w:left w:val="nil"/>
              <w:bottom w:val="single" w:sz="4" w:space="0" w:color="auto"/>
              <w:right w:val="single" w:sz="4" w:space="0" w:color="auto"/>
            </w:tcBorders>
            <w:shd w:val="clear" w:color="auto" w:fill="BDD7EE"/>
            <w:vAlign w:val="center"/>
            <w:hideMark/>
          </w:tcPr>
          <w:p w14:paraId="24CC0C65"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134" w:type="dxa"/>
            <w:tcBorders>
              <w:top w:val="nil"/>
              <w:left w:val="nil"/>
              <w:bottom w:val="single" w:sz="4" w:space="0" w:color="auto"/>
              <w:right w:val="single" w:sz="4" w:space="0" w:color="auto"/>
            </w:tcBorders>
            <w:shd w:val="clear" w:color="auto" w:fill="BDD7EE"/>
            <w:vAlign w:val="center"/>
            <w:hideMark/>
          </w:tcPr>
          <w:p w14:paraId="43044B45"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920" w:type="dxa"/>
            <w:tcBorders>
              <w:top w:val="nil"/>
              <w:left w:val="nil"/>
              <w:bottom w:val="single" w:sz="4" w:space="0" w:color="auto"/>
              <w:right w:val="single" w:sz="4" w:space="0" w:color="auto"/>
            </w:tcBorders>
            <w:shd w:val="clear" w:color="auto" w:fill="BDD7EE"/>
            <w:vAlign w:val="center"/>
            <w:hideMark/>
          </w:tcPr>
          <w:p w14:paraId="16C861F9" w14:textId="77777777" w:rsidR="003F46B9" w:rsidRDefault="0065662E">
            <w:pPr>
              <w:pStyle w:val="P68B1DB1-Normal1"/>
              <w:spacing w:after="0" w:line="240" w:lineRule="auto"/>
              <w:jc w:val="center"/>
              <w:rPr>
                <w:rFonts w:eastAsia="Times New Roman" w:cs="Times New Roman"/>
                <w:noProof/>
              </w:rPr>
            </w:pPr>
            <w:r>
              <w:rPr>
                <w:noProof/>
              </w:rPr>
              <w:t>Cilj</w:t>
            </w:r>
          </w:p>
        </w:tc>
        <w:tc>
          <w:tcPr>
            <w:tcW w:w="1065" w:type="dxa"/>
            <w:tcBorders>
              <w:top w:val="nil"/>
              <w:left w:val="nil"/>
              <w:bottom w:val="single" w:sz="4" w:space="0" w:color="auto"/>
              <w:right w:val="single" w:sz="4" w:space="0" w:color="auto"/>
            </w:tcBorders>
            <w:shd w:val="clear" w:color="auto" w:fill="BDD7EE"/>
            <w:vAlign w:val="center"/>
            <w:hideMark/>
          </w:tcPr>
          <w:p w14:paraId="20634103" w14:textId="77777777" w:rsidR="003F46B9" w:rsidRDefault="0065662E">
            <w:pPr>
              <w:pStyle w:val="P68B1DB1-Normal1"/>
              <w:spacing w:after="0" w:line="240" w:lineRule="auto"/>
              <w:jc w:val="both"/>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BDD7EE"/>
            <w:vAlign w:val="center"/>
            <w:hideMark/>
          </w:tcPr>
          <w:p w14:paraId="1AC1C25F"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164A656B"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261E309E" w14:textId="77777777">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047D5231" w14:textId="77777777" w:rsidR="003F46B9" w:rsidRDefault="0065662E">
            <w:pPr>
              <w:pStyle w:val="P68B1DB1-Normal5"/>
              <w:spacing w:after="0" w:line="240" w:lineRule="auto"/>
              <w:jc w:val="center"/>
              <w:rPr>
                <w:rFonts w:eastAsia="Times New Roman" w:cs="Times New Roman"/>
                <w:noProof/>
              </w:rPr>
            </w:pPr>
            <w:r>
              <w:rPr>
                <w:noProof/>
              </w:rPr>
              <w:t>398</w:t>
            </w:r>
          </w:p>
        </w:tc>
        <w:tc>
          <w:tcPr>
            <w:tcW w:w="1836" w:type="dxa"/>
            <w:tcBorders>
              <w:top w:val="nil"/>
              <w:left w:val="nil"/>
              <w:bottom w:val="single" w:sz="4" w:space="0" w:color="auto"/>
              <w:right w:val="single" w:sz="4" w:space="0" w:color="auto"/>
            </w:tcBorders>
            <w:shd w:val="clear" w:color="auto" w:fill="C6EFCE"/>
            <w:noWrap/>
          </w:tcPr>
          <w:p w14:paraId="56C6D92C" w14:textId="77777777" w:rsidR="003F46B9" w:rsidRDefault="0065662E">
            <w:pPr>
              <w:pStyle w:val="P68B1DB1-Normal5"/>
              <w:spacing w:after="0" w:line="240" w:lineRule="auto"/>
              <w:jc w:val="both"/>
              <w:rPr>
                <w:rFonts w:eastAsia="Times New Roman" w:cs="Times New Roman"/>
                <w:noProof/>
              </w:rPr>
            </w:pPr>
            <w:r>
              <w:rPr>
                <w:noProof/>
              </w:rPr>
              <w:t>Ref</w:t>
            </w:r>
            <w:r>
              <w:rPr>
                <w:noProof/>
              </w:rPr>
              <w:t xml:space="preserve">orma 6. Poboljšanje zakonodavstva o socijalnoj ekonomiji </w:t>
            </w:r>
          </w:p>
        </w:tc>
        <w:tc>
          <w:tcPr>
            <w:tcW w:w="1282" w:type="dxa"/>
            <w:tcBorders>
              <w:top w:val="nil"/>
              <w:left w:val="nil"/>
              <w:bottom w:val="single" w:sz="4" w:space="0" w:color="auto"/>
              <w:right w:val="single" w:sz="4" w:space="0" w:color="auto"/>
            </w:tcBorders>
            <w:shd w:val="clear" w:color="auto" w:fill="C6EFCE"/>
            <w:noWrap/>
            <w:hideMark/>
          </w:tcPr>
          <w:p w14:paraId="25864FBE"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93" w:type="dxa"/>
            <w:tcBorders>
              <w:top w:val="nil"/>
              <w:left w:val="nil"/>
              <w:bottom w:val="single" w:sz="4" w:space="0" w:color="auto"/>
              <w:right w:val="single" w:sz="4" w:space="0" w:color="auto"/>
            </w:tcBorders>
            <w:shd w:val="clear" w:color="auto" w:fill="C6EFCE"/>
            <w:noWrap/>
          </w:tcPr>
          <w:p w14:paraId="2CADEEF0" w14:textId="77777777" w:rsidR="003F46B9" w:rsidRDefault="0065662E">
            <w:pPr>
              <w:pStyle w:val="P68B1DB1-Normal5"/>
              <w:spacing w:after="0" w:line="240" w:lineRule="auto"/>
              <w:jc w:val="both"/>
              <w:rPr>
                <w:rFonts w:eastAsia="Times New Roman" w:cs="Times New Roman"/>
                <w:noProof/>
              </w:rPr>
            </w:pPr>
            <w:r>
              <w:rPr>
                <w:noProof/>
              </w:rPr>
              <w:t>Stupanje na snagu izmjene Zakona br. 219/2015 o socijalnoj ekonomiji i provedbenih pravila</w:t>
            </w:r>
          </w:p>
        </w:tc>
        <w:tc>
          <w:tcPr>
            <w:tcW w:w="1597" w:type="dxa"/>
            <w:tcBorders>
              <w:top w:val="nil"/>
              <w:left w:val="nil"/>
              <w:bottom w:val="single" w:sz="4" w:space="0" w:color="auto"/>
              <w:right w:val="single" w:sz="4" w:space="0" w:color="auto"/>
            </w:tcBorders>
            <w:shd w:val="clear" w:color="auto" w:fill="C6EFCE"/>
            <w:noWrap/>
            <w:hideMark/>
          </w:tcPr>
          <w:p w14:paraId="27B42888" w14:textId="77777777" w:rsidR="003F46B9" w:rsidRDefault="0065662E">
            <w:pPr>
              <w:pStyle w:val="P68B1DB1-Normal5"/>
              <w:spacing w:after="0" w:line="240" w:lineRule="auto"/>
              <w:jc w:val="both"/>
              <w:rPr>
                <w:rFonts w:eastAsia="Times New Roman" w:cs="Times New Roman"/>
                <w:noProof/>
              </w:rPr>
            </w:pPr>
            <w:r>
              <w:rPr>
                <w:noProof/>
              </w:rPr>
              <w:t>Odredba u zakonu o stupanju na snagu izmjene Zakona br. 219/2015 o socijalnoj ekonomiji i prove</w:t>
            </w:r>
            <w:r>
              <w:rPr>
                <w:noProof/>
              </w:rPr>
              <w:t>dbenih pravila</w:t>
            </w:r>
          </w:p>
        </w:tc>
        <w:tc>
          <w:tcPr>
            <w:tcW w:w="1246" w:type="dxa"/>
            <w:tcBorders>
              <w:top w:val="nil"/>
              <w:left w:val="nil"/>
              <w:bottom w:val="single" w:sz="4" w:space="0" w:color="auto"/>
              <w:right w:val="single" w:sz="4" w:space="0" w:color="auto"/>
            </w:tcBorders>
            <w:shd w:val="clear" w:color="auto" w:fill="C6EFCE"/>
            <w:noWrap/>
            <w:hideMark/>
          </w:tcPr>
          <w:p w14:paraId="4583BDDA"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A1722DE" w14:textId="77777777" w:rsidR="003F46B9" w:rsidRDefault="003F46B9">
            <w:pPr>
              <w:spacing w:after="0" w:line="240" w:lineRule="auto"/>
              <w:jc w:val="both"/>
              <w:rPr>
                <w:rFonts w:ascii="Times New Roman" w:eastAsia="Times New Roman" w:hAnsi="Times New Roman" w:cs="Times New Roman"/>
                <w:noProof/>
                <w:sz w:val="24"/>
              </w:rPr>
            </w:pPr>
          </w:p>
        </w:tc>
        <w:tc>
          <w:tcPr>
            <w:tcW w:w="920" w:type="dxa"/>
            <w:tcBorders>
              <w:top w:val="nil"/>
              <w:left w:val="nil"/>
              <w:bottom w:val="single" w:sz="4" w:space="0" w:color="auto"/>
              <w:right w:val="single" w:sz="4" w:space="0" w:color="auto"/>
            </w:tcBorders>
            <w:shd w:val="clear" w:color="auto" w:fill="C6EFCE"/>
            <w:noWrap/>
          </w:tcPr>
          <w:p w14:paraId="14A19437" w14:textId="77777777" w:rsidR="003F46B9" w:rsidRDefault="003F46B9">
            <w:pPr>
              <w:spacing w:after="0" w:line="240" w:lineRule="auto"/>
              <w:jc w:val="both"/>
              <w:rPr>
                <w:rFonts w:ascii="Times New Roman" w:eastAsia="Times New Roman" w:hAnsi="Times New Roman" w:cs="Times New Roman"/>
                <w:noProof/>
                <w:sz w:val="24"/>
              </w:rPr>
            </w:pPr>
          </w:p>
        </w:tc>
        <w:tc>
          <w:tcPr>
            <w:tcW w:w="1065" w:type="dxa"/>
            <w:tcBorders>
              <w:top w:val="nil"/>
              <w:left w:val="nil"/>
              <w:bottom w:val="single" w:sz="4" w:space="0" w:color="auto"/>
              <w:right w:val="single" w:sz="4" w:space="0" w:color="auto"/>
            </w:tcBorders>
            <w:shd w:val="clear" w:color="auto" w:fill="C6EFCE"/>
            <w:noWrap/>
            <w:hideMark/>
          </w:tcPr>
          <w:p w14:paraId="15BFB53C"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nil"/>
              <w:left w:val="nil"/>
              <w:bottom w:val="single" w:sz="4" w:space="0" w:color="auto"/>
              <w:right w:val="single" w:sz="4" w:space="0" w:color="auto"/>
            </w:tcBorders>
            <w:shd w:val="clear" w:color="auto" w:fill="C6EFCE"/>
            <w:noWrap/>
            <w:hideMark/>
          </w:tcPr>
          <w:p w14:paraId="76987B90" w14:textId="77777777" w:rsidR="003F46B9" w:rsidRDefault="0065662E">
            <w:pPr>
              <w:pStyle w:val="P68B1DB1-Normal5"/>
              <w:spacing w:after="0" w:line="240" w:lineRule="auto"/>
              <w:jc w:val="both"/>
              <w:rPr>
                <w:rFonts w:eastAsia="Times New Roman" w:cs="Times New Roman"/>
                <w:noProof/>
              </w:rPr>
            </w:pPr>
            <w:r>
              <w:rPr>
                <w:noProof/>
              </w:rPr>
              <w:t>2022</w:t>
            </w:r>
          </w:p>
        </w:tc>
        <w:tc>
          <w:tcPr>
            <w:tcW w:w="3261" w:type="dxa"/>
            <w:tcBorders>
              <w:top w:val="nil"/>
              <w:left w:val="nil"/>
              <w:bottom w:val="single" w:sz="4" w:space="0" w:color="auto"/>
              <w:right w:val="single" w:sz="4" w:space="0" w:color="auto"/>
            </w:tcBorders>
            <w:shd w:val="clear" w:color="auto" w:fill="C6EFCE"/>
            <w:noWrap/>
            <w:hideMark/>
          </w:tcPr>
          <w:p w14:paraId="52C92910" w14:textId="77777777" w:rsidR="003F46B9" w:rsidRDefault="0065662E">
            <w:pPr>
              <w:pStyle w:val="P68B1DB1-Normal5"/>
              <w:spacing w:after="0" w:line="240" w:lineRule="auto"/>
              <w:jc w:val="both"/>
              <w:rPr>
                <w:rFonts w:cs="Times New Roman"/>
                <w:noProof/>
              </w:rPr>
            </w:pPr>
            <w:r>
              <w:rPr>
                <w:noProof/>
              </w:rPr>
              <w:t>Regulatorne izmjene uključuju:</w:t>
            </w:r>
          </w:p>
          <w:p w14:paraId="0A393E6E" w14:textId="77777777" w:rsidR="003F46B9" w:rsidRDefault="0065662E">
            <w:pPr>
              <w:pStyle w:val="P68B1DB1-ListParagraph13"/>
              <w:numPr>
                <w:ilvl w:val="0"/>
                <w:numId w:val="97"/>
              </w:numPr>
              <w:spacing w:after="0" w:line="240" w:lineRule="auto"/>
              <w:ind w:left="177" w:hanging="219"/>
              <w:jc w:val="both"/>
              <w:rPr>
                <w:rFonts w:cs="Times New Roman"/>
                <w:noProof/>
              </w:rPr>
            </w:pPr>
            <w:r>
              <w:rPr>
                <w:noProof/>
              </w:rPr>
              <w:t>Pojednostavnjeni postupak registracije socijalnih poduzeća</w:t>
            </w:r>
          </w:p>
          <w:p w14:paraId="511CBFDA" w14:textId="77777777" w:rsidR="003F46B9" w:rsidRDefault="0065662E">
            <w:pPr>
              <w:pStyle w:val="P68B1DB1-ListParagraph13"/>
              <w:numPr>
                <w:ilvl w:val="0"/>
                <w:numId w:val="97"/>
              </w:numPr>
              <w:spacing w:before="120" w:after="0" w:line="240" w:lineRule="auto"/>
              <w:ind w:left="177" w:hanging="219"/>
              <w:jc w:val="both"/>
              <w:rPr>
                <w:rFonts w:cs="Times New Roman"/>
                <w:noProof/>
              </w:rPr>
            </w:pPr>
            <w:r>
              <w:rPr>
                <w:noProof/>
              </w:rPr>
              <w:t xml:space="preserve">Bolje usmjeravanje gospodarskih aktivnosti i upotrebe radne snage kako bi se bolje odgovorilo na potrebe ranjivih skupina i </w:t>
            </w:r>
            <w:r>
              <w:rPr>
                <w:noProof/>
              </w:rPr>
              <w:t>marginaliziranih zajednica</w:t>
            </w:r>
          </w:p>
          <w:p w14:paraId="56F8E962" w14:textId="77777777" w:rsidR="003F46B9" w:rsidRDefault="0065662E">
            <w:pPr>
              <w:pStyle w:val="P68B1DB1-ListParagraph13"/>
              <w:numPr>
                <w:ilvl w:val="0"/>
                <w:numId w:val="97"/>
              </w:numPr>
              <w:spacing w:before="120" w:after="0" w:line="240" w:lineRule="auto"/>
              <w:ind w:left="177" w:hanging="219"/>
              <w:jc w:val="both"/>
              <w:rPr>
                <w:rFonts w:cs="Times New Roman"/>
                <w:noProof/>
              </w:rPr>
            </w:pPr>
            <w:r>
              <w:rPr>
                <w:noProof/>
              </w:rPr>
              <w:t xml:space="preserve">Utvrđena mjera za poboljšanje održivosti struktura socijalne ekonomije, npr. povlašteni režimi javne nabave za robu i usluge. </w:t>
            </w:r>
          </w:p>
        </w:tc>
      </w:tr>
      <w:tr w:rsidR="003F46B9" w14:paraId="4F590280" w14:textId="77777777">
        <w:trPr>
          <w:trHeight w:val="313"/>
          <w:jc w:val="center"/>
        </w:trPr>
        <w:tc>
          <w:tcPr>
            <w:tcW w:w="846" w:type="dxa"/>
            <w:tcBorders>
              <w:top w:val="nil"/>
              <w:left w:val="single" w:sz="4" w:space="0" w:color="auto"/>
              <w:bottom w:val="single" w:sz="4" w:space="0" w:color="auto"/>
              <w:right w:val="single" w:sz="4" w:space="0" w:color="auto"/>
            </w:tcBorders>
            <w:shd w:val="clear" w:color="auto" w:fill="C6EFCE"/>
            <w:noWrap/>
            <w:hideMark/>
          </w:tcPr>
          <w:p w14:paraId="6F3BD2F8" w14:textId="77777777" w:rsidR="003F46B9" w:rsidRDefault="0065662E">
            <w:pPr>
              <w:pStyle w:val="P68B1DB1-Normal5"/>
              <w:spacing w:after="0" w:line="240" w:lineRule="auto"/>
              <w:jc w:val="center"/>
              <w:rPr>
                <w:rFonts w:eastAsia="Times New Roman" w:cs="Times New Roman"/>
                <w:noProof/>
              </w:rPr>
            </w:pPr>
            <w:r>
              <w:rPr>
                <w:noProof/>
              </w:rPr>
              <w:t>399</w:t>
            </w:r>
          </w:p>
        </w:tc>
        <w:tc>
          <w:tcPr>
            <w:tcW w:w="1836" w:type="dxa"/>
            <w:tcBorders>
              <w:top w:val="nil"/>
              <w:left w:val="nil"/>
              <w:bottom w:val="single" w:sz="4" w:space="0" w:color="auto"/>
              <w:right w:val="single" w:sz="4" w:space="0" w:color="auto"/>
            </w:tcBorders>
            <w:shd w:val="clear" w:color="auto" w:fill="C6EFCE"/>
            <w:noWrap/>
            <w:hideMark/>
          </w:tcPr>
          <w:p w14:paraId="65196F6C" w14:textId="77777777" w:rsidR="003F46B9" w:rsidRDefault="0065662E">
            <w:pPr>
              <w:pStyle w:val="P68B1DB1-Normal5"/>
              <w:spacing w:after="0" w:line="240" w:lineRule="auto"/>
              <w:jc w:val="both"/>
              <w:rPr>
                <w:rFonts w:eastAsia="Times New Roman" w:cs="Times New Roman"/>
                <w:noProof/>
              </w:rPr>
            </w:pPr>
            <w:r>
              <w:rPr>
                <w:noProof/>
              </w:rPr>
              <w:t>Reforma 7. Reforma usluga dugotrajne skrbi za starije osobe</w:t>
            </w:r>
          </w:p>
        </w:tc>
        <w:tc>
          <w:tcPr>
            <w:tcW w:w="1282" w:type="dxa"/>
            <w:tcBorders>
              <w:top w:val="nil"/>
              <w:left w:val="nil"/>
              <w:bottom w:val="single" w:sz="4" w:space="0" w:color="auto"/>
              <w:right w:val="single" w:sz="4" w:space="0" w:color="auto"/>
            </w:tcBorders>
            <w:shd w:val="clear" w:color="auto" w:fill="C6EFCE"/>
            <w:noWrap/>
            <w:hideMark/>
          </w:tcPr>
          <w:p w14:paraId="1BD481D7" w14:textId="77777777" w:rsidR="003F46B9" w:rsidRDefault="0065662E">
            <w:pPr>
              <w:pStyle w:val="P68B1DB1-Normal5"/>
              <w:spacing w:after="0" w:line="240" w:lineRule="auto"/>
              <w:jc w:val="both"/>
              <w:rPr>
                <w:rFonts w:eastAsia="Times New Roman" w:cs="Times New Roman"/>
                <w:noProof/>
              </w:rPr>
            </w:pPr>
            <w:r>
              <w:rPr>
                <w:noProof/>
              </w:rPr>
              <w:t>Prekretnica</w:t>
            </w:r>
          </w:p>
        </w:tc>
        <w:tc>
          <w:tcPr>
            <w:tcW w:w="1693" w:type="dxa"/>
            <w:tcBorders>
              <w:top w:val="nil"/>
              <w:left w:val="nil"/>
              <w:bottom w:val="single" w:sz="4" w:space="0" w:color="auto"/>
              <w:right w:val="single" w:sz="4" w:space="0" w:color="auto"/>
            </w:tcBorders>
            <w:shd w:val="clear" w:color="auto" w:fill="C6EFCE"/>
            <w:noWrap/>
            <w:hideMark/>
          </w:tcPr>
          <w:p w14:paraId="4285D565" w14:textId="77777777" w:rsidR="003F46B9" w:rsidRDefault="0065662E">
            <w:pPr>
              <w:pStyle w:val="P68B1DB1-Normal5"/>
              <w:spacing w:after="0" w:line="240" w:lineRule="auto"/>
              <w:jc w:val="both"/>
              <w:rPr>
                <w:rFonts w:cs="Times New Roman"/>
                <w:noProof/>
              </w:rPr>
            </w:pPr>
            <w:r>
              <w:rPr>
                <w:noProof/>
              </w:rPr>
              <w:t xml:space="preserve">Stupanje na snagu zakona </w:t>
            </w:r>
            <w:r>
              <w:rPr>
                <w:noProof/>
              </w:rPr>
              <w:t>o donošenju i provedbi nacionalne strategije za dugotrajnu skrb</w:t>
            </w:r>
          </w:p>
        </w:tc>
        <w:tc>
          <w:tcPr>
            <w:tcW w:w="1597" w:type="dxa"/>
            <w:tcBorders>
              <w:top w:val="nil"/>
              <w:left w:val="nil"/>
              <w:bottom w:val="single" w:sz="4" w:space="0" w:color="auto"/>
              <w:right w:val="single" w:sz="4" w:space="0" w:color="auto"/>
            </w:tcBorders>
            <w:shd w:val="clear" w:color="auto" w:fill="C6EFCE"/>
            <w:noWrap/>
            <w:hideMark/>
          </w:tcPr>
          <w:p w14:paraId="235857B0" w14:textId="77777777" w:rsidR="003F46B9" w:rsidRDefault="0065662E">
            <w:pPr>
              <w:pStyle w:val="P68B1DB1-Normal5"/>
              <w:spacing w:after="0" w:line="240" w:lineRule="auto"/>
              <w:jc w:val="both"/>
              <w:rPr>
                <w:rFonts w:eastAsia="Times New Roman" w:cs="Times New Roman"/>
                <w:noProof/>
              </w:rPr>
            </w:pPr>
            <w:r>
              <w:rPr>
                <w:noProof/>
              </w:rPr>
              <w:t xml:space="preserve">Odredba u zakonu o stupanju na snagu zakonodavnog akta za potporu provedbi donesene nacionalne strategije za dugotrajnu skrb </w:t>
            </w:r>
          </w:p>
        </w:tc>
        <w:tc>
          <w:tcPr>
            <w:tcW w:w="1246" w:type="dxa"/>
            <w:tcBorders>
              <w:top w:val="nil"/>
              <w:left w:val="nil"/>
              <w:bottom w:val="single" w:sz="4" w:space="0" w:color="auto"/>
              <w:right w:val="single" w:sz="4" w:space="0" w:color="auto"/>
            </w:tcBorders>
            <w:shd w:val="clear" w:color="auto" w:fill="C6EFCE"/>
            <w:noWrap/>
            <w:hideMark/>
          </w:tcPr>
          <w:p w14:paraId="0F28C62B" w14:textId="77777777" w:rsidR="003F46B9" w:rsidRDefault="003F46B9">
            <w:pPr>
              <w:spacing w:after="0" w:line="240" w:lineRule="auto"/>
              <w:jc w:val="both"/>
              <w:rPr>
                <w:rFonts w:ascii="Times New Roman" w:eastAsia="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hideMark/>
          </w:tcPr>
          <w:p w14:paraId="2A47212F"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920" w:type="dxa"/>
            <w:tcBorders>
              <w:top w:val="nil"/>
              <w:left w:val="nil"/>
              <w:bottom w:val="single" w:sz="4" w:space="0" w:color="auto"/>
              <w:right w:val="single" w:sz="4" w:space="0" w:color="auto"/>
            </w:tcBorders>
            <w:shd w:val="clear" w:color="auto" w:fill="C6EFCE"/>
            <w:noWrap/>
            <w:hideMark/>
          </w:tcPr>
          <w:p w14:paraId="05D0DF72"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065" w:type="dxa"/>
            <w:tcBorders>
              <w:top w:val="nil"/>
              <w:left w:val="nil"/>
              <w:bottom w:val="single" w:sz="4" w:space="0" w:color="auto"/>
              <w:right w:val="single" w:sz="4" w:space="0" w:color="auto"/>
            </w:tcBorders>
            <w:shd w:val="clear" w:color="auto" w:fill="C6EFCE"/>
            <w:noWrap/>
            <w:hideMark/>
          </w:tcPr>
          <w:p w14:paraId="3918C3F3" w14:textId="77777777" w:rsidR="003F46B9" w:rsidRDefault="0065662E">
            <w:pPr>
              <w:pStyle w:val="P68B1DB1-Normal5"/>
              <w:spacing w:after="0" w:line="240" w:lineRule="auto"/>
              <w:jc w:val="both"/>
              <w:rPr>
                <w:rFonts w:eastAsia="Times New Roman" w:cs="Times New Roman"/>
                <w:noProof/>
              </w:rPr>
            </w:pPr>
            <w:r>
              <w:rPr>
                <w:noProof/>
              </w:rPr>
              <w:t>ČETVRTO TROMJESEČJE</w:t>
            </w:r>
          </w:p>
        </w:tc>
        <w:tc>
          <w:tcPr>
            <w:tcW w:w="850" w:type="dxa"/>
            <w:tcBorders>
              <w:top w:val="nil"/>
              <w:left w:val="nil"/>
              <w:bottom w:val="single" w:sz="4" w:space="0" w:color="auto"/>
              <w:right w:val="single" w:sz="4" w:space="0" w:color="auto"/>
            </w:tcBorders>
            <w:shd w:val="clear" w:color="auto" w:fill="C6EFCE"/>
            <w:noWrap/>
            <w:hideMark/>
          </w:tcPr>
          <w:p w14:paraId="06220936" w14:textId="77777777" w:rsidR="003F46B9" w:rsidRDefault="0065662E">
            <w:pPr>
              <w:pStyle w:val="P68B1DB1-Normal5"/>
              <w:spacing w:after="0" w:line="240" w:lineRule="auto"/>
              <w:jc w:val="both"/>
              <w:rPr>
                <w:rFonts w:eastAsia="Times New Roman" w:cs="Times New Roman"/>
                <w:noProof/>
              </w:rPr>
            </w:pPr>
            <w:r>
              <w:rPr>
                <w:noProof/>
              </w:rPr>
              <w:t>2022</w:t>
            </w:r>
          </w:p>
        </w:tc>
        <w:tc>
          <w:tcPr>
            <w:tcW w:w="3261" w:type="dxa"/>
            <w:tcBorders>
              <w:top w:val="nil"/>
              <w:left w:val="nil"/>
              <w:bottom w:val="single" w:sz="4" w:space="0" w:color="auto"/>
              <w:right w:val="single" w:sz="4" w:space="0" w:color="auto"/>
            </w:tcBorders>
            <w:shd w:val="clear" w:color="auto" w:fill="C6EFCE"/>
            <w:noWrap/>
            <w:hideMark/>
          </w:tcPr>
          <w:p w14:paraId="62C81E7A" w14:textId="77777777" w:rsidR="003F46B9" w:rsidRDefault="0065662E">
            <w:pPr>
              <w:pStyle w:val="P68B1DB1-Normal5"/>
              <w:spacing w:after="0" w:line="240" w:lineRule="auto"/>
              <w:jc w:val="both"/>
              <w:rPr>
                <w:rFonts w:cs="Times New Roman"/>
                <w:noProof/>
              </w:rPr>
            </w:pPr>
            <w:r>
              <w:rPr>
                <w:noProof/>
              </w:rPr>
              <w:t>Zakon o donesenoj strategiji, uključ</w:t>
            </w:r>
            <w:r>
              <w:rPr>
                <w:noProof/>
              </w:rPr>
              <w:t>ujući mjere aktivnog starenja, kao i mjere za pokrivanje medicinskih potreba za dugotrajnom skrbi i usluga za starije osobe u zajednici.</w:t>
            </w:r>
          </w:p>
          <w:p w14:paraId="32462190" w14:textId="77777777" w:rsidR="003F46B9" w:rsidRDefault="0065662E">
            <w:pPr>
              <w:pStyle w:val="P68B1DB1-Normal5"/>
              <w:spacing w:after="0" w:line="240" w:lineRule="auto"/>
              <w:jc w:val="both"/>
              <w:rPr>
                <w:rFonts w:cs="Times New Roman"/>
                <w:noProof/>
              </w:rPr>
            </w:pPr>
            <w:r>
              <w:rPr>
                <w:noProof/>
              </w:rPr>
              <w:t xml:space="preserve">Zakonom je obuhvaćeno sljedeće: </w:t>
            </w:r>
          </w:p>
          <w:p w14:paraId="478252BA" w14:textId="77777777" w:rsidR="003F46B9" w:rsidRDefault="0065662E">
            <w:pPr>
              <w:pStyle w:val="P68B1DB1-Normal5"/>
              <w:numPr>
                <w:ilvl w:val="0"/>
                <w:numId w:val="98"/>
              </w:numPr>
              <w:spacing w:after="0" w:line="240" w:lineRule="auto"/>
              <w:ind w:left="177" w:hanging="218"/>
              <w:contextualSpacing/>
              <w:jc w:val="both"/>
              <w:rPr>
                <w:rFonts w:cs="Times New Roman"/>
                <w:noProof/>
              </w:rPr>
            </w:pPr>
            <w:r>
              <w:rPr>
                <w:noProof/>
              </w:rPr>
              <w:t xml:space="preserve">utvrđeni stabilan izvor financiranja za mjere </w:t>
            </w:r>
          </w:p>
          <w:p w14:paraId="6DAC72FF" w14:textId="77777777" w:rsidR="003F46B9" w:rsidRDefault="0065662E">
            <w:pPr>
              <w:pStyle w:val="P68B1DB1-Normal5"/>
              <w:numPr>
                <w:ilvl w:val="0"/>
                <w:numId w:val="98"/>
              </w:numPr>
              <w:spacing w:after="0" w:line="240" w:lineRule="auto"/>
              <w:ind w:left="177" w:hanging="218"/>
              <w:contextualSpacing/>
              <w:jc w:val="both"/>
              <w:rPr>
                <w:rFonts w:cs="Times New Roman"/>
                <w:noProof/>
              </w:rPr>
            </w:pPr>
            <w:r>
              <w:rPr>
                <w:noProof/>
              </w:rPr>
              <w:t>mehanizam upravljanja s jasnim odgovorn</w:t>
            </w:r>
            <w:r>
              <w:rPr>
                <w:noProof/>
              </w:rPr>
              <w:t>ostima dodijeljenima javnim tijelima na nacionalnoj i lokalnoj razini;</w:t>
            </w:r>
          </w:p>
          <w:p w14:paraId="0BC4A124" w14:textId="77777777" w:rsidR="003F46B9" w:rsidRDefault="0065662E">
            <w:pPr>
              <w:pStyle w:val="P68B1DB1-Normal5"/>
              <w:numPr>
                <w:ilvl w:val="0"/>
                <w:numId w:val="98"/>
              </w:numPr>
              <w:spacing w:after="0" w:line="240" w:lineRule="auto"/>
              <w:ind w:left="177" w:hanging="218"/>
              <w:contextualSpacing/>
              <w:jc w:val="both"/>
              <w:rPr>
                <w:rFonts w:cs="Times New Roman"/>
                <w:noProof/>
              </w:rPr>
            </w:pPr>
            <w:r>
              <w:rPr>
                <w:noProof/>
              </w:rPr>
              <w:t>mehanizam isplate sredstava uvjetovan postizanjem ključnih pokazatelja uspješnosti povezanih s ciljevima politike</w:t>
            </w:r>
          </w:p>
          <w:p w14:paraId="1166A957" w14:textId="77777777" w:rsidR="003F46B9" w:rsidRDefault="0065662E">
            <w:pPr>
              <w:pStyle w:val="P68B1DB1-Normal5"/>
              <w:numPr>
                <w:ilvl w:val="0"/>
                <w:numId w:val="98"/>
              </w:numPr>
              <w:spacing w:after="0" w:line="240" w:lineRule="auto"/>
              <w:ind w:left="177" w:hanging="218"/>
              <w:jc w:val="both"/>
              <w:textAlignment w:val="baseline"/>
              <w:rPr>
                <w:rFonts w:cs="Times New Roman"/>
                <w:noProof/>
              </w:rPr>
            </w:pPr>
            <w:r>
              <w:rPr>
                <w:noProof/>
              </w:rPr>
              <w:t>reviziju minimalnih standarda kvalitete, </w:t>
            </w:r>
          </w:p>
          <w:p w14:paraId="2A7B181E" w14:textId="77777777" w:rsidR="003F46B9" w:rsidRDefault="0065662E">
            <w:pPr>
              <w:pStyle w:val="P68B1DB1-Normal5"/>
              <w:spacing w:after="0" w:line="240" w:lineRule="auto"/>
              <w:jc w:val="both"/>
              <w:rPr>
                <w:rFonts w:eastAsia="Times New Roman" w:cs="Times New Roman"/>
                <w:noProof/>
              </w:rPr>
            </w:pPr>
            <w:r>
              <w:rPr>
                <w:noProof/>
              </w:rPr>
              <w:t>Zakonodavni akt temelji se na</w:t>
            </w:r>
            <w:r>
              <w:rPr>
                <w:noProof/>
              </w:rPr>
              <w:t xml:space="preserve"> cjelovitom mapiranju na razini zajednice (na razini općine/grada/zemlje) potencijalno nesamostalnog starijeg stanovništva ili ugroženog stanovništva (npr. siromaštvo, zdravlje, bez pratnje, visok stupanj ovisnosti).</w:t>
            </w:r>
          </w:p>
        </w:tc>
      </w:tr>
      <w:tr w:rsidR="003F46B9" w14:paraId="4A67F558" w14:textId="77777777">
        <w:trPr>
          <w:trHeight w:val="313"/>
          <w:jc w:val="center"/>
        </w:trPr>
        <w:tc>
          <w:tcPr>
            <w:tcW w:w="846" w:type="dxa"/>
            <w:tcBorders>
              <w:top w:val="single" w:sz="4" w:space="0" w:color="auto"/>
              <w:left w:val="single" w:sz="4" w:space="0" w:color="auto"/>
              <w:bottom w:val="single" w:sz="4" w:space="0" w:color="auto"/>
              <w:right w:val="single" w:sz="4" w:space="0" w:color="auto"/>
            </w:tcBorders>
            <w:shd w:val="clear" w:color="auto" w:fill="C6EFCE"/>
            <w:noWrap/>
            <w:hideMark/>
          </w:tcPr>
          <w:p w14:paraId="24C1CCE8" w14:textId="77777777" w:rsidR="003F46B9" w:rsidRDefault="0065662E">
            <w:pPr>
              <w:pStyle w:val="P68B1DB1-Normal5"/>
              <w:spacing w:after="0" w:line="240" w:lineRule="auto"/>
              <w:jc w:val="center"/>
              <w:rPr>
                <w:rFonts w:eastAsia="Times New Roman" w:cs="Times New Roman"/>
                <w:noProof/>
              </w:rPr>
            </w:pPr>
            <w:r>
              <w:rPr>
                <w:noProof/>
              </w:rPr>
              <w:t>400</w:t>
            </w:r>
          </w:p>
        </w:tc>
        <w:tc>
          <w:tcPr>
            <w:tcW w:w="1836" w:type="dxa"/>
            <w:tcBorders>
              <w:top w:val="single" w:sz="4" w:space="0" w:color="auto"/>
              <w:left w:val="nil"/>
              <w:bottom w:val="single" w:sz="4" w:space="0" w:color="auto"/>
              <w:right w:val="single" w:sz="4" w:space="0" w:color="auto"/>
            </w:tcBorders>
            <w:shd w:val="clear" w:color="auto" w:fill="C6EFCE"/>
            <w:noWrap/>
            <w:hideMark/>
          </w:tcPr>
          <w:p w14:paraId="39DEA30B" w14:textId="77777777" w:rsidR="003F46B9" w:rsidRDefault="0065662E">
            <w:pPr>
              <w:pStyle w:val="P68B1DB1-Normal5"/>
              <w:spacing w:after="0" w:line="240" w:lineRule="auto"/>
              <w:jc w:val="both"/>
              <w:rPr>
                <w:rFonts w:eastAsia="Times New Roman" w:cs="Times New Roman"/>
                <w:noProof/>
              </w:rPr>
            </w:pPr>
            <w:r>
              <w:rPr>
                <w:noProof/>
              </w:rPr>
              <w:t xml:space="preserve">Ulaganje 4. Stvaranje mreže centara za dnevnu skrb i rehabilitaciju za starije osobe </w:t>
            </w:r>
          </w:p>
        </w:tc>
        <w:tc>
          <w:tcPr>
            <w:tcW w:w="1282" w:type="dxa"/>
            <w:tcBorders>
              <w:top w:val="single" w:sz="4" w:space="0" w:color="auto"/>
              <w:left w:val="nil"/>
              <w:bottom w:val="single" w:sz="4" w:space="0" w:color="auto"/>
              <w:right w:val="single" w:sz="4" w:space="0" w:color="auto"/>
            </w:tcBorders>
            <w:shd w:val="clear" w:color="auto" w:fill="C6EFCE"/>
            <w:noWrap/>
            <w:hideMark/>
          </w:tcPr>
          <w:p w14:paraId="2D21B0C4" w14:textId="77777777" w:rsidR="003F46B9" w:rsidRDefault="0065662E">
            <w:pPr>
              <w:pStyle w:val="P68B1DB1-Normal5"/>
              <w:spacing w:after="0" w:line="240" w:lineRule="auto"/>
              <w:jc w:val="both"/>
              <w:rPr>
                <w:rFonts w:eastAsia="Times New Roman" w:cs="Times New Roman"/>
                <w:noProof/>
              </w:rPr>
            </w:pPr>
            <w:r>
              <w:rPr>
                <w:noProof/>
              </w:rPr>
              <w:t>Ciljna</w:t>
            </w:r>
          </w:p>
        </w:tc>
        <w:tc>
          <w:tcPr>
            <w:tcW w:w="1693" w:type="dxa"/>
            <w:tcBorders>
              <w:top w:val="single" w:sz="4" w:space="0" w:color="auto"/>
              <w:left w:val="nil"/>
              <w:bottom w:val="single" w:sz="4" w:space="0" w:color="auto"/>
              <w:right w:val="single" w:sz="4" w:space="0" w:color="auto"/>
            </w:tcBorders>
            <w:shd w:val="clear" w:color="auto" w:fill="C6EFCE"/>
            <w:noWrap/>
            <w:hideMark/>
          </w:tcPr>
          <w:p w14:paraId="00872BE5" w14:textId="77777777" w:rsidR="003F46B9" w:rsidRDefault="0065662E">
            <w:pPr>
              <w:pStyle w:val="P68B1DB1-Normal5"/>
              <w:spacing w:after="0" w:line="240" w:lineRule="auto"/>
              <w:jc w:val="both"/>
              <w:rPr>
                <w:rFonts w:eastAsia="Times New Roman" w:cs="Times New Roman"/>
                <w:noProof/>
              </w:rPr>
            </w:pPr>
            <w:r>
              <w:rPr>
                <w:noProof/>
              </w:rPr>
              <w:t>Operacionalizacija dnevnih i rehabilitacijskih centara za starije osobe</w:t>
            </w:r>
          </w:p>
        </w:tc>
        <w:tc>
          <w:tcPr>
            <w:tcW w:w="1597" w:type="dxa"/>
            <w:tcBorders>
              <w:top w:val="single" w:sz="4" w:space="0" w:color="auto"/>
              <w:left w:val="nil"/>
              <w:bottom w:val="single" w:sz="4" w:space="0" w:color="auto"/>
              <w:right w:val="single" w:sz="4" w:space="0" w:color="auto"/>
            </w:tcBorders>
            <w:shd w:val="clear" w:color="auto" w:fill="C6EFCE"/>
            <w:noWrap/>
            <w:hideMark/>
          </w:tcPr>
          <w:p w14:paraId="5CAB97C1"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246" w:type="dxa"/>
            <w:tcBorders>
              <w:top w:val="single" w:sz="4" w:space="0" w:color="auto"/>
              <w:left w:val="nil"/>
              <w:bottom w:val="single" w:sz="4" w:space="0" w:color="auto"/>
              <w:right w:val="single" w:sz="4" w:space="0" w:color="auto"/>
            </w:tcBorders>
            <w:shd w:val="clear" w:color="auto" w:fill="C6EFCE"/>
            <w:noWrap/>
            <w:hideMark/>
          </w:tcPr>
          <w:p w14:paraId="3DE99D5B" w14:textId="77777777" w:rsidR="003F46B9" w:rsidRDefault="0065662E">
            <w:pPr>
              <w:pStyle w:val="P68B1DB1-Normal5"/>
              <w:spacing w:after="0" w:line="240" w:lineRule="auto"/>
              <w:jc w:val="both"/>
              <w:rPr>
                <w:rFonts w:eastAsia="Times New Roman" w:cs="Times New Roman"/>
                <w:noProof/>
              </w:rPr>
            </w:pPr>
            <w:r>
              <w:rPr>
                <w:noProof/>
              </w:rPr>
              <w:t>Broj</w:t>
            </w:r>
          </w:p>
        </w:tc>
        <w:tc>
          <w:tcPr>
            <w:tcW w:w="1134" w:type="dxa"/>
            <w:tcBorders>
              <w:top w:val="single" w:sz="4" w:space="0" w:color="auto"/>
              <w:left w:val="nil"/>
              <w:bottom w:val="single" w:sz="4" w:space="0" w:color="auto"/>
              <w:right w:val="single" w:sz="4" w:space="0" w:color="auto"/>
            </w:tcBorders>
            <w:shd w:val="clear" w:color="auto" w:fill="C6EFCE"/>
            <w:noWrap/>
            <w:hideMark/>
          </w:tcPr>
          <w:p w14:paraId="464693FC" w14:textId="77777777" w:rsidR="003F46B9" w:rsidRDefault="0065662E">
            <w:pPr>
              <w:pStyle w:val="P68B1DB1-Normal5"/>
              <w:spacing w:after="0" w:line="240" w:lineRule="auto"/>
              <w:jc w:val="both"/>
              <w:rPr>
                <w:rFonts w:eastAsia="Times New Roman" w:cs="Times New Roman"/>
                <w:noProof/>
              </w:rPr>
            </w:pPr>
            <w:r>
              <w:rPr>
                <w:noProof/>
              </w:rPr>
              <w:t>0</w:t>
            </w:r>
          </w:p>
        </w:tc>
        <w:tc>
          <w:tcPr>
            <w:tcW w:w="920" w:type="dxa"/>
            <w:tcBorders>
              <w:top w:val="single" w:sz="4" w:space="0" w:color="auto"/>
              <w:left w:val="nil"/>
              <w:bottom w:val="single" w:sz="4" w:space="0" w:color="auto"/>
              <w:right w:val="single" w:sz="4" w:space="0" w:color="auto"/>
            </w:tcBorders>
            <w:shd w:val="clear" w:color="auto" w:fill="C6EFCE"/>
            <w:noWrap/>
            <w:hideMark/>
          </w:tcPr>
          <w:p w14:paraId="1CA801EA" w14:textId="77777777" w:rsidR="003F46B9" w:rsidRDefault="0065662E">
            <w:pPr>
              <w:pStyle w:val="P68B1DB1-Normal5"/>
              <w:spacing w:after="0" w:line="240" w:lineRule="auto"/>
              <w:jc w:val="both"/>
              <w:rPr>
                <w:rFonts w:eastAsia="Times New Roman" w:cs="Times New Roman"/>
                <w:noProof/>
              </w:rPr>
            </w:pPr>
            <w:r>
              <w:rPr>
                <w:noProof/>
              </w:rPr>
              <w:t>71</w:t>
            </w:r>
          </w:p>
        </w:tc>
        <w:tc>
          <w:tcPr>
            <w:tcW w:w="1065" w:type="dxa"/>
            <w:tcBorders>
              <w:top w:val="single" w:sz="4" w:space="0" w:color="auto"/>
              <w:left w:val="nil"/>
              <w:bottom w:val="single" w:sz="4" w:space="0" w:color="auto"/>
              <w:right w:val="single" w:sz="4" w:space="0" w:color="auto"/>
            </w:tcBorders>
            <w:shd w:val="clear" w:color="auto" w:fill="C6EFCE"/>
            <w:noWrap/>
            <w:hideMark/>
          </w:tcPr>
          <w:p w14:paraId="745E3FE7" w14:textId="77777777" w:rsidR="003F46B9" w:rsidRDefault="0065662E">
            <w:pPr>
              <w:pStyle w:val="P68B1DB1-Normal5"/>
              <w:spacing w:after="0" w:line="240" w:lineRule="auto"/>
              <w:jc w:val="both"/>
              <w:rPr>
                <w:rFonts w:eastAsia="Times New Roman" w:cs="Times New Roman"/>
                <w:noProof/>
              </w:rPr>
            </w:pPr>
            <w:r>
              <w:rPr>
                <w:noProof/>
              </w:rPr>
              <w:t>TROMJESEČJE</w:t>
            </w:r>
          </w:p>
        </w:tc>
        <w:tc>
          <w:tcPr>
            <w:tcW w:w="850" w:type="dxa"/>
            <w:tcBorders>
              <w:top w:val="single" w:sz="4" w:space="0" w:color="auto"/>
              <w:left w:val="nil"/>
              <w:bottom w:val="single" w:sz="4" w:space="0" w:color="auto"/>
              <w:right w:val="single" w:sz="4" w:space="0" w:color="auto"/>
            </w:tcBorders>
            <w:shd w:val="clear" w:color="auto" w:fill="C6EFCE"/>
            <w:noWrap/>
            <w:hideMark/>
          </w:tcPr>
          <w:p w14:paraId="5EC66F36" w14:textId="77777777" w:rsidR="003F46B9" w:rsidRDefault="0065662E">
            <w:pPr>
              <w:pStyle w:val="P68B1DB1-Normal5"/>
              <w:spacing w:after="0" w:line="240" w:lineRule="auto"/>
              <w:jc w:val="both"/>
              <w:rPr>
                <w:rFonts w:eastAsia="Times New Roman" w:cs="Times New Roman"/>
                <w:noProof/>
              </w:rPr>
            </w:pPr>
            <w:r>
              <w:rPr>
                <w:noProof/>
              </w:rPr>
              <w:t>2026</w:t>
            </w:r>
          </w:p>
        </w:tc>
        <w:tc>
          <w:tcPr>
            <w:tcW w:w="3261" w:type="dxa"/>
            <w:tcBorders>
              <w:top w:val="single" w:sz="4" w:space="0" w:color="auto"/>
              <w:left w:val="nil"/>
              <w:bottom w:val="single" w:sz="4" w:space="0" w:color="auto"/>
              <w:right w:val="single" w:sz="4" w:space="0" w:color="auto"/>
            </w:tcBorders>
            <w:shd w:val="clear" w:color="auto" w:fill="C6EFCE"/>
            <w:noWrap/>
            <w:hideMark/>
          </w:tcPr>
          <w:p w14:paraId="7DA552D7" w14:textId="77777777" w:rsidR="003F46B9" w:rsidRDefault="0065662E">
            <w:pPr>
              <w:pStyle w:val="P68B1DB1-Normal5"/>
              <w:spacing w:after="0" w:line="240" w:lineRule="auto"/>
              <w:jc w:val="both"/>
              <w:rPr>
                <w:rFonts w:eastAsia="Times New Roman" w:cs="Times New Roman"/>
                <w:noProof/>
              </w:rPr>
            </w:pPr>
            <w:r>
              <w:rPr>
                <w:noProof/>
              </w:rPr>
              <w:t>Početak rada mreže 71 dnevnih servisnih centara. Centri pružaj</w:t>
            </w:r>
            <w:r>
              <w:rPr>
                <w:noProof/>
              </w:rPr>
              <w:t>u usluge socijalne pomoći i rehabilitacije, a svaki od njih ima barem mobilni tim pružatelja usluga za starije osobe koje ne mogu doći u centar. To se temelji na mapiranju koje treba provesti u skladu s ključnom etapom 399 – Stupanje na snagu zakonodavstva</w:t>
            </w:r>
            <w:r>
              <w:rPr>
                <w:noProof/>
              </w:rPr>
              <w:t xml:space="preserve"> za donošenje i provedbu nacionalne strategije za dugotrajnu skrb.</w:t>
            </w:r>
          </w:p>
        </w:tc>
      </w:tr>
    </w:tbl>
    <w:p w14:paraId="38EA42F2" w14:textId="77777777" w:rsidR="003F46B9" w:rsidRDefault="003F46B9">
      <w:pPr>
        <w:spacing w:before="120" w:after="120" w:line="240" w:lineRule="auto"/>
        <w:jc w:val="both"/>
        <w:rPr>
          <w:rFonts w:ascii="Times New Roman" w:hAnsi="Times New Roman" w:cs="Times New Roman"/>
          <w:noProof/>
          <w:sz w:val="24"/>
        </w:rPr>
      </w:pPr>
    </w:p>
    <w:p w14:paraId="0E170613"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283"/>
          <w:headerReference w:type="default" r:id="rId284"/>
          <w:footerReference w:type="even" r:id="rId285"/>
          <w:footerReference w:type="default" r:id="rId286"/>
          <w:headerReference w:type="first" r:id="rId287"/>
          <w:footerReference w:type="first" r:id="rId288"/>
          <w:pgSz w:w="16839" w:h="11907" w:orient="landscape"/>
          <w:pgMar w:top="720" w:right="720" w:bottom="720" w:left="720" w:header="709" w:footer="709" w:gutter="0"/>
          <w:cols w:space="720"/>
          <w:docGrid w:linePitch="360"/>
        </w:sectPr>
      </w:pPr>
    </w:p>
    <w:p w14:paraId="284D213C" w14:textId="77777777" w:rsidR="003F46B9" w:rsidRDefault="0065662E">
      <w:pPr>
        <w:pStyle w:val="P68B1DB1-Normal4"/>
        <w:keepNext/>
        <w:numPr>
          <w:ilvl w:val="0"/>
          <w:numId w:val="1"/>
        </w:numPr>
        <w:tabs>
          <w:tab w:val="left" w:pos="850"/>
        </w:tabs>
        <w:spacing w:before="360" w:after="120" w:line="240" w:lineRule="auto"/>
        <w:jc w:val="both"/>
        <w:outlineLvl w:val="0"/>
        <w:rPr>
          <w:rFonts w:cs="Times New Roman"/>
          <w:noProof/>
        </w:rPr>
      </w:pPr>
      <w:r>
        <w:rPr>
          <w:noProof/>
        </w:rPr>
        <w:t xml:space="preserve">SASTAVNICA 14: Dobro upravljanje </w:t>
      </w:r>
    </w:p>
    <w:p w14:paraId="3200D10A" w14:textId="77777777" w:rsidR="003F46B9" w:rsidRDefault="0065662E">
      <w:pPr>
        <w:pStyle w:val="P68B1DB1-Normal5"/>
        <w:spacing w:before="120" w:after="120" w:line="240" w:lineRule="auto"/>
        <w:jc w:val="both"/>
        <w:rPr>
          <w:rFonts w:cs="Times New Roman"/>
          <w:noProof/>
        </w:rPr>
      </w:pPr>
      <w:r>
        <w:rPr>
          <w:noProof/>
        </w:rPr>
        <w:t>Ciljevi komponente su, s pomoću širokog skupa reformi i ulaganja, i. poboljšanje upravljanja predvidljivim, informiranim i participativnim sustavom donošenja odluka, ii. osiguravanje pružanja kvalitetnih javnih usluga od strane skupine profesionalnih i dob</w:t>
      </w:r>
      <w:r>
        <w:rPr>
          <w:noProof/>
        </w:rPr>
        <w:t xml:space="preserve">ro osposobljenih državnih službenika koji na odgovarajući način odgovaraju na izazove, potrebe i očekivanja građana i poduzeća. Time će se ojačati otpornost i sposobnost prilagodbe zelenoj i digitalnoj tranziciji. </w:t>
      </w:r>
    </w:p>
    <w:p w14:paraId="64604918" w14:textId="77777777" w:rsidR="003F46B9" w:rsidRDefault="0065662E">
      <w:pPr>
        <w:pStyle w:val="P68B1DB1-Normal5"/>
        <w:spacing w:before="120" w:after="120" w:line="240" w:lineRule="auto"/>
        <w:jc w:val="both"/>
        <w:rPr>
          <w:rFonts w:cs="Times New Roman"/>
          <w:noProof/>
        </w:rPr>
      </w:pPr>
      <w:r>
        <w:rPr>
          <w:noProof/>
        </w:rPr>
        <w:t>Posebni su ciljevi komponente sljedeći:</w:t>
      </w:r>
    </w:p>
    <w:p w14:paraId="5CE0FD1A" w14:textId="77777777" w:rsidR="003F46B9" w:rsidRDefault="0065662E">
      <w:pPr>
        <w:pStyle w:val="P68B1DB1-Normal5"/>
        <w:spacing w:before="120" w:after="120" w:line="240" w:lineRule="auto"/>
        <w:jc w:val="both"/>
        <w:rPr>
          <w:rFonts w:cs="Times New Roman"/>
          <w:noProof/>
        </w:rPr>
      </w:pPr>
      <w:r>
        <w:rPr>
          <w:noProof/>
        </w:rPr>
        <w:t>1. Bolja koordinacija, oblikovanje i provedba vladinih politika, veća transparentnost i povjerenje u javni sektor.</w:t>
      </w:r>
    </w:p>
    <w:p w14:paraId="3E5AB10D" w14:textId="77777777" w:rsidR="003F46B9" w:rsidRDefault="0065662E">
      <w:pPr>
        <w:pStyle w:val="P68B1DB1-Normal5"/>
        <w:spacing w:before="120" w:after="120" w:line="240" w:lineRule="auto"/>
        <w:jc w:val="both"/>
        <w:rPr>
          <w:rFonts w:cs="Times New Roman"/>
          <w:noProof/>
        </w:rPr>
      </w:pPr>
      <w:r>
        <w:rPr>
          <w:noProof/>
        </w:rPr>
        <w:t>2. Učinkovito upravljanje ljudskim resursima u javnom sektoru.</w:t>
      </w:r>
    </w:p>
    <w:p w14:paraId="38471B10" w14:textId="77777777" w:rsidR="003F46B9" w:rsidRDefault="0065662E">
      <w:pPr>
        <w:pStyle w:val="P68B1DB1-Normal5"/>
        <w:spacing w:before="120" w:after="120" w:line="240" w:lineRule="auto"/>
        <w:jc w:val="both"/>
        <w:rPr>
          <w:rFonts w:cs="Times New Roman"/>
          <w:noProof/>
        </w:rPr>
      </w:pPr>
      <w:r>
        <w:rPr>
          <w:noProof/>
        </w:rPr>
        <w:t>3. Dosljedna politika plaća u javnom sektoru, povezana s uspješnošću i dugoroč</w:t>
      </w:r>
      <w:r>
        <w:rPr>
          <w:noProof/>
        </w:rPr>
        <w:t>no održiva (poštena jedinstvena plaća).</w:t>
      </w:r>
    </w:p>
    <w:p w14:paraId="1AE5F867" w14:textId="77777777" w:rsidR="003F46B9" w:rsidRDefault="0065662E">
      <w:pPr>
        <w:pStyle w:val="P68B1DB1-Normal5"/>
        <w:spacing w:before="120" w:after="120" w:line="240" w:lineRule="auto"/>
        <w:jc w:val="both"/>
        <w:rPr>
          <w:rFonts w:cs="Times New Roman"/>
          <w:noProof/>
        </w:rPr>
      </w:pPr>
      <w:r>
        <w:rPr>
          <w:noProof/>
        </w:rPr>
        <w:t>4. Jačanje neovisnosti pravosuđa, poboljšanje pristupa pravosuđu i povećanje učinkovitosti pravosuđa.</w:t>
      </w:r>
    </w:p>
    <w:p w14:paraId="037734C1" w14:textId="77777777" w:rsidR="003F46B9" w:rsidRDefault="0065662E">
      <w:pPr>
        <w:pStyle w:val="P68B1DB1-Normal5"/>
        <w:spacing w:before="120" w:after="120" w:line="240" w:lineRule="auto"/>
        <w:jc w:val="both"/>
        <w:rPr>
          <w:rFonts w:cs="Times New Roman"/>
          <w:noProof/>
        </w:rPr>
      </w:pPr>
      <w:r>
        <w:rPr>
          <w:noProof/>
        </w:rPr>
        <w:t>5. Učinkovitiji nacionalni sustav javne nabave, među ostalim jačanjem administrativnih kapaciteta javnih naručitel</w:t>
      </w:r>
      <w:r>
        <w:rPr>
          <w:noProof/>
        </w:rPr>
        <w:t>ja/naručitelja, unutar fleksibilnog i usklađenog pravnog okvira.</w:t>
      </w:r>
    </w:p>
    <w:p w14:paraId="0F2F7F79" w14:textId="77777777" w:rsidR="003F46B9" w:rsidRDefault="0065662E">
      <w:pPr>
        <w:pStyle w:val="P68B1DB1-Normal5"/>
        <w:spacing w:before="120" w:after="120" w:line="240" w:lineRule="auto"/>
        <w:jc w:val="both"/>
        <w:rPr>
          <w:rFonts w:cs="Times New Roman"/>
          <w:noProof/>
        </w:rPr>
      </w:pPr>
      <w:r>
        <w:rPr>
          <w:noProof/>
        </w:rPr>
        <w:t>6. Poboljšanje postupaka donošenja javnih politika/odluka savjetovanjem s dionicima.</w:t>
      </w:r>
    </w:p>
    <w:p w14:paraId="2C39F0A4" w14:textId="77777777" w:rsidR="003F46B9" w:rsidRDefault="0065662E">
      <w:pPr>
        <w:pStyle w:val="P68B1DB1-Normal5"/>
        <w:spacing w:before="120" w:after="120" w:line="240" w:lineRule="auto"/>
        <w:jc w:val="both"/>
        <w:rPr>
          <w:rFonts w:cs="Times New Roman"/>
          <w:noProof/>
        </w:rPr>
      </w:pPr>
      <w:r>
        <w:rPr>
          <w:noProof/>
        </w:rPr>
        <w:t>7. Povećana otpornost poduzeća u državnom vlasništvu zbog operacionalizacije načela korporativnog upravlja</w:t>
      </w:r>
      <w:r>
        <w:rPr>
          <w:noProof/>
        </w:rPr>
        <w:t xml:space="preserve">nja. </w:t>
      </w:r>
    </w:p>
    <w:p w14:paraId="45D19972" w14:textId="77777777" w:rsidR="003F46B9" w:rsidRDefault="0065662E">
      <w:pPr>
        <w:pStyle w:val="P68B1DB1-Normal5"/>
        <w:spacing w:before="120" w:after="120" w:line="240" w:lineRule="auto"/>
        <w:jc w:val="both"/>
        <w:rPr>
          <w:rFonts w:cs="Times New Roman"/>
          <w:noProof/>
        </w:rPr>
      </w:pPr>
      <w:r>
        <w:rPr>
          <w:noProof/>
        </w:rPr>
        <w:t xml:space="preserve">Komponenta se sastoji od devet reformi i pet ulaganja. </w:t>
      </w:r>
    </w:p>
    <w:p w14:paraId="14F88A66" w14:textId="77777777" w:rsidR="003F46B9" w:rsidRDefault="0065662E">
      <w:pPr>
        <w:pStyle w:val="P68B1DB1-Normal5"/>
        <w:spacing w:before="120" w:after="120" w:line="240" w:lineRule="auto"/>
        <w:jc w:val="both"/>
        <w:rPr>
          <w:rFonts w:cs="Times New Roman"/>
          <w:noProof/>
        </w:rPr>
      </w:pPr>
      <w:r>
        <w:rPr>
          <w:noProof/>
        </w:rPr>
        <w:t>Očekuje se da će se mjerama uključenima u komponentu riješiti niz izazova istaknutih u preporuci za pojedinu zemlju kako bi se povećala učinkovitost javne nabave i osigurala potpuna i održiva pr</w:t>
      </w:r>
      <w:r>
        <w:rPr>
          <w:noProof/>
        </w:rPr>
        <w:t>ovedba nacionalne strategije javne nabave; poboljšati kvalitetu i predvidljivost donošenja odluka, među ostalim odgovarajućim savjetovanjima s dionicima, učinkovitim procjenama učinka i pojednostavnjenjem administrativnih postupaka te odgovarajućom uključe</w:t>
      </w:r>
      <w:r>
        <w:rPr>
          <w:noProof/>
        </w:rPr>
        <w:t>nošću socijalnih partnera (preporuka za pojedinu zemlju 3, preporuka za pojedinu zemlju br. 4, preporuka za pojedinu zemlju br. 5 2019. i 4. preporuka za pojedinu zemlju iz 2020.).</w:t>
      </w:r>
    </w:p>
    <w:p w14:paraId="1DE238AF"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w:t>
      </w:r>
      <w:r>
        <w:rPr>
          <w:noProof/>
        </w:rPr>
        <w:t>kolišnim ciljevima u smislu članka 17. Uredbe (EU) 2020/852, uzimajući u obzir opis mjera i korake ublažavanja utvrđene u planu za oporavak i otpornost u skladu s Tehničkim smjernicama DNSH-a (2021/C58/01).</w:t>
      </w:r>
    </w:p>
    <w:p w14:paraId="0AA54BF2"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N.1. </w:t>
      </w:r>
      <w:r>
        <w:rPr>
          <w:noProof/>
        </w:rPr>
        <w:tab/>
      </w:r>
      <w:r>
        <w:rPr>
          <w:rFonts w:ascii="Times New Roman" w:hAnsi="Times New Roman"/>
          <w:b/>
          <w:noProof/>
          <w:sz w:val="24"/>
        </w:rPr>
        <w:t>Opis reformi i ulaganja za programe bespovr</w:t>
      </w:r>
      <w:r>
        <w:rPr>
          <w:rFonts w:ascii="Times New Roman" w:hAnsi="Times New Roman"/>
          <w:b/>
          <w:noProof/>
          <w:sz w:val="24"/>
        </w:rPr>
        <w:t>atne financijske potpore</w:t>
      </w:r>
    </w:p>
    <w:p w14:paraId="025F4980"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1.1. Jačanje </w:t>
      </w:r>
      <w:r>
        <w:rPr>
          <w:rFonts w:ascii="Times New Roman" w:hAnsi="Times New Roman"/>
          <w:noProof/>
        </w:rPr>
        <w:t xml:space="preserve">predvidljivosti i učinkovitosti postupaka donošenja odluka jačanjem kapaciteta za koordinaciju politika i analizu učinka na razini vlade i koordinacijskih ministarstava te jačanjem alata za povećanje kvalitete </w:t>
      </w:r>
      <w:r>
        <w:rPr>
          <w:rFonts w:ascii="Times New Roman" w:hAnsi="Times New Roman"/>
          <w:noProof/>
        </w:rPr>
        <w:t>javnih savjetovanja na svim razinama uprave</w:t>
      </w:r>
    </w:p>
    <w:p w14:paraId="1C936B06" w14:textId="77777777" w:rsidR="003F46B9" w:rsidRDefault="0065662E">
      <w:pPr>
        <w:pStyle w:val="P68B1DB1-Normal5"/>
        <w:spacing w:before="120" w:after="120" w:line="240" w:lineRule="auto"/>
        <w:jc w:val="both"/>
        <w:rPr>
          <w:rFonts w:cs="Times New Roman"/>
          <w:noProof/>
        </w:rPr>
      </w:pPr>
      <w:r>
        <w:rPr>
          <w:noProof/>
        </w:rPr>
        <w:t>Cilj je reforme poboljšati kratkoročno i srednjoročno planiranje vladinih politika (razvojem institucionalnih mehanizama strateškog planiranja i njihovim povezivanjem s proračunskim programiranjem), ojačati susta</w:t>
      </w:r>
      <w:r>
        <w:rPr>
          <w:noProof/>
        </w:rPr>
        <w:t>v preliminarne analize regulatornog učinka (putem postupovnih i institucijskih prilagodbi), poboljšati kapacitete planiranja i oblikovanja javnih politika (putem novih mehanizama za upravljanje vladinim strategijama, osposobljavanjem ili razmjenom iskustav</w:t>
      </w:r>
      <w:r>
        <w:rPr>
          <w:noProof/>
        </w:rPr>
        <w:t>a te uvođenjem koncepta inovativnog upravljanja) te ojačati koordinaciju politika snažne horizontalne prirode u vladinom centru koje uključuju velik broj dionika (kao što je Zeleni pakt).</w:t>
      </w:r>
    </w:p>
    <w:p w14:paraId="5E7D8F82" w14:textId="77777777" w:rsidR="003F46B9" w:rsidRDefault="0065662E">
      <w:pPr>
        <w:pStyle w:val="P68B1DB1-Normal5"/>
        <w:spacing w:before="120" w:after="120" w:line="240" w:lineRule="auto"/>
        <w:jc w:val="both"/>
        <w:rPr>
          <w:rFonts w:cs="Times New Roman"/>
          <w:noProof/>
        </w:rPr>
      </w:pPr>
      <w:r>
        <w:rPr>
          <w:noProof/>
        </w:rPr>
        <w:t xml:space="preserve">U okviru ove reforme provode se sljedeće posebne mjere: </w:t>
      </w:r>
    </w:p>
    <w:p w14:paraId="11F76644" w14:textId="77777777" w:rsidR="003F46B9" w:rsidRDefault="0065662E">
      <w:pPr>
        <w:pStyle w:val="P68B1DB1-Normal5"/>
        <w:spacing w:before="120" w:after="120" w:line="240" w:lineRule="auto"/>
        <w:ind w:left="850"/>
        <w:jc w:val="both"/>
        <w:rPr>
          <w:rFonts w:cs="Times New Roman"/>
          <w:noProof/>
        </w:rPr>
      </w:pPr>
      <w:r>
        <w:rPr>
          <w:noProof/>
        </w:rPr>
        <w:t>(1) Donošen</w:t>
      </w:r>
      <w:r>
        <w:rPr>
          <w:noProof/>
        </w:rPr>
        <w:t>je i stupanje na snagu metodologija i postupaka za poboljšanje obrazloženja javne politike i planiranja te administrativnog pojednostavnjenja (do 31. ožujka 2022.). Zbog toga će se najmanje 50 % predloženih zakonodavnih inicijativa, uključenih u godišnji p</w:t>
      </w:r>
      <w:r>
        <w:rPr>
          <w:noProof/>
        </w:rPr>
        <w:t>lan rada Vlade, odobriti u planiranom roku do 31. ožujka 2026., a 25 % alata za predstavljanje i motivaciju (tj. obrazloženja/potkrijepljive napomene uz nacrte propisa) mora ispunjavati utvrđene kriterije kvalitete (tj. ocjenjuju se na izvrsnoj ili zadovol</w:t>
      </w:r>
      <w:r>
        <w:rPr>
          <w:noProof/>
        </w:rPr>
        <w:t>javajućoj razini) u skladu s vladinom metodologijom donesenom u prvom godišnjem izvješću o procjeni regulatornog učinka (donesenom 2019.) do 31. prosinca 2024.</w:t>
      </w:r>
    </w:p>
    <w:p w14:paraId="5B1AF1BA" w14:textId="77777777" w:rsidR="003F46B9" w:rsidRDefault="0065662E">
      <w:pPr>
        <w:pStyle w:val="P68B1DB1-Normal5"/>
        <w:spacing w:before="120" w:after="120" w:line="240" w:lineRule="auto"/>
        <w:ind w:left="850"/>
        <w:jc w:val="both"/>
        <w:rPr>
          <w:rFonts w:cs="Times New Roman"/>
          <w:noProof/>
        </w:rPr>
      </w:pPr>
      <w:r>
        <w:rPr>
          <w:noProof/>
        </w:rPr>
        <w:t xml:space="preserve"> (2)Stvaranje i operacionalizacija novog sustava strateškog upravljanja i strateškog planiranja </w:t>
      </w:r>
      <w:r>
        <w:rPr>
          <w:noProof/>
        </w:rPr>
        <w:t>u svim ministarstvima, dok strategije i strateški planovi izrađeni na ministarskoj razini moraju biti u skladu s odredbama metodologija donesenih na temelju prethodno navedene mjere (1) i učitavaju se na platformu za praćenje institucionalnih strateških pl</w:t>
      </w:r>
      <w:r>
        <w:rPr>
          <w:noProof/>
        </w:rPr>
        <w:t xml:space="preserve">anova (ISP) kako je proširena na sva ministarstva (do 30. lipnja 2023.). Zbog toga sva resorna ministarstva planiraju svoje proračune po programu, a najmanje tri ministarstva moraju do 30. lipnja 2025. izvršiti/izvršiti proračune po programu. </w:t>
      </w:r>
    </w:p>
    <w:p w14:paraId="33B86129" w14:textId="77777777" w:rsidR="003F46B9" w:rsidRDefault="0065662E">
      <w:pPr>
        <w:pStyle w:val="P68B1DB1-Normal5"/>
        <w:spacing w:before="120" w:after="120" w:line="240" w:lineRule="auto"/>
        <w:ind w:left="850"/>
        <w:jc w:val="both"/>
        <w:rPr>
          <w:rFonts w:cs="Times New Roman"/>
          <w:noProof/>
        </w:rPr>
      </w:pPr>
      <w:r>
        <w:rPr>
          <w:noProof/>
        </w:rPr>
        <w:t>(3) Donošenj</w:t>
      </w:r>
      <w:r>
        <w:rPr>
          <w:noProof/>
        </w:rPr>
        <w:t xml:space="preserve">e i stupanje na snagu zakonodavnog akta kojim se operacionalizira struktura za osiguravanje provedbe učinkovitog regulatornog mehanizma za kontrolu kvalitete do 31. ožujka 2022. </w:t>
      </w:r>
    </w:p>
    <w:p w14:paraId="43742DA6" w14:textId="77777777" w:rsidR="003F46B9" w:rsidRDefault="0065662E">
      <w:pPr>
        <w:pStyle w:val="P68B1DB1-Normal5"/>
        <w:spacing w:before="120" w:after="120" w:line="240" w:lineRule="auto"/>
        <w:ind w:left="850"/>
        <w:jc w:val="both"/>
        <w:rPr>
          <w:rFonts w:cs="Times New Roman"/>
          <w:noProof/>
        </w:rPr>
      </w:pPr>
      <w:r>
        <w:rPr>
          <w:noProof/>
        </w:rPr>
        <w:t xml:space="preserve">(4) Uspostava postojećeg osnovnog scenarija za inovacije na razini središnje </w:t>
      </w:r>
      <w:r>
        <w:rPr>
          <w:noProof/>
        </w:rPr>
        <w:t xml:space="preserve">vlasti (linija ministarstva i Glavno tajništvo Vlade) i dovršetak akcijskog plana za uvođenje inovacijskih mehanizama i stvaranje regulatornog okruženja kako bi se javnoj upravi omogućile inovacije (31. prosinca 2022.). </w:t>
      </w:r>
    </w:p>
    <w:p w14:paraId="5B080548" w14:textId="77777777" w:rsidR="003F46B9" w:rsidRDefault="0065662E">
      <w:pPr>
        <w:pStyle w:val="P68B1DB1-Normal5"/>
        <w:spacing w:before="120" w:after="120" w:line="240" w:lineRule="auto"/>
        <w:ind w:left="850"/>
        <w:jc w:val="both"/>
        <w:rPr>
          <w:rFonts w:cs="Times New Roman"/>
          <w:noProof/>
        </w:rPr>
      </w:pPr>
      <w:r>
        <w:rPr>
          <w:noProof/>
        </w:rPr>
        <w:t>(5) Poboljšanje kvalitete javnih sa</w:t>
      </w:r>
      <w:r>
        <w:rPr>
          <w:noProof/>
        </w:rPr>
        <w:t>vjetovanja i razvoj uključenosti civilnog društva u postupak donošenja odluka jačanjem zakonodavnog i postupovnog okvira za koordinaciju i učinkovitu provedbu otvorenih vladinih inicijativa (inicijativa otvorene vlade). To se postiže:</w:t>
      </w:r>
    </w:p>
    <w:p w14:paraId="5DBF7C09" w14:textId="77777777" w:rsidR="003F46B9" w:rsidRDefault="0065662E">
      <w:pPr>
        <w:pStyle w:val="P68B1DB1-Normal5"/>
        <w:spacing w:before="120" w:after="120" w:line="240" w:lineRule="auto"/>
        <w:ind w:left="1440" w:firstLine="1"/>
        <w:jc w:val="both"/>
        <w:rPr>
          <w:rFonts w:cs="Times New Roman"/>
          <w:noProof/>
        </w:rPr>
      </w:pPr>
      <w:r>
        <w:rPr>
          <w:noProof/>
        </w:rPr>
        <w:t>(i) Ažuriranje pravno</w:t>
      </w:r>
      <w:r>
        <w:rPr>
          <w:noProof/>
        </w:rPr>
        <w:t>g okvira, proširenje IT platforme, izgradnja kapaciteta za državne službenike, donošenje strategije otvorene vlade. Zbog toga će se do 30. lipnja 2026. broj nacrta zakonodavnih akata koji podliježu javnom savjetovanju i uključivanju dionika na središnjoj r</w:t>
      </w:r>
      <w:r>
        <w:rPr>
          <w:noProof/>
        </w:rPr>
        <w:t>azini povećati za 20 %.</w:t>
      </w:r>
    </w:p>
    <w:p w14:paraId="16066028" w14:textId="77777777" w:rsidR="003F46B9" w:rsidRDefault="0065662E">
      <w:pPr>
        <w:pStyle w:val="P68B1DB1-Normal5"/>
        <w:spacing w:before="120" w:after="120" w:line="240" w:lineRule="auto"/>
        <w:ind w:left="1440"/>
        <w:jc w:val="both"/>
        <w:rPr>
          <w:rFonts w:cs="Times New Roman"/>
          <w:noProof/>
        </w:rPr>
      </w:pPr>
      <w:r>
        <w:rPr>
          <w:noProof/>
        </w:rPr>
        <w:t>ii. Osposobljavanja organizirana za organizacije civilnog društva kako bi povećale svoje kapacitete i vještine za učinkovito sudjelovanje u postupcima javnog savjetovanja. Kao rezultat tog djelovanja, 800 predstavnika organizacija civilnog društva mora bit</w:t>
      </w:r>
      <w:r>
        <w:rPr>
          <w:noProof/>
        </w:rPr>
        <w:t xml:space="preserve">i osposobljeno do 31. prosinca 2025. </w:t>
      </w:r>
    </w:p>
    <w:p w14:paraId="0DA38DD0" w14:textId="77777777" w:rsidR="003F46B9" w:rsidRDefault="0065662E">
      <w:pPr>
        <w:pStyle w:val="P68B1DB1-Normal5"/>
        <w:spacing w:before="120" w:after="120" w:line="240" w:lineRule="auto"/>
        <w:ind w:left="850"/>
        <w:jc w:val="both"/>
        <w:rPr>
          <w:rFonts w:cs="Times New Roman"/>
          <w:noProof/>
        </w:rPr>
      </w:pPr>
      <w:r>
        <w:rPr>
          <w:noProof/>
        </w:rPr>
        <w:t xml:space="preserve">(6) Donošenje i stupanje na snagu smjernica za odgovarajuću upotrebu i provedbu jedinstvenog registra transparentnosti interesa (RUTI) čiji je cilj pravilna provedba javnog registra (do 30. rujna 2022.). </w:t>
      </w:r>
    </w:p>
    <w:p w14:paraId="56842FA4" w14:textId="77777777" w:rsidR="003F46B9" w:rsidRDefault="0065662E">
      <w:pPr>
        <w:pStyle w:val="P68B1DB1-Normal5"/>
        <w:spacing w:before="120" w:after="120" w:line="240" w:lineRule="auto"/>
        <w:ind w:left="850"/>
        <w:jc w:val="both"/>
        <w:rPr>
          <w:rFonts w:cs="Times New Roman"/>
          <w:noProof/>
        </w:rPr>
      </w:pPr>
      <w:r>
        <w:rPr>
          <w:noProof/>
        </w:rPr>
        <w:t>(7) Donošenje</w:t>
      </w:r>
      <w:r>
        <w:rPr>
          <w:noProof/>
        </w:rPr>
        <w:t xml:space="preserve"> i stupanje na snagu Metodologije za primjenu hitnih propisa u kojima se navode okolnosti u kojima se ta rješenja mogu upotrebljavati i način procjene njihova učinka (ex post, ex ante) te povezani postupci za njihovu pripremu i odobravanje (do 30. rujna 20</w:t>
      </w:r>
      <w:r>
        <w:rPr>
          <w:noProof/>
        </w:rPr>
        <w:t xml:space="preserve">22.). </w:t>
      </w:r>
    </w:p>
    <w:p w14:paraId="28248092" w14:textId="77777777" w:rsidR="003F46B9" w:rsidRDefault="0065662E">
      <w:pPr>
        <w:pStyle w:val="P68B1DB1-Normal5"/>
        <w:spacing w:before="120" w:after="120" w:line="240" w:lineRule="auto"/>
        <w:ind w:left="850"/>
        <w:jc w:val="both"/>
        <w:rPr>
          <w:rFonts w:cs="Times New Roman"/>
          <w:noProof/>
        </w:rPr>
      </w:pPr>
      <w:r>
        <w:rPr>
          <w:noProof/>
        </w:rPr>
        <w:t xml:space="preserve">(8) Donošenje i stupanje na snagu zakonodavnih izmjena Zakona 24/2000 o zakonodavnoj tehnici kako bi se osigurala objava cjelovitog teksta zakona nakon što su u njih unesene izmjene, što se trenutačno ne provodi sustavno (do 30. rujna 2022.). </w:t>
      </w:r>
    </w:p>
    <w:p w14:paraId="1B651A49" w14:textId="77777777" w:rsidR="003F46B9" w:rsidRDefault="0065662E">
      <w:pPr>
        <w:pStyle w:val="P68B1DB1-Standard6"/>
        <w:spacing w:before="240"/>
        <w:jc w:val="both"/>
        <w:rPr>
          <w:rFonts w:ascii="Times New Roman" w:eastAsiaTheme="majorEastAsia" w:hAnsi="Times New Roman" w:cs="Times New Roman"/>
          <w:noProof/>
        </w:rPr>
      </w:pPr>
      <w:r>
        <w:rPr>
          <w:noProof/>
        </w:rPr>
        <w:t>Refor</w:t>
      </w:r>
      <w:r>
        <w:rPr>
          <w:noProof/>
        </w:rPr>
        <w:t>ma 2. Jačanje koordinacije u središtu vlasti integriranim i dosljednim pristupom klimatskim promjenama i inicijativama za održivi razvoj</w:t>
      </w:r>
    </w:p>
    <w:p w14:paraId="10AE33AC" w14:textId="77777777" w:rsidR="003F46B9" w:rsidRDefault="0065662E">
      <w:pPr>
        <w:pStyle w:val="P68B1DB1-Normal5"/>
        <w:spacing w:before="120" w:after="120" w:line="240" w:lineRule="auto"/>
        <w:jc w:val="both"/>
        <w:rPr>
          <w:rFonts w:cs="Times New Roman"/>
          <w:noProof/>
        </w:rPr>
      </w:pPr>
      <w:r>
        <w:rPr>
          <w:noProof/>
        </w:rPr>
        <w:t>Ciljevi reforme su sljedeći: (i) osigurati učinkovitost i djelotvornost zelenih mjera i politika operacionalizacijom me</w:t>
      </w:r>
      <w:r>
        <w:rPr>
          <w:noProof/>
        </w:rPr>
        <w:t>hanizma za koordinaciju i provedbu europskog zelenog plana u Rumunjskoj; i ii. reformom javne uprave promicanjem i koordinacijom usklađene javne politike za održivi razvoj na svim razinama i u svim državnim sektorima s naglaskom na digitalnoj transformacij</w:t>
      </w:r>
      <w:r>
        <w:rPr>
          <w:noProof/>
        </w:rPr>
        <w:t>i i povećanju relevantnosti/korištenja znanstvenog pristupa u javnim politikama održivog razvoja.</w:t>
      </w:r>
    </w:p>
    <w:p w14:paraId="0600F619" w14:textId="77777777" w:rsidR="003F46B9" w:rsidRDefault="0065662E">
      <w:pPr>
        <w:pStyle w:val="P68B1DB1-Normal5"/>
        <w:spacing w:after="0" w:line="240" w:lineRule="auto"/>
        <w:jc w:val="both"/>
        <w:rPr>
          <w:rFonts w:cs="Times New Roman"/>
          <w:noProof/>
        </w:rPr>
      </w:pPr>
      <w:r>
        <w:rPr>
          <w:noProof/>
        </w:rPr>
        <w:t>To će se postići uspostavom i operacionalizacijom Međuinstitucijskog odbora za klimu s mandatom za davanje prioriteta djelovanju u području klime i godišnje p</w:t>
      </w:r>
      <w:r>
        <w:rPr>
          <w:noProof/>
        </w:rPr>
        <w:t>raćenje napretka do 30. lipnja 2022. Kao rezultat te mjere 90 % prioriteta koje je utvrdio Međuinstitucijski odbor za klimatske promjene za 2025., u skladu s ciljevima utvrđenima u integriranom energetskom i klimatskom planu, ostvarit će se do 31. ožujka 2</w:t>
      </w:r>
      <w:r>
        <w:rPr>
          <w:noProof/>
        </w:rPr>
        <w:t xml:space="preserve">026., a 2000 javnih službenika kvalificira se kao „stručnjak za održivi razvoj” u javnim institucijama na središnjoj i lokalnoj razini do 30. rujna 2025. </w:t>
      </w:r>
    </w:p>
    <w:p w14:paraId="6DEDE1CA" w14:textId="77777777" w:rsidR="003F46B9" w:rsidRDefault="0065662E">
      <w:pPr>
        <w:pStyle w:val="P68B1DB1-Standard6"/>
        <w:spacing w:before="240"/>
        <w:jc w:val="both"/>
        <w:rPr>
          <w:rFonts w:ascii="Times New Roman" w:eastAsiaTheme="majorEastAsia" w:hAnsi="Times New Roman" w:cs="Times New Roman"/>
          <w:noProof/>
        </w:rPr>
      </w:pPr>
      <w:r>
        <w:rPr>
          <w:noProof/>
        </w:rPr>
        <w:t>Reforma 3. Razvoj uspješnosti upravljanja ljudskim resursima u javnom sektoru</w:t>
      </w:r>
    </w:p>
    <w:p w14:paraId="59FBF1E0" w14:textId="77777777" w:rsidR="003F46B9" w:rsidRDefault="0065662E">
      <w:pPr>
        <w:pStyle w:val="P68B1DB1-Normal5"/>
        <w:spacing w:before="120" w:after="120" w:line="240" w:lineRule="auto"/>
        <w:jc w:val="both"/>
        <w:rPr>
          <w:rFonts w:cs="Times New Roman"/>
          <w:noProof/>
        </w:rPr>
      </w:pPr>
      <w:r>
        <w:rPr>
          <w:noProof/>
        </w:rPr>
        <w:t>Cilj je reforme moderni</w:t>
      </w:r>
      <w:r>
        <w:rPr>
          <w:noProof/>
        </w:rPr>
        <w:t xml:space="preserve">zirati upravljanje javnom službom promicanjem novog transparentnog i uključivog sustava zapošljavanja s pomoću okvira kompetencija prilagođenog stvarnom stanju u javnom sektoru, izravno povezanog s institucionalnim potrebama i potrebama građana i poslovne </w:t>
      </w:r>
      <w:r>
        <w:rPr>
          <w:noProof/>
        </w:rPr>
        <w:t>zajednice kojoj služe. Te mjere reforme moraju ići ruku pod ruku sa snažnom digitalizacijom javnog sektora i stjecanjem digitalnih vještina među državnim službenicima.</w:t>
      </w:r>
    </w:p>
    <w:p w14:paraId="317B0301" w14:textId="77777777" w:rsidR="003F46B9" w:rsidRDefault="0065662E">
      <w:pPr>
        <w:pStyle w:val="P68B1DB1-Normal5"/>
        <w:spacing w:before="120" w:after="120" w:line="240" w:lineRule="auto"/>
        <w:jc w:val="both"/>
        <w:rPr>
          <w:rFonts w:cs="Times New Roman"/>
          <w:noProof/>
        </w:rPr>
      </w:pPr>
      <w:r>
        <w:rPr>
          <w:noProof/>
        </w:rPr>
        <w:t xml:space="preserve">U okviru ove reforme provode se sljedeće posebne mjere: </w:t>
      </w:r>
    </w:p>
    <w:p w14:paraId="572F1507" w14:textId="77777777" w:rsidR="003F46B9" w:rsidRDefault="0065662E">
      <w:pPr>
        <w:pStyle w:val="P68B1DB1-Normal5"/>
        <w:spacing w:before="120" w:after="120" w:line="240" w:lineRule="auto"/>
        <w:jc w:val="both"/>
        <w:rPr>
          <w:rFonts w:cs="Times New Roman"/>
          <w:noProof/>
        </w:rPr>
      </w:pPr>
      <w:r>
        <w:rPr>
          <w:noProof/>
        </w:rPr>
        <w:t>(1) Provedba ex post analize (p</w:t>
      </w:r>
      <w:r>
        <w:rPr>
          <w:noProof/>
        </w:rPr>
        <w:t xml:space="preserve">ilot) nacionalnog natječaja za odabir dviju kategorija javnih službi u središnjoj upravi (do 30. lipnja 2023.). </w:t>
      </w:r>
    </w:p>
    <w:p w14:paraId="44469B50" w14:textId="77777777" w:rsidR="003F46B9" w:rsidRDefault="0065662E">
      <w:pPr>
        <w:pStyle w:val="P68B1DB1-Normal5"/>
        <w:spacing w:before="120" w:after="120" w:line="240" w:lineRule="auto"/>
        <w:jc w:val="both"/>
        <w:rPr>
          <w:rFonts w:cs="Times New Roman"/>
          <w:noProof/>
        </w:rPr>
      </w:pPr>
      <w:r>
        <w:rPr>
          <w:noProof/>
        </w:rPr>
        <w:t xml:space="preserve">(2) Provedba najmanje dva nacionalna natječaja za zapošljavanje javnih službenika godišnje za najmanje tri kategorije/razreda javne službe (do </w:t>
      </w:r>
      <w:r>
        <w:rPr>
          <w:noProof/>
        </w:rPr>
        <w:t>31. prosinca 2023.).</w:t>
      </w:r>
    </w:p>
    <w:p w14:paraId="63C129DF" w14:textId="77777777" w:rsidR="003F46B9" w:rsidRDefault="0065662E">
      <w:pPr>
        <w:pStyle w:val="P68B1DB1-Normal5"/>
        <w:spacing w:before="120" w:after="120" w:line="240" w:lineRule="auto"/>
        <w:jc w:val="both"/>
        <w:rPr>
          <w:rFonts w:cs="Times New Roman"/>
          <w:noProof/>
        </w:rPr>
      </w:pPr>
      <w:r>
        <w:rPr>
          <w:noProof/>
        </w:rPr>
        <w:t xml:space="preserve">(3) Donošenje i stupanje na snagu dvaju zakonodavnih akata o upravljanju ljudskim resursima: i. jedna promjena u upravljanju karijerom državnih službenika kako bi se temeljila na zaslugama i ii. upravljanje ugovornim osobljem u javnoj </w:t>
      </w:r>
      <w:r>
        <w:rPr>
          <w:noProof/>
        </w:rPr>
        <w:t>upravi (do 31. prosinca 2024.).</w:t>
      </w:r>
    </w:p>
    <w:p w14:paraId="047039BD" w14:textId="77777777" w:rsidR="003F46B9" w:rsidRDefault="0065662E">
      <w:pPr>
        <w:pStyle w:val="P68B1DB1-Normal5"/>
        <w:spacing w:before="120" w:after="120" w:line="240" w:lineRule="auto"/>
        <w:jc w:val="both"/>
        <w:rPr>
          <w:rFonts w:cs="Times New Roman"/>
          <w:noProof/>
        </w:rPr>
      </w:pPr>
      <w:r>
        <w:rPr>
          <w:noProof/>
        </w:rPr>
        <w:t xml:space="preserve">(4) Operacionalizacija okvira kompetencija u središnjoj javnoj upravi, što uključuje pripremu i donošenje zakonodavnog akta i njegovu djelotvornu provedbu (do 31. prosinca 2025.). </w:t>
      </w:r>
    </w:p>
    <w:p w14:paraId="6063C673"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Razvoj pravednog sustava jedinst</w:t>
      </w:r>
      <w:r>
        <w:rPr>
          <w:noProof/>
        </w:rPr>
        <w:t>venih plaća u javnom sektoru</w:t>
      </w:r>
    </w:p>
    <w:p w14:paraId="6EC10BDB" w14:textId="77777777" w:rsidR="003F46B9" w:rsidRDefault="0065662E">
      <w:pPr>
        <w:pStyle w:val="P68B1DB1-Normal5"/>
        <w:spacing w:before="120" w:after="120" w:line="240" w:lineRule="auto"/>
        <w:jc w:val="both"/>
        <w:rPr>
          <w:rFonts w:cs="Times New Roman"/>
          <w:noProof/>
        </w:rPr>
      </w:pPr>
      <w:r>
        <w:rPr>
          <w:noProof/>
        </w:rPr>
        <w:t>Cilj je reforme osigurati pravednu i fiskalno održivu politiku plaća uklanjanjem trenutačnog jaza u plaćama u proračunskom sustavu, ponovnom uspostavom hijerarhije funkcija unutar područja djelatnosti i među njima, preispitivan</w:t>
      </w:r>
      <w:r>
        <w:rPr>
          <w:noProof/>
        </w:rPr>
        <w:t xml:space="preserve">jem sustava bonusa i uspostavom sustava poticaja za uspješnost. </w:t>
      </w:r>
    </w:p>
    <w:p w14:paraId="7EF0C7D7" w14:textId="77777777" w:rsidR="003F46B9" w:rsidRDefault="0065662E">
      <w:pPr>
        <w:pStyle w:val="P68B1DB1-Normal5"/>
        <w:spacing w:before="120" w:after="120" w:line="240" w:lineRule="auto"/>
        <w:jc w:val="both"/>
        <w:rPr>
          <w:rFonts w:cs="Times New Roman"/>
          <w:noProof/>
        </w:rPr>
      </w:pPr>
      <w:r>
        <w:rPr>
          <w:noProof/>
        </w:rPr>
        <w:t xml:space="preserve">U okviru ove reforme provode se sljedeće posebne mjere: </w:t>
      </w:r>
    </w:p>
    <w:p w14:paraId="762F89E6" w14:textId="79060A47" w:rsidR="003F46B9" w:rsidRDefault="0065662E">
      <w:pPr>
        <w:pStyle w:val="P68B1DB1-Normal5"/>
        <w:spacing w:before="120" w:after="120" w:line="240" w:lineRule="auto"/>
        <w:jc w:val="both"/>
        <w:rPr>
          <w:rFonts w:cs="Times New Roman"/>
          <w:noProof/>
        </w:rPr>
      </w:pPr>
      <w:r>
        <w:rPr>
          <w:noProof/>
        </w:rPr>
        <w:t>(1) Provedba ukupne procjene učinka Zakona o javnim plaćama, uključujući procjenu fiskalnog učinka novog zakona (do 31. ožujka 2022.);</w:t>
      </w:r>
    </w:p>
    <w:p w14:paraId="18CA3411" w14:textId="3E804E34" w:rsidR="003F46B9" w:rsidRDefault="0065662E">
      <w:pPr>
        <w:pStyle w:val="P68B1DB1-Normal5"/>
        <w:spacing w:before="120" w:after="120" w:line="240" w:lineRule="auto"/>
        <w:jc w:val="both"/>
        <w:rPr>
          <w:rFonts w:cs="Times New Roman"/>
          <w:noProof/>
        </w:rPr>
      </w:pPr>
      <w:r>
        <w:rPr>
          <w:noProof/>
        </w:rPr>
        <w:t xml:space="preserve">(2) Donošenje i stupanje na snagu novog pravnog okvira o plaćama državnih službenika (do 30. lipnja 2023.). </w:t>
      </w:r>
    </w:p>
    <w:p w14:paraId="203C3F3A" w14:textId="77777777" w:rsidR="003F46B9" w:rsidRDefault="0065662E">
      <w:pPr>
        <w:pStyle w:val="P68B1DB1-Standard6"/>
        <w:spacing w:before="240"/>
        <w:jc w:val="both"/>
        <w:rPr>
          <w:rFonts w:ascii="Times New Roman" w:eastAsiaTheme="majorEastAsia" w:hAnsi="Times New Roman" w:cs="Times New Roman"/>
          <w:noProof/>
        </w:rPr>
      </w:pPr>
      <w:r>
        <w:rPr>
          <w:noProof/>
        </w:rPr>
        <w:t>Reforma 5. Osiguravanje neovisnosti pravosuđa, poboljšanje njegove kvalitete i učinkovitosti</w:t>
      </w:r>
    </w:p>
    <w:p w14:paraId="42525FC0" w14:textId="77777777" w:rsidR="003F46B9" w:rsidRDefault="0065662E">
      <w:pPr>
        <w:pStyle w:val="P68B1DB1-Normal5"/>
        <w:spacing w:before="120" w:after="120" w:line="240" w:lineRule="auto"/>
        <w:jc w:val="both"/>
        <w:rPr>
          <w:rFonts w:cs="Times New Roman"/>
          <w:noProof/>
        </w:rPr>
      </w:pPr>
      <w:r>
        <w:rPr>
          <w:noProof/>
        </w:rPr>
        <w:t>Cilj je reforme ojačati neovisnost sudaca, učiniti fu</w:t>
      </w:r>
      <w:r>
        <w:rPr>
          <w:noProof/>
        </w:rPr>
        <w:t xml:space="preserve">nkcioniranje pravosudnih institucija učinkovitijim, u skladu s relevantnom sudskom praksom Suda Europske unije i uzimajući u obzir preporuke iz izvješća CVM-a, izvješća GRECO-a i mišljenja Venecijanske komisije te izvješća o vladavini prava. </w:t>
      </w:r>
    </w:p>
    <w:p w14:paraId="6D300DC2" w14:textId="77777777" w:rsidR="003F46B9" w:rsidRDefault="0065662E">
      <w:pPr>
        <w:pStyle w:val="P68B1DB1-Normal5"/>
        <w:spacing w:before="120" w:after="120" w:line="240" w:lineRule="auto"/>
        <w:jc w:val="both"/>
        <w:rPr>
          <w:rFonts w:cs="Times New Roman"/>
          <w:noProof/>
        </w:rPr>
      </w:pPr>
      <w:r>
        <w:rPr>
          <w:noProof/>
        </w:rPr>
        <w:t xml:space="preserve">U okviru ove </w:t>
      </w:r>
      <w:r>
        <w:rPr>
          <w:noProof/>
        </w:rPr>
        <w:t xml:space="preserve">reforme provode se sljedeće posebne mjere: </w:t>
      </w:r>
    </w:p>
    <w:p w14:paraId="678CB07A" w14:textId="31B8C2F6" w:rsidR="003F46B9" w:rsidRDefault="0065662E">
      <w:pPr>
        <w:pStyle w:val="P68B1DB1-Normal5"/>
        <w:spacing w:before="120" w:after="120" w:line="240" w:lineRule="auto"/>
        <w:jc w:val="both"/>
        <w:rPr>
          <w:rFonts w:cs="Times New Roman"/>
          <w:noProof/>
        </w:rPr>
      </w:pPr>
      <w:r>
        <w:rPr>
          <w:noProof/>
        </w:rPr>
        <w:t>(1) Donošenje i stupanje na snagu vladine odluke o odobravanju strategije za razvoj pravosuđa za razdoblje 2022. 2025. (do 31. ožujka 2022.). Strategija se sastoji od dva stupa: (i) politike za jačanje neovisnosti pravosuđa i vladavine prava; i ii. politik</w:t>
      </w:r>
      <w:r>
        <w:rPr>
          <w:noProof/>
        </w:rPr>
        <w:t xml:space="preserve">e za jačanje institucionalnih kapaciteta u pogledu resursa, postupaka i upravljanja te politike o kvaliteti i učinkovitosti usluga u pravosuđu. </w:t>
      </w:r>
    </w:p>
    <w:p w14:paraId="1B5B32D5" w14:textId="77777777" w:rsidR="003F46B9" w:rsidRDefault="0065662E">
      <w:pPr>
        <w:pStyle w:val="P68B1DB1-Normal5"/>
        <w:spacing w:before="120" w:after="120" w:line="240" w:lineRule="auto"/>
        <w:jc w:val="both"/>
        <w:rPr>
          <w:rFonts w:cs="Times New Roman"/>
          <w:noProof/>
        </w:rPr>
      </w:pPr>
      <w:r>
        <w:rPr>
          <w:noProof/>
        </w:rPr>
        <w:t>(2) Donošenje i stupanje na snagu zakona o izmjeni ovlasti Nacionalne agencije za upravljanje zaplijenjenom imo</w:t>
      </w:r>
      <w:r>
        <w:rPr>
          <w:noProof/>
        </w:rPr>
        <w:t>vinom (do 31. ožujka 2022.).</w:t>
      </w:r>
    </w:p>
    <w:p w14:paraId="14B9C82F" w14:textId="77777777" w:rsidR="003F46B9" w:rsidRDefault="0065662E">
      <w:pPr>
        <w:pStyle w:val="P68B1DB1-Normal5"/>
        <w:spacing w:before="120" w:after="120" w:line="240" w:lineRule="auto"/>
        <w:jc w:val="both"/>
        <w:rPr>
          <w:rFonts w:cs="Times New Roman"/>
          <w:noProof/>
        </w:rPr>
      </w:pPr>
      <w:r>
        <w:rPr>
          <w:noProof/>
        </w:rPr>
        <w:t>(3) Donošenje i stupanje na snagu „zakona o pravosuđu” (zakoni o statusu sudaca, pravosudnoj organizaciji, Vrhovnom sudskom vijeću) (do 30. lipnja 2023.). Novim zakonima o pravosuđu predviđa se, među ostalim, sljedeće: (i) jača</w:t>
      </w:r>
      <w:r>
        <w:rPr>
          <w:noProof/>
        </w:rPr>
        <w:t xml:space="preserve">nje neovisnosti sudaca i tužitelja; ii. pristup profesiji i napredovanje u karijeri na temelju zasluga, zajedno s jačanjem uloge Nacionalnog sudskog instituta u organizaciji i provođenju ispita i natječaja; (III) učinkovito funkcioniranje sudova, Vrhovnog </w:t>
      </w:r>
      <w:r>
        <w:rPr>
          <w:noProof/>
        </w:rPr>
        <w:t xml:space="preserve">sudskog vijeća i Ureda javnog tužitelja; iv. učinkovita odgovornost sudaca, ali i njihova zaštita od bilo kakvog uplitanja i zlouporabe; povećanje učinkovitosti sudske inspekcije, čime se osiguravaju veća jamstva neovisnosti i nepristranosti. </w:t>
      </w:r>
    </w:p>
    <w:p w14:paraId="36416C65" w14:textId="77777777" w:rsidR="003F46B9" w:rsidRDefault="0065662E">
      <w:pPr>
        <w:pStyle w:val="P68B1DB1-Normal5"/>
        <w:spacing w:before="120" w:after="120" w:line="240" w:lineRule="auto"/>
        <w:jc w:val="both"/>
        <w:rPr>
          <w:rFonts w:cs="Times New Roman"/>
          <w:noProof/>
        </w:rPr>
      </w:pPr>
      <w:r>
        <w:rPr>
          <w:noProof/>
        </w:rPr>
        <w:t>(4) Donošenj</w:t>
      </w:r>
      <w:r>
        <w:rPr>
          <w:noProof/>
        </w:rPr>
        <w:t xml:space="preserve">e i stupanje na snagu izmjene Kaznenog zakona i Zakona o kaznenom postupku kako bi ih se uskladilo s Ustavom Rumunjske nakon odluka Ustavnog suda (do 31. prosinca 2022.). </w:t>
      </w:r>
    </w:p>
    <w:p w14:paraId="06E836D0" w14:textId="77777777" w:rsidR="003F46B9" w:rsidRDefault="0065662E">
      <w:pPr>
        <w:pStyle w:val="P68B1DB1-Normal5"/>
        <w:spacing w:before="120" w:after="120" w:line="240" w:lineRule="auto"/>
        <w:jc w:val="both"/>
        <w:rPr>
          <w:rFonts w:cs="Times New Roman"/>
          <w:noProof/>
        </w:rPr>
      </w:pPr>
      <w:r>
        <w:rPr>
          <w:noProof/>
        </w:rPr>
        <w:t>(5) Tečajevi osposobljavanja (ukupno 300) organizirani su za suce, tužitelje i sudsk</w:t>
      </w:r>
      <w:r>
        <w:rPr>
          <w:noProof/>
        </w:rPr>
        <w:t xml:space="preserve">e službenike kako bi se poboljšala kvaliteta i učinkovitost pravosudnog sustava (do 31. prosinca 2025.). </w:t>
      </w:r>
    </w:p>
    <w:p w14:paraId="158B6E0E" w14:textId="77777777" w:rsidR="003F46B9" w:rsidRDefault="0065662E">
      <w:pPr>
        <w:pStyle w:val="P68B1DB1-Standard6"/>
        <w:spacing w:before="240"/>
        <w:jc w:val="both"/>
        <w:rPr>
          <w:rFonts w:ascii="Times New Roman" w:eastAsiaTheme="majorEastAsia" w:hAnsi="Times New Roman" w:cs="Times New Roman"/>
          <w:noProof/>
        </w:rPr>
      </w:pPr>
      <w:r>
        <w:rPr>
          <w:noProof/>
        </w:rPr>
        <w:t>Reforma 6. Jačanje borbe protiv korupcije</w:t>
      </w:r>
    </w:p>
    <w:p w14:paraId="2109D42C" w14:textId="77777777" w:rsidR="003F46B9" w:rsidRDefault="0065662E">
      <w:pPr>
        <w:pStyle w:val="P68B1DB1-Normal5"/>
        <w:tabs>
          <w:tab w:val="left" w:pos="5456"/>
        </w:tabs>
        <w:spacing w:before="120" w:after="120" w:line="240" w:lineRule="auto"/>
        <w:jc w:val="both"/>
        <w:rPr>
          <w:rFonts w:cs="Times New Roman"/>
          <w:noProof/>
        </w:rPr>
      </w:pPr>
      <w:r>
        <w:rPr>
          <w:noProof/>
        </w:rPr>
        <w:t>Cilj je reforme pojačati borbu protiv korupcije donošenjem nacionalnog strateškog okvira za njezino sprečava</w:t>
      </w:r>
      <w:r>
        <w:rPr>
          <w:noProof/>
        </w:rPr>
        <w:t>nje i suzbijanje, jačanjem kapaciteta institucije nadležne za njezino suzbijanje, odnosno DNA, povratom štete i imovinske koristi ostvarene kaznenim djelima, jačanjem integriteta u javnoj službi i osiguravanjem učinkovitog sustava za prijavljivanje imovine</w:t>
      </w:r>
      <w:r>
        <w:rPr>
          <w:noProof/>
        </w:rPr>
        <w:t xml:space="preserve"> i interesa, uz razvoj i provedbu nove strategije za borbu protiv korupcije. </w:t>
      </w:r>
    </w:p>
    <w:p w14:paraId="111D6199" w14:textId="77777777" w:rsidR="003F46B9" w:rsidRDefault="0065662E">
      <w:pPr>
        <w:pStyle w:val="P68B1DB1-Normal5"/>
        <w:tabs>
          <w:tab w:val="left" w:pos="5456"/>
        </w:tabs>
        <w:spacing w:before="120" w:after="120" w:line="240" w:lineRule="auto"/>
        <w:jc w:val="both"/>
        <w:rPr>
          <w:rFonts w:cs="Times New Roman"/>
          <w:noProof/>
        </w:rPr>
      </w:pPr>
      <w:r>
        <w:rPr>
          <w:noProof/>
        </w:rPr>
        <w:t>U okviru ove reforme provode se sljedeće posebne mjere:</w:t>
      </w:r>
    </w:p>
    <w:p w14:paraId="2F35D43E" w14:textId="77777777" w:rsidR="003F46B9" w:rsidRDefault="0065662E">
      <w:pPr>
        <w:pStyle w:val="P68B1DB1-Normal5"/>
        <w:spacing w:before="120" w:after="120" w:line="240" w:lineRule="auto"/>
        <w:jc w:val="both"/>
        <w:rPr>
          <w:rFonts w:cs="Times New Roman"/>
          <w:noProof/>
        </w:rPr>
      </w:pPr>
      <w:r>
        <w:rPr>
          <w:noProof/>
        </w:rPr>
        <w:t>(1) Donošenje i stupanje na snagu zakonodavnog akta kojim se odobrava nova Nacionalna strategija za borbu protiv korupcije</w:t>
      </w:r>
      <w:r>
        <w:rPr>
          <w:noProof/>
        </w:rPr>
        <w:t xml:space="preserve"> (do 31. prosinca 2021.). Zbog toga će se do 31. prosinca 2025. provesti najmanje 70 % mjera predviđenih u novoj strategiji za borbu protiv korupcije i postići povećanje od 50 % vrijednosti zaplijenjene imovine kojom upravlja Nacionalna agencija za upravlj</w:t>
      </w:r>
      <w:r>
        <w:rPr>
          <w:noProof/>
        </w:rPr>
        <w:t xml:space="preserve">anje zaplijenjenom imovinom. </w:t>
      </w:r>
    </w:p>
    <w:p w14:paraId="3F1C2810" w14:textId="77777777" w:rsidR="003F46B9" w:rsidRDefault="0065662E">
      <w:pPr>
        <w:pStyle w:val="P68B1DB1-Normal5"/>
        <w:spacing w:before="120" w:after="120" w:line="240" w:lineRule="auto"/>
        <w:jc w:val="both"/>
        <w:rPr>
          <w:rFonts w:cs="Times New Roman"/>
          <w:noProof/>
        </w:rPr>
      </w:pPr>
      <w:r>
        <w:rPr>
          <w:noProof/>
        </w:rPr>
        <w:t>(2) Stopa popunjenosti radnih mjesta tužitelja u Nacionalnoj upravi za borbu protiv korupcije od 85 % (do 30. lipnja 2023.).</w:t>
      </w:r>
    </w:p>
    <w:p w14:paraId="3639C9FA" w14:textId="77777777" w:rsidR="003F46B9" w:rsidRDefault="0065662E">
      <w:pPr>
        <w:pStyle w:val="P68B1DB1-Normal5"/>
        <w:spacing w:before="120" w:after="120" w:line="240" w:lineRule="auto"/>
        <w:jc w:val="both"/>
        <w:rPr>
          <w:rFonts w:cs="Times New Roman"/>
          <w:noProof/>
        </w:rPr>
      </w:pPr>
      <w:r>
        <w:rPr>
          <w:noProof/>
        </w:rPr>
        <w:t>(3) Donošenje i stupanje na snagu zakona kojim se prenosi Direktiva o zaštiti zviždača (do 31. ožujka</w:t>
      </w:r>
      <w:r>
        <w:rPr>
          <w:noProof/>
        </w:rPr>
        <w:t xml:space="preserve"> 2022.). </w:t>
      </w:r>
    </w:p>
    <w:p w14:paraId="62063F54"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7. Evaluacija i ažuriranje zakonodavstva o okviru za integritet </w:t>
      </w:r>
    </w:p>
    <w:p w14:paraId="24B86C9C" w14:textId="77777777" w:rsidR="003F46B9" w:rsidRDefault="0065662E">
      <w:pPr>
        <w:pStyle w:val="P68B1DB1-Normal5"/>
        <w:spacing w:before="120" w:after="120" w:line="240" w:lineRule="auto"/>
        <w:jc w:val="both"/>
        <w:rPr>
          <w:rFonts w:cs="Times New Roman"/>
          <w:noProof/>
        </w:rPr>
      </w:pPr>
      <w:r>
        <w:rPr>
          <w:noProof/>
        </w:rPr>
        <w:t>Cilj je te reforme ojačati integritet u javnoj službi te povećati učinkovitost digitalizacije i transparentnosti osiguravanjem potrebnih resursa za podnošenje izjava o imovi</w:t>
      </w:r>
      <w:r>
        <w:rPr>
          <w:noProof/>
        </w:rPr>
        <w:t>ni i interesima u digitalnom obliku s ovjerenim elektroničkim potpisom.</w:t>
      </w:r>
    </w:p>
    <w:p w14:paraId="522B5026" w14:textId="77777777" w:rsidR="003F46B9" w:rsidRDefault="0065662E">
      <w:pPr>
        <w:pStyle w:val="P68B1DB1-Normal5"/>
        <w:spacing w:before="120" w:after="120" w:line="240" w:lineRule="auto"/>
        <w:jc w:val="both"/>
        <w:rPr>
          <w:rFonts w:cs="Times New Roman"/>
          <w:noProof/>
        </w:rPr>
      </w:pPr>
      <w:r>
        <w:rPr>
          <w:noProof/>
        </w:rPr>
        <w:t>U okviru ove reforme provode se sljedeće posebne mjere:</w:t>
      </w:r>
    </w:p>
    <w:p w14:paraId="62AE937A" w14:textId="77777777" w:rsidR="003F46B9" w:rsidRDefault="0065662E">
      <w:pPr>
        <w:pStyle w:val="P68B1DB1-Normal5"/>
        <w:spacing w:before="120" w:after="120" w:line="240" w:lineRule="auto"/>
        <w:jc w:val="both"/>
        <w:rPr>
          <w:rFonts w:cs="Times New Roman"/>
          <w:noProof/>
        </w:rPr>
      </w:pPr>
      <w:r>
        <w:rPr>
          <w:noProof/>
        </w:rPr>
        <w:t>(1) Donošenje i stupanje na snagu konsolidiranih zakona o integritetu (do 31. prosinca 2024.).</w:t>
      </w:r>
    </w:p>
    <w:p w14:paraId="5E5C88B5" w14:textId="77777777" w:rsidR="003F46B9" w:rsidRDefault="0065662E">
      <w:pPr>
        <w:pStyle w:val="P68B1DB1-Normal5"/>
        <w:spacing w:before="120" w:after="120" w:line="240" w:lineRule="auto"/>
        <w:jc w:val="both"/>
        <w:rPr>
          <w:rFonts w:cs="Times New Roman"/>
          <w:noProof/>
        </w:rPr>
      </w:pPr>
      <w:r>
        <w:rPr>
          <w:noProof/>
        </w:rPr>
        <w:t xml:space="preserve">(2) Preispitivanje etičkog </w:t>
      </w:r>
      <w:r>
        <w:rPr>
          <w:noProof/>
        </w:rPr>
        <w:t>kodeksa i kodeksa ponašanja za vladu, uz postojeće kodekse za državnu službu, te donošenje i provedba izvršnih mjera (do 31. prosinca 2024.).</w:t>
      </w:r>
    </w:p>
    <w:p w14:paraId="1EF57C58"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8. Reforma nacionalnog sustava javne nabave </w:t>
      </w:r>
    </w:p>
    <w:p w14:paraId="4AB007B9" w14:textId="77777777" w:rsidR="003F46B9" w:rsidRDefault="0065662E">
      <w:pPr>
        <w:pStyle w:val="P68B1DB1-Normal5"/>
        <w:spacing w:before="120" w:after="120" w:line="240" w:lineRule="auto"/>
        <w:jc w:val="both"/>
        <w:rPr>
          <w:rFonts w:cs="Times New Roman"/>
          <w:noProof/>
        </w:rPr>
      </w:pPr>
      <w:r>
        <w:rPr>
          <w:noProof/>
        </w:rPr>
        <w:t>Cilj je te reforme poboljšati učinkovitost sustava javne naba</w:t>
      </w:r>
      <w:r>
        <w:rPr>
          <w:noProof/>
        </w:rPr>
        <w:t xml:space="preserve">ve i osigurati potpunu i održivu provedbu nacionalne strategije javne nabave, kako je potvrđeno Odlukom Vlade br. 901/2015. </w:t>
      </w:r>
    </w:p>
    <w:p w14:paraId="5E25102F" w14:textId="77777777" w:rsidR="003F46B9" w:rsidRDefault="0065662E">
      <w:pPr>
        <w:pStyle w:val="P68B1DB1-Normal5"/>
        <w:spacing w:before="120" w:after="120" w:line="240" w:lineRule="auto"/>
        <w:jc w:val="both"/>
        <w:rPr>
          <w:rFonts w:cs="Times New Roman"/>
          <w:noProof/>
        </w:rPr>
      </w:pPr>
      <w:r>
        <w:rPr>
          <w:noProof/>
        </w:rPr>
        <w:t xml:space="preserve">U okviru ove reforme provode se sljedeće mjere: </w:t>
      </w:r>
    </w:p>
    <w:p w14:paraId="4EEABBF5"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(1) </w:t>
      </w:r>
      <w:r>
        <w:rPr>
          <w:noProof/>
        </w:rPr>
        <w:tab/>
      </w:r>
      <w:r>
        <w:rPr>
          <w:rFonts w:ascii="Times New Roman" w:hAnsi="Times New Roman"/>
          <w:noProof/>
          <w:sz w:val="24"/>
        </w:rPr>
        <w:t>Donošenje i stupanje na snagu izmjene nacionalnog zakonodavstva o pravnim lij</w:t>
      </w:r>
      <w:r>
        <w:rPr>
          <w:rFonts w:ascii="Times New Roman" w:hAnsi="Times New Roman"/>
          <w:noProof/>
          <w:sz w:val="24"/>
        </w:rPr>
        <w:t xml:space="preserve">ekovima (Zakon br. 101/2016) kako bi se pojednostavnio postupak dodjele (do 31. ožujka 2022.). </w:t>
      </w:r>
    </w:p>
    <w:p w14:paraId="1E397A87"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(2) </w:t>
      </w:r>
      <w:r>
        <w:rPr>
          <w:noProof/>
        </w:rPr>
        <w:tab/>
      </w:r>
      <w:r>
        <w:rPr>
          <w:rFonts w:ascii="Times New Roman" w:hAnsi="Times New Roman"/>
          <w:noProof/>
          <w:sz w:val="24"/>
        </w:rPr>
        <w:t>Donošenje i stupanje na snagu ažurirane nacionalne strategije za javnu nabavu, uključujući horizontalne mjere za potporu provedbi nacionalnog plana za opor</w:t>
      </w:r>
      <w:r>
        <w:rPr>
          <w:rFonts w:ascii="Times New Roman" w:hAnsi="Times New Roman"/>
          <w:noProof/>
          <w:sz w:val="24"/>
        </w:rPr>
        <w:t xml:space="preserve">avak i otpornost (do 30. lipnja 2023.). </w:t>
      </w:r>
    </w:p>
    <w:p w14:paraId="1E1E3C53"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(3) </w:t>
      </w:r>
      <w:r>
        <w:rPr>
          <w:noProof/>
        </w:rPr>
        <w:tab/>
      </w:r>
      <w:r>
        <w:rPr>
          <w:rFonts w:ascii="Times New Roman" w:hAnsi="Times New Roman"/>
          <w:noProof/>
          <w:sz w:val="24"/>
        </w:rPr>
        <w:t xml:space="preserve">Operacionalizacija centraliziranih tijela za javnu nabavu za lokalna tijela (do 31. prosinca 2025.). </w:t>
      </w:r>
    </w:p>
    <w:p w14:paraId="08FD073C"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(4) </w:t>
      </w:r>
      <w:r>
        <w:rPr>
          <w:noProof/>
        </w:rPr>
        <w:tab/>
      </w:r>
      <w:r>
        <w:rPr>
          <w:rFonts w:ascii="Times New Roman" w:hAnsi="Times New Roman"/>
          <w:noProof/>
          <w:sz w:val="24"/>
        </w:rPr>
        <w:t>Specijalizirano osposobljavanje u području javne nabave za najmanje 350 osoba (javnih službenika i ugov</w:t>
      </w:r>
      <w:r>
        <w:rPr>
          <w:rFonts w:ascii="Times New Roman" w:hAnsi="Times New Roman"/>
          <w:noProof/>
          <w:sz w:val="24"/>
        </w:rPr>
        <w:t xml:space="preserve">ornog osoblja) (do 31. prosinca 2023.). </w:t>
      </w:r>
    </w:p>
    <w:p w14:paraId="6E0B3C6C"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(5) </w:t>
      </w:r>
      <w:r>
        <w:rPr>
          <w:noProof/>
        </w:rPr>
        <w:tab/>
      </w:r>
      <w:r>
        <w:rPr>
          <w:rFonts w:ascii="Times New Roman" w:hAnsi="Times New Roman"/>
          <w:noProof/>
          <w:sz w:val="24"/>
        </w:rPr>
        <w:t xml:space="preserve">Međupovezanost i interoperabilnost s drugim bazama podataka elektroničkog sustava javne nabave (SEAP) (do 31. prosinca 2023.). </w:t>
      </w:r>
    </w:p>
    <w:p w14:paraId="4019DAD8" w14:textId="77777777" w:rsidR="003F46B9" w:rsidRDefault="0065662E">
      <w:pPr>
        <w:spacing w:before="120" w:after="120" w:line="240" w:lineRule="auto"/>
        <w:ind w:left="720" w:hanging="720"/>
        <w:jc w:val="both"/>
        <w:rPr>
          <w:rFonts w:ascii="Times New Roman" w:hAnsi="Times New Roman" w:cs="Times New Roman"/>
          <w:noProof/>
          <w:sz w:val="24"/>
        </w:rPr>
      </w:pPr>
      <w:r>
        <w:rPr>
          <w:rFonts w:ascii="Times New Roman" w:hAnsi="Times New Roman"/>
          <w:noProof/>
          <w:sz w:val="24"/>
        </w:rPr>
        <w:t xml:space="preserve">(6) </w:t>
      </w:r>
      <w:r>
        <w:rPr>
          <w:noProof/>
        </w:rPr>
        <w:tab/>
      </w:r>
      <w:r>
        <w:rPr>
          <w:rFonts w:ascii="Times New Roman" w:hAnsi="Times New Roman"/>
          <w:noProof/>
          <w:sz w:val="24"/>
        </w:rPr>
        <w:t xml:space="preserve">Operacionalizacija sustava e-nabave, uključujući e-obrasce, automatizirana procjena kvalifikacija, e-katalozi, e-fakturiranje, e-plaćanje (do 31. ožujka 2025.). </w:t>
      </w:r>
    </w:p>
    <w:p w14:paraId="3AED619E" w14:textId="77777777" w:rsidR="003F46B9" w:rsidRDefault="0065662E">
      <w:pPr>
        <w:pStyle w:val="P68B1DB1-Standard6"/>
        <w:spacing w:before="240"/>
        <w:jc w:val="both"/>
        <w:rPr>
          <w:rFonts w:ascii="Times New Roman" w:eastAsiaTheme="majorEastAsia" w:hAnsi="Times New Roman" w:cs="Times New Roman"/>
          <w:noProof/>
        </w:rPr>
      </w:pPr>
      <w:r>
        <w:rPr>
          <w:noProof/>
        </w:rPr>
        <w:t>Reforma 9.: Poboljšati postupovni okvir za provedbu načela korporativnog upravljanja u poduzeć</w:t>
      </w:r>
      <w:r>
        <w:rPr>
          <w:noProof/>
        </w:rPr>
        <w:t>ima u državnom vlasništvu</w:t>
      </w:r>
    </w:p>
    <w:p w14:paraId="3FC6B960" w14:textId="77777777" w:rsidR="003F46B9" w:rsidRDefault="0065662E">
      <w:pPr>
        <w:pStyle w:val="P68B1DB1-Normal5"/>
        <w:spacing w:before="120" w:after="120" w:line="240" w:lineRule="auto"/>
        <w:jc w:val="both"/>
        <w:rPr>
          <w:rFonts w:cs="Times New Roman"/>
          <w:noProof/>
        </w:rPr>
      </w:pPr>
      <w:r>
        <w:rPr>
          <w:noProof/>
        </w:rPr>
        <w:t>Cilj je te reforme poboljšati korporativno upravljanje svim poduzećima u državnom vlasništvu u Rumunjskoj provedbom standarda OECD-a.</w:t>
      </w:r>
      <w:r>
        <w:rPr>
          <w:noProof/>
          <w:u w:val="single"/>
        </w:rPr>
        <w:t xml:space="preserve"> </w:t>
      </w:r>
    </w:p>
    <w:p w14:paraId="45C25C96" w14:textId="77777777" w:rsidR="003F46B9" w:rsidRDefault="0065662E">
      <w:pPr>
        <w:pStyle w:val="P68B1DB1-Normal5"/>
        <w:spacing w:before="120" w:after="120" w:line="240" w:lineRule="auto"/>
        <w:jc w:val="both"/>
        <w:rPr>
          <w:rFonts w:cs="Times New Roman"/>
          <w:noProof/>
        </w:rPr>
      </w:pPr>
      <w:r>
        <w:rPr>
          <w:noProof/>
        </w:rPr>
        <w:t>Reforma se provodi stupanjem na snagu izmjena Zakona 111/2016 kojima se uklanjaju sve iznimke u</w:t>
      </w:r>
      <w:r>
        <w:rPr>
          <w:noProof/>
        </w:rPr>
        <w:t xml:space="preserve"> pogledu usklađenosti sa standardima korporativnog upravljanja, uključujući za poduzeća u državnom vlasništvu na lokalnoj razini. Tim se izmjenama provodi odvajanje regulatornih i vlasničkih funkcija, uklanjaju sve izravne ili neizravne prednosti koje bi m</w:t>
      </w:r>
      <w:r>
        <w:rPr>
          <w:noProof/>
        </w:rPr>
        <w:t xml:space="preserve">ogle proizaći iz državnog vlasništva, bilo da je riječ o tržišnim pravilima/propisima, financiranju, oporezivanju ili javnoj nabavi, te se osigurava da sva poduzeća u državnom vlasništvu ostvaruju profitabilnost. </w:t>
      </w:r>
    </w:p>
    <w:p w14:paraId="4C66AF9F" w14:textId="77777777" w:rsidR="003F46B9" w:rsidRDefault="0065662E">
      <w:pPr>
        <w:pStyle w:val="P68B1DB1-Normal5"/>
        <w:spacing w:before="120" w:after="120" w:line="240" w:lineRule="auto"/>
        <w:jc w:val="both"/>
        <w:rPr>
          <w:rFonts w:cs="Times New Roman"/>
          <w:noProof/>
        </w:rPr>
      </w:pPr>
      <w:r>
        <w:rPr>
          <w:noProof/>
        </w:rPr>
        <w:t>Reformom se također osniva i operacionaliz</w:t>
      </w:r>
      <w:r>
        <w:rPr>
          <w:noProof/>
        </w:rPr>
        <w:t>ira radna skupina u Centru Vlade kako bi se osiguralo praćenje primjene standarda korporativnog upravljanja, pri čemu je krajnja odgovornost osigurati transparentan i natjecateljski postupak odabira za odobravanje imenovanja članova upravnog odbora, promat</w:t>
      </w:r>
      <w:r>
        <w:rPr>
          <w:noProof/>
        </w:rPr>
        <w:t>rača te evaluacije i kontrole. Radna skupina objavljuje redovito izvješćivanje o pokazateljima uspješnosti i provodi sankcije za poduzeća u državnom vlasništvu koja nisu usklađena s ključnim pokazateljima uspješnosti. Izrađuje se kontrolna ploča za praćenj</w:t>
      </w:r>
      <w:r>
        <w:rPr>
          <w:noProof/>
        </w:rPr>
        <w:t>e s financijskim i nefinancijskim ciljevima i pokazateljima uspješnosti za sve kategorije javnih poduzeća (uključujući ključne sektore kao što su promet, energetika, javne komunalne usluge), koja se svake godine objavljuje i upotrebljava na središnjoj razi</w:t>
      </w:r>
      <w:r>
        <w:rPr>
          <w:noProof/>
        </w:rPr>
        <w:t xml:space="preserve">ni za izvješćivanje i praćenje napretka u postizanju rezultata za sve kategorije poduzeća u državnom vlasništvu. </w:t>
      </w:r>
    </w:p>
    <w:p w14:paraId="1A6C4B65" w14:textId="77777777" w:rsidR="003F46B9" w:rsidRDefault="0065662E">
      <w:pPr>
        <w:pStyle w:val="P68B1DB1-Normal5"/>
        <w:spacing w:after="240"/>
        <w:jc w:val="both"/>
        <w:rPr>
          <w:rFonts w:cs="Times New Roman"/>
          <w:noProof/>
          <w:u w:val="single"/>
        </w:rPr>
      </w:pPr>
      <w:r>
        <w:rPr>
          <w:noProof/>
        </w:rPr>
        <w:t>U skladu s člankom 7. stavkom 2. Uredbe o oporavku i otpornosti Rumunjska je zatražila tehničku potporu u okviru instrumenta za tehničku pomoć</w:t>
      </w:r>
      <w:r>
        <w:rPr>
          <w:noProof/>
        </w:rPr>
        <w:t xml:space="preserve"> za provedbu reforme za poboljšanje okvira za korporativno upravljanje u poduzećima u državnom vlasništvu. Potrebna je tehnička pomoć kako bi se izmijenilo relevantno zakonodavstvo (Zakon br. 111/2016 i Odluka Vlade br. 722/2016) i politika države u pogled</w:t>
      </w:r>
      <w:r>
        <w:rPr>
          <w:noProof/>
        </w:rPr>
        <w:t>u dioničara (uključujući savjetovanje sa svim zainteresiranim stranama) te kako bi se stvorio odgovarajući institucionalni okvir kako bi se funkcija državnih dioničara centralizirala u okviru jedne strukture/institucije. Tehnička pomoć potrebna je i za raz</w:t>
      </w:r>
      <w:r>
        <w:rPr>
          <w:noProof/>
        </w:rPr>
        <w:t>voj institucionalnih kapaciteta u području upravljanja poduzećima u državnom vlasništvu (povećanje stručnosti odjela korporativnog upravljanja u ministarstvima koja upravljaju poduzećima u državnom vlasništvu) i kapaciteta za koordinaciju i praćenje nove r</w:t>
      </w:r>
      <w:r>
        <w:rPr>
          <w:noProof/>
        </w:rPr>
        <w:t xml:space="preserve">adne skupine osnovane u središtu vlade. </w:t>
      </w:r>
    </w:p>
    <w:p w14:paraId="479512FE"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 Ažurirano zakonodavstvo za poduzeća u državnom vlasništvu (uključujući poduzeća na lokalnoj razini) stupa na snagu do 31. prosinca 2022. Stalna radna skupina k</w:t>
      </w:r>
      <w:r>
        <w:rPr>
          <w:noProof/>
        </w:rPr>
        <w:t>oja osigurava praćenje i provedbu primjene standarda korporativnog upravljanja bit će operativna do 31. prosinca 2022. Kontrolna ploča za praćenje mora biti operativna do 30. lipnja 2023.</w:t>
      </w:r>
    </w:p>
    <w:p w14:paraId="3D06880B"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Optimizacija pravosudne infrastrukture kako bi se zajamči</w:t>
      </w:r>
      <w:r>
        <w:rPr>
          <w:noProof/>
        </w:rPr>
        <w:t>o pristup pravosuđu i kvaliteta usluga</w:t>
      </w:r>
    </w:p>
    <w:p w14:paraId="3E9DEBCF" w14:textId="77777777" w:rsidR="003F46B9" w:rsidRDefault="0065662E">
      <w:pPr>
        <w:pStyle w:val="P68B1DB1-Normal5"/>
        <w:spacing w:before="120" w:after="120"/>
        <w:jc w:val="both"/>
        <w:rPr>
          <w:rFonts w:cs="Times New Roman"/>
          <w:noProof/>
        </w:rPr>
      </w:pPr>
      <w:r>
        <w:rPr>
          <w:noProof/>
        </w:rPr>
        <w:t xml:space="preserve">Cilj je tog ulaganja poboljšati učinkovitost pravosudnog sustava i pristup pravosuđu. </w:t>
      </w:r>
    </w:p>
    <w:p w14:paraId="4B6C278F" w14:textId="77777777" w:rsidR="003F46B9" w:rsidRDefault="0065662E">
      <w:pPr>
        <w:pStyle w:val="P68B1DB1-Normal5"/>
        <w:spacing w:before="120" w:after="120" w:line="240" w:lineRule="auto"/>
        <w:jc w:val="both"/>
        <w:rPr>
          <w:rFonts w:cs="Times New Roman"/>
          <w:noProof/>
        </w:rPr>
      </w:pPr>
      <w:r>
        <w:rPr>
          <w:noProof/>
        </w:rPr>
        <w:t xml:space="preserve">To se postiže izgradnjom tri nove zgrade suda, koja mora biti u skladu s ciljem postizanja potražnje za primarnom energijom (PED) </w:t>
      </w:r>
      <w:r>
        <w:rPr>
          <w:noProof/>
        </w:rPr>
        <w:t>koja je najmanje 20 % niža od zahtjeva za zgradu gotovo nulte energije (NZEB) u skladu s nacionalnim smjernicama, što se osigurava energetskim certifikatima. Pristup zgradama prilagođava se osobama s invaliditetom, a ta prilagodba mora biti popraćena uskla</w:t>
      </w:r>
      <w:r>
        <w:rPr>
          <w:noProof/>
        </w:rPr>
        <w:t xml:space="preserve">đenošću sa standardima zaštite od požara i tehničkim standardima zaštite, uključujući otpornost na potrese. Prednost se daje lokacijama pravosudnih tijela u gospodarski slabije razvijenim dijelovima Rumunjske. </w:t>
      </w:r>
    </w:p>
    <w:p w14:paraId="0F367E1B" w14:textId="77777777" w:rsidR="003F46B9" w:rsidRDefault="0065662E">
      <w:pPr>
        <w:pStyle w:val="P68B1DB1-Normal5"/>
        <w:spacing w:before="120" w:after="240"/>
        <w:jc w:val="both"/>
        <w:rPr>
          <w:rFonts w:cs="Times New Roman"/>
          <w:noProof/>
        </w:rPr>
      </w:pPr>
      <w:r>
        <w:rPr>
          <w:noProof/>
        </w:rPr>
        <w:t>Provedba ulaganja mora biti dovršena do 30. l</w:t>
      </w:r>
      <w:r>
        <w:rPr>
          <w:noProof/>
        </w:rPr>
        <w:t xml:space="preserve">ipnja 2026. </w:t>
      </w:r>
    </w:p>
    <w:p w14:paraId="38908D8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2 Razvoj logističke (ne IT) infrastrukture potrebne za borbu protiv korupcije i povrat imovinske koristi i štete ostvarene kaznenim djelom, uključujući osposobljavanje u tim područjima</w:t>
      </w:r>
    </w:p>
    <w:p w14:paraId="1C9244F8" w14:textId="77777777" w:rsidR="003F46B9" w:rsidRDefault="0065662E">
      <w:pPr>
        <w:pStyle w:val="P68B1DB1-Normal5"/>
        <w:spacing w:before="120" w:after="120" w:line="240" w:lineRule="auto"/>
        <w:jc w:val="both"/>
        <w:rPr>
          <w:rFonts w:cs="Times New Roman"/>
          <w:noProof/>
        </w:rPr>
      </w:pPr>
      <w:r>
        <w:rPr>
          <w:noProof/>
        </w:rPr>
        <w:t>Cilj je ovog ulaganja proširiti skladišni kapacit</w:t>
      </w:r>
      <w:r>
        <w:rPr>
          <w:noProof/>
        </w:rPr>
        <w:t>et ANABI-ja izgradnjom/razvojem najmanje tri nova skladišta za skladištenje zaplijenjene imovine koja su u skladu s ciljem postizanja potražnje za primarnom energijom (PED) koja su najmanje 20 % niža od zahtjeva za zgradu gotovo nulte energije (NZEB) u skl</w:t>
      </w:r>
      <w:r>
        <w:rPr>
          <w:noProof/>
        </w:rPr>
        <w:t xml:space="preserve">adu s nacionalnim smjernicama, što se osigurava energetskim certifikatima. </w:t>
      </w:r>
    </w:p>
    <w:p w14:paraId="326C982A"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rujna 2025. </w:t>
      </w:r>
    </w:p>
    <w:p w14:paraId="0B165455"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3 Stvaranje struktura lokalnih partnerstava između lokalnih vlasti i civilnog društva</w:t>
      </w:r>
    </w:p>
    <w:p w14:paraId="72AE08E2" w14:textId="77777777" w:rsidR="003F46B9" w:rsidRDefault="0065662E">
      <w:pPr>
        <w:pStyle w:val="P68B1DB1-Normal5"/>
        <w:spacing w:before="120" w:after="120" w:line="240" w:lineRule="auto"/>
        <w:jc w:val="both"/>
        <w:rPr>
          <w:rFonts w:cs="Times New Roman"/>
          <w:noProof/>
        </w:rPr>
      </w:pPr>
      <w:r>
        <w:rPr>
          <w:noProof/>
        </w:rPr>
        <w:t xml:space="preserve">Cilj je ulaganja poboljšati </w:t>
      </w:r>
      <w:r>
        <w:rPr>
          <w:noProof/>
        </w:rPr>
        <w:t>stabilnost, predvidljivost i potporu partnerstvu u oblikovanju javnih politika, s jedne strane, potaknuti stalna radna partnerstva između javne uprave i civilnog društva, a s druge strane poboljšati sudjelovanje građana i njihovo aktivno sudjelovanje u pos</w:t>
      </w:r>
      <w:r>
        <w:rPr>
          <w:noProof/>
        </w:rPr>
        <w:t>tupku donošenja odluka uz istodobno povećanje digitalizacije sektora nevladinih organizacija kao preduvjeta za poboljšanje kvalitete i predvidljivosti donošenja odluka s pozitivnim učinkom na kvalitetu javnih usluga koje se nude građanima i poduzećima.</w:t>
      </w:r>
    </w:p>
    <w:p w14:paraId="1997B54C" w14:textId="77777777" w:rsidR="003F46B9" w:rsidRDefault="0065662E">
      <w:pPr>
        <w:pStyle w:val="P68B1DB1-Normal5"/>
        <w:spacing w:before="120" w:after="120" w:line="240" w:lineRule="auto"/>
        <w:jc w:val="both"/>
        <w:rPr>
          <w:rFonts w:cs="Times New Roman"/>
          <w:noProof/>
        </w:rPr>
      </w:pPr>
      <w:r>
        <w:rPr>
          <w:noProof/>
        </w:rPr>
        <w:t>Kao</w:t>
      </w:r>
      <w:r>
        <w:rPr>
          <w:noProof/>
        </w:rPr>
        <w:t xml:space="preserve"> rezultat toga, uspostavlja se najmanje 50 partnerstava između tijela lokalne javne uprave i nevladinih organizacija te se provodi najmanje 15 funkcionalnih suradničkih inicijativa nevladinih sektora.</w:t>
      </w:r>
    </w:p>
    <w:p w14:paraId="6C12ED5D" w14:textId="77777777" w:rsidR="003F46B9" w:rsidRDefault="0065662E">
      <w:pPr>
        <w:pStyle w:val="P68B1DB1-Normal5"/>
        <w:spacing w:before="120" w:after="120" w:line="240" w:lineRule="auto"/>
        <w:jc w:val="both"/>
        <w:rPr>
          <w:rFonts w:cs="Times New Roman"/>
          <w:noProof/>
        </w:rPr>
      </w:pPr>
      <w:r>
        <w:rPr>
          <w:noProof/>
        </w:rPr>
        <w:t>Provedba ulaganja mora biti dovršena do 31. ožujka 2026</w:t>
      </w:r>
      <w:r>
        <w:rPr>
          <w:noProof/>
        </w:rPr>
        <w:t>.</w:t>
      </w:r>
    </w:p>
    <w:p w14:paraId="2D28F0F0"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4. Povećanje kapaciteta </w:t>
      </w:r>
      <w:r>
        <w:rPr>
          <w:rFonts w:ascii="Times New Roman" w:hAnsi="Times New Roman"/>
          <w:noProof/>
        </w:rPr>
        <w:t>organizacija civilnog društva za poticanje aktivnog građanstva, za profesionalno sudjelovanje u planiranju i provedbi javnih politika o socijalnim pravima obuhvaćenih nacionalnim planom za oporavak i otpornost te za praće</w:t>
      </w:r>
      <w:r>
        <w:rPr>
          <w:rFonts w:ascii="Times New Roman" w:hAnsi="Times New Roman"/>
          <w:noProof/>
        </w:rPr>
        <w:t>nje povezanih reformi</w:t>
      </w:r>
    </w:p>
    <w:p w14:paraId="16AFED40" w14:textId="77777777" w:rsidR="003F46B9" w:rsidRDefault="0065662E">
      <w:pPr>
        <w:pStyle w:val="P68B1DB1-Normal5"/>
        <w:spacing w:before="120" w:after="120" w:line="240" w:lineRule="auto"/>
        <w:jc w:val="both"/>
        <w:rPr>
          <w:rFonts w:cs="Times New Roman"/>
          <w:noProof/>
        </w:rPr>
      </w:pPr>
      <w:r>
        <w:rPr>
          <w:noProof/>
        </w:rPr>
        <w:t xml:space="preserve">Povećati sposobnost organizacija civilnog društva da potiču aktivno građanstvo, da se profesionalno uključe u planiranje i provedbu javnih politika o socijalnim pravima obuhvaćenih NRDP-om te da prate povezane reforme. </w:t>
      </w:r>
    </w:p>
    <w:p w14:paraId="762D5D5B" w14:textId="77777777" w:rsidR="003F46B9" w:rsidRDefault="0065662E">
      <w:pPr>
        <w:pStyle w:val="P68B1DB1-Normal5"/>
        <w:spacing w:before="120" w:after="120" w:line="240" w:lineRule="auto"/>
        <w:jc w:val="both"/>
        <w:rPr>
          <w:rFonts w:cs="Times New Roman"/>
          <w:noProof/>
        </w:rPr>
      </w:pPr>
      <w:r>
        <w:rPr>
          <w:noProof/>
        </w:rPr>
        <w:t>Kao rezultat t</w:t>
      </w:r>
      <w:r>
        <w:rPr>
          <w:noProof/>
        </w:rPr>
        <w:t>og ulaganja uspostavlja se najmanje 15 funkcionalnih nevladinih sektorskih inicijativa za suradnju (mreže, koalicije, platforme, skupine organizacija, uključujući skupine za strateško promišljanje, analitičke i istraživačke strukture) kako bi se osigurao k</w:t>
      </w:r>
      <w:r>
        <w:rPr>
          <w:noProof/>
        </w:rPr>
        <w:t>ontinuitet u postupcima javnog savjetovanja, tj. praćenje provedbe najmanje 15 javnih politika/nacionalnih reformi u područjima sa socijalnom funkcijom.</w:t>
      </w:r>
    </w:p>
    <w:p w14:paraId="4563533C"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31. ožujka 2026. </w:t>
      </w:r>
    </w:p>
    <w:p w14:paraId="0E7D0349"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5. Praćenje i provedba plana </w:t>
      </w:r>
    </w:p>
    <w:p w14:paraId="6CF3BCDE" w14:textId="27739268" w:rsidR="003F46B9" w:rsidRDefault="0065662E">
      <w:pPr>
        <w:pStyle w:val="P68B1DB1-Normal5"/>
        <w:spacing w:before="120" w:after="120" w:line="240" w:lineRule="auto"/>
        <w:jc w:val="both"/>
        <w:rPr>
          <w:rFonts w:cs="Times New Roman"/>
          <w:noProof/>
        </w:rPr>
      </w:pPr>
      <w:r>
        <w:rPr>
          <w:noProof/>
        </w:rPr>
        <w:t xml:space="preserve">Cilj je tog ulaganja uspostaviti i operacionalizirati integrirani IT sustav, koji je dio državnog oblaka i povezan s drugim nacionalnim sustavima i sustavima EU-a koji se upotrebljavaju u svrhu provedbe plana za oporavak i otpornost. </w:t>
      </w:r>
    </w:p>
    <w:p w14:paraId="47AACF85" w14:textId="77777777" w:rsidR="003F46B9" w:rsidRDefault="0065662E">
      <w:pPr>
        <w:pStyle w:val="P68B1DB1-Normal5"/>
        <w:spacing w:before="120" w:after="120" w:line="240" w:lineRule="auto"/>
        <w:jc w:val="both"/>
        <w:rPr>
          <w:rFonts w:cs="Times New Roman"/>
          <w:noProof/>
        </w:rPr>
      </w:pPr>
      <w:r>
        <w:rPr>
          <w:noProof/>
        </w:rPr>
        <w:t xml:space="preserve">Ulaganje se sastoji </w:t>
      </w:r>
      <w:r>
        <w:rPr>
          <w:noProof/>
        </w:rPr>
        <w:t>od dvije faze:</w:t>
      </w:r>
    </w:p>
    <w:p w14:paraId="7EE803FE" w14:textId="77777777" w:rsidR="003F46B9" w:rsidRDefault="0065662E">
      <w:pPr>
        <w:pStyle w:val="P68B1DB1-Normal5"/>
        <w:numPr>
          <w:ilvl w:val="0"/>
          <w:numId w:val="99"/>
        </w:numPr>
        <w:spacing w:before="120" w:after="120" w:line="240" w:lineRule="auto"/>
        <w:jc w:val="both"/>
        <w:rPr>
          <w:rFonts w:cs="Times New Roman"/>
          <w:noProof/>
        </w:rPr>
      </w:pPr>
      <w:r>
        <w:rPr>
          <w:noProof/>
        </w:rPr>
        <w:t xml:space="preserve">u prvoj fazi sustav se razvija i omogućuje prikupljanje podataka za potrebe izvješćivanja (kako je predviđeno u tablicama pokazatelja Mehanizma za oporavak i otpornost), praćenje napretka u ostvarivanju ključnih etapa i ciljnih vrijednosti, </w:t>
      </w:r>
      <w:r>
        <w:rPr>
          <w:noProof/>
        </w:rPr>
        <w:t>priprema izjava o upravljanju, sažetka revizije i zahtjeva za plaćanje, obavješćivanje o zahtjevima za dionike, praćenje komplementarnosti s drugim izvorima financiranja, provođenje ex ante evaluacije kako bi se izbjegao rizik od dvostrukog financiranja, o</w:t>
      </w:r>
      <w:r>
        <w:rPr>
          <w:noProof/>
        </w:rPr>
        <w:t>siguravanje ex ante i ex post provjere postupaka javne nabave koje provode korisnici nacionalnog plana za oporavak i otpornost te osiguravanje pravodobnog otkrivanja i ispravljanja nepravilnosti, prijevara i sukoba interesa.</w:t>
      </w:r>
    </w:p>
    <w:p w14:paraId="25EE2FF2" w14:textId="77777777" w:rsidR="003F46B9" w:rsidRDefault="0065662E">
      <w:pPr>
        <w:pStyle w:val="P68B1DB1-Normal5"/>
        <w:numPr>
          <w:ilvl w:val="0"/>
          <w:numId w:val="99"/>
        </w:numPr>
        <w:spacing w:before="120" w:after="120" w:line="240" w:lineRule="auto"/>
        <w:jc w:val="both"/>
        <w:rPr>
          <w:rFonts w:cs="Times New Roman"/>
          <w:noProof/>
        </w:rPr>
      </w:pPr>
      <w:r>
        <w:rPr>
          <w:noProof/>
        </w:rPr>
        <w:t>u drugoj fazi priprema se i ope</w:t>
      </w:r>
      <w:r>
        <w:rPr>
          <w:noProof/>
        </w:rPr>
        <w:t>racionalizira međusobna povezanost s drugim sustavima upravljanja i kontrole europskih fondova i iz nacionalnog proračuna te integracija s državnim oblakom.</w:t>
      </w:r>
    </w:p>
    <w:p w14:paraId="3DB21661" w14:textId="134A5D68" w:rsidR="003F46B9" w:rsidRDefault="0065662E">
      <w:pPr>
        <w:pStyle w:val="P68B1DB1-Normal5"/>
        <w:spacing w:before="120" w:after="120" w:line="240" w:lineRule="auto"/>
        <w:jc w:val="both"/>
        <w:rPr>
          <w:rFonts w:cs="Times New Roman"/>
          <w:noProof/>
        </w:rPr>
      </w:pPr>
      <w:r>
        <w:rPr>
          <w:noProof/>
        </w:rPr>
        <w:t>Provedba ulaganja mora biti dovršena do 31. prosinca 2021. prije podnošenja prvog zahtjeva za plaća</w:t>
      </w:r>
      <w:r>
        <w:rPr>
          <w:noProof/>
        </w:rPr>
        <w:t>nje Europskoj komisiji.</w:t>
      </w:r>
    </w:p>
    <w:p w14:paraId="74115B4E" w14:textId="77777777" w:rsidR="003F46B9" w:rsidRDefault="003F46B9">
      <w:pPr>
        <w:spacing w:before="120" w:after="120" w:line="240" w:lineRule="auto"/>
        <w:jc w:val="both"/>
        <w:rPr>
          <w:rFonts w:ascii="Times New Roman" w:hAnsi="Times New Roman" w:cs="Times New Roman"/>
          <w:noProof/>
          <w:sz w:val="24"/>
        </w:rPr>
        <w:sectPr w:rsidR="003F46B9" w:rsidSect="00ED6412">
          <w:headerReference w:type="even" r:id="rId289"/>
          <w:headerReference w:type="default" r:id="rId290"/>
          <w:footerReference w:type="even" r:id="rId291"/>
          <w:footerReference w:type="default" r:id="rId292"/>
          <w:headerReference w:type="first" r:id="rId293"/>
          <w:footerReference w:type="first" r:id="rId294"/>
          <w:pgSz w:w="11906" w:h="16838"/>
          <w:pgMar w:top="1440" w:right="1440" w:bottom="1440" w:left="1440" w:header="708" w:footer="708" w:gutter="0"/>
          <w:cols w:space="708"/>
          <w:docGrid w:linePitch="360"/>
        </w:sectPr>
      </w:pPr>
    </w:p>
    <w:p w14:paraId="58E8B7E5"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N.2. </w:t>
      </w:r>
      <w:r>
        <w:rPr>
          <w:noProof/>
        </w:rPr>
        <w:tab/>
      </w:r>
      <w:r>
        <w:rPr>
          <w:rFonts w:ascii="Times New Roman" w:hAnsi="Times New Roman"/>
          <w:b/>
          <w:noProof/>
          <w:sz w:val="24"/>
        </w:rPr>
        <w:t>Ključne etape, ciljne vrijednosti i vremenski raspored za praćenje i provedbu programa bespovratne financijske potpore</w:t>
      </w:r>
    </w:p>
    <w:tbl>
      <w:tblPr>
        <w:tblpPr w:leftFromText="180" w:rightFromText="180" w:vertAnchor="text" w:tblpXSpec="center"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391"/>
        <w:gridCol w:w="1226"/>
        <w:gridCol w:w="1495"/>
        <w:gridCol w:w="1547"/>
        <w:gridCol w:w="1344"/>
        <w:gridCol w:w="1109"/>
        <w:gridCol w:w="872"/>
        <w:gridCol w:w="1082"/>
        <w:gridCol w:w="820"/>
        <w:gridCol w:w="3168"/>
      </w:tblGrid>
      <w:tr w:rsidR="003F46B9" w14:paraId="3AA8F610" w14:textId="77777777">
        <w:trPr>
          <w:trHeight w:val="445"/>
          <w:tblHeader/>
        </w:trPr>
        <w:tc>
          <w:tcPr>
            <w:tcW w:w="822" w:type="dxa"/>
            <w:vMerge w:val="restart"/>
            <w:shd w:val="clear" w:color="auto" w:fill="BDD7EE"/>
            <w:vAlign w:val="center"/>
            <w:hideMark/>
          </w:tcPr>
          <w:p w14:paraId="72E3B011" w14:textId="77777777" w:rsidR="003F46B9" w:rsidRDefault="0065662E">
            <w:pPr>
              <w:pStyle w:val="P68B1DB1-Normal1"/>
              <w:spacing w:after="0" w:line="240" w:lineRule="auto"/>
              <w:jc w:val="center"/>
              <w:rPr>
                <w:rFonts w:eastAsia="Times New Roman" w:cs="Times New Roman"/>
                <w:noProof/>
              </w:rPr>
            </w:pPr>
            <w:r>
              <w:rPr>
                <w:noProof/>
              </w:rPr>
              <w:t>Sljedeće Br.</w:t>
            </w:r>
          </w:p>
        </w:tc>
        <w:tc>
          <w:tcPr>
            <w:tcW w:w="2391" w:type="dxa"/>
            <w:vMerge w:val="restart"/>
            <w:shd w:val="clear" w:color="auto" w:fill="BDD7EE"/>
            <w:vAlign w:val="center"/>
            <w:hideMark/>
          </w:tcPr>
          <w:p w14:paraId="23E68140"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226" w:type="dxa"/>
            <w:vMerge w:val="restart"/>
            <w:shd w:val="clear" w:color="auto" w:fill="BDD7EE"/>
            <w:vAlign w:val="center"/>
            <w:hideMark/>
          </w:tcPr>
          <w:p w14:paraId="5CF93E81"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495" w:type="dxa"/>
            <w:vMerge w:val="restart"/>
            <w:shd w:val="clear" w:color="auto" w:fill="BDD7EE"/>
            <w:vAlign w:val="center"/>
            <w:hideMark/>
          </w:tcPr>
          <w:p w14:paraId="60DFB4ED" w14:textId="77777777" w:rsidR="003F46B9" w:rsidRDefault="0065662E">
            <w:pPr>
              <w:pStyle w:val="P68B1DB1-Normal1"/>
              <w:spacing w:after="0" w:line="240" w:lineRule="auto"/>
              <w:jc w:val="center"/>
              <w:rPr>
                <w:rFonts w:eastAsia="Times New Roman" w:cs="Times New Roman"/>
                <w:noProof/>
              </w:rPr>
            </w:pPr>
            <w:r>
              <w:rPr>
                <w:noProof/>
              </w:rPr>
              <w:t>Ime</w:t>
            </w:r>
          </w:p>
        </w:tc>
        <w:tc>
          <w:tcPr>
            <w:tcW w:w="1547" w:type="dxa"/>
            <w:vMerge w:val="restart"/>
            <w:shd w:val="clear" w:color="auto" w:fill="BDD7EE"/>
            <w:vAlign w:val="center"/>
            <w:hideMark/>
          </w:tcPr>
          <w:p w14:paraId="012CCEAE" w14:textId="77777777" w:rsidR="003F46B9" w:rsidRDefault="0065662E">
            <w:pPr>
              <w:pStyle w:val="P68B1DB1-Normal1"/>
              <w:spacing w:after="0" w:line="240" w:lineRule="auto"/>
              <w:jc w:val="center"/>
              <w:rPr>
                <w:rFonts w:eastAsia="Times New Roman" w:cs="Times New Roman"/>
                <w:noProof/>
              </w:rPr>
            </w:pPr>
            <w:r>
              <w:rPr>
                <w:noProof/>
              </w:rPr>
              <w:t xml:space="preserve">Kvalitativna </w:t>
            </w:r>
          </w:p>
          <w:p w14:paraId="2F018FE0"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3325" w:type="dxa"/>
            <w:gridSpan w:val="3"/>
            <w:shd w:val="clear" w:color="auto" w:fill="BDD7EE"/>
            <w:vAlign w:val="center"/>
            <w:hideMark/>
          </w:tcPr>
          <w:p w14:paraId="69F953B9" w14:textId="77777777" w:rsidR="003F46B9" w:rsidRDefault="0065662E">
            <w:pPr>
              <w:pStyle w:val="P68B1DB1-Normal1"/>
              <w:spacing w:after="0" w:line="240" w:lineRule="auto"/>
              <w:jc w:val="center"/>
              <w:rPr>
                <w:rFonts w:eastAsia="Times New Roman" w:cs="Times New Roman"/>
                <w:noProof/>
              </w:rPr>
            </w:pPr>
            <w:r>
              <w:rPr>
                <w:noProof/>
              </w:rPr>
              <w:t xml:space="preserve">Kvantitativne </w:t>
            </w:r>
          </w:p>
          <w:p w14:paraId="1D0DD343" w14:textId="7FF85EBB"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1902" w:type="dxa"/>
            <w:gridSpan w:val="2"/>
            <w:shd w:val="clear" w:color="auto" w:fill="BDD7EE"/>
            <w:vAlign w:val="center"/>
            <w:hideMark/>
          </w:tcPr>
          <w:p w14:paraId="366E747A" w14:textId="77777777" w:rsidR="003F46B9" w:rsidRDefault="0065662E">
            <w:pPr>
              <w:pStyle w:val="P68B1DB1-Normal1"/>
              <w:spacing w:after="0" w:line="240" w:lineRule="auto"/>
              <w:jc w:val="center"/>
              <w:rPr>
                <w:rFonts w:eastAsia="Times New Roman" w:cs="Times New Roman"/>
                <w:noProof/>
              </w:rPr>
            </w:pPr>
            <w:r>
              <w:rPr>
                <w:noProof/>
              </w:rPr>
              <w:t xml:space="preserve">Okvirni vremenski raspored </w:t>
            </w:r>
          </w:p>
          <w:p w14:paraId="46773C92" w14:textId="77777777" w:rsidR="003F46B9" w:rsidRDefault="0065662E">
            <w:pPr>
              <w:pStyle w:val="P68B1DB1-Normal1"/>
              <w:spacing w:after="0" w:line="240" w:lineRule="auto"/>
              <w:jc w:val="center"/>
              <w:rPr>
                <w:rFonts w:eastAsia="Times New Roman" w:cs="Times New Roman"/>
                <w:noProof/>
              </w:rPr>
            </w:pPr>
            <w:r>
              <w:rPr>
                <w:noProof/>
              </w:rPr>
              <w:t xml:space="preserve">za završetak </w:t>
            </w:r>
          </w:p>
        </w:tc>
        <w:tc>
          <w:tcPr>
            <w:tcW w:w="3168" w:type="dxa"/>
            <w:vMerge w:val="restart"/>
            <w:shd w:val="clear" w:color="auto" w:fill="BDD7EE"/>
            <w:vAlign w:val="center"/>
            <w:hideMark/>
          </w:tcPr>
          <w:p w14:paraId="675B751E"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59B8B92D" w14:textId="77777777">
        <w:trPr>
          <w:trHeight w:val="315"/>
          <w:tblHeader/>
        </w:trPr>
        <w:tc>
          <w:tcPr>
            <w:tcW w:w="822" w:type="dxa"/>
            <w:vMerge/>
            <w:vAlign w:val="center"/>
          </w:tcPr>
          <w:p w14:paraId="7EF48871" w14:textId="77777777" w:rsidR="003F46B9" w:rsidRDefault="003F46B9">
            <w:pPr>
              <w:spacing w:after="0" w:line="240" w:lineRule="auto"/>
              <w:jc w:val="center"/>
              <w:rPr>
                <w:rFonts w:ascii="Times New Roman" w:eastAsia="Times New Roman" w:hAnsi="Times New Roman" w:cs="Times New Roman"/>
                <w:b/>
                <w:noProof/>
                <w:sz w:val="24"/>
              </w:rPr>
            </w:pPr>
          </w:p>
        </w:tc>
        <w:tc>
          <w:tcPr>
            <w:tcW w:w="2391" w:type="dxa"/>
            <w:vMerge/>
            <w:vAlign w:val="center"/>
          </w:tcPr>
          <w:p w14:paraId="062365F1" w14:textId="77777777" w:rsidR="003F46B9" w:rsidRDefault="003F46B9">
            <w:pPr>
              <w:spacing w:after="0" w:line="240" w:lineRule="auto"/>
              <w:jc w:val="center"/>
              <w:rPr>
                <w:rFonts w:ascii="Times New Roman" w:eastAsia="Times New Roman" w:hAnsi="Times New Roman" w:cs="Times New Roman"/>
                <w:b/>
                <w:noProof/>
                <w:sz w:val="24"/>
              </w:rPr>
            </w:pPr>
          </w:p>
        </w:tc>
        <w:tc>
          <w:tcPr>
            <w:tcW w:w="1226" w:type="dxa"/>
            <w:vMerge/>
            <w:vAlign w:val="center"/>
          </w:tcPr>
          <w:p w14:paraId="170A9104" w14:textId="77777777" w:rsidR="003F46B9" w:rsidRDefault="003F46B9">
            <w:pPr>
              <w:spacing w:after="0" w:line="240" w:lineRule="auto"/>
              <w:jc w:val="center"/>
              <w:rPr>
                <w:rFonts w:ascii="Times New Roman" w:eastAsia="Times New Roman" w:hAnsi="Times New Roman" w:cs="Times New Roman"/>
                <w:b/>
                <w:noProof/>
                <w:sz w:val="24"/>
              </w:rPr>
            </w:pPr>
          </w:p>
        </w:tc>
        <w:tc>
          <w:tcPr>
            <w:tcW w:w="1495" w:type="dxa"/>
            <w:vMerge/>
            <w:vAlign w:val="center"/>
          </w:tcPr>
          <w:p w14:paraId="0B69FE5A" w14:textId="77777777" w:rsidR="003F46B9" w:rsidRDefault="003F46B9">
            <w:pPr>
              <w:spacing w:after="0" w:line="240" w:lineRule="auto"/>
              <w:jc w:val="center"/>
              <w:rPr>
                <w:rFonts w:ascii="Times New Roman" w:eastAsia="Times New Roman" w:hAnsi="Times New Roman" w:cs="Times New Roman"/>
                <w:b/>
                <w:noProof/>
                <w:sz w:val="24"/>
              </w:rPr>
            </w:pPr>
          </w:p>
        </w:tc>
        <w:tc>
          <w:tcPr>
            <w:tcW w:w="1547" w:type="dxa"/>
            <w:vMerge/>
            <w:vAlign w:val="center"/>
          </w:tcPr>
          <w:p w14:paraId="7C4F8980" w14:textId="77777777" w:rsidR="003F46B9" w:rsidRDefault="003F46B9">
            <w:pPr>
              <w:spacing w:after="0" w:line="240" w:lineRule="auto"/>
              <w:jc w:val="center"/>
              <w:rPr>
                <w:rFonts w:ascii="Times New Roman" w:eastAsia="Times New Roman" w:hAnsi="Times New Roman" w:cs="Times New Roman"/>
                <w:b/>
                <w:noProof/>
                <w:sz w:val="24"/>
              </w:rPr>
            </w:pPr>
          </w:p>
        </w:tc>
        <w:tc>
          <w:tcPr>
            <w:tcW w:w="1344" w:type="dxa"/>
            <w:shd w:val="clear" w:color="auto" w:fill="BDD7EE"/>
            <w:vAlign w:val="center"/>
          </w:tcPr>
          <w:p w14:paraId="125AE64B" w14:textId="77777777" w:rsidR="003F46B9" w:rsidRDefault="0065662E">
            <w:pPr>
              <w:pStyle w:val="P68B1DB1-Normal1"/>
              <w:spacing w:after="0" w:line="240" w:lineRule="auto"/>
              <w:jc w:val="center"/>
              <w:rPr>
                <w:rFonts w:eastAsia="Times New Roman" w:cs="Times New Roman"/>
                <w:noProof/>
              </w:rPr>
            </w:pPr>
            <w:r>
              <w:rPr>
                <w:noProof/>
              </w:rPr>
              <w:t>Jedinica mjere</w:t>
            </w:r>
          </w:p>
        </w:tc>
        <w:tc>
          <w:tcPr>
            <w:tcW w:w="1109" w:type="dxa"/>
            <w:shd w:val="clear" w:color="auto" w:fill="BDD7EE"/>
            <w:vAlign w:val="center"/>
          </w:tcPr>
          <w:p w14:paraId="44418936"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872" w:type="dxa"/>
            <w:shd w:val="clear" w:color="auto" w:fill="BDD7EE"/>
            <w:vAlign w:val="center"/>
          </w:tcPr>
          <w:p w14:paraId="2139BEC7" w14:textId="77777777" w:rsidR="003F46B9" w:rsidRDefault="0065662E">
            <w:pPr>
              <w:pStyle w:val="P68B1DB1-Normal1"/>
              <w:spacing w:after="0" w:line="240" w:lineRule="auto"/>
              <w:jc w:val="center"/>
              <w:rPr>
                <w:rFonts w:eastAsia="Times New Roman" w:cs="Times New Roman"/>
                <w:noProof/>
              </w:rPr>
            </w:pPr>
            <w:r>
              <w:rPr>
                <w:noProof/>
              </w:rPr>
              <w:t>Cilj</w:t>
            </w:r>
          </w:p>
        </w:tc>
        <w:tc>
          <w:tcPr>
            <w:tcW w:w="1082" w:type="dxa"/>
            <w:shd w:val="clear" w:color="auto" w:fill="BDD7EE"/>
            <w:vAlign w:val="center"/>
          </w:tcPr>
          <w:p w14:paraId="3F5889D2"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820" w:type="dxa"/>
            <w:shd w:val="clear" w:color="auto" w:fill="BDD7EE"/>
            <w:vAlign w:val="center"/>
          </w:tcPr>
          <w:p w14:paraId="42AC199A"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168" w:type="dxa"/>
            <w:vMerge/>
            <w:vAlign w:val="center"/>
          </w:tcPr>
          <w:p w14:paraId="5F5EFA64" w14:textId="77777777" w:rsidR="003F46B9" w:rsidRDefault="003F46B9">
            <w:pPr>
              <w:spacing w:after="0" w:line="240" w:lineRule="auto"/>
              <w:jc w:val="center"/>
              <w:rPr>
                <w:rFonts w:ascii="Times New Roman" w:eastAsia="Times New Roman" w:hAnsi="Times New Roman" w:cs="Times New Roman"/>
                <w:b/>
                <w:noProof/>
                <w:sz w:val="24"/>
              </w:rPr>
            </w:pPr>
          </w:p>
        </w:tc>
      </w:tr>
      <w:tr w:rsidR="003F46B9" w14:paraId="53252543" w14:textId="77777777">
        <w:trPr>
          <w:trHeight w:val="309"/>
        </w:trPr>
        <w:tc>
          <w:tcPr>
            <w:tcW w:w="822" w:type="dxa"/>
            <w:shd w:val="clear" w:color="auto" w:fill="C6EFCE"/>
            <w:noWrap/>
          </w:tcPr>
          <w:p w14:paraId="1EA4CDF0" w14:textId="77777777" w:rsidR="003F46B9" w:rsidRDefault="0065662E">
            <w:pPr>
              <w:pStyle w:val="P68B1DB1-Normal5"/>
              <w:spacing w:after="0" w:line="240" w:lineRule="auto"/>
              <w:jc w:val="center"/>
              <w:rPr>
                <w:rFonts w:eastAsia="Times New Roman" w:cs="Times New Roman"/>
                <w:noProof/>
              </w:rPr>
            </w:pPr>
            <w:r>
              <w:rPr>
                <w:noProof/>
              </w:rPr>
              <w:t>401</w:t>
            </w:r>
          </w:p>
        </w:tc>
        <w:tc>
          <w:tcPr>
            <w:tcW w:w="2391" w:type="dxa"/>
            <w:shd w:val="clear" w:color="auto" w:fill="C6EFCE"/>
            <w:noWrap/>
          </w:tcPr>
          <w:p w14:paraId="337D3AD1" w14:textId="77777777" w:rsidR="003F46B9" w:rsidRDefault="0065662E">
            <w:pPr>
              <w:pStyle w:val="P68B1DB1-Normal5"/>
              <w:spacing w:after="0" w:line="240" w:lineRule="auto"/>
              <w:jc w:val="both"/>
              <w:rPr>
                <w:rFonts w:eastAsia="Times New Roman" w:cs="Times New Roman"/>
                <w:noProof/>
              </w:rPr>
            </w:pPr>
            <w:r>
              <w:rPr>
                <w:noProof/>
              </w:rPr>
              <w:t xml:space="preserve">Reforma 1. Povećanje predvidljivosti i učinkovitosti postupaka donošenja odluka jačanjem kapaciteta za koordinaciju politika i analizu učinka na razini vlade i koordinacijskih ministarstava te jačanjem alata za povećanje kvalitete </w:t>
            </w:r>
            <w:r>
              <w:rPr>
                <w:noProof/>
              </w:rPr>
              <w:t>javnih savjetovanja na svim razinama uprave</w:t>
            </w:r>
          </w:p>
        </w:tc>
        <w:tc>
          <w:tcPr>
            <w:tcW w:w="1226" w:type="dxa"/>
            <w:shd w:val="clear" w:color="auto" w:fill="C6EFCE"/>
            <w:noWrap/>
          </w:tcPr>
          <w:p w14:paraId="66463A77" w14:textId="77777777" w:rsidR="003F46B9" w:rsidRDefault="0065662E">
            <w:pPr>
              <w:pStyle w:val="P68B1DB1-Normal5"/>
              <w:spacing w:after="0" w:line="240" w:lineRule="auto"/>
              <w:rPr>
                <w:rFonts w:eastAsia="Times New Roman" w:cs="Times New Roman"/>
                <w:noProof/>
              </w:rPr>
            </w:pPr>
            <w:r>
              <w:rPr>
                <w:noProof/>
              </w:rPr>
              <w:t>Prekretnica</w:t>
            </w:r>
          </w:p>
        </w:tc>
        <w:tc>
          <w:tcPr>
            <w:tcW w:w="1495" w:type="dxa"/>
            <w:shd w:val="clear" w:color="auto" w:fill="C6EFCE"/>
            <w:noWrap/>
          </w:tcPr>
          <w:p w14:paraId="2F3DDF91" w14:textId="77777777" w:rsidR="003F46B9" w:rsidRDefault="0065662E">
            <w:pPr>
              <w:pStyle w:val="P68B1DB1-Normal5"/>
              <w:spacing w:after="0" w:line="240" w:lineRule="auto"/>
              <w:jc w:val="both"/>
              <w:rPr>
                <w:rFonts w:eastAsia="Times New Roman" w:cs="Times New Roman"/>
                <w:noProof/>
              </w:rPr>
            </w:pPr>
            <w:r>
              <w:rPr>
                <w:noProof/>
              </w:rPr>
              <w:t>Stupanje na snagu metodologija i postupaka za poboljšanje obrazloženja javne politike i planiranja te administrativno pojednostavnjenje</w:t>
            </w:r>
          </w:p>
        </w:tc>
        <w:tc>
          <w:tcPr>
            <w:tcW w:w="1547" w:type="dxa"/>
            <w:shd w:val="clear" w:color="auto" w:fill="C6EFCE"/>
            <w:noWrap/>
          </w:tcPr>
          <w:p w14:paraId="73B68C93" w14:textId="77777777" w:rsidR="003F46B9" w:rsidRDefault="0065662E">
            <w:pPr>
              <w:pStyle w:val="P68B1DB1-Normal5"/>
              <w:spacing w:after="0" w:line="240" w:lineRule="auto"/>
              <w:jc w:val="both"/>
              <w:rPr>
                <w:rFonts w:eastAsia="Times New Roman" w:cs="Times New Roman"/>
                <w:noProof/>
              </w:rPr>
            </w:pPr>
            <w:r>
              <w:rPr>
                <w:noProof/>
              </w:rPr>
              <w:t>Odredba u zakonima i vladinim odlukama u kojima se navodi stupan</w:t>
            </w:r>
            <w:r>
              <w:rPr>
                <w:noProof/>
              </w:rPr>
              <w:t>je na snagu zakona i odluka vlade radi poboljšanja obrazloženja javne politike i planiranja te administrativnog pojednostavnjenja</w:t>
            </w:r>
          </w:p>
        </w:tc>
        <w:tc>
          <w:tcPr>
            <w:tcW w:w="1344" w:type="dxa"/>
            <w:shd w:val="clear" w:color="auto" w:fill="C6EFCE"/>
            <w:noWrap/>
          </w:tcPr>
          <w:p w14:paraId="3D3BC782" w14:textId="77777777" w:rsidR="003F46B9" w:rsidRDefault="003F46B9">
            <w:pPr>
              <w:spacing w:after="0" w:line="240" w:lineRule="auto"/>
              <w:rPr>
                <w:rFonts w:ascii="Times New Roman" w:eastAsia="Times New Roman" w:hAnsi="Times New Roman" w:cs="Times New Roman"/>
                <w:noProof/>
                <w:sz w:val="24"/>
              </w:rPr>
            </w:pPr>
          </w:p>
        </w:tc>
        <w:tc>
          <w:tcPr>
            <w:tcW w:w="1109" w:type="dxa"/>
            <w:shd w:val="clear" w:color="auto" w:fill="C6EFCE"/>
            <w:noWrap/>
          </w:tcPr>
          <w:p w14:paraId="3961937A" w14:textId="77777777" w:rsidR="003F46B9" w:rsidRDefault="003F46B9">
            <w:pPr>
              <w:spacing w:after="0" w:line="240" w:lineRule="auto"/>
              <w:jc w:val="right"/>
              <w:rPr>
                <w:rFonts w:ascii="Times New Roman" w:eastAsia="Times New Roman" w:hAnsi="Times New Roman" w:cs="Times New Roman"/>
                <w:noProof/>
                <w:sz w:val="24"/>
              </w:rPr>
            </w:pPr>
          </w:p>
        </w:tc>
        <w:tc>
          <w:tcPr>
            <w:tcW w:w="872" w:type="dxa"/>
            <w:shd w:val="clear" w:color="auto" w:fill="C6EFCE"/>
            <w:noWrap/>
          </w:tcPr>
          <w:p w14:paraId="6F639392" w14:textId="77777777" w:rsidR="003F46B9" w:rsidRDefault="003F46B9">
            <w:pPr>
              <w:spacing w:after="0" w:line="240" w:lineRule="auto"/>
              <w:jc w:val="right"/>
              <w:rPr>
                <w:rFonts w:ascii="Times New Roman" w:eastAsia="Times New Roman" w:hAnsi="Times New Roman" w:cs="Times New Roman"/>
                <w:noProof/>
                <w:sz w:val="24"/>
              </w:rPr>
            </w:pPr>
          </w:p>
        </w:tc>
        <w:tc>
          <w:tcPr>
            <w:tcW w:w="1082" w:type="dxa"/>
            <w:shd w:val="clear" w:color="auto" w:fill="C6EFCE"/>
            <w:noWrap/>
          </w:tcPr>
          <w:p w14:paraId="5A214997"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4A1101F1" w14:textId="77777777" w:rsidR="003F46B9" w:rsidRDefault="0065662E">
            <w:pPr>
              <w:pStyle w:val="P68B1DB1-Normal5"/>
              <w:spacing w:after="0" w:line="240" w:lineRule="auto"/>
              <w:jc w:val="center"/>
              <w:rPr>
                <w:rFonts w:eastAsia="Times New Roman" w:cs="Times New Roman"/>
                <w:noProof/>
              </w:rPr>
            </w:pPr>
            <w:r>
              <w:rPr>
                <w:noProof/>
              </w:rPr>
              <w:t xml:space="preserve">2022 </w:t>
            </w:r>
          </w:p>
        </w:tc>
        <w:tc>
          <w:tcPr>
            <w:tcW w:w="3168" w:type="dxa"/>
            <w:shd w:val="clear" w:color="auto" w:fill="C6EFCE"/>
            <w:noWrap/>
          </w:tcPr>
          <w:p w14:paraId="09845D76" w14:textId="77777777" w:rsidR="003F46B9" w:rsidRDefault="0065662E">
            <w:pPr>
              <w:pStyle w:val="P68B1DB1-Normal5"/>
              <w:spacing w:after="0" w:line="240" w:lineRule="auto"/>
              <w:jc w:val="both"/>
              <w:rPr>
                <w:rFonts w:cs="Times New Roman"/>
                <w:noProof/>
              </w:rPr>
            </w:pPr>
            <w:r>
              <w:rPr>
                <w:noProof/>
              </w:rPr>
              <w:t>Stupanje na snagu sljedećih zakonodavnih akata:</w:t>
            </w:r>
          </w:p>
          <w:p w14:paraId="3602225A" w14:textId="77777777" w:rsidR="003F46B9" w:rsidRDefault="0065662E">
            <w:pPr>
              <w:spacing w:after="0" w:line="240" w:lineRule="auto"/>
              <w:ind w:left="-21"/>
              <w:jc w:val="both"/>
              <w:rPr>
                <w:rFonts w:ascii="Times New Roman" w:hAnsi="Times New Roman" w:cs="Times New Roman"/>
                <w:noProof/>
                <w:sz w:val="24"/>
              </w:rPr>
            </w:pPr>
            <w:r>
              <w:rPr>
                <w:noProof/>
              </w:rPr>
              <w:t xml:space="preserve">(1) </w:t>
            </w:r>
            <w:r>
              <w:rPr>
                <w:rFonts w:ascii="Times New Roman" w:hAnsi="Times New Roman"/>
                <w:noProof/>
                <w:sz w:val="24"/>
              </w:rPr>
              <w:t>Odluka Vlade o utvrđivanju postupaka za razvoj, prove</w:t>
            </w:r>
            <w:r>
              <w:rPr>
                <w:rFonts w:ascii="Times New Roman" w:hAnsi="Times New Roman"/>
                <w:noProof/>
                <w:sz w:val="24"/>
              </w:rPr>
              <w:t>dbu, praćenje, evaluaciju i ažuriranje vladinih strategija;</w:t>
            </w:r>
            <w:r>
              <w:rPr>
                <w:noProof/>
              </w:rPr>
              <w:t xml:space="preserve"> </w:t>
            </w:r>
            <w:r>
              <w:rPr>
                <w:noProof/>
              </w:rPr>
              <w:br/>
            </w:r>
            <w:r>
              <w:rPr>
                <w:rFonts w:ascii="Times New Roman" w:hAnsi="Times New Roman"/>
                <w:noProof/>
                <w:sz w:val="24"/>
              </w:rPr>
              <w:t>(2) Odluka Vlade o utvrđivanju postupaka za strateško planiranje i proračunsko programiranje kako bi se osigurala odgovarajuća veza između prioriteta politike i oblikovanja proračuna. Ministarski</w:t>
            </w:r>
            <w:r>
              <w:rPr>
                <w:rFonts w:ascii="Times New Roman" w:hAnsi="Times New Roman"/>
                <w:noProof/>
                <w:sz w:val="24"/>
              </w:rPr>
              <w:t>m proračunskim programima provode se preporuke iz revizija rashoda (koje se uvode u odjeljku o poreznoj i mirovinskoj reformi ovog dokumenta) i u skladu s metodologijom razvijenom u suradnji s Ministarstvom financija.</w:t>
            </w:r>
          </w:p>
          <w:p w14:paraId="0AECB02A" w14:textId="77777777" w:rsidR="003F46B9" w:rsidRDefault="0065662E">
            <w:pPr>
              <w:pBdr>
                <w:top w:val="nil"/>
                <w:left w:val="nil"/>
                <w:bottom w:val="nil"/>
                <w:right w:val="nil"/>
                <w:between w:val="nil"/>
              </w:pBdr>
              <w:spacing w:after="0" w:line="240" w:lineRule="auto"/>
              <w:ind w:left="-21"/>
              <w:jc w:val="both"/>
              <w:rPr>
                <w:rFonts w:ascii="Times New Roman" w:hAnsi="Times New Roman" w:cs="Times New Roman"/>
                <w:noProof/>
                <w:sz w:val="24"/>
              </w:rPr>
            </w:pPr>
            <w:r>
              <w:rPr>
                <w:noProof/>
              </w:rPr>
              <w:t>(3) Odluka</w:t>
            </w:r>
            <w:r>
              <w:rPr>
                <w:rFonts w:ascii="Times New Roman" w:hAnsi="Times New Roman"/>
                <w:noProof/>
                <w:sz w:val="24"/>
              </w:rPr>
              <w:t xml:space="preserve">Vlade o ažuriranju metodologije za ex ante procjenu učinka nacrta uredbe. Ažurirana metodologija usmjerena je na uvođenje načela inovacija i „digitalizacije kao standarda”, kao i na posebne postupke za pojačanu provedbu i godišnje izvješćivanje. </w:t>
            </w:r>
          </w:p>
          <w:p w14:paraId="352EEA17" w14:textId="77777777" w:rsidR="003F46B9" w:rsidRDefault="0065662E">
            <w:pPr>
              <w:pBdr>
                <w:top w:val="nil"/>
                <w:left w:val="nil"/>
                <w:bottom w:val="nil"/>
                <w:right w:val="nil"/>
                <w:between w:val="nil"/>
              </w:pBdr>
              <w:spacing w:after="0" w:line="240" w:lineRule="auto"/>
              <w:ind w:left="-21"/>
              <w:jc w:val="both"/>
              <w:rPr>
                <w:rFonts w:ascii="Times New Roman" w:hAnsi="Times New Roman" w:cs="Times New Roman"/>
                <w:noProof/>
                <w:sz w:val="24"/>
              </w:rPr>
            </w:pPr>
            <w:r>
              <w:rPr>
                <w:noProof/>
              </w:rPr>
              <w:t xml:space="preserve">(4) </w:t>
            </w:r>
            <w:r>
              <w:rPr>
                <w:rFonts w:ascii="Times New Roman" w:hAnsi="Times New Roman"/>
                <w:noProof/>
                <w:sz w:val="24"/>
              </w:rPr>
              <w:t>Odluk</w:t>
            </w:r>
            <w:r>
              <w:rPr>
                <w:rFonts w:ascii="Times New Roman" w:hAnsi="Times New Roman"/>
                <w:noProof/>
                <w:sz w:val="24"/>
              </w:rPr>
              <w:t>a Vlade o odobrenju metodologije „jedan za jedan” čiji je cilj smanjenje administrativnog opterećenja.</w:t>
            </w:r>
          </w:p>
          <w:p w14:paraId="63D73BFC" w14:textId="77777777" w:rsidR="003F46B9" w:rsidRDefault="0065662E">
            <w:pPr>
              <w:pStyle w:val="P68B1DB1-Normal5"/>
              <w:spacing w:after="0" w:line="240" w:lineRule="auto"/>
              <w:ind w:left="-21"/>
              <w:jc w:val="both"/>
              <w:rPr>
                <w:rFonts w:eastAsia="Times New Roman" w:cs="Times New Roman"/>
                <w:noProof/>
              </w:rPr>
            </w:pPr>
            <w:r>
              <w:rPr>
                <w:noProof/>
              </w:rPr>
              <w:t>(5) Odluka Vlade o postupovnom i metodološkom okviru za ex post procjenu propisa.</w:t>
            </w:r>
          </w:p>
        </w:tc>
      </w:tr>
      <w:tr w:rsidR="003F46B9" w14:paraId="55943C42" w14:textId="77777777">
        <w:trPr>
          <w:trHeight w:val="309"/>
        </w:trPr>
        <w:tc>
          <w:tcPr>
            <w:tcW w:w="822" w:type="dxa"/>
            <w:shd w:val="clear" w:color="auto" w:fill="C6EFCE"/>
            <w:noWrap/>
          </w:tcPr>
          <w:p w14:paraId="531358B3" w14:textId="77777777" w:rsidR="003F46B9" w:rsidRDefault="0065662E">
            <w:pPr>
              <w:pStyle w:val="P68B1DB1-Normal5"/>
              <w:spacing w:after="0" w:line="240" w:lineRule="auto"/>
              <w:jc w:val="center"/>
              <w:rPr>
                <w:rFonts w:eastAsia="Times New Roman" w:cs="Times New Roman"/>
                <w:noProof/>
              </w:rPr>
            </w:pPr>
            <w:r>
              <w:rPr>
                <w:noProof/>
              </w:rPr>
              <w:t xml:space="preserve">402 </w:t>
            </w:r>
          </w:p>
        </w:tc>
        <w:tc>
          <w:tcPr>
            <w:tcW w:w="2391" w:type="dxa"/>
            <w:shd w:val="clear" w:color="auto" w:fill="C6EFCE"/>
            <w:noWrap/>
          </w:tcPr>
          <w:p w14:paraId="283EB14E" w14:textId="77777777" w:rsidR="003F46B9" w:rsidRDefault="0065662E">
            <w:pPr>
              <w:pStyle w:val="P68B1DB1-Normal5"/>
              <w:spacing w:after="0" w:line="240" w:lineRule="auto"/>
              <w:jc w:val="both"/>
              <w:rPr>
                <w:rFonts w:eastAsia="Times New Roman"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 xml:space="preserve">im razinama uprave </w:t>
            </w:r>
          </w:p>
        </w:tc>
        <w:tc>
          <w:tcPr>
            <w:tcW w:w="1226" w:type="dxa"/>
            <w:shd w:val="clear" w:color="auto" w:fill="C6EFCE"/>
            <w:noWrap/>
          </w:tcPr>
          <w:p w14:paraId="0824D4DB" w14:textId="77777777" w:rsidR="003F46B9" w:rsidRDefault="0065662E">
            <w:pPr>
              <w:pStyle w:val="P68B1DB1-Normal5"/>
              <w:spacing w:after="0" w:line="240" w:lineRule="auto"/>
              <w:rPr>
                <w:rFonts w:eastAsia="Times New Roman" w:cs="Times New Roman"/>
                <w:noProof/>
              </w:rPr>
            </w:pPr>
            <w:r>
              <w:rPr>
                <w:noProof/>
              </w:rPr>
              <w:t>Prekretnica</w:t>
            </w:r>
          </w:p>
        </w:tc>
        <w:tc>
          <w:tcPr>
            <w:tcW w:w="1495" w:type="dxa"/>
            <w:shd w:val="clear" w:color="auto" w:fill="C6EFCE"/>
            <w:noWrap/>
          </w:tcPr>
          <w:p w14:paraId="08068F08" w14:textId="77777777" w:rsidR="003F46B9" w:rsidRDefault="0065662E">
            <w:pPr>
              <w:pStyle w:val="P68B1DB1-Normal5"/>
              <w:spacing w:after="0" w:line="240" w:lineRule="auto"/>
              <w:jc w:val="both"/>
              <w:rPr>
                <w:rFonts w:eastAsia="Times New Roman" w:cs="Times New Roman"/>
                <w:noProof/>
              </w:rPr>
            </w:pPr>
            <w:r>
              <w:rPr>
                <w:noProof/>
              </w:rPr>
              <w:t xml:space="preserve">U svim ministarstvima operativan je novi sustav strateškog upravljanja i strateškog planiranja </w:t>
            </w:r>
          </w:p>
        </w:tc>
        <w:tc>
          <w:tcPr>
            <w:tcW w:w="1547" w:type="dxa"/>
            <w:shd w:val="clear" w:color="auto" w:fill="C6EFCE"/>
            <w:noWrap/>
          </w:tcPr>
          <w:p w14:paraId="7EA9E598" w14:textId="77777777" w:rsidR="003F46B9" w:rsidRDefault="0065662E">
            <w:pPr>
              <w:pStyle w:val="P68B1DB1-Normal5"/>
              <w:spacing w:after="0" w:line="240" w:lineRule="auto"/>
              <w:jc w:val="both"/>
              <w:rPr>
                <w:rFonts w:eastAsia="Times New Roman" w:cs="Times New Roman"/>
                <w:noProof/>
              </w:rPr>
            </w:pPr>
            <w:r>
              <w:rPr>
                <w:noProof/>
              </w:rPr>
              <w:t>Novi sustav operativan je u svim resornim ministarstvima</w:t>
            </w:r>
          </w:p>
        </w:tc>
        <w:tc>
          <w:tcPr>
            <w:tcW w:w="1344" w:type="dxa"/>
            <w:shd w:val="clear" w:color="auto" w:fill="C6EFCE"/>
            <w:noWrap/>
          </w:tcPr>
          <w:p w14:paraId="56D9E131" w14:textId="77777777" w:rsidR="003F46B9" w:rsidRDefault="003F46B9">
            <w:pPr>
              <w:spacing w:after="0" w:line="240" w:lineRule="auto"/>
              <w:rPr>
                <w:rFonts w:ascii="Times New Roman" w:eastAsia="Times New Roman" w:hAnsi="Times New Roman" w:cs="Times New Roman"/>
                <w:noProof/>
                <w:sz w:val="24"/>
              </w:rPr>
            </w:pPr>
          </w:p>
        </w:tc>
        <w:tc>
          <w:tcPr>
            <w:tcW w:w="1109" w:type="dxa"/>
            <w:shd w:val="clear" w:color="auto" w:fill="C6EFCE"/>
            <w:noWrap/>
          </w:tcPr>
          <w:p w14:paraId="7FA10112" w14:textId="77777777" w:rsidR="003F46B9" w:rsidRDefault="003F46B9">
            <w:pPr>
              <w:spacing w:after="0" w:line="240" w:lineRule="auto"/>
              <w:rPr>
                <w:rFonts w:ascii="Times New Roman" w:eastAsia="Times New Roman" w:hAnsi="Times New Roman" w:cs="Times New Roman"/>
                <w:noProof/>
                <w:sz w:val="24"/>
              </w:rPr>
            </w:pPr>
          </w:p>
        </w:tc>
        <w:tc>
          <w:tcPr>
            <w:tcW w:w="872" w:type="dxa"/>
            <w:shd w:val="clear" w:color="auto" w:fill="C6EFCE"/>
            <w:noWrap/>
          </w:tcPr>
          <w:p w14:paraId="5EB2FB6F" w14:textId="77777777" w:rsidR="003F46B9" w:rsidRDefault="003F46B9">
            <w:pPr>
              <w:spacing w:after="0" w:line="240" w:lineRule="auto"/>
              <w:rPr>
                <w:rFonts w:ascii="Times New Roman" w:eastAsia="Times New Roman" w:hAnsi="Times New Roman" w:cs="Times New Roman"/>
                <w:noProof/>
                <w:sz w:val="24"/>
              </w:rPr>
            </w:pPr>
          </w:p>
        </w:tc>
        <w:tc>
          <w:tcPr>
            <w:tcW w:w="1082" w:type="dxa"/>
            <w:shd w:val="clear" w:color="auto" w:fill="C6EFCE"/>
            <w:noWrap/>
          </w:tcPr>
          <w:p w14:paraId="1364C0BF"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1B4316B0" w14:textId="77777777" w:rsidR="003F46B9" w:rsidRDefault="0065662E">
            <w:pPr>
              <w:pStyle w:val="P68B1DB1-Normal5"/>
              <w:spacing w:after="0" w:line="240" w:lineRule="auto"/>
              <w:jc w:val="both"/>
              <w:rPr>
                <w:rFonts w:cs="Times New Roman"/>
                <w:noProof/>
              </w:rPr>
            </w:pPr>
            <w:r>
              <w:rPr>
                <w:noProof/>
              </w:rPr>
              <w:t>2023</w:t>
            </w:r>
          </w:p>
          <w:p w14:paraId="77CA135C" w14:textId="77777777" w:rsidR="003F46B9" w:rsidRDefault="003F46B9">
            <w:pPr>
              <w:spacing w:after="0" w:line="240" w:lineRule="auto"/>
              <w:jc w:val="center"/>
              <w:rPr>
                <w:rFonts w:ascii="Times New Roman" w:eastAsia="Times New Roman" w:hAnsi="Times New Roman" w:cs="Times New Roman"/>
                <w:noProof/>
                <w:sz w:val="24"/>
              </w:rPr>
            </w:pPr>
          </w:p>
        </w:tc>
        <w:tc>
          <w:tcPr>
            <w:tcW w:w="3168" w:type="dxa"/>
            <w:shd w:val="clear" w:color="auto" w:fill="C6EFCE"/>
            <w:noWrap/>
          </w:tcPr>
          <w:p w14:paraId="1E559DD2" w14:textId="77777777" w:rsidR="003F46B9" w:rsidRDefault="0065662E">
            <w:pPr>
              <w:pStyle w:val="P68B1DB1-Normal5"/>
              <w:spacing w:after="0" w:line="240" w:lineRule="auto"/>
              <w:jc w:val="both"/>
              <w:rPr>
                <w:rFonts w:eastAsia="Times New Roman" w:cs="Times New Roman"/>
                <w:noProof/>
              </w:rPr>
            </w:pPr>
            <w:r>
              <w:rPr>
                <w:noProof/>
              </w:rPr>
              <w:t>Strategije i strateški planovi razvijeni na minist</w:t>
            </w:r>
            <w:r>
              <w:rPr>
                <w:noProof/>
              </w:rPr>
              <w:t xml:space="preserve">arskoj razini slijede odredbe metodologija navedenih u ključnoj etapi 401 i učitavaju se na platformu za praćenje institucionalnih strateških planova (ISP) kako je proširena na sva ministarstva. </w:t>
            </w:r>
          </w:p>
        </w:tc>
      </w:tr>
      <w:tr w:rsidR="003F46B9" w14:paraId="645247AB" w14:textId="77777777">
        <w:trPr>
          <w:trHeight w:val="309"/>
        </w:trPr>
        <w:tc>
          <w:tcPr>
            <w:tcW w:w="822" w:type="dxa"/>
            <w:shd w:val="clear" w:color="auto" w:fill="C6EFCE"/>
            <w:noWrap/>
          </w:tcPr>
          <w:p w14:paraId="32D887F2" w14:textId="77777777" w:rsidR="003F46B9" w:rsidRDefault="0065662E">
            <w:pPr>
              <w:pStyle w:val="P68B1DB1-Normal5"/>
              <w:spacing w:after="0" w:line="240" w:lineRule="auto"/>
              <w:jc w:val="center"/>
              <w:rPr>
                <w:rFonts w:eastAsia="Times New Roman" w:cs="Times New Roman"/>
                <w:noProof/>
              </w:rPr>
            </w:pPr>
            <w:r>
              <w:rPr>
                <w:noProof/>
              </w:rPr>
              <w:t xml:space="preserve">403 </w:t>
            </w:r>
          </w:p>
        </w:tc>
        <w:tc>
          <w:tcPr>
            <w:tcW w:w="2391" w:type="dxa"/>
            <w:shd w:val="clear" w:color="auto" w:fill="C6EFCE"/>
            <w:noWrap/>
          </w:tcPr>
          <w:p w14:paraId="37E40BD5" w14:textId="77777777" w:rsidR="003F46B9" w:rsidRDefault="0065662E">
            <w:pPr>
              <w:pStyle w:val="P68B1DB1-Normal5"/>
              <w:spacing w:after="0" w:line="240" w:lineRule="auto"/>
              <w:jc w:val="both"/>
              <w:rPr>
                <w:rFonts w:eastAsia="Times New Roman" w:cs="Times New Roman"/>
                <w:noProof/>
              </w:rPr>
            </w:pPr>
            <w:r>
              <w:rPr>
                <w:noProof/>
              </w:rPr>
              <w:t xml:space="preserve">Reforma 1. Povećanje predvidljivosti i učinkovitosti </w:t>
            </w:r>
            <w:r>
              <w:rPr>
                <w:noProof/>
              </w:rPr>
              <w:t>postupaka donošenja odluka jačanjem kapaciteta za koordinaciju politika i analizu učinka na razini vlade i koordinacijskih ministarstava te jačanjem alata za povećanje kvalitete javnih savjetovanja na svim razinama uprave</w:t>
            </w:r>
          </w:p>
        </w:tc>
        <w:tc>
          <w:tcPr>
            <w:tcW w:w="1226" w:type="dxa"/>
            <w:shd w:val="clear" w:color="auto" w:fill="C6EFCE"/>
            <w:noWrap/>
          </w:tcPr>
          <w:p w14:paraId="42A6B7B4" w14:textId="77777777" w:rsidR="003F46B9" w:rsidRDefault="0065662E">
            <w:pPr>
              <w:pStyle w:val="P68B1DB1-Normal5"/>
              <w:spacing w:after="0" w:line="240" w:lineRule="auto"/>
              <w:rPr>
                <w:rFonts w:eastAsia="Times New Roman" w:cs="Times New Roman"/>
                <w:noProof/>
              </w:rPr>
            </w:pPr>
            <w:r>
              <w:rPr>
                <w:noProof/>
              </w:rPr>
              <w:t>Ciljna</w:t>
            </w:r>
          </w:p>
        </w:tc>
        <w:tc>
          <w:tcPr>
            <w:tcW w:w="1495" w:type="dxa"/>
            <w:shd w:val="clear" w:color="auto" w:fill="C6EFCE"/>
            <w:noWrap/>
          </w:tcPr>
          <w:p w14:paraId="10E25F9E" w14:textId="77777777" w:rsidR="003F46B9" w:rsidRDefault="0065662E">
            <w:pPr>
              <w:pStyle w:val="P68B1DB1-Normal5"/>
              <w:spacing w:after="0" w:line="240" w:lineRule="auto"/>
              <w:jc w:val="both"/>
              <w:rPr>
                <w:rFonts w:eastAsia="Times New Roman" w:cs="Times New Roman"/>
                <w:noProof/>
              </w:rPr>
            </w:pPr>
            <w:r>
              <w:rPr>
                <w:noProof/>
              </w:rPr>
              <w:t>Najmanje tri ministarstva p</w:t>
            </w:r>
            <w:r>
              <w:rPr>
                <w:noProof/>
              </w:rPr>
              <w:t xml:space="preserve">lanirala su i provela proračune po programu </w:t>
            </w:r>
          </w:p>
        </w:tc>
        <w:tc>
          <w:tcPr>
            <w:tcW w:w="1547" w:type="dxa"/>
            <w:shd w:val="clear" w:color="auto" w:fill="C6EFCE"/>
            <w:noWrap/>
          </w:tcPr>
          <w:p w14:paraId="577AE11A" w14:textId="77777777" w:rsidR="003F46B9" w:rsidRDefault="003F46B9">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201A7ED6" w14:textId="77777777" w:rsidR="003F46B9" w:rsidRDefault="0065662E">
            <w:pPr>
              <w:pStyle w:val="P68B1DB1-Normal5"/>
              <w:spacing w:after="0" w:line="240" w:lineRule="auto"/>
              <w:rPr>
                <w:rFonts w:eastAsia="Times New Roman" w:cs="Times New Roman"/>
                <w:noProof/>
              </w:rPr>
            </w:pPr>
            <w:r>
              <w:rPr>
                <w:noProof/>
              </w:rPr>
              <w:t>Broj</w:t>
            </w:r>
          </w:p>
        </w:tc>
        <w:tc>
          <w:tcPr>
            <w:tcW w:w="1109" w:type="dxa"/>
            <w:shd w:val="clear" w:color="auto" w:fill="C6EFCE"/>
            <w:noWrap/>
          </w:tcPr>
          <w:p w14:paraId="338089CC" w14:textId="77777777" w:rsidR="003F46B9" w:rsidRDefault="0065662E">
            <w:pPr>
              <w:pStyle w:val="P68B1DB1-Normal5"/>
              <w:spacing w:after="0" w:line="240" w:lineRule="auto"/>
              <w:rPr>
                <w:rFonts w:eastAsia="Times New Roman" w:cs="Times New Roman"/>
                <w:noProof/>
              </w:rPr>
            </w:pPr>
            <w:r>
              <w:rPr>
                <w:noProof/>
              </w:rPr>
              <w:t>0</w:t>
            </w:r>
          </w:p>
        </w:tc>
        <w:tc>
          <w:tcPr>
            <w:tcW w:w="872" w:type="dxa"/>
            <w:shd w:val="clear" w:color="auto" w:fill="C6EFCE"/>
            <w:noWrap/>
          </w:tcPr>
          <w:p w14:paraId="65331779" w14:textId="77777777" w:rsidR="003F46B9" w:rsidRDefault="0065662E">
            <w:pPr>
              <w:pStyle w:val="P68B1DB1-Normal5"/>
              <w:spacing w:after="0" w:line="240" w:lineRule="auto"/>
              <w:rPr>
                <w:rFonts w:eastAsia="Times New Roman" w:cs="Times New Roman"/>
                <w:noProof/>
              </w:rPr>
            </w:pPr>
            <w:r>
              <w:rPr>
                <w:noProof/>
              </w:rPr>
              <w:t xml:space="preserve">3 </w:t>
            </w:r>
          </w:p>
        </w:tc>
        <w:tc>
          <w:tcPr>
            <w:tcW w:w="1082" w:type="dxa"/>
            <w:shd w:val="clear" w:color="auto" w:fill="C6EFCE"/>
            <w:noWrap/>
          </w:tcPr>
          <w:p w14:paraId="741857EB"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64F1BFD7" w14:textId="77777777" w:rsidR="003F46B9" w:rsidRDefault="0065662E">
            <w:pPr>
              <w:pStyle w:val="P68B1DB1-Normal5"/>
              <w:spacing w:after="0" w:line="240" w:lineRule="auto"/>
              <w:jc w:val="center"/>
              <w:rPr>
                <w:rFonts w:eastAsia="Times New Roman" w:cs="Times New Roman"/>
                <w:noProof/>
              </w:rPr>
            </w:pPr>
            <w:r>
              <w:rPr>
                <w:noProof/>
              </w:rPr>
              <w:t>2025</w:t>
            </w:r>
          </w:p>
        </w:tc>
        <w:tc>
          <w:tcPr>
            <w:tcW w:w="3168" w:type="dxa"/>
            <w:shd w:val="clear" w:color="auto" w:fill="C6EFCE"/>
            <w:noWrap/>
          </w:tcPr>
          <w:p w14:paraId="2959837B" w14:textId="079B9F9B" w:rsidR="003F46B9" w:rsidRDefault="0065662E">
            <w:pPr>
              <w:pStyle w:val="P68B1DB1-Normal5"/>
              <w:spacing w:after="0" w:line="240" w:lineRule="auto"/>
              <w:jc w:val="both"/>
              <w:rPr>
                <w:rFonts w:cs="Times New Roman"/>
                <w:noProof/>
              </w:rPr>
            </w:pPr>
            <w:r>
              <w:rPr>
                <w:noProof/>
              </w:rPr>
              <w:t>Najmanje tri ministarstva planirala su i provela proračune po programu primjenom metodologije strateškog planiranja institucija (ISP) uz potporu Glavnog tajništva Vlade (GSG) i Minist</w:t>
            </w:r>
            <w:r>
              <w:rPr>
                <w:noProof/>
              </w:rPr>
              <w:t xml:space="preserve">arstva financija. </w:t>
            </w:r>
          </w:p>
          <w:p w14:paraId="6A15E07F" w14:textId="77777777" w:rsidR="003F46B9" w:rsidRDefault="0065662E">
            <w:pPr>
              <w:pStyle w:val="P68B1DB1-Normal5"/>
              <w:spacing w:after="0" w:line="240" w:lineRule="auto"/>
              <w:jc w:val="both"/>
              <w:rPr>
                <w:rFonts w:eastAsia="Times New Roman" w:cs="Times New Roman"/>
                <w:noProof/>
              </w:rPr>
            </w:pPr>
            <w:r>
              <w:rPr>
                <w:noProof/>
              </w:rPr>
              <w:t>Cilj je dopuniti planiranje proračuna programa stvarnim izvršenjem ministarskog proračuna na temelju programa. Ministarskim proračunskim programima provode se preporuke iz revizija rashoda (koje se uvode u odjeljku o poreznoj i mirovinsk</w:t>
            </w:r>
            <w:r>
              <w:rPr>
                <w:noProof/>
              </w:rPr>
              <w:t>oj reformi ovog dokumenta).</w:t>
            </w:r>
          </w:p>
        </w:tc>
      </w:tr>
      <w:tr w:rsidR="003F46B9" w14:paraId="58792DFF" w14:textId="77777777">
        <w:trPr>
          <w:trHeight w:val="309"/>
        </w:trPr>
        <w:tc>
          <w:tcPr>
            <w:tcW w:w="822" w:type="dxa"/>
            <w:shd w:val="clear" w:color="auto" w:fill="C6EFCE"/>
            <w:noWrap/>
          </w:tcPr>
          <w:p w14:paraId="43945BAA" w14:textId="77777777" w:rsidR="003F46B9" w:rsidRDefault="0065662E">
            <w:pPr>
              <w:pStyle w:val="P68B1DB1-Normal5"/>
              <w:spacing w:after="0" w:line="240" w:lineRule="auto"/>
              <w:jc w:val="center"/>
              <w:rPr>
                <w:rFonts w:eastAsia="Times New Roman" w:cs="Times New Roman"/>
                <w:noProof/>
              </w:rPr>
            </w:pPr>
            <w:r>
              <w:rPr>
                <w:noProof/>
              </w:rPr>
              <w:t>404</w:t>
            </w:r>
          </w:p>
        </w:tc>
        <w:tc>
          <w:tcPr>
            <w:tcW w:w="2391" w:type="dxa"/>
            <w:shd w:val="clear" w:color="auto" w:fill="C6EFCE"/>
            <w:noWrap/>
          </w:tcPr>
          <w:p w14:paraId="2D8D5BDB" w14:textId="77777777" w:rsidR="003F46B9" w:rsidRDefault="0065662E">
            <w:pPr>
              <w:pStyle w:val="P68B1DB1-Normal5"/>
              <w:spacing w:after="0" w:line="240" w:lineRule="auto"/>
              <w:jc w:val="both"/>
              <w:rPr>
                <w:rFonts w:eastAsia="Times New Roman"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 xml:space="preserve">im razinama uprave. </w:t>
            </w:r>
          </w:p>
        </w:tc>
        <w:tc>
          <w:tcPr>
            <w:tcW w:w="1226" w:type="dxa"/>
            <w:shd w:val="clear" w:color="auto" w:fill="C6EFCE"/>
            <w:noWrap/>
          </w:tcPr>
          <w:p w14:paraId="2309A4E5" w14:textId="77777777" w:rsidR="003F46B9" w:rsidRDefault="0065662E">
            <w:pPr>
              <w:pStyle w:val="P68B1DB1-Normal5"/>
              <w:spacing w:after="0" w:line="240" w:lineRule="auto"/>
              <w:rPr>
                <w:rFonts w:eastAsia="Times New Roman" w:cs="Times New Roman"/>
                <w:noProof/>
              </w:rPr>
            </w:pPr>
            <w:r>
              <w:rPr>
                <w:noProof/>
              </w:rPr>
              <w:t>Prekretnica</w:t>
            </w:r>
          </w:p>
        </w:tc>
        <w:tc>
          <w:tcPr>
            <w:tcW w:w="1495" w:type="dxa"/>
            <w:shd w:val="clear" w:color="auto" w:fill="C6EFCE"/>
            <w:noWrap/>
          </w:tcPr>
          <w:p w14:paraId="4407B1D8" w14:textId="77777777" w:rsidR="003F46B9" w:rsidRDefault="0065662E">
            <w:pPr>
              <w:pStyle w:val="P68B1DB1-Normal5"/>
              <w:spacing w:after="0" w:line="240" w:lineRule="auto"/>
              <w:jc w:val="both"/>
              <w:rPr>
                <w:rFonts w:cs="Times New Roman"/>
                <w:noProof/>
              </w:rPr>
            </w:pPr>
            <w:r>
              <w:rPr>
                <w:noProof/>
              </w:rPr>
              <w:t>Stupanje na snagu zakonodavnog akta kojim se uspostavlja struktura za osiguravanje provedbe učinkovitog regulatornog mehanizma za kontrolu kvalitete</w:t>
            </w:r>
          </w:p>
          <w:p w14:paraId="763E7E56" w14:textId="77777777" w:rsidR="003F46B9" w:rsidRDefault="003F46B9">
            <w:pPr>
              <w:spacing w:after="0" w:line="240" w:lineRule="auto"/>
              <w:jc w:val="both"/>
              <w:rPr>
                <w:rFonts w:ascii="Times New Roman" w:eastAsia="Times New Roman" w:hAnsi="Times New Roman" w:cs="Times New Roman"/>
                <w:noProof/>
                <w:sz w:val="24"/>
              </w:rPr>
            </w:pPr>
          </w:p>
        </w:tc>
        <w:tc>
          <w:tcPr>
            <w:tcW w:w="1547" w:type="dxa"/>
            <w:shd w:val="clear" w:color="auto" w:fill="C6EFCE"/>
            <w:noWrap/>
          </w:tcPr>
          <w:p w14:paraId="5681A566" w14:textId="77777777" w:rsidR="003F46B9" w:rsidRDefault="0065662E">
            <w:pPr>
              <w:pStyle w:val="P68B1DB1-Normal5"/>
              <w:spacing w:after="0" w:line="240" w:lineRule="auto"/>
              <w:jc w:val="both"/>
              <w:rPr>
                <w:rFonts w:eastAsia="Times New Roman" w:cs="Times New Roman"/>
                <w:noProof/>
              </w:rPr>
            </w:pPr>
            <w:r>
              <w:rPr>
                <w:noProof/>
              </w:rPr>
              <w:t xml:space="preserve">Odredba zakona o stupanju na snagu zakona kojim se provodi regulatorna </w:t>
            </w:r>
            <w:r>
              <w:rPr>
                <w:noProof/>
              </w:rPr>
              <w:t>struktura kontrole kvalitete</w:t>
            </w:r>
          </w:p>
        </w:tc>
        <w:tc>
          <w:tcPr>
            <w:tcW w:w="1344" w:type="dxa"/>
            <w:shd w:val="clear" w:color="auto" w:fill="C6EFCE"/>
            <w:noWrap/>
          </w:tcPr>
          <w:p w14:paraId="46B31325" w14:textId="77777777" w:rsidR="003F46B9" w:rsidRDefault="0065662E">
            <w:pPr>
              <w:pStyle w:val="P68B1DB1-Normal5"/>
              <w:spacing w:after="0" w:line="240" w:lineRule="auto"/>
              <w:rPr>
                <w:rFonts w:eastAsia="Times New Roman" w:cs="Times New Roman"/>
                <w:noProof/>
              </w:rPr>
            </w:pPr>
            <w:r>
              <w:rPr>
                <w:noProof/>
              </w:rPr>
              <w:t xml:space="preserve"> </w:t>
            </w:r>
          </w:p>
        </w:tc>
        <w:tc>
          <w:tcPr>
            <w:tcW w:w="1109" w:type="dxa"/>
            <w:shd w:val="clear" w:color="auto" w:fill="C6EFCE"/>
            <w:noWrap/>
          </w:tcPr>
          <w:p w14:paraId="5EF24B28" w14:textId="77777777" w:rsidR="003F46B9" w:rsidRDefault="0065662E">
            <w:pPr>
              <w:pStyle w:val="P68B1DB1-Normal5"/>
              <w:spacing w:after="0" w:line="240" w:lineRule="auto"/>
              <w:rPr>
                <w:rFonts w:eastAsia="Times New Roman" w:cs="Times New Roman"/>
                <w:noProof/>
              </w:rPr>
            </w:pPr>
            <w:r>
              <w:rPr>
                <w:noProof/>
              </w:rPr>
              <w:t xml:space="preserve"> </w:t>
            </w:r>
          </w:p>
        </w:tc>
        <w:tc>
          <w:tcPr>
            <w:tcW w:w="872" w:type="dxa"/>
            <w:shd w:val="clear" w:color="auto" w:fill="C6EFCE"/>
            <w:noWrap/>
          </w:tcPr>
          <w:p w14:paraId="103A19C5" w14:textId="77777777" w:rsidR="003F46B9" w:rsidRDefault="0065662E">
            <w:pPr>
              <w:pStyle w:val="P68B1DB1-Normal5"/>
              <w:spacing w:after="0" w:line="240" w:lineRule="auto"/>
              <w:rPr>
                <w:rFonts w:eastAsia="Times New Roman" w:cs="Times New Roman"/>
                <w:noProof/>
              </w:rPr>
            </w:pPr>
            <w:r>
              <w:rPr>
                <w:noProof/>
              </w:rPr>
              <w:t xml:space="preserve"> </w:t>
            </w:r>
          </w:p>
        </w:tc>
        <w:tc>
          <w:tcPr>
            <w:tcW w:w="1082" w:type="dxa"/>
            <w:shd w:val="clear" w:color="auto" w:fill="C6EFCE"/>
            <w:noWrap/>
          </w:tcPr>
          <w:p w14:paraId="1FFB650C"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0A6045F8" w14:textId="77777777" w:rsidR="003F46B9" w:rsidRDefault="0065662E">
            <w:pPr>
              <w:pStyle w:val="P68B1DB1-Normal5"/>
              <w:spacing w:after="0" w:line="240" w:lineRule="auto"/>
              <w:jc w:val="center"/>
              <w:rPr>
                <w:rFonts w:eastAsia="Times New Roman" w:cs="Times New Roman"/>
                <w:noProof/>
              </w:rPr>
            </w:pPr>
            <w:r>
              <w:rPr>
                <w:noProof/>
              </w:rPr>
              <w:t xml:space="preserve">2022 </w:t>
            </w:r>
          </w:p>
        </w:tc>
        <w:tc>
          <w:tcPr>
            <w:tcW w:w="3168" w:type="dxa"/>
            <w:shd w:val="clear" w:color="auto" w:fill="C6EFCE"/>
            <w:noWrap/>
          </w:tcPr>
          <w:p w14:paraId="2A68EEF2" w14:textId="77777777" w:rsidR="003F46B9" w:rsidRDefault="0065662E">
            <w:pPr>
              <w:pStyle w:val="P68B1DB1-Normal5"/>
              <w:spacing w:after="0" w:line="240" w:lineRule="auto"/>
              <w:jc w:val="both"/>
              <w:rPr>
                <w:rFonts w:cs="Times New Roman"/>
                <w:noProof/>
              </w:rPr>
            </w:pPr>
            <w:r>
              <w:rPr>
                <w:noProof/>
              </w:rPr>
              <w:t xml:space="preserve">Zakonodavni akt temelji se na studiji koju je provelo Glavno tajništvo Vlade o uspostavi mehanizma kontrole kvalitete u Državnom centru. </w:t>
            </w:r>
          </w:p>
          <w:p w14:paraId="16A38811" w14:textId="77777777" w:rsidR="003F46B9" w:rsidRDefault="0065662E">
            <w:pPr>
              <w:pStyle w:val="P68B1DB1-Normal5"/>
              <w:spacing w:after="0" w:line="240" w:lineRule="auto"/>
              <w:jc w:val="both"/>
              <w:rPr>
                <w:rFonts w:cs="Times New Roman"/>
                <w:noProof/>
              </w:rPr>
            </w:pPr>
            <w:r>
              <w:rPr>
                <w:noProof/>
              </w:rPr>
              <w:t>Nova struktura provodi regulatorni nadzor kvalitete procjena učin</w:t>
            </w:r>
            <w:r>
              <w:rPr>
                <w:noProof/>
              </w:rPr>
              <w:t xml:space="preserve">ka i evaluacija. Sastoji se od odbora stručnjaka koje podupire tehničko tajništvo, slično Odboru za nadzor regulative koji je trenutačno aktivan na razini Europske komisije. Zakonodavnim aktom utvrđuje se sljedeće: </w:t>
            </w:r>
          </w:p>
          <w:p w14:paraId="1AA7B8F6" w14:textId="77777777" w:rsidR="003F46B9" w:rsidRDefault="0065662E">
            <w:pPr>
              <w:pStyle w:val="P68B1DB1-Normal5"/>
              <w:spacing w:after="0" w:line="240" w:lineRule="auto"/>
              <w:ind w:left="-21"/>
              <w:jc w:val="both"/>
              <w:rPr>
                <w:rFonts w:cs="Times New Roman"/>
                <w:noProof/>
              </w:rPr>
            </w:pPr>
            <w:r>
              <w:rPr>
                <w:noProof/>
              </w:rPr>
              <w:t>(1) postupak odabira stručnjaka odbora;</w:t>
            </w:r>
          </w:p>
          <w:p w14:paraId="2F6F8578" w14:textId="77777777" w:rsidR="003F46B9" w:rsidRDefault="0065662E">
            <w:pPr>
              <w:pStyle w:val="P68B1DB1-Normal5"/>
              <w:spacing w:after="0" w:line="240" w:lineRule="auto"/>
              <w:ind w:left="-21"/>
              <w:jc w:val="both"/>
              <w:rPr>
                <w:rFonts w:cs="Times New Roman"/>
                <w:noProof/>
              </w:rPr>
            </w:pPr>
            <w:r>
              <w:rPr>
                <w:noProof/>
              </w:rPr>
              <w:t>(2) pravila i postupke za odbor i tehničko tajništvo (uključujući opise radnih mjesta);</w:t>
            </w:r>
          </w:p>
          <w:p w14:paraId="646006BC" w14:textId="77777777" w:rsidR="003F46B9" w:rsidRDefault="0065662E">
            <w:pPr>
              <w:pStyle w:val="P68B1DB1-Normal5"/>
              <w:spacing w:after="0" w:line="240" w:lineRule="auto"/>
              <w:ind w:left="-21"/>
              <w:jc w:val="both"/>
              <w:rPr>
                <w:rFonts w:cs="Times New Roman"/>
                <w:noProof/>
              </w:rPr>
            </w:pPr>
            <w:r>
              <w:rPr>
                <w:noProof/>
              </w:rPr>
              <w:t>3. smjernice o tome kako ocijeniti kvalitetu dokumenata;</w:t>
            </w:r>
          </w:p>
          <w:p w14:paraId="52EF58B3" w14:textId="77777777" w:rsidR="003F46B9" w:rsidRDefault="0065662E">
            <w:pPr>
              <w:pStyle w:val="P68B1DB1-Normal5"/>
              <w:spacing w:after="0" w:line="240" w:lineRule="auto"/>
              <w:ind w:left="-21"/>
              <w:jc w:val="both"/>
              <w:rPr>
                <w:rFonts w:cs="Times New Roman"/>
                <w:noProof/>
              </w:rPr>
            </w:pPr>
            <w:r>
              <w:rPr>
                <w:noProof/>
              </w:rPr>
              <w:t>4. komunikacijsku strategiju unutar i izvan vlade;</w:t>
            </w:r>
          </w:p>
          <w:p w14:paraId="432AB547" w14:textId="77777777" w:rsidR="003F46B9" w:rsidRDefault="0065662E">
            <w:pPr>
              <w:pStyle w:val="P68B1DB1-Normal5"/>
              <w:spacing w:after="0" w:line="240" w:lineRule="auto"/>
              <w:ind w:left="-21"/>
              <w:jc w:val="both"/>
              <w:rPr>
                <w:rFonts w:cs="Times New Roman"/>
                <w:noProof/>
              </w:rPr>
            </w:pPr>
            <w:r>
              <w:rPr>
                <w:noProof/>
              </w:rPr>
              <w:t>(5) osposobljavanja.</w:t>
            </w:r>
          </w:p>
        </w:tc>
      </w:tr>
      <w:tr w:rsidR="003F46B9" w14:paraId="46F81F2E" w14:textId="77777777">
        <w:trPr>
          <w:trHeight w:val="309"/>
        </w:trPr>
        <w:tc>
          <w:tcPr>
            <w:tcW w:w="822" w:type="dxa"/>
            <w:shd w:val="clear" w:color="auto" w:fill="C6EFCE"/>
            <w:noWrap/>
          </w:tcPr>
          <w:p w14:paraId="3BE67B3C" w14:textId="77777777" w:rsidR="003F46B9" w:rsidRDefault="0065662E">
            <w:pPr>
              <w:pStyle w:val="P68B1DB1-Normal5"/>
              <w:spacing w:after="0" w:line="240" w:lineRule="auto"/>
              <w:jc w:val="center"/>
              <w:rPr>
                <w:rFonts w:cs="Times New Roman"/>
                <w:noProof/>
              </w:rPr>
            </w:pPr>
            <w:r>
              <w:rPr>
                <w:noProof/>
              </w:rPr>
              <w:t>405</w:t>
            </w:r>
          </w:p>
        </w:tc>
        <w:tc>
          <w:tcPr>
            <w:tcW w:w="2391" w:type="dxa"/>
            <w:shd w:val="clear" w:color="auto" w:fill="C6EFCE"/>
            <w:noWrap/>
          </w:tcPr>
          <w:p w14:paraId="14128058" w14:textId="77777777" w:rsidR="003F46B9" w:rsidRDefault="0065662E">
            <w:pPr>
              <w:pStyle w:val="P68B1DB1-Normal5"/>
              <w:spacing w:after="0" w:line="240" w:lineRule="auto"/>
              <w:jc w:val="both"/>
              <w:rPr>
                <w:rFonts w:cs="Times New Roman"/>
                <w:noProof/>
              </w:rPr>
            </w:pPr>
            <w:r>
              <w:rPr>
                <w:noProof/>
              </w:rPr>
              <w:t xml:space="preserve">Reforma 1. Povećanje </w:t>
            </w:r>
            <w:r>
              <w:rPr>
                <w:noProof/>
              </w:rPr>
              <w:t>predvidljivosti i učinkovitosti postupaka donošenja odluka jačanjem kapaciteta za koordinaciju politika i analizu učinka na razini vlade i koordinacijskih ministarstava te jačanjem alata za povećanje kvalitete javnih savjetovanja na svim razinama uprave</w:t>
            </w:r>
          </w:p>
        </w:tc>
        <w:tc>
          <w:tcPr>
            <w:tcW w:w="1226" w:type="dxa"/>
            <w:shd w:val="clear" w:color="auto" w:fill="C6EFCE"/>
            <w:noWrap/>
          </w:tcPr>
          <w:p w14:paraId="24D277C1" w14:textId="77777777" w:rsidR="003F46B9" w:rsidRDefault="0065662E">
            <w:pPr>
              <w:pStyle w:val="P68B1DB1-Normal5"/>
              <w:spacing w:after="0" w:line="240" w:lineRule="auto"/>
              <w:rPr>
                <w:rFonts w:cs="Times New Roman"/>
                <w:noProof/>
              </w:rPr>
            </w:pPr>
            <w:r>
              <w:rPr>
                <w:noProof/>
              </w:rPr>
              <w:t>Pr</w:t>
            </w:r>
            <w:r>
              <w:rPr>
                <w:noProof/>
              </w:rPr>
              <w:t>ekretnica</w:t>
            </w:r>
          </w:p>
        </w:tc>
        <w:tc>
          <w:tcPr>
            <w:tcW w:w="1495" w:type="dxa"/>
            <w:shd w:val="clear" w:color="auto" w:fill="C6EFCE"/>
            <w:noWrap/>
          </w:tcPr>
          <w:p w14:paraId="3948DB0A" w14:textId="77777777" w:rsidR="003F46B9" w:rsidRDefault="0065662E">
            <w:pPr>
              <w:pStyle w:val="P68B1DB1-Normal5"/>
              <w:spacing w:after="0" w:line="240" w:lineRule="auto"/>
              <w:jc w:val="both"/>
              <w:rPr>
                <w:rFonts w:cs="Times New Roman"/>
                <w:noProof/>
              </w:rPr>
            </w:pPr>
            <w:r>
              <w:rPr>
                <w:noProof/>
              </w:rPr>
              <w:t>Operativna IT platforma za praćenje inovacija u javnoj upravi</w:t>
            </w:r>
          </w:p>
        </w:tc>
        <w:tc>
          <w:tcPr>
            <w:tcW w:w="1547" w:type="dxa"/>
            <w:shd w:val="clear" w:color="auto" w:fill="C6EFCE"/>
            <w:noWrap/>
          </w:tcPr>
          <w:p w14:paraId="3B07E3C1" w14:textId="4B605C09" w:rsidR="003F46B9" w:rsidRDefault="0065662E">
            <w:pPr>
              <w:pStyle w:val="P68B1DB1-Normal5"/>
              <w:spacing w:after="0" w:line="240" w:lineRule="auto"/>
              <w:jc w:val="both"/>
              <w:rPr>
                <w:rFonts w:cs="Times New Roman"/>
                <w:noProof/>
              </w:rPr>
            </w:pPr>
            <w:r>
              <w:rPr>
                <w:noProof/>
              </w:rPr>
              <w:t xml:space="preserve">IT platforma razvijena je i operativna </w:t>
            </w:r>
          </w:p>
        </w:tc>
        <w:tc>
          <w:tcPr>
            <w:tcW w:w="1344" w:type="dxa"/>
            <w:shd w:val="clear" w:color="auto" w:fill="C6EFCE"/>
            <w:noWrap/>
          </w:tcPr>
          <w:p w14:paraId="38B923C7"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319E59C4"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22E69131" w14:textId="77777777" w:rsidR="003F46B9" w:rsidRDefault="003F46B9">
            <w:pPr>
              <w:spacing w:after="0" w:line="240" w:lineRule="auto"/>
              <w:jc w:val="both"/>
              <w:rPr>
                <w:rFonts w:ascii="Times New Roman" w:hAnsi="Times New Roman" w:cs="Times New Roman"/>
                <w:noProof/>
                <w:sz w:val="24"/>
              </w:rPr>
            </w:pPr>
          </w:p>
        </w:tc>
        <w:tc>
          <w:tcPr>
            <w:tcW w:w="1082" w:type="dxa"/>
            <w:shd w:val="clear" w:color="auto" w:fill="C6EFCE"/>
            <w:noWrap/>
          </w:tcPr>
          <w:p w14:paraId="025CC83E"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3C7A91EB" w14:textId="77777777" w:rsidR="003F46B9" w:rsidRDefault="0065662E">
            <w:pPr>
              <w:pStyle w:val="P68B1DB1-Normal5"/>
              <w:spacing w:after="0" w:line="240" w:lineRule="auto"/>
              <w:jc w:val="both"/>
              <w:rPr>
                <w:rFonts w:cs="Times New Roman"/>
                <w:noProof/>
              </w:rPr>
            </w:pPr>
            <w:r>
              <w:rPr>
                <w:noProof/>
              </w:rPr>
              <w:t>2024</w:t>
            </w:r>
          </w:p>
        </w:tc>
        <w:tc>
          <w:tcPr>
            <w:tcW w:w="3168" w:type="dxa"/>
            <w:shd w:val="clear" w:color="auto" w:fill="C6EFCE"/>
            <w:noWrap/>
          </w:tcPr>
          <w:p w14:paraId="453CC255" w14:textId="77777777" w:rsidR="003F46B9" w:rsidRDefault="0065662E">
            <w:pPr>
              <w:pStyle w:val="P68B1DB1-Normal5"/>
              <w:spacing w:after="0" w:line="240" w:lineRule="auto"/>
              <w:jc w:val="both"/>
              <w:rPr>
                <w:rFonts w:cs="Times New Roman"/>
                <w:noProof/>
              </w:rPr>
            </w:pPr>
            <w:r>
              <w:rPr>
                <w:noProof/>
              </w:rPr>
              <w:t>Informatička platforma za praćenje inovacija u javnoj upravi razvija se i počinje s radom. IT platforma automatski i</w:t>
            </w:r>
            <w:r>
              <w:rPr>
                <w:noProof/>
              </w:rPr>
              <w:t>zrađuje godišnja izvješća o praćenju napretka koji su rumunjske institucije zabilježile u pogledu inovativnih rezultata i inovacijskih sposobnosti.</w:t>
            </w:r>
          </w:p>
        </w:tc>
      </w:tr>
      <w:tr w:rsidR="003F46B9" w14:paraId="14CED5CA" w14:textId="77777777">
        <w:trPr>
          <w:trHeight w:val="309"/>
        </w:trPr>
        <w:tc>
          <w:tcPr>
            <w:tcW w:w="822" w:type="dxa"/>
            <w:shd w:val="clear" w:color="auto" w:fill="C6EFCE"/>
            <w:noWrap/>
          </w:tcPr>
          <w:p w14:paraId="37D0FB8E" w14:textId="77777777" w:rsidR="003F46B9" w:rsidRDefault="0065662E">
            <w:pPr>
              <w:pStyle w:val="P68B1DB1-Normal5"/>
              <w:spacing w:after="0" w:line="240" w:lineRule="auto"/>
              <w:jc w:val="center"/>
              <w:rPr>
                <w:rFonts w:eastAsia="Times New Roman" w:cs="Times New Roman"/>
                <w:noProof/>
              </w:rPr>
            </w:pPr>
            <w:r>
              <w:rPr>
                <w:noProof/>
              </w:rPr>
              <w:t>406</w:t>
            </w:r>
          </w:p>
        </w:tc>
        <w:tc>
          <w:tcPr>
            <w:tcW w:w="2391" w:type="dxa"/>
            <w:shd w:val="clear" w:color="auto" w:fill="C6EFCE"/>
            <w:noWrap/>
          </w:tcPr>
          <w:p w14:paraId="674F5A3D" w14:textId="77777777" w:rsidR="003F46B9" w:rsidRDefault="0065662E">
            <w:pPr>
              <w:pStyle w:val="P68B1DB1-Normal5"/>
              <w:spacing w:after="0" w:line="240" w:lineRule="auto"/>
              <w:jc w:val="both"/>
              <w:rPr>
                <w:rFonts w:cs="Times New Roman"/>
                <w:noProof/>
              </w:rPr>
            </w:pPr>
            <w:r>
              <w:rPr>
                <w:noProof/>
              </w:rPr>
              <w:t xml:space="preserve">Reforma 1. Povećanje predvidljivosti i učinkovitosti postupaka donošenja odluka jačanjem kapaciteta za </w:t>
            </w:r>
            <w:r>
              <w:rPr>
                <w:noProof/>
              </w:rPr>
              <w:t>koordinaciju politika i analizu učinka na razini vlade i koordinacijskih ministarstava te jačanjem alata za povećanje kvalitete javnih savjetovanja na svim razinama uprave</w:t>
            </w:r>
          </w:p>
        </w:tc>
        <w:tc>
          <w:tcPr>
            <w:tcW w:w="1226" w:type="dxa"/>
            <w:shd w:val="clear" w:color="auto" w:fill="C6EFCE"/>
            <w:noWrap/>
          </w:tcPr>
          <w:p w14:paraId="6A45C653" w14:textId="77777777" w:rsidR="003F46B9" w:rsidRDefault="0065662E">
            <w:pPr>
              <w:pStyle w:val="P68B1DB1-Normal5"/>
              <w:spacing w:after="0" w:line="240" w:lineRule="auto"/>
              <w:rPr>
                <w:rFonts w:eastAsia="Times New Roman" w:cs="Times New Roman"/>
                <w:noProof/>
              </w:rPr>
            </w:pPr>
            <w:r>
              <w:rPr>
                <w:noProof/>
              </w:rPr>
              <w:t>Ciljna</w:t>
            </w:r>
          </w:p>
        </w:tc>
        <w:tc>
          <w:tcPr>
            <w:tcW w:w="1495" w:type="dxa"/>
            <w:shd w:val="clear" w:color="auto" w:fill="C6EFCE"/>
            <w:noWrap/>
          </w:tcPr>
          <w:p w14:paraId="11D65B23" w14:textId="77777777" w:rsidR="003F46B9" w:rsidRDefault="0065662E">
            <w:pPr>
              <w:pStyle w:val="P68B1DB1-Normal5"/>
              <w:spacing w:after="0" w:line="240" w:lineRule="auto"/>
              <w:jc w:val="both"/>
              <w:rPr>
                <w:rFonts w:cs="Times New Roman"/>
                <w:noProof/>
              </w:rPr>
            </w:pPr>
            <w:r>
              <w:rPr>
                <w:noProof/>
              </w:rPr>
              <w:t>800 predstavnika organizacija civilnog društva osposobljeno je za povećanje a</w:t>
            </w:r>
            <w:r>
              <w:rPr>
                <w:noProof/>
              </w:rPr>
              <w:t>dministrativnih kapaciteta i digitalizaciju njihovih struktura</w:t>
            </w:r>
          </w:p>
        </w:tc>
        <w:tc>
          <w:tcPr>
            <w:tcW w:w="1547" w:type="dxa"/>
            <w:shd w:val="clear" w:color="auto" w:fill="C6EFCE"/>
            <w:noWrap/>
          </w:tcPr>
          <w:p w14:paraId="6773004A" w14:textId="77777777" w:rsidR="003F46B9" w:rsidRDefault="0065662E">
            <w:pPr>
              <w:pStyle w:val="P68B1DB1-Normal5"/>
              <w:spacing w:after="0" w:line="240" w:lineRule="auto"/>
              <w:jc w:val="both"/>
              <w:rPr>
                <w:rFonts w:eastAsia="Times New Roman" w:cs="Times New Roman"/>
                <w:noProof/>
              </w:rPr>
            </w:pPr>
            <w:r>
              <w:rPr>
                <w:noProof/>
              </w:rPr>
              <w:t> Osposobljeni predstavnici</w:t>
            </w:r>
          </w:p>
        </w:tc>
        <w:tc>
          <w:tcPr>
            <w:tcW w:w="1344" w:type="dxa"/>
            <w:shd w:val="clear" w:color="auto" w:fill="C6EFCE"/>
            <w:noWrap/>
          </w:tcPr>
          <w:p w14:paraId="41DF0806" w14:textId="77777777" w:rsidR="003F46B9" w:rsidRDefault="0065662E">
            <w:pPr>
              <w:pStyle w:val="P68B1DB1-Normal5"/>
              <w:spacing w:after="0" w:line="240" w:lineRule="auto"/>
              <w:rPr>
                <w:rFonts w:eastAsia="Times New Roman" w:cs="Times New Roman"/>
                <w:noProof/>
              </w:rPr>
            </w:pPr>
            <w:r>
              <w:rPr>
                <w:noProof/>
              </w:rPr>
              <w:t>Broj</w:t>
            </w:r>
          </w:p>
        </w:tc>
        <w:tc>
          <w:tcPr>
            <w:tcW w:w="1109" w:type="dxa"/>
            <w:shd w:val="clear" w:color="auto" w:fill="C6EFCE"/>
            <w:noWrap/>
          </w:tcPr>
          <w:p w14:paraId="2443B2A9" w14:textId="77777777" w:rsidR="003F46B9" w:rsidRDefault="0065662E">
            <w:pPr>
              <w:pStyle w:val="P68B1DB1-Normal5"/>
              <w:spacing w:after="0" w:line="240" w:lineRule="auto"/>
              <w:rPr>
                <w:rFonts w:eastAsia="Times New Roman" w:cs="Times New Roman"/>
                <w:noProof/>
              </w:rPr>
            </w:pPr>
            <w:r>
              <w:rPr>
                <w:noProof/>
              </w:rPr>
              <w:t>0</w:t>
            </w:r>
          </w:p>
        </w:tc>
        <w:tc>
          <w:tcPr>
            <w:tcW w:w="872" w:type="dxa"/>
            <w:shd w:val="clear" w:color="auto" w:fill="C6EFCE"/>
            <w:noWrap/>
          </w:tcPr>
          <w:p w14:paraId="5429C720" w14:textId="77777777" w:rsidR="003F46B9" w:rsidRDefault="0065662E">
            <w:pPr>
              <w:pStyle w:val="P68B1DB1-Normal5"/>
              <w:spacing w:after="0" w:line="240" w:lineRule="auto"/>
              <w:rPr>
                <w:rFonts w:eastAsia="Times New Roman" w:cs="Times New Roman"/>
                <w:noProof/>
              </w:rPr>
            </w:pPr>
            <w:r>
              <w:rPr>
                <w:noProof/>
              </w:rPr>
              <w:t>800</w:t>
            </w:r>
          </w:p>
        </w:tc>
        <w:tc>
          <w:tcPr>
            <w:tcW w:w="1082" w:type="dxa"/>
            <w:shd w:val="clear" w:color="auto" w:fill="C6EFCE"/>
            <w:noWrap/>
          </w:tcPr>
          <w:p w14:paraId="61C8E646"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20" w:type="dxa"/>
            <w:shd w:val="clear" w:color="auto" w:fill="C6EFCE"/>
            <w:noWrap/>
          </w:tcPr>
          <w:p w14:paraId="7336E87D" w14:textId="77777777" w:rsidR="003F46B9" w:rsidRDefault="0065662E">
            <w:pPr>
              <w:pStyle w:val="P68B1DB1-Normal5"/>
              <w:spacing w:after="0" w:line="240" w:lineRule="auto"/>
              <w:jc w:val="center"/>
              <w:rPr>
                <w:rFonts w:eastAsia="Times New Roman" w:cs="Times New Roman"/>
                <w:noProof/>
              </w:rPr>
            </w:pPr>
            <w:r>
              <w:rPr>
                <w:noProof/>
              </w:rPr>
              <w:t>2025</w:t>
            </w:r>
          </w:p>
        </w:tc>
        <w:tc>
          <w:tcPr>
            <w:tcW w:w="3168" w:type="dxa"/>
            <w:shd w:val="clear" w:color="auto" w:fill="C6EFCE"/>
            <w:noWrap/>
          </w:tcPr>
          <w:p w14:paraId="1C81F42E" w14:textId="77777777" w:rsidR="003F46B9" w:rsidRDefault="0065662E">
            <w:pPr>
              <w:pStyle w:val="P68B1DB1-Normal5"/>
              <w:spacing w:after="0" w:line="240" w:lineRule="auto"/>
              <w:jc w:val="both"/>
              <w:rPr>
                <w:rFonts w:cs="Times New Roman"/>
                <w:noProof/>
              </w:rPr>
            </w:pPr>
            <w:r>
              <w:rPr>
                <w:noProof/>
              </w:rPr>
              <w:t>Glavno tajništvo Vlade provodi godišnje tečajeve osposobljavanja za osoblje organizacija civilnog društva kako bi se povećali njih</w:t>
            </w:r>
            <w:r>
              <w:rPr>
                <w:noProof/>
              </w:rPr>
              <w:t>ovi kapaciteti i vještine za učinkovito sudjelovanje u postupcima javnog savjetovanja. Cilj je osposobljavanja upotreba digitalne platforme e-consultare.gov.ro, kao i drugih mehanizama/postupaka predviđenih pravnim okvirom.</w:t>
            </w:r>
          </w:p>
          <w:p w14:paraId="40814A6C" w14:textId="77777777" w:rsidR="003F46B9" w:rsidRDefault="003F46B9">
            <w:pPr>
              <w:spacing w:after="0" w:line="240" w:lineRule="auto"/>
              <w:jc w:val="both"/>
              <w:rPr>
                <w:rFonts w:ascii="Times New Roman" w:hAnsi="Times New Roman" w:cs="Times New Roman"/>
                <w:noProof/>
                <w:sz w:val="24"/>
              </w:rPr>
            </w:pPr>
          </w:p>
          <w:p w14:paraId="3B10F68A" w14:textId="77777777" w:rsidR="003F46B9" w:rsidRDefault="003F46B9">
            <w:pPr>
              <w:spacing w:after="0" w:line="240" w:lineRule="auto"/>
              <w:rPr>
                <w:rFonts w:ascii="Times New Roman" w:eastAsia="Times New Roman" w:hAnsi="Times New Roman" w:cs="Times New Roman"/>
                <w:noProof/>
                <w:sz w:val="24"/>
              </w:rPr>
            </w:pPr>
          </w:p>
        </w:tc>
      </w:tr>
      <w:tr w:rsidR="003F46B9" w14:paraId="7E09D643" w14:textId="77777777">
        <w:trPr>
          <w:trHeight w:val="309"/>
        </w:trPr>
        <w:tc>
          <w:tcPr>
            <w:tcW w:w="822" w:type="dxa"/>
            <w:shd w:val="clear" w:color="auto" w:fill="C6EFCE"/>
            <w:noWrap/>
          </w:tcPr>
          <w:p w14:paraId="5DEC6F10" w14:textId="77777777" w:rsidR="003F46B9" w:rsidRDefault="0065662E">
            <w:pPr>
              <w:pStyle w:val="P68B1DB1-Normal5"/>
              <w:spacing w:after="0" w:line="240" w:lineRule="auto"/>
              <w:jc w:val="center"/>
              <w:rPr>
                <w:rFonts w:eastAsia="Times New Roman" w:cs="Times New Roman"/>
                <w:noProof/>
              </w:rPr>
            </w:pPr>
            <w:r>
              <w:rPr>
                <w:noProof/>
              </w:rPr>
              <w:t>407</w:t>
            </w:r>
          </w:p>
        </w:tc>
        <w:tc>
          <w:tcPr>
            <w:tcW w:w="2391" w:type="dxa"/>
            <w:shd w:val="clear" w:color="auto" w:fill="C6EFCE"/>
            <w:noWrap/>
          </w:tcPr>
          <w:p w14:paraId="526D99FE" w14:textId="77777777" w:rsidR="003F46B9" w:rsidRDefault="0065662E">
            <w:pPr>
              <w:pStyle w:val="P68B1DB1-Normal5"/>
              <w:spacing w:after="0" w:line="240" w:lineRule="auto"/>
              <w:jc w:val="both"/>
              <w:rPr>
                <w:rFonts w:eastAsia="Times New Roman"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im razinama uprave</w:t>
            </w:r>
          </w:p>
        </w:tc>
        <w:tc>
          <w:tcPr>
            <w:tcW w:w="1226" w:type="dxa"/>
            <w:shd w:val="clear" w:color="auto" w:fill="C6EFCE"/>
            <w:noWrap/>
          </w:tcPr>
          <w:p w14:paraId="51B995AA" w14:textId="77777777" w:rsidR="003F46B9" w:rsidRDefault="0065662E">
            <w:pPr>
              <w:pStyle w:val="P68B1DB1-Normal5"/>
              <w:spacing w:after="0" w:line="240" w:lineRule="auto"/>
              <w:rPr>
                <w:rFonts w:eastAsia="Times New Roman" w:cs="Times New Roman"/>
                <w:noProof/>
              </w:rPr>
            </w:pPr>
            <w:r>
              <w:rPr>
                <w:noProof/>
              </w:rPr>
              <w:t>Ciljna</w:t>
            </w:r>
          </w:p>
        </w:tc>
        <w:tc>
          <w:tcPr>
            <w:tcW w:w="1495" w:type="dxa"/>
            <w:shd w:val="clear" w:color="auto" w:fill="C6EFCE"/>
            <w:noWrap/>
          </w:tcPr>
          <w:p w14:paraId="57AF8647" w14:textId="77777777" w:rsidR="003F46B9" w:rsidRDefault="0065662E">
            <w:pPr>
              <w:pStyle w:val="P68B1DB1-Normal5"/>
              <w:spacing w:after="0" w:line="240" w:lineRule="auto"/>
              <w:jc w:val="both"/>
              <w:rPr>
                <w:rFonts w:cs="Times New Roman"/>
                <w:noProof/>
              </w:rPr>
            </w:pPr>
            <w:r>
              <w:rPr>
                <w:noProof/>
              </w:rPr>
              <w:t>Postupak javnog savjetovanja i uključivanja zainteresiranih dionika poboljšao se povećanjem broja nacrta zakonodavnih akata za 20 % koji podliježu javnom savjetovanju i uključivanjem dionika na središnjoj razini</w:t>
            </w:r>
          </w:p>
          <w:p w14:paraId="03BF44BD" w14:textId="77777777" w:rsidR="003F46B9" w:rsidRDefault="003F46B9">
            <w:pPr>
              <w:spacing w:after="0" w:line="240" w:lineRule="auto"/>
              <w:jc w:val="both"/>
              <w:rPr>
                <w:rFonts w:ascii="Times New Roman" w:hAnsi="Times New Roman" w:cs="Times New Roman"/>
                <w:noProof/>
                <w:sz w:val="24"/>
              </w:rPr>
            </w:pPr>
          </w:p>
          <w:p w14:paraId="5BBCAC33" w14:textId="77777777" w:rsidR="003F46B9" w:rsidRDefault="003F46B9">
            <w:pPr>
              <w:spacing w:after="0" w:line="240" w:lineRule="auto"/>
              <w:jc w:val="both"/>
              <w:rPr>
                <w:rFonts w:ascii="Times New Roman" w:eastAsia="Times New Roman" w:hAnsi="Times New Roman" w:cs="Times New Roman"/>
                <w:noProof/>
                <w:sz w:val="24"/>
              </w:rPr>
            </w:pPr>
          </w:p>
        </w:tc>
        <w:tc>
          <w:tcPr>
            <w:tcW w:w="1547" w:type="dxa"/>
            <w:shd w:val="clear" w:color="auto" w:fill="C6EFCE"/>
            <w:noWrap/>
          </w:tcPr>
          <w:p w14:paraId="7026FA70" w14:textId="77777777" w:rsidR="003F46B9" w:rsidRDefault="003F46B9">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226299B1" w14:textId="77777777" w:rsidR="003F46B9" w:rsidRDefault="0065662E">
            <w:pPr>
              <w:pStyle w:val="P68B1DB1-Normal5"/>
              <w:spacing w:after="0" w:line="240" w:lineRule="auto"/>
              <w:rPr>
                <w:rFonts w:eastAsia="Times New Roman" w:cs="Times New Roman"/>
                <w:noProof/>
              </w:rPr>
            </w:pPr>
            <w:r>
              <w:rPr>
                <w:noProof/>
              </w:rPr>
              <w:t>Postotak (%)</w:t>
            </w:r>
          </w:p>
        </w:tc>
        <w:tc>
          <w:tcPr>
            <w:tcW w:w="1109" w:type="dxa"/>
            <w:shd w:val="clear" w:color="auto" w:fill="C6EFCE"/>
            <w:noWrap/>
          </w:tcPr>
          <w:p w14:paraId="3BAEF0A5" w14:textId="77777777" w:rsidR="003F46B9" w:rsidRDefault="0065662E">
            <w:pPr>
              <w:pStyle w:val="P68B1DB1-Normal5"/>
              <w:spacing w:after="0" w:line="240" w:lineRule="auto"/>
              <w:rPr>
                <w:rFonts w:eastAsia="Times New Roman" w:cs="Times New Roman"/>
                <w:noProof/>
              </w:rPr>
            </w:pPr>
            <w:r>
              <w:rPr>
                <w:noProof/>
              </w:rPr>
              <w:t xml:space="preserve">0 </w:t>
            </w:r>
            <w:r>
              <w:rPr>
                <w:noProof/>
              </w:rPr>
              <w:t>[2020.]</w:t>
            </w:r>
          </w:p>
        </w:tc>
        <w:tc>
          <w:tcPr>
            <w:tcW w:w="872" w:type="dxa"/>
            <w:shd w:val="clear" w:color="auto" w:fill="C6EFCE"/>
            <w:noWrap/>
          </w:tcPr>
          <w:p w14:paraId="4152BF82" w14:textId="77777777" w:rsidR="003F46B9" w:rsidRDefault="0065662E">
            <w:pPr>
              <w:pStyle w:val="P68B1DB1-Normal5"/>
              <w:spacing w:after="0" w:line="240" w:lineRule="auto"/>
              <w:jc w:val="both"/>
              <w:rPr>
                <w:rFonts w:cs="Times New Roman"/>
                <w:noProof/>
              </w:rPr>
            </w:pPr>
            <w:r>
              <w:rPr>
                <w:noProof/>
              </w:rPr>
              <w:t>20</w:t>
            </w:r>
          </w:p>
        </w:tc>
        <w:tc>
          <w:tcPr>
            <w:tcW w:w="1082" w:type="dxa"/>
            <w:shd w:val="clear" w:color="auto" w:fill="C6EFCE"/>
            <w:noWrap/>
          </w:tcPr>
          <w:p w14:paraId="1E89C8B4"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26E55924" w14:textId="77777777" w:rsidR="003F46B9" w:rsidRDefault="0065662E">
            <w:pPr>
              <w:pStyle w:val="P68B1DB1-Normal5"/>
              <w:spacing w:after="0" w:line="240" w:lineRule="auto"/>
              <w:jc w:val="center"/>
              <w:rPr>
                <w:rFonts w:eastAsia="Times New Roman" w:cs="Times New Roman"/>
                <w:noProof/>
              </w:rPr>
            </w:pPr>
            <w:r>
              <w:rPr>
                <w:noProof/>
              </w:rPr>
              <w:t>2026</w:t>
            </w:r>
          </w:p>
        </w:tc>
        <w:tc>
          <w:tcPr>
            <w:tcW w:w="3168" w:type="dxa"/>
            <w:shd w:val="clear" w:color="auto" w:fill="C6EFCE"/>
            <w:noWrap/>
          </w:tcPr>
          <w:p w14:paraId="479972F3" w14:textId="77777777" w:rsidR="003F46B9" w:rsidRDefault="0065662E">
            <w:pPr>
              <w:pStyle w:val="P68B1DB1-Normal5"/>
              <w:spacing w:after="0" w:line="240" w:lineRule="auto"/>
              <w:jc w:val="both"/>
              <w:rPr>
                <w:rFonts w:cs="Times New Roman"/>
                <w:noProof/>
              </w:rPr>
            </w:pPr>
            <w:r>
              <w:rPr>
                <w:noProof/>
              </w:rPr>
              <w:t>Kako bi se povećala kvaliteta postupka savjetovanja, uz osposobljavanje za predstavnike organizacija civilnog društva (predviđeno u okviru cilja 406), provodi se niz aktivnosti kako slijedi:</w:t>
            </w:r>
          </w:p>
          <w:p w14:paraId="64DBA8F2"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Donosi se ažurirani pravni okvir za s</w:t>
            </w:r>
            <w:r>
              <w:rPr>
                <w:noProof/>
              </w:rPr>
              <w:t>tandardizaciju provedbe propisa u području javnih savjetovanja i slobodnog pristupa informacijama od javnog interesa.</w:t>
            </w:r>
          </w:p>
          <w:p w14:paraId="59ED2F7E"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Postojeća IT platforma www.e-consultare.gov.ro proširuje se kako bi služila kao informacijski portal „sve na jednom mjestu” na državnoj ra</w:t>
            </w:r>
            <w:r>
              <w:rPr>
                <w:noProof/>
              </w:rPr>
              <w:t>zini za građane o mogućnostima sudjelovanja te kao alat za praćenje i ocjenjivanje godišnjeg napretka.</w:t>
            </w:r>
          </w:p>
          <w:p w14:paraId="7B43DDF8"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Uspostavljaju se programi osposobljavanja/metodološka potpora za pojednostavnjenje provedbe propisa u području javnih savjetovanja i slobodnog pristupa i</w:t>
            </w:r>
            <w:r>
              <w:rPr>
                <w:noProof/>
              </w:rPr>
              <w:t>nformacijama od javnog interesa za državne službenike iz središnjih (ministarstva) i lokalnih vlasti (žurna vijeća i općine).</w:t>
            </w:r>
          </w:p>
          <w:p w14:paraId="75A77431"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 xml:space="preserve">Donosi se strategija otvorene vlasti. </w:t>
            </w:r>
          </w:p>
          <w:p w14:paraId="34217ACE"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Uspostavljaju se programi osposobljavanja/metodološka potpora za provedbu načela otvorene v</w:t>
            </w:r>
            <w:r>
              <w:rPr>
                <w:noProof/>
              </w:rPr>
              <w:t>lasti za državne službenike iz središnjih (ministarstva) i lokalnih vlasti (žurna vijeća i općine).</w:t>
            </w:r>
          </w:p>
          <w:p w14:paraId="0371062F" w14:textId="77777777" w:rsidR="003F46B9" w:rsidRDefault="0065662E">
            <w:pPr>
              <w:pStyle w:val="P68B1DB1-Normal5"/>
              <w:numPr>
                <w:ilvl w:val="0"/>
                <w:numId w:val="100"/>
              </w:numPr>
              <w:spacing w:after="0" w:line="240" w:lineRule="auto"/>
              <w:ind w:left="189" w:hanging="189"/>
              <w:jc w:val="both"/>
              <w:rPr>
                <w:rFonts w:cs="Times New Roman"/>
                <w:noProof/>
              </w:rPr>
            </w:pPr>
            <w:r>
              <w:rPr>
                <w:noProof/>
              </w:rPr>
              <w:t xml:space="preserve">Objavljuju se godišnja izvješća o napretku s dodatnim smjernicama i preporukama. </w:t>
            </w:r>
          </w:p>
          <w:p w14:paraId="2206E848" w14:textId="77777777" w:rsidR="003F46B9" w:rsidRDefault="0065662E">
            <w:pPr>
              <w:pStyle w:val="P68B1DB1-Normal5"/>
              <w:spacing w:after="0" w:line="240" w:lineRule="auto"/>
              <w:jc w:val="both"/>
              <w:rPr>
                <w:rFonts w:eastAsia="Times New Roman" w:cs="Times New Roman"/>
                <w:noProof/>
              </w:rPr>
            </w:pPr>
            <w:r>
              <w:rPr>
                <w:noProof/>
              </w:rPr>
              <w:t xml:space="preserve">Postizanje tog cilja temelji se na pokazateljima utvrđenima u prikazu (dio godišnje procjene napretka). </w:t>
            </w:r>
          </w:p>
        </w:tc>
      </w:tr>
      <w:tr w:rsidR="003F46B9" w14:paraId="17EB4EA9" w14:textId="77777777">
        <w:trPr>
          <w:trHeight w:val="309"/>
        </w:trPr>
        <w:tc>
          <w:tcPr>
            <w:tcW w:w="822" w:type="dxa"/>
            <w:shd w:val="clear" w:color="auto" w:fill="C6EFCE"/>
            <w:noWrap/>
          </w:tcPr>
          <w:p w14:paraId="5A6DCCD0" w14:textId="77777777" w:rsidR="003F46B9" w:rsidRDefault="0065662E">
            <w:pPr>
              <w:pStyle w:val="P68B1DB1-Normal5"/>
              <w:spacing w:after="0" w:line="240" w:lineRule="auto"/>
              <w:jc w:val="center"/>
              <w:rPr>
                <w:rFonts w:eastAsia="Times New Roman" w:cs="Times New Roman"/>
                <w:noProof/>
              </w:rPr>
            </w:pPr>
            <w:r>
              <w:rPr>
                <w:noProof/>
              </w:rPr>
              <w:t>408</w:t>
            </w:r>
          </w:p>
        </w:tc>
        <w:tc>
          <w:tcPr>
            <w:tcW w:w="2391" w:type="dxa"/>
            <w:shd w:val="clear" w:color="auto" w:fill="C6EFCE"/>
            <w:noWrap/>
          </w:tcPr>
          <w:p w14:paraId="415726CC" w14:textId="77777777" w:rsidR="003F46B9" w:rsidRDefault="0065662E">
            <w:pPr>
              <w:pStyle w:val="P68B1DB1-Normal5"/>
              <w:spacing w:after="0" w:line="240" w:lineRule="auto"/>
              <w:jc w:val="both"/>
              <w:rPr>
                <w:rFonts w:eastAsia="Times New Roman" w:cs="Times New Roman"/>
                <w:noProof/>
              </w:rPr>
            </w:pPr>
            <w:r>
              <w:rPr>
                <w:noProof/>
              </w:rPr>
              <w:t xml:space="preserve">Reforma 1. Povećanje predvidljivosti i učinkovitosti postupaka donošenja odluka jačanjem kapaciteta za koordinaciju politika i analizu učinka na </w:t>
            </w:r>
            <w:r>
              <w:rPr>
                <w:noProof/>
              </w:rPr>
              <w:t>razini vlade i koordinacijskih ministarstava te jačanjem alata za povećanje kvalitete javnih savjetovanja na svim razinama uprave</w:t>
            </w:r>
          </w:p>
        </w:tc>
        <w:tc>
          <w:tcPr>
            <w:tcW w:w="1226" w:type="dxa"/>
            <w:shd w:val="clear" w:color="auto" w:fill="C6EFCE"/>
            <w:noWrap/>
          </w:tcPr>
          <w:p w14:paraId="477834C7" w14:textId="77777777" w:rsidR="003F46B9" w:rsidRDefault="0065662E">
            <w:pPr>
              <w:pStyle w:val="P68B1DB1-Normal5"/>
              <w:spacing w:after="0" w:line="240" w:lineRule="auto"/>
              <w:rPr>
                <w:rFonts w:eastAsia="Times New Roman" w:cs="Times New Roman"/>
                <w:noProof/>
              </w:rPr>
            </w:pPr>
            <w:r>
              <w:rPr>
                <w:noProof/>
              </w:rPr>
              <w:t>Ciljna</w:t>
            </w:r>
          </w:p>
        </w:tc>
        <w:tc>
          <w:tcPr>
            <w:tcW w:w="1495" w:type="dxa"/>
            <w:shd w:val="clear" w:color="auto" w:fill="C6EFCE"/>
            <w:noWrap/>
          </w:tcPr>
          <w:p w14:paraId="698D99DF" w14:textId="77777777" w:rsidR="003F46B9" w:rsidRDefault="0065662E">
            <w:pPr>
              <w:pStyle w:val="P68B1DB1-Normal5"/>
              <w:spacing w:after="0" w:line="240" w:lineRule="auto"/>
              <w:jc w:val="both"/>
              <w:rPr>
                <w:rFonts w:cs="Times New Roman"/>
                <w:noProof/>
              </w:rPr>
            </w:pPr>
            <w:r>
              <w:rPr>
                <w:noProof/>
              </w:rPr>
              <w:t>25 % alata za prezentaciju i motivaciju ispunjava utvrđene kriterije kvalitete (tj. ocjenjuju se na izvrsnoj ili zadovo</w:t>
            </w:r>
            <w:r>
              <w:rPr>
                <w:noProof/>
              </w:rPr>
              <w:t xml:space="preserve">ljavajućoj razini) u skladu s vladinom metodologijom </w:t>
            </w:r>
          </w:p>
        </w:tc>
        <w:tc>
          <w:tcPr>
            <w:tcW w:w="1547" w:type="dxa"/>
            <w:shd w:val="clear" w:color="auto" w:fill="C6EFCE"/>
            <w:noWrap/>
          </w:tcPr>
          <w:p w14:paraId="7854E935"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4" w:type="dxa"/>
            <w:shd w:val="clear" w:color="auto" w:fill="C6EFCE"/>
            <w:noWrap/>
          </w:tcPr>
          <w:p w14:paraId="6C83975A" w14:textId="77777777" w:rsidR="003F46B9" w:rsidRDefault="0065662E">
            <w:pPr>
              <w:pStyle w:val="P68B1DB1-Normal5"/>
              <w:spacing w:after="0" w:line="240" w:lineRule="auto"/>
              <w:rPr>
                <w:rFonts w:eastAsia="Times New Roman" w:cs="Times New Roman"/>
                <w:noProof/>
              </w:rPr>
            </w:pPr>
            <w:r>
              <w:rPr>
                <w:noProof/>
              </w:rPr>
              <w:t>Postotak (%)</w:t>
            </w:r>
          </w:p>
        </w:tc>
        <w:tc>
          <w:tcPr>
            <w:tcW w:w="1109" w:type="dxa"/>
            <w:shd w:val="clear" w:color="auto" w:fill="C6EFCE"/>
            <w:noWrap/>
          </w:tcPr>
          <w:p w14:paraId="0F5256B4" w14:textId="77777777" w:rsidR="003F46B9" w:rsidRDefault="0065662E">
            <w:pPr>
              <w:pStyle w:val="P68B1DB1-Normal5"/>
              <w:spacing w:after="0" w:line="240" w:lineRule="auto"/>
              <w:rPr>
                <w:rFonts w:eastAsia="Times New Roman" w:cs="Times New Roman"/>
                <w:noProof/>
              </w:rPr>
            </w:pPr>
            <w:r>
              <w:rPr>
                <w:noProof/>
              </w:rPr>
              <w:t>10</w:t>
            </w:r>
          </w:p>
        </w:tc>
        <w:tc>
          <w:tcPr>
            <w:tcW w:w="872" w:type="dxa"/>
            <w:shd w:val="clear" w:color="auto" w:fill="C6EFCE"/>
            <w:noWrap/>
          </w:tcPr>
          <w:p w14:paraId="64D4E65E" w14:textId="77777777" w:rsidR="003F46B9" w:rsidRDefault="0065662E">
            <w:pPr>
              <w:pStyle w:val="P68B1DB1-Normal5"/>
              <w:spacing w:after="0" w:line="240" w:lineRule="auto"/>
              <w:rPr>
                <w:rFonts w:eastAsia="Times New Roman" w:cs="Times New Roman"/>
                <w:noProof/>
              </w:rPr>
            </w:pPr>
            <w:r>
              <w:rPr>
                <w:noProof/>
              </w:rPr>
              <w:t>25</w:t>
            </w:r>
          </w:p>
        </w:tc>
        <w:tc>
          <w:tcPr>
            <w:tcW w:w="1082" w:type="dxa"/>
            <w:shd w:val="clear" w:color="auto" w:fill="C6EFCE"/>
            <w:noWrap/>
          </w:tcPr>
          <w:p w14:paraId="5696A014" w14:textId="77777777" w:rsidR="003F46B9" w:rsidRDefault="0065662E">
            <w:pPr>
              <w:pStyle w:val="P68B1DB1-Normal5"/>
              <w:spacing w:after="0" w:line="240" w:lineRule="auto"/>
              <w:jc w:val="center"/>
              <w:rPr>
                <w:rFonts w:eastAsia="Times New Roman" w:cs="Times New Roman"/>
                <w:noProof/>
              </w:rPr>
            </w:pPr>
            <w:r>
              <w:rPr>
                <w:noProof/>
              </w:rPr>
              <w:t>ČETVRTO TROMJESEČJE</w:t>
            </w:r>
          </w:p>
        </w:tc>
        <w:tc>
          <w:tcPr>
            <w:tcW w:w="820" w:type="dxa"/>
            <w:shd w:val="clear" w:color="auto" w:fill="C6EFCE"/>
            <w:noWrap/>
          </w:tcPr>
          <w:p w14:paraId="6B8809BD" w14:textId="77777777" w:rsidR="003F46B9" w:rsidRDefault="0065662E">
            <w:pPr>
              <w:pStyle w:val="P68B1DB1-Normal5"/>
              <w:spacing w:after="0" w:line="240" w:lineRule="auto"/>
              <w:jc w:val="center"/>
              <w:rPr>
                <w:rFonts w:eastAsia="Times New Roman" w:cs="Times New Roman"/>
                <w:noProof/>
              </w:rPr>
            </w:pPr>
            <w:r>
              <w:rPr>
                <w:noProof/>
              </w:rPr>
              <w:t>2024</w:t>
            </w:r>
          </w:p>
        </w:tc>
        <w:tc>
          <w:tcPr>
            <w:tcW w:w="3168" w:type="dxa"/>
            <w:shd w:val="clear" w:color="auto" w:fill="C6EFCE"/>
            <w:noWrap/>
          </w:tcPr>
          <w:p w14:paraId="5CEA75C5" w14:textId="77777777" w:rsidR="003F46B9" w:rsidRDefault="0065662E">
            <w:pPr>
              <w:pStyle w:val="P68B1DB1-Normal5"/>
              <w:spacing w:after="0" w:line="240" w:lineRule="auto"/>
              <w:jc w:val="both"/>
              <w:rPr>
                <w:rFonts w:cs="Times New Roman"/>
                <w:noProof/>
              </w:rPr>
            </w:pPr>
            <w:r>
              <w:rPr>
                <w:noProof/>
              </w:rPr>
              <w:t>Kvaliteta zakonodavstva procjenjuje se na temelju kriterija utvrđenih u prvom godišnjem izvješću Glavnog tajništva Vlade o procjeni regulatornog učinka done</w:t>
            </w:r>
            <w:r>
              <w:rPr>
                <w:noProof/>
              </w:rPr>
              <w:t xml:space="preserve">senoj 2019. Polazna vrijednost za 2019. iznosila je 10 %, tj. broj alata za prezentaciju i motivaciju ispunjava utvrđene kriterije kvalitete (tj. ocijenjeni su na izvrsnoj ili zadovoljavajućoj razini). </w:t>
            </w:r>
          </w:p>
          <w:p w14:paraId="29B4E5CD" w14:textId="77777777" w:rsidR="003F46B9" w:rsidRDefault="0065662E">
            <w:pPr>
              <w:pStyle w:val="P68B1DB1-Normal5"/>
              <w:spacing w:after="0" w:line="240" w:lineRule="auto"/>
              <w:jc w:val="both"/>
              <w:rPr>
                <w:rFonts w:cs="Times New Roman"/>
                <w:noProof/>
              </w:rPr>
            </w:pPr>
            <w:r>
              <w:rPr>
                <w:noProof/>
              </w:rPr>
              <w:t>Postoje četiri razine kvalitete: izvrsna, zadovoljava</w:t>
            </w:r>
            <w:r>
              <w:rPr>
                <w:noProof/>
              </w:rPr>
              <w:t>juća, djelomično zadovoljavajuća i nezadovoljena.</w:t>
            </w:r>
          </w:p>
          <w:p w14:paraId="1BE0BE25" w14:textId="77777777" w:rsidR="003F46B9" w:rsidRDefault="0065662E">
            <w:pPr>
              <w:pStyle w:val="P68B1DB1-Normal5"/>
              <w:spacing w:after="0" w:line="240" w:lineRule="auto"/>
              <w:jc w:val="both"/>
              <w:rPr>
                <w:rFonts w:eastAsia="Times New Roman" w:cs="Times New Roman"/>
                <w:noProof/>
              </w:rPr>
            </w:pPr>
            <w:r>
              <w:rPr>
                <w:noProof/>
              </w:rPr>
              <w:t>U srednjoročnom razdoblju to poduzima nadzorni odbor (što se odražava u ključnoj etapi 404).</w:t>
            </w:r>
          </w:p>
        </w:tc>
      </w:tr>
      <w:tr w:rsidR="003F46B9" w14:paraId="085C0754" w14:textId="77777777">
        <w:trPr>
          <w:trHeight w:val="309"/>
        </w:trPr>
        <w:tc>
          <w:tcPr>
            <w:tcW w:w="822" w:type="dxa"/>
            <w:shd w:val="clear" w:color="auto" w:fill="C6EFCE"/>
            <w:noWrap/>
          </w:tcPr>
          <w:p w14:paraId="39356C3B" w14:textId="77777777" w:rsidR="003F46B9" w:rsidRDefault="0065662E">
            <w:pPr>
              <w:pStyle w:val="P68B1DB1-Normal5"/>
              <w:spacing w:after="0" w:line="240" w:lineRule="auto"/>
              <w:jc w:val="center"/>
              <w:rPr>
                <w:rFonts w:eastAsia="Times New Roman" w:cs="Times New Roman"/>
                <w:noProof/>
              </w:rPr>
            </w:pPr>
            <w:r>
              <w:rPr>
                <w:noProof/>
              </w:rPr>
              <w:t>409</w:t>
            </w:r>
          </w:p>
        </w:tc>
        <w:tc>
          <w:tcPr>
            <w:tcW w:w="2391" w:type="dxa"/>
            <w:shd w:val="clear" w:color="auto" w:fill="C6EFCE"/>
            <w:noWrap/>
          </w:tcPr>
          <w:p w14:paraId="5185EE2C" w14:textId="77777777" w:rsidR="003F46B9" w:rsidRDefault="0065662E">
            <w:pPr>
              <w:pStyle w:val="P68B1DB1-Normal5"/>
              <w:spacing w:after="0" w:line="240" w:lineRule="auto"/>
              <w:jc w:val="both"/>
              <w:rPr>
                <w:rFonts w:eastAsia="Times New Roman"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im razinama uprave</w:t>
            </w:r>
          </w:p>
        </w:tc>
        <w:tc>
          <w:tcPr>
            <w:tcW w:w="1226" w:type="dxa"/>
            <w:shd w:val="clear" w:color="auto" w:fill="C6EFCE"/>
            <w:noWrap/>
          </w:tcPr>
          <w:p w14:paraId="1A0EE68D" w14:textId="77777777" w:rsidR="003F46B9" w:rsidRDefault="0065662E">
            <w:pPr>
              <w:pStyle w:val="P68B1DB1-Normal5"/>
              <w:spacing w:after="0" w:line="240" w:lineRule="auto"/>
              <w:rPr>
                <w:rFonts w:eastAsia="Times New Roman" w:cs="Times New Roman"/>
                <w:noProof/>
              </w:rPr>
            </w:pPr>
            <w:r>
              <w:rPr>
                <w:noProof/>
              </w:rPr>
              <w:t>Ciljna</w:t>
            </w:r>
          </w:p>
        </w:tc>
        <w:tc>
          <w:tcPr>
            <w:tcW w:w="1495" w:type="dxa"/>
            <w:shd w:val="clear" w:color="auto" w:fill="C6EFCE"/>
            <w:noWrap/>
          </w:tcPr>
          <w:p w14:paraId="48AF7D86" w14:textId="77777777" w:rsidR="003F46B9" w:rsidRDefault="0065662E">
            <w:pPr>
              <w:pStyle w:val="P68B1DB1-Normal5"/>
              <w:spacing w:after="0" w:line="240" w:lineRule="auto"/>
              <w:jc w:val="both"/>
              <w:rPr>
                <w:rFonts w:eastAsia="Times New Roman" w:cs="Times New Roman"/>
                <w:noProof/>
              </w:rPr>
            </w:pPr>
            <w:r>
              <w:rPr>
                <w:noProof/>
              </w:rPr>
              <w:t>Najmanje 50 % predloženih zakonodavnih inicijativa uključenih u godišnji plan rada Vlade (GAWP), odobrenih u zadanom roku</w:t>
            </w:r>
          </w:p>
        </w:tc>
        <w:tc>
          <w:tcPr>
            <w:tcW w:w="1547" w:type="dxa"/>
            <w:shd w:val="clear" w:color="auto" w:fill="C6EFCE"/>
            <w:noWrap/>
          </w:tcPr>
          <w:p w14:paraId="0F6F5067" w14:textId="77777777" w:rsidR="003F46B9" w:rsidRDefault="0065662E">
            <w:pPr>
              <w:pStyle w:val="P68B1DB1-Normal5"/>
              <w:spacing w:after="0" w:line="240" w:lineRule="auto"/>
              <w:jc w:val="both"/>
              <w:rPr>
                <w:rFonts w:eastAsia="Times New Roman" w:cs="Times New Roman"/>
                <w:noProof/>
              </w:rPr>
            </w:pPr>
            <w:r>
              <w:rPr>
                <w:noProof/>
              </w:rPr>
              <w:t xml:space="preserve"> </w:t>
            </w:r>
          </w:p>
        </w:tc>
        <w:tc>
          <w:tcPr>
            <w:tcW w:w="1344" w:type="dxa"/>
            <w:shd w:val="clear" w:color="auto" w:fill="C6EFCE"/>
            <w:noWrap/>
          </w:tcPr>
          <w:p w14:paraId="3C6C4746" w14:textId="77777777" w:rsidR="003F46B9" w:rsidRDefault="0065662E">
            <w:pPr>
              <w:pStyle w:val="P68B1DB1-Normal5"/>
              <w:spacing w:after="0" w:line="240" w:lineRule="auto"/>
              <w:rPr>
                <w:rFonts w:eastAsia="Times New Roman" w:cs="Times New Roman"/>
                <w:noProof/>
              </w:rPr>
            </w:pPr>
            <w:r>
              <w:rPr>
                <w:noProof/>
              </w:rPr>
              <w:t>Postotak (%)</w:t>
            </w:r>
          </w:p>
        </w:tc>
        <w:tc>
          <w:tcPr>
            <w:tcW w:w="1109" w:type="dxa"/>
            <w:shd w:val="clear" w:color="auto" w:fill="C6EFCE"/>
            <w:noWrap/>
          </w:tcPr>
          <w:p w14:paraId="20F729B0" w14:textId="77777777" w:rsidR="003F46B9" w:rsidRDefault="0065662E">
            <w:pPr>
              <w:pStyle w:val="P68B1DB1-Normal5"/>
              <w:spacing w:after="0" w:line="240" w:lineRule="auto"/>
              <w:rPr>
                <w:rFonts w:eastAsia="Times New Roman" w:cs="Times New Roman"/>
                <w:noProof/>
              </w:rPr>
            </w:pPr>
            <w:r>
              <w:rPr>
                <w:noProof/>
              </w:rPr>
              <w:t>35</w:t>
            </w:r>
          </w:p>
        </w:tc>
        <w:tc>
          <w:tcPr>
            <w:tcW w:w="872" w:type="dxa"/>
            <w:shd w:val="clear" w:color="auto" w:fill="C6EFCE"/>
            <w:noWrap/>
          </w:tcPr>
          <w:p w14:paraId="450715EF" w14:textId="77777777" w:rsidR="003F46B9" w:rsidRDefault="0065662E">
            <w:pPr>
              <w:pStyle w:val="P68B1DB1-Normal5"/>
              <w:spacing w:after="0" w:line="240" w:lineRule="auto"/>
              <w:rPr>
                <w:rFonts w:eastAsia="Times New Roman" w:cs="Times New Roman"/>
                <w:noProof/>
              </w:rPr>
            </w:pPr>
            <w:r>
              <w:rPr>
                <w:noProof/>
              </w:rPr>
              <w:t>50</w:t>
            </w:r>
          </w:p>
        </w:tc>
        <w:tc>
          <w:tcPr>
            <w:tcW w:w="1082" w:type="dxa"/>
            <w:shd w:val="clear" w:color="auto" w:fill="C6EFCE"/>
            <w:noWrap/>
          </w:tcPr>
          <w:p w14:paraId="3BE1593A" w14:textId="77777777" w:rsidR="003F46B9" w:rsidRDefault="0065662E">
            <w:pPr>
              <w:pStyle w:val="P68B1DB1-Normal5"/>
              <w:spacing w:after="0" w:line="240" w:lineRule="auto"/>
              <w:jc w:val="center"/>
              <w:rPr>
                <w:rFonts w:eastAsia="Times New Roman" w:cs="Times New Roman"/>
                <w:noProof/>
              </w:rPr>
            </w:pPr>
            <w:r>
              <w:rPr>
                <w:noProof/>
              </w:rPr>
              <w:t>TROMJESEČJE</w:t>
            </w:r>
          </w:p>
        </w:tc>
        <w:tc>
          <w:tcPr>
            <w:tcW w:w="820" w:type="dxa"/>
            <w:shd w:val="clear" w:color="auto" w:fill="C6EFCE"/>
            <w:noWrap/>
          </w:tcPr>
          <w:p w14:paraId="4F28D305" w14:textId="77777777" w:rsidR="003F46B9" w:rsidRDefault="0065662E">
            <w:pPr>
              <w:pStyle w:val="P68B1DB1-Normal5"/>
              <w:spacing w:after="0" w:line="240" w:lineRule="auto"/>
              <w:jc w:val="center"/>
              <w:rPr>
                <w:rFonts w:eastAsia="Times New Roman" w:cs="Times New Roman"/>
                <w:noProof/>
              </w:rPr>
            </w:pPr>
            <w:r>
              <w:rPr>
                <w:noProof/>
              </w:rPr>
              <w:t>2026</w:t>
            </w:r>
          </w:p>
        </w:tc>
        <w:tc>
          <w:tcPr>
            <w:tcW w:w="3168" w:type="dxa"/>
            <w:shd w:val="clear" w:color="auto" w:fill="C6EFCE"/>
            <w:noWrap/>
          </w:tcPr>
          <w:p w14:paraId="6C34558F" w14:textId="77777777" w:rsidR="003F46B9" w:rsidRDefault="0065662E">
            <w:pPr>
              <w:pStyle w:val="P68B1DB1-Normal5"/>
              <w:spacing w:after="0" w:line="240" w:lineRule="auto"/>
              <w:jc w:val="both"/>
              <w:rPr>
                <w:rFonts w:cs="Times New Roman"/>
                <w:noProof/>
              </w:rPr>
            </w:pPr>
            <w:r>
              <w:rPr>
                <w:noProof/>
              </w:rPr>
              <w:t>Najmanje 50 % predloženih zakonodavnih inicijativa uključenih u godišn</w:t>
            </w:r>
            <w:r>
              <w:rPr>
                <w:noProof/>
              </w:rPr>
              <w:t>ji plan rada Vlade odobrava se u roku utvrđenom za tu inicijativu u GAWP-u. GAWP-om se utvrđuje zakonodavni program vlade (tj. predložene zakonodavne intervencije za godinu u cijeloj vladi). Cilj je dvojak: i) poduprijeti usklađeno i izvedivo zakonodavno p</w:t>
            </w:r>
            <w:r>
              <w:rPr>
                <w:noProof/>
              </w:rPr>
              <w:t>laniranje i ii. povećati provedbene kapacitete vlade kako bi se zakonodavni prioriteti slijedili i odobravali kako je prvotno planirano.</w:t>
            </w:r>
          </w:p>
          <w:p w14:paraId="2EC33A9F" w14:textId="77777777" w:rsidR="003F46B9" w:rsidRDefault="0065662E">
            <w:pPr>
              <w:pStyle w:val="P68B1DB1-Normal5"/>
              <w:spacing w:after="0" w:line="240" w:lineRule="auto"/>
              <w:jc w:val="both"/>
              <w:rPr>
                <w:rFonts w:cs="Times New Roman"/>
                <w:noProof/>
              </w:rPr>
            </w:pPr>
            <w:r>
              <w:rPr>
                <w:noProof/>
              </w:rPr>
              <w:t>Procjena tog cilja provodi se s obzirom na osnovnu vrijednost od 35 % (tj. razina odobrenja inicijativa za 2020. u utvr</w:t>
            </w:r>
            <w:r>
              <w:rPr>
                <w:noProof/>
              </w:rPr>
              <w:t xml:space="preserve">đenom roku). </w:t>
            </w:r>
          </w:p>
          <w:p w14:paraId="12ACC05A"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1C28DA2F" w14:textId="77777777">
        <w:trPr>
          <w:trHeight w:val="309"/>
        </w:trPr>
        <w:tc>
          <w:tcPr>
            <w:tcW w:w="822" w:type="dxa"/>
            <w:shd w:val="clear" w:color="auto" w:fill="C6EFCE"/>
            <w:noWrap/>
          </w:tcPr>
          <w:p w14:paraId="4D91D1B2" w14:textId="77777777" w:rsidR="003F46B9" w:rsidRDefault="0065662E">
            <w:pPr>
              <w:pStyle w:val="P68B1DB1-Normal5"/>
              <w:spacing w:after="0" w:line="240" w:lineRule="auto"/>
              <w:jc w:val="center"/>
              <w:rPr>
                <w:rFonts w:eastAsia="Times New Roman" w:cs="Times New Roman"/>
                <w:noProof/>
              </w:rPr>
            </w:pPr>
            <w:r>
              <w:rPr>
                <w:noProof/>
              </w:rPr>
              <w:t>410</w:t>
            </w:r>
          </w:p>
        </w:tc>
        <w:tc>
          <w:tcPr>
            <w:tcW w:w="2391" w:type="dxa"/>
            <w:shd w:val="clear" w:color="auto" w:fill="C6EFCE"/>
            <w:noWrap/>
          </w:tcPr>
          <w:p w14:paraId="6E266BA2" w14:textId="77777777" w:rsidR="003F46B9" w:rsidRDefault="0065662E">
            <w:pPr>
              <w:pStyle w:val="P68B1DB1-Normal5"/>
              <w:spacing w:after="0" w:line="240" w:lineRule="auto"/>
              <w:jc w:val="both"/>
              <w:rPr>
                <w:rFonts w:cs="Times New Roman"/>
                <w:noProof/>
              </w:rPr>
            </w:pPr>
            <w:r>
              <w:rPr>
                <w:noProof/>
              </w:rPr>
              <w:t xml:space="preserve">Reforma 1. Povećanje predvidljivosti i učinkovitosti postupaka donošenja odluka jačanjem kapaciteta za koordinaciju politika i analizu učinka na </w:t>
            </w:r>
            <w:r>
              <w:rPr>
                <w:noProof/>
              </w:rPr>
              <w:t xml:space="preserve">razini vlade i koordinacijskih ministarstava te jačanjem alata za povećanje kvalitete javnih savjetovanja na svim razinama uprave </w:t>
            </w:r>
          </w:p>
        </w:tc>
        <w:tc>
          <w:tcPr>
            <w:tcW w:w="1226" w:type="dxa"/>
            <w:shd w:val="clear" w:color="auto" w:fill="C6EFCE"/>
            <w:noWrap/>
          </w:tcPr>
          <w:p w14:paraId="52FC1B1D"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2CA90BB7" w14:textId="77777777" w:rsidR="003F46B9" w:rsidRDefault="0065662E">
            <w:pPr>
              <w:pStyle w:val="P68B1DB1-Normal5"/>
              <w:spacing w:after="0" w:line="240" w:lineRule="auto"/>
              <w:jc w:val="both"/>
              <w:rPr>
                <w:rFonts w:cs="Times New Roman"/>
                <w:noProof/>
              </w:rPr>
            </w:pPr>
            <w:bookmarkStart w:id="11" w:name="_Hlk80360690"/>
            <w:r>
              <w:rPr>
                <w:noProof/>
              </w:rPr>
              <w:t>Stupanje na snagu smjernica za odgovarajuću upotrebu i provedbu jedinstvenog registra transparentnosti interesa (</w:t>
            </w:r>
            <w:r>
              <w:rPr>
                <w:noProof/>
              </w:rPr>
              <w:t>RUTI)</w:t>
            </w:r>
            <w:bookmarkEnd w:id="11"/>
          </w:p>
        </w:tc>
        <w:tc>
          <w:tcPr>
            <w:tcW w:w="1547" w:type="dxa"/>
            <w:shd w:val="clear" w:color="auto" w:fill="C6EFCE"/>
            <w:noWrap/>
          </w:tcPr>
          <w:p w14:paraId="6C333FB3" w14:textId="77777777" w:rsidR="003F46B9" w:rsidRDefault="0065662E">
            <w:pPr>
              <w:pStyle w:val="P68B1DB1-Normal5"/>
              <w:spacing w:after="0" w:line="240" w:lineRule="auto"/>
              <w:jc w:val="both"/>
              <w:rPr>
                <w:rFonts w:cs="Times New Roman"/>
                <w:noProof/>
              </w:rPr>
            </w:pPr>
            <w:r>
              <w:rPr>
                <w:noProof/>
              </w:rPr>
              <w:t>Odredba u smjernicama u kojoj se navodi stupanje na snagu smjernica za upotrebu i provedbu RUTI-ja</w:t>
            </w:r>
          </w:p>
        </w:tc>
        <w:tc>
          <w:tcPr>
            <w:tcW w:w="1344" w:type="dxa"/>
            <w:shd w:val="clear" w:color="auto" w:fill="C6EFCE"/>
            <w:noWrap/>
          </w:tcPr>
          <w:p w14:paraId="051F962A"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27D07E89"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049306DE"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177B35DD"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6CCE1023"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384DF90A" w14:textId="77777777" w:rsidR="003F46B9" w:rsidRDefault="0065662E">
            <w:pPr>
              <w:pStyle w:val="P68B1DB1-Normal5"/>
              <w:spacing w:after="0" w:line="240" w:lineRule="auto"/>
              <w:jc w:val="both"/>
              <w:rPr>
                <w:rFonts w:cs="Times New Roman"/>
                <w:noProof/>
              </w:rPr>
            </w:pPr>
            <w:r>
              <w:rPr>
                <w:noProof/>
              </w:rPr>
              <w:t xml:space="preserve">Smjernicama i povezanim postupcima pravilno se provodi javni registar koji je Vlada uspostavila 2016. i u kojem se navode sastanci (vladinih) donositelja odluka s predstavnicima interesnih skupina te služi kao dobrovoljan registar interesnih skupina. </w:t>
            </w:r>
          </w:p>
          <w:p w14:paraId="2257C4E2" w14:textId="77777777" w:rsidR="003F46B9" w:rsidRDefault="003F46B9">
            <w:pPr>
              <w:spacing w:after="0" w:line="240" w:lineRule="auto"/>
              <w:rPr>
                <w:rFonts w:ascii="Times New Roman" w:hAnsi="Times New Roman" w:cs="Times New Roman"/>
                <w:noProof/>
                <w:sz w:val="24"/>
              </w:rPr>
            </w:pPr>
          </w:p>
        </w:tc>
      </w:tr>
      <w:tr w:rsidR="003F46B9" w14:paraId="44629F90" w14:textId="77777777">
        <w:trPr>
          <w:trHeight w:val="309"/>
        </w:trPr>
        <w:tc>
          <w:tcPr>
            <w:tcW w:w="822" w:type="dxa"/>
            <w:shd w:val="clear" w:color="auto" w:fill="C6EFCE"/>
            <w:noWrap/>
          </w:tcPr>
          <w:p w14:paraId="66470CDF" w14:textId="77777777" w:rsidR="003F46B9" w:rsidRDefault="0065662E">
            <w:pPr>
              <w:pStyle w:val="P68B1DB1-Normal5"/>
              <w:spacing w:after="0" w:line="240" w:lineRule="auto"/>
              <w:jc w:val="center"/>
              <w:rPr>
                <w:rFonts w:eastAsia="Times New Roman" w:cs="Times New Roman"/>
                <w:noProof/>
              </w:rPr>
            </w:pPr>
            <w:r>
              <w:rPr>
                <w:noProof/>
              </w:rPr>
              <w:t>411</w:t>
            </w:r>
          </w:p>
        </w:tc>
        <w:tc>
          <w:tcPr>
            <w:tcW w:w="2391" w:type="dxa"/>
            <w:shd w:val="clear" w:color="auto" w:fill="C6EFCE"/>
            <w:noWrap/>
          </w:tcPr>
          <w:p w14:paraId="4EC5B202" w14:textId="77777777" w:rsidR="003F46B9" w:rsidRDefault="0065662E">
            <w:pPr>
              <w:pStyle w:val="P68B1DB1-Normal5"/>
              <w:spacing w:after="0" w:line="240" w:lineRule="auto"/>
              <w:jc w:val="both"/>
              <w:rPr>
                <w:rFonts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 xml:space="preserve">im razinama uprave </w:t>
            </w:r>
          </w:p>
          <w:p w14:paraId="114ADF41" w14:textId="77777777" w:rsidR="003F46B9" w:rsidRDefault="003F46B9">
            <w:pPr>
              <w:spacing w:after="0" w:line="240" w:lineRule="auto"/>
              <w:jc w:val="both"/>
              <w:rPr>
                <w:rFonts w:ascii="Times New Roman" w:hAnsi="Times New Roman" w:cs="Times New Roman"/>
                <w:noProof/>
                <w:sz w:val="24"/>
              </w:rPr>
            </w:pPr>
          </w:p>
          <w:p w14:paraId="00638301" w14:textId="77777777" w:rsidR="003F46B9" w:rsidRDefault="003F46B9">
            <w:pPr>
              <w:spacing w:after="0" w:line="240" w:lineRule="auto"/>
              <w:jc w:val="both"/>
              <w:rPr>
                <w:rFonts w:ascii="Times New Roman" w:hAnsi="Times New Roman" w:cs="Times New Roman"/>
                <w:noProof/>
                <w:sz w:val="24"/>
              </w:rPr>
            </w:pPr>
          </w:p>
        </w:tc>
        <w:tc>
          <w:tcPr>
            <w:tcW w:w="1226" w:type="dxa"/>
            <w:shd w:val="clear" w:color="auto" w:fill="C6EFCE"/>
            <w:noWrap/>
          </w:tcPr>
          <w:p w14:paraId="04A56E4C"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5984FE2D" w14:textId="77777777" w:rsidR="003F46B9" w:rsidRDefault="0065662E">
            <w:pPr>
              <w:pStyle w:val="P68B1DB1-Normal5"/>
              <w:spacing w:after="0" w:line="240" w:lineRule="auto"/>
              <w:jc w:val="both"/>
              <w:rPr>
                <w:rFonts w:cs="Times New Roman"/>
                <w:noProof/>
              </w:rPr>
            </w:pPr>
            <w:bookmarkStart w:id="12" w:name="_Hlk80360706"/>
            <w:r>
              <w:rPr>
                <w:noProof/>
              </w:rPr>
              <w:t>Stupanje na snagu Metodologije za primjenu hitnih propisa</w:t>
            </w:r>
            <w:bookmarkEnd w:id="12"/>
          </w:p>
        </w:tc>
        <w:tc>
          <w:tcPr>
            <w:tcW w:w="1547" w:type="dxa"/>
            <w:shd w:val="clear" w:color="auto" w:fill="C6EFCE"/>
            <w:noWrap/>
          </w:tcPr>
          <w:p w14:paraId="5E17DEC5" w14:textId="77777777" w:rsidR="003F46B9" w:rsidRDefault="0065662E">
            <w:pPr>
              <w:pStyle w:val="P68B1DB1-Normal5"/>
              <w:spacing w:after="0" w:line="240" w:lineRule="auto"/>
              <w:jc w:val="both"/>
              <w:rPr>
                <w:rFonts w:cs="Times New Roman"/>
                <w:noProof/>
              </w:rPr>
            </w:pPr>
            <w:r>
              <w:rPr>
                <w:noProof/>
              </w:rPr>
              <w:t xml:space="preserve">Odredba Odluke Vlade o stupanju na snagu metodologije za primjenu hitnih propisa </w:t>
            </w:r>
          </w:p>
        </w:tc>
        <w:tc>
          <w:tcPr>
            <w:tcW w:w="1344" w:type="dxa"/>
            <w:shd w:val="clear" w:color="auto" w:fill="C6EFCE"/>
            <w:noWrap/>
          </w:tcPr>
          <w:p w14:paraId="54CA1E21"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68F2CDC6"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45CD1373"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676FF98B"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4DC5305F"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20DD956A" w14:textId="77777777" w:rsidR="003F46B9" w:rsidRDefault="0065662E">
            <w:pPr>
              <w:pStyle w:val="P68B1DB1-Normal5"/>
              <w:spacing w:after="0" w:line="240" w:lineRule="auto"/>
              <w:jc w:val="both"/>
              <w:rPr>
                <w:rFonts w:cs="Times New Roman"/>
                <w:noProof/>
              </w:rPr>
            </w:pPr>
            <w:r>
              <w:rPr>
                <w:noProof/>
              </w:rPr>
              <w:t>U Odluci Vlade o metodologiji za primjenu hitnih propisa (Eos)</w:t>
            </w:r>
            <w:r>
              <w:rPr>
                <w:noProof/>
              </w:rPr>
              <w:t xml:space="preserve"> navode se okolnosti u kojima se ta rješenja mogu koristiti i način procjene njihova učinka (ex post, ex ante), kao i povezani postupci za njihovu pripremu i odobravanje te uloga Glavnog tajništva Vlade i Ministarstva pravosuđa u osiguravanju nadzora i opć</w:t>
            </w:r>
            <w:r>
              <w:rPr>
                <w:noProof/>
              </w:rPr>
              <w:t xml:space="preserve">e kontrole kvalitete. </w:t>
            </w:r>
          </w:p>
          <w:p w14:paraId="6FB9C25F" w14:textId="77777777" w:rsidR="003F46B9" w:rsidRDefault="003F46B9">
            <w:pPr>
              <w:spacing w:after="0" w:line="240" w:lineRule="auto"/>
              <w:jc w:val="both"/>
              <w:rPr>
                <w:rFonts w:ascii="Times New Roman" w:hAnsi="Times New Roman" w:cs="Times New Roman"/>
                <w:noProof/>
                <w:sz w:val="24"/>
              </w:rPr>
            </w:pPr>
          </w:p>
        </w:tc>
      </w:tr>
      <w:tr w:rsidR="003F46B9" w14:paraId="57BECA90" w14:textId="77777777">
        <w:trPr>
          <w:trHeight w:val="309"/>
        </w:trPr>
        <w:tc>
          <w:tcPr>
            <w:tcW w:w="822" w:type="dxa"/>
            <w:shd w:val="clear" w:color="auto" w:fill="C6EFCE"/>
            <w:noWrap/>
          </w:tcPr>
          <w:p w14:paraId="16902444" w14:textId="77777777" w:rsidR="003F46B9" w:rsidRDefault="0065662E">
            <w:pPr>
              <w:pStyle w:val="P68B1DB1-Normal5"/>
              <w:spacing w:after="0" w:line="240" w:lineRule="auto"/>
              <w:jc w:val="center"/>
              <w:rPr>
                <w:rFonts w:eastAsia="Times New Roman" w:cs="Times New Roman"/>
                <w:noProof/>
              </w:rPr>
            </w:pPr>
            <w:r>
              <w:rPr>
                <w:noProof/>
              </w:rPr>
              <w:t>412</w:t>
            </w:r>
          </w:p>
        </w:tc>
        <w:tc>
          <w:tcPr>
            <w:tcW w:w="2391" w:type="dxa"/>
            <w:shd w:val="clear" w:color="auto" w:fill="C6EFCE"/>
            <w:noWrap/>
          </w:tcPr>
          <w:p w14:paraId="32CC0D16" w14:textId="77777777" w:rsidR="003F46B9" w:rsidRDefault="0065662E">
            <w:pPr>
              <w:pStyle w:val="P68B1DB1-Normal5"/>
              <w:spacing w:after="0" w:line="240" w:lineRule="auto"/>
              <w:jc w:val="both"/>
              <w:rPr>
                <w:rFonts w:cs="Times New Roman"/>
                <w:noProof/>
              </w:rPr>
            </w:pPr>
            <w:r>
              <w:rPr>
                <w:noProof/>
              </w:rPr>
              <w:t>Reforma 1. Povećanje predvidljivosti i učinkovitosti postupaka donošenja odluka jačanjem kapaciteta za koordinaciju politika i analizu učinka na razini vlade i koordinacijskih ministarstava te jačanjem alata za povećanje kvalitete javnih savjetovanja na sv</w:t>
            </w:r>
            <w:r>
              <w:rPr>
                <w:noProof/>
              </w:rPr>
              <w:t xml:space="preserve">im razinama uprave </w:t>
            </w:r>
          </w:p>
        </w:tc>
        <w:tc>
          <w:tcPr>
            <w:tcW w:w="1226" w:type="dxa"/>
            <w:shd w:val="clear" w:color="auto" w:fill="C6EFCE"/>
            <w:noWrap/>
          </w:tcPr>
          <w:p w14:paraId="591ECA4D"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0D43C67D" w14:textId="77777777" w:rsidR="003F46B9" w:rsidRDefault="0065662E">
            <w:pPr>
              <w:pStyle w:val="P68B1DB1-Normal5"/>
              <w:spacing w:after="0" w:line="240" w:lineRule="auto"/>
              <w:jc w:val="both"/>
              <w:rPr>
                <w:rFonts w:cs="Times New Roman"/>
                <w:noProof/>
              </w:rPr>
            </w:pPr>
            <w:bookmarkStart w:id="13" w:name="_Hlk80360715"/>
            <w:r>
              <w:rPr>
                <w:noProof/>
              </w:rPr>
              <w:t>Stupanje na snagu zakonodavnih izmjena kako bi se osigurala objava cjelovitog teksta zakona nakon izmjena</w:t>
            </w:r>
            <w:bookmarkEnd w:id="13"/>
          </w:p>
        </w:tc>
        <w:tc>
          <w:tcPr>
            <w:tcW w:w="1547" w:type="dxa"/>
            <w:shd w:val="clear" w:color="auto" w:fill="C6EFCE"/>
            <w:noWrap/>
          </w:tcPr>
          <w:p w14:paraId="7C226D11" w14:textId="77777777" w:rsidR="003F46B9" w:rsidRDefault="0065662E">
            <w:pPr>
              <w:pStyle w:val="P68B1DB1-Normal5"/>
              <w:spacing w:after="0" w:line="240" w:lineRule="auto"/>
              <w:jc w:val="both"/>
              <w:rPr>
                <w:rFonts w:cs="Times New Roman"/>
                <w:noProof/>
              </w:rPr>
            </w:pPr>
            <w:r>
              <w:rPr>
                <w:noProof/>
              </w:rPr>
              <w:t xml:space="preserve">Odredba u zakonu u kojoj se navodi stupanje na snagu zakona za objavu cjelovitog teksta zakona nakon izmjena </w:t>
            </w:r>
          </w:p>
        </w:tc>
        <w:tc>
          <w:tcPr>
            <w:tcW w:w="1344" w:type="dxa"/>
            <w:shd w:val="clear" w:color="auto" w:fill="C6EFCE"/>
            <w:noWrap/>
          </w:tcPr>
          <w:p w14:paraId="4FBF2634"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73296AA2"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16ECCF93"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15E404A9" w14:textId="77777777" w:rsidR="003F46B9" w:rsidRDefault="0065662E">
            <w:pPr>
              <w:pStyle w:val="P68B1DB1-Normal5"/>
              <w:spacing w:after="0" w:line="240" w:lineRule="auto"/>
              <w:jc w:val="center"/>
              <w:rPr>
                <w:rFonts w:cs="Times New Roman"/>
                <w:noProof/>
              </w:rPr>
            </w:pPr>
            <w:r>
              <w:rPr>
                <w:noProof/>
              </w:rPr>
              <w:t>TROMJ</w:t>
            </w:r>
            <w:r>
              <w:rPr>
                <w:noProof/>
              </w:rPr>
              <w:t>ESEČJE</w:t>
            </w:r>
          </w:p>
        </w:tc>
        <w:tc>
          <w:tcPr>
            <w:tcW w:w="820" w:type="dxa"/>
            <w:shd w:val="clear" w:color="auto" w:fill="C6EFCE"/>
            <w:noWrap/>
          </w:tcPr>
          <w:p w14:paraId="67937B18"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1FE62E4C" w14:textId="77777777" w:rsidR="003F46B9" w:rsidRDefault="0065662E">
            <w:pPr>
              <w:pStyle w:val="P68B1DB1-Normal5"/>
              <w:spacing w:after="0" w:line="240" w:lineRule="auto"/>
              <w:jc w:val="both"/>
              <w:rPr>
                <w:rFonts w:cs="Times New Roman"/>
                <w:noProof/>
              </w:rPr>
            </w:pPr>
            <w:r>
              <w:rPr>
                <w:noProof/>
              </w:rPr>
              <w:t xml:space="preserve">Izmjenama Zakona 24/2000 o zakonodavnoj tehnici osigurava se objava cjelovitog teksta zakona nakon izmjena koje se trenutačno ne provode sustavno. </w:t>
            </w:r>
          </w:p>
          <w:p w14:paraId="5C8AE6A2" w14:textId="77777777" w:rsidR="003F46B9" w:rsidRDefault="003F46B9">
            <w:pPr>
              <w:spacing w:after="0" w:line="240" w:lineRule="auto"/>
              <w:rPr>
                <w:rFonts w:ascii="Times New Roman" w:hAnsi="Times New Roman" w:cs="Times New Roman"/>
                <w:noProof/>
                <w:sz w:val="24"/>
              </w:rPr>
            </w:pPr>
          </w:p>
        </w:tc>
      </w:tr>
      <w:tr w:rsidR="003F46B9" w14:paraId="142D8555" w14:textId="77777777">
        <w:trPr>
          <w:trHeight w:val="309"/>
        </w:trPr>
        <w:tc>
          <w:tcPr>
            <w:tcW w:w="822" w:type="dxa"/>
            <w:shd w:val="clear" w:color="auto" w:fill="C6EFCE"/>
            <w:noWrap/>
          </w:tcPr>
          <w:p w14:paraId="4D6DDDDD" w14:textId="77777777" w:rsidR="003F46B9" w:rsidRDefault="0065662E">
            <w:pPr>
              <w:pStyle w:val="P68B1DB1-Normal5"/>
              <w:spacing w:after="0" w:line="240" w:lineRule="auto"/>
              <w:jc w:val="center"/>
              <w:rPr>
                <w:rFonts w:eastAsia="Times New Roman" w:cs="Times New Roman"/>
                <w:noProof/>
              </w:rPr>
            </w:pPr>
            <w:r>
              <w:rPr>
                <w:noProof/>
              </w:rPr>
              <w:t>413</w:t>
            </w:r>
          </w:p>
        </w:tc>
        <w:tc>
          <w:tcPr>
            <w:tcW w:w="2391" w:type="dxa"/>
            <w:shd w:val="clear" w:color="auto" w:fill="C6EFCE"/>
            <w:noWrap/>
          </w:tcPr>
          <w:p w14:paraId="0AE5422D" w14:textId="0217BE92" w:rsidR="003F46B9" w:rsidRDefault="0065662E">
            <w:pPr>
              <w:pStyle w:val="P68B1DB1-Normal5"/>
              <w:spacing w:after="0" w:line="240" w:lineRule="auto"/>
              <w:jc w:val="both"/>
              <w:rPr>
                <w:rFonts w:cs="Times New Roman"/>
                <w:noProof/>
              </w:rPr>
            </w:pPr>
            <w:r>
              <w:rPr>
                <w:noProof/>
              </w:rPr>
              <w:t xml:space="preserve">Reforma 2. Jačanje koordinacije u središtu vlasti integriranim i dosljednim pristupom klimatskim promjenama i inicijativama za održivi razvoj </w:t>
            </w:r>
          </w:p>
        </w:tc>
        <w:tc>
          <w:tcPr>
            <w:tcW w:w="1226" w:type="dxa"/>
            <w:shd w:val="clear" w:color="auto" w:fill="C6EFCE"/>
            <w:noWrap/>
          </w:tcPr>
          <w:p w14:paraId="1828787D" w14:textId="77777777" w:rsidR="003F46B9" w:rsidRDefault="0065662E">
            <w:pPr>
              <w:pStyle w:val="P68B1DB1-Normal5"/>
              <w:spacing w:after="0" w:line="240" w:lineRule="auto"/>
              <w:rPr>
                <w:rFonts w:cs="Times New Roman"/>
                <w:noProof/>
              </w:rPr>
            </w:pPr>
            <w:r>
              <w:rPr>
                <w:noProof/>
              </w:rPr>
              <w:t xml:space="preserve">Prekretnica </w:t>
            </w:r>
          </w:p>
        </w:tc>
        <w:tc>
          <w:tcPr>
            <w:tcW w:w="1495" w:type="dxa"/>
            <w:shd w:val="clear" w:color="auto" w:fill="C6EFCE"/>
            <w:noWrap/>
          </w:tcPr>
          <w:p w14:paraId="63A31977" w14:textId="77777777" w:rsidR="003F46B9" w:rsidRDefault="0065662E">
            <w:pPr>
              <w:pStyle w:val="P68B1DB1-Normal5"/>
              <w:spacing w:after="0" w:line="240" w:lineRule="auto"/>
              <w:jc w:val="both"/>
              <w:rPr>
                <w:rFonts w:cs="Times New Roman"/>
                <w:noProof/>
              </w:rPr>
            </w:pPr>
            <w:r>
              <w:rPr>
                <w:noProof/>
              </w:rPr>
              <w:t xml:space="preserve">Operacionalizacija Međuinstitucijskog odbora za klimu </w:t>
            </w:r>
          </w:p>
        </w:tc>
        <w:tc>
          <w:tcPr>
            <w:tcW w:w="1547" w:type="dxa"/>
            <w:shd w:val="clear" w:color="auto" w:fill="C6EFCE"/>
            <w:noWrap/>
          </w:tcPr>
          <w:p w14:paraId="0314E411" w14:textId="77777777" w:rsidR="003F46B9" w:rsidRDefault="0065662E">
            <w:pPr>
              <w:pStyle w:val="P68B1DB1-Normal5"/>
              <w:spacing w:after="0" w:line="240" w:lineRule="auto"/>
              <w:jc w:val="both"/>
              <w:rPr>
                <w:rFonts w:cs="Times New Roman"/>
                <w:noProof/>
              </w:rPr>
            </w:pPr>
            <w:r>
              <w:rPr>
                <w:noProof/>
              </w:rPr>
              <w:t>Međuinstitucijski odbor za klimu operacionali</w:t>
            </w:r>
            <w:r>
              <w:rPr>
                <w:noProof/>
              </w:rPr>
              <w:t>ziran</w:t>
            </w:r>
          </w:p>
        </w:tc>
        <w:tc>
          <w:tcPr>
            <w:tcW w:w="1344" w:type="dxa"/>
            <w:shd w:val="clear" w:color="auto" w:fill="C6EFCE"/>
            <w:noWrap/>
          </w:tcPr>
          <w:p w14:paraId="537E20FD"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28C46853"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11E2FD8A"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4C255240"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4ED14727"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4DA37E35" w14:textId="77777777" w:rsidR="003F46B9" w:rsidRDefault="0065662E">
            <w:pPr>
              <w:pStyle w:val="P68B1DB1-Normal5"/>
              <w:spacing w:after="0" w:line="240" w:lineRule="auto"/>
              <w:jc w:val="both"/>
              <w:rPr>
                <w:rFonts w:cs="Times New Roman"/>
                <w:noProof/>
              </w:rPr>
            </w:pPr>
            <w:r>
              <w:rPr>
                <w:noProof/>
              </w:rPr>
              <w:t>Odbor za klimatske promjene usredotočit će se, u skladu sa svojim predloženim mandatom, na i. utvrđivanje godišnjih prioritetnih politika u području klimatskih promjena u skladu s ciljevima europskog zelenog plana i rasporedom ko</w:t>
            </w:r>
            <w:r>
              <w:rPr>
                <w:noProof/>
              </w:rPr>
              <w:t>ji je Rumunjska preuzela u okviru integriranog nacionalnog plana za energetiku i klimatske promjene (PNIESC), ii. koordinaciju, praćenje i evaluaciju tijela nadležnih za provedbu politika i mjera u aktivnostima PNIESC-a, iii. odobravanje pokazatelja za mje</w:t>
            </w:r>
            <w:r>
              <w:rPr>
                <w:noProof/>
              </w:rPr>
              <w:t>renje klimatskih obveza Rumunjske. Prioriteti Odbora određuju se i donose na njegovim sastancima, a oni mogu biti zakonodavne, financijske ili fiskalne prirode, povezani s razvojem javnih politika za zelena ulaganja ili utvrđivanjem metodološkog ili admini</w:t>
            </w:r>
            <w:r>
              <w:rPr>
                <w:noProof/>
              </w:rPr>
              <w:t xml:space="preserve">strativnog okvira. Vlada svake godine službeno odobrava prioritete, a donosi se akcijski plan o koracima za postizanje svakog predloženog prioriteta, jasnim rokovima za provedbu za svaki korak i za odgovorne institucije. </w:t>
            </w:r>
          </w:p>
        </w:tc>
      </w:tr>
      <w:tr w:rsidR="003F46B9" w14:paraId="7C531673" w14:textId="77777777">
        <w:trPr>
          <w:trHeight w:val="309"/>
        </w:trPr>
        <w:tc>
          <w:tcPr>
            <w:tcW w:w="822" w:type="dxa"/>
            <w:shd w:val="clear" w:color="auto" w:fill="C6EFCE"/>
            <w:noWrap/>
          </w:tcPr>
          <w:p w14:paraId="3160CBB2" w14:textId="77777777" w:rsidR="003F46B9" w:rsidRDefault="0065662E">
            <w:pPr>
              <w:pStyle w:val="P68B1DB1-Normal5"/>
              <w:spacing w:after="0" w:line="240" w:lineRule="auto"/>
              <w:jc w:val="center"/>
              <w:rPr>
                <w:rFonts w:eastAsia="Times New Roman" w:cs="Times New Roman"/>
                <w:noProof/>
              </w:rPr>
            </w:pPr>
            <w:r>
              <w:rPr>
                <w:noProof/>
              </w:rPr>
              <w:t>414</w:t>
            </w:r>
          </w:p>
        </w:tc>
        <w:tc>
          <w:tcPr>
            <w:tcW w:w="2391" w:type="dxa"/>
            <w:shd w:val="clear" w:color="auto" w:fill="C6EFCE"/>
            <w:noWrap/>
          </w:tcPr>
          <w:p w14:paraId="69733FE2" w14:textId="77777777" w:rsidR="003F46B9" w:rsidRDefault="0065662E">
            <w:pPr>
              <w:pStyle w:val="P68B1DB1-Normal5"/>
              <w:spacing w:after="0" w:line="240" w:lineRule="auto"/>
              <w:jc w:val="both"/>
              <w:rPr>
                <w:rFonts w:cs="Times New Roman"/>
                <w:noProof/>
              </w:rPr>
            </w:pPr>
            <w:r>
              <w:rPr>
                <w:noProof/>
              </w:rPr>
              <w:t xml:space="preserve">Reforma 2. Jačanje koordinacije u središtu vlasti integriranim i dosljednim pristupom klimatskim promjenama i inicijativama za održivi razvoj </w:t>
            </w:r>
          </w:p>
        </w:tc>
        <w:tc>
          <w:tcPr>
            <w:tcW w:w="1226" w:type="dxa"/>
            <w:shd w:val="clear" w:color="auto" w:fill="C6EFCE"/>
            <w:noWrap/>
          </w:tcPr>
          <w:p w14:paraId="0566A13D"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4D44565C" w14:textId="77777777" w:rsidR="003F46B9" w:rsidRDefault="0065662E">
            <w:pPr>
              <w:pStyle w:val="P68B1DB1-Normal5"/>
              <w:spacing w:after="0" w:line="240" w:lineRule="auto"/>
              <w:jc w:val="both"/>
              <w:rPr>
                <w:rFonts w:cs="Times New Roman"/>
                <w:noProof/>
              </w:rPr>
            </w:pPr>
            <w:r>
              <w:rPr>
                <w:noProof/>
              </w:rPr>
              <w:t xml:space="preserve">Ostvarenje 90 % prioriteta koje je postavio Međuinstitucijski odbor za klimatske promjene za 2025. </w:t>
            </w:r>
          </w:p>
        </w:tc>
        <w:tc>
          <w:tcPr>
            <w:tcW w:w="1547" w:type="dxa"/>
            <w:shd w:val="clear" w:color="auto" w:fill="C6EFCE"/>
            <w:noWrap/>
          </w:tcPr>
          <w:p w14:paraId="51B1DFE9"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FE7DB57" w14:textId="77777777" w:rsidR="003F46B9" w:rsidRDefault="0065662E">
            <w:pPr>
              <w:pStyle w:val="P68B1DB1-Normal5"/>
              <w:spacing w:after="0" w:line="240" w:lineRule="auto"/>
              <w:rPr>
                <w:rFonts w:cs="Times New Roman"/>
                <w:noProof/>
              </w:rPr>
            </w:pPr>
            <w:r>
              <w:rPr>
                <w:noProof/>
              </w:rPr>
              <w:t>Post</w:t>
            </w:r>
            <w:r>
              <w:rPr>
                <w:noProof/>
              </w:rPr>
              <w:t>otak (%)</w:t>
            </w:r>
          </w:p>
        </w:tc>
        <w:tc>
          <w:tcPr>
            <w:tcW w:w="1109" w:type="dxa"/>
            <w:shd w:val="clear" w:color="auto" w:fill="C6EFCE"/>
            <w:noWrap/>
          </w:tcPr>
          <w:p w14:paraId="6CD66F72"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noWrap/>
          </w:tcPr>
          <w:p w14:paraId="797E5641" w14:textId="77777777" w:rsidR="003F46B9" w:rsidRDefault="0065662E">
            <w:pPr>
              <w:pStyle w:val="P68B1DB1-Normal5"/>
              <w:spacing w:after="0" w:line="240" w:lineRule="auto"/>
              <w:rPr>
                <w:rFonts w:cs="Times New Roman"/>
                <w:noProof/>
              </w:rPr>
            </w:pPr>
            <w:r>
              <w:rPr>
                <w:noProof/>
              </w:rPr>
              <w:t>90</w:t>
            </w:r>
          </w:p>
        </w:tc>
        <w:tc>
          <w:tcPr>
            <w:tcW w:w="1082" w:type="dxa"/>
            <w:shd w:val="clear" w:color="auto" w:fill="C6EFCE"/>
            <w:noWrap/>
          </w:tcPr>
          <w:p w14:paraId="7EC006E7"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27D5BF89" w14:textId="77777777" w:rsidR="003F46B9" w:rsidRDefault="0065662E">
            <w:pPr>
              <w:pStyle w:val="P68B1DB1-Normal5"/>
              <w:spacing w:after="0" w:line="240" w:lineRule="auto"/>
              <w:jc w:val="center"/>
              <w:rPr>
                <w:rFonts w:cs="Times New Roman"/>
                <w:noProof/>
              </w:rPr>
            </w:pPr>
            <w:r>
              <w:rPr>
                <w:noProof/>
              </w:rPr>
              <w:t>2026</w:t>
            </w:r>
          </w:p>
        </w:tc>
        <w:tc>
          <w:tcPr>
            <w:tcW w:w="3168" w:type="dxa"/>
            <w:shd w:val="clear" w:color="auto" w:fill="C6EFCE"/>
            <w:noWrap/>
          </w:tcPr>
          <w:p w14:paraId="4E21A8BC" w14:textId="77777777" w:rsidR="003F46B9" w:rsidRDefault="0065662E">
            <w:pPr>
              <w:pStyle w:val="P68B1DB1-Normal5"/>
              <w:spacing w:after="0" w:line="240" w:lineRule="auto"/>
              <w:jc w:val="both"/>
              <w:rPr>
                <w:rFonts w:cs="Times New Roman"/>
                <w:noProof/>
              </w:rPr>
            </w:pPr>
            <w:r>
              <w:rPr>
                <w:noProof/>
              </w:rPr>
              <w:t xml:space="preserve">Ostvarit će se 90 % prioriteta koje je utvrdio Međuinstitucijski odbor za klimatske promjene za 2025. Prioritete potvrđuje Međuinstitucijski odbor za klimatske promjene (CISC) u prosincu 2024. </w:t>
            </w:r>
          </w:p>
        </w:tc>
      </w:tr>
      <w:tr w:rsidR="003F46B9" w14:paraId="6A562663" w14:textId="77777777">
        <w:trPr>
          <w:trHeight w:val="309"/>
        </w:trPr>
        <w:tc>
          <w:tcPr>
            <w:tcW w:w="822" w:type="dxa"/>
            <w:shd w:val="clear" w:color="auto" w:fill="C6EFCE"/>
            <w:noWrap/>
          </w:tcPr>
          <w:p w14:paraId="1A913809" w14:textId="77777777" w:rsidR="003F46B9" w:rsidRDefault="0065662E">
            <w:pPr>
              <w:pStyle w:val="P68B1DB1-Normal5"/>
              <w:spacing w:after="0" w:line="240" w:lineRule="auto"/>
              <w:jc w:val="center"/>
              <w:rPr>
                <w:rFonts w:eastAsia="Times New Roman" w:cs="Times New Roman"/>
                <w:noProof/>
              </w:rPr>
            </w:pPr>
            <w:r>
              <w:rPr>
                <w:noProof/>
              </w:rPr>
              <w:t>415</w:t>
            </w:r>
          </w:p>
        </w:tc>
        <w:tc>
          <w:tcPr>
            <w:tcW w:w="2391" w:type="dxa"/>
            <w:shd w:val="clear" w:color="auto" w:fill="C6EFCE"/>
            <w:noWrap/>
          </w:tcPr>
          <w:p w14:paraId="501F674B" w14:textId="07394421" w:rsidR="003F46B9" w:rsidRDefault="0065662E">
            <w:pPr>
              <w:pStyle w:val="P68B1DB1-Normal5"/>
              <w:spacing w:after="0" w:line="240" w:lineRule="auto"/>
              <w:jc w:val="both"/>
              <w:rPr>
                <w:rFonts w:cs="Times New Roman"/>
                <w:noProof/>
              </w:rPr>
            </w:pPr>
            <w:r>
              <w:rPr>
                <w:noProof/>
              </w:rPr>
              <w:t xml:space="preserve">Reforma 2. Jačanje koordinacije u središtu vlasti integriranim i dosljednim pristupom klimatskim promjenama i inicijativama za održivi razvoj </w:t>
            </w:r>
          </w:p>
        </w:tc>
        <w:tc>
          <w:tcPr>
            <w:tcW w:w="1226" w:type="dxa"/>
            <w:shd w:val="clear" w:color="auto" w:fill="C6EFCE"/>
            <w:noWrap/>
          </w:tcPr>
          <w:p w14:paraId="5FCA80A9"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76B6BA1E" w14:textId="77777777" w:rsidR="003F46B9" w:rsidRDefault="0065662E">
            <w:pPr>
              <w:pStyle w:val="P68B1DB1-Normal5"/>
              <w:spacing w:after="0" w:line="240" w:lineRule="auto"/>
              <w:jc w:val="both"/>
              <w:rPr>
                <w:rFonts w:cs="Times New Roman"/>
                <w:noProof/>
              </w:rPr>
            </w:pPr>
            <w:r>
              <w:rPr>
                <w:noProof/>
              </w:rPr>
              <w:t>Javni službenici kvalificirani kao „stručnjaci za održivi razvoj” u javnim institucijama na središnjoj i l</w:t>
            </w:r>
            <w:r>
              <w:rPr>
                <w:noProof/>
              </w:rPr>
              <w:t>okalnoj razini</w:t>
            </w:r>
          </w:p>
        </w:tc>
        <w:tc>
          <w:tcPr>
            <w:tcW w:w="1547" w:type="dxa"/>
            <w:shd w:val="clear" w:color="auto" w:fill="C6EFCE"/>
            <w:noWrap/>
          </w:tcPr>
          <w:p w14:paraId="5B0F1239"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6C3B0253"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2ED52064"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noWrap/>
          </w:tcPr>
          <w:p w14:paraId="41486815" w14:textId="77777777" w:rsidR="003F46B9" w:rsidRDefault="0065662E">
            <w:pPr>
              <w:pStyle w:val="P68B1DB1-Normal5"/>
              <w:spacing w:after="0" w:line="240" w:lineRule="auto"/>
              <w:rPr>
                <w:rFonts w:cs="Times New Roman"/>
                <w:noProof/>
              </w:rPr>
            </w:pPr>
            <w:r>
              <w:rPr>
                <w:noProof/>
              </w:rPr>
              <w:t>2 000</w:t>
            </w:r>
          </w:p>
        </w:tc>
        <w:tc>
          <w:tcPr>
            <w:tcW w:w="1082" w:type="dxa"/>
            <w:shd w:val="clear" w:color="auto" w:fill="C6EFCE"/>
            <w:noWrap/>
          </w:tcPr>
          <w:p w14:paraId="11CDB99C"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1C565032"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364F3C52" w14:textId="77777777" w:rsidR="003F46B9" w:rsidRDefault="0065662E">
            <w:pPr>
              <w:pStyle w:val="P68B1DB1-Normal5"/>
              <w:spacing w:after="0" w:line="240" w:lineRule="auto"/>
              <w:jc w:val="both"/>
              <w:rPr>
                <w:rFonts w:cs="Times New Roman"/>
                <w:noProof/>
              </w:rPr>
            </w:pPr>
            <w:r>
              <w:rPr>
                <w:noProof/>
              </w:rPr>
              <w:t>Cilj se postiže sljedećim koracima:</w:t>
            </w:r>
          </w:p>
          <w:p w14:paraId="18C9EB6F" w14:textId="77777777" w:rsidR="003F46B9" w:rsidRDefault="0065662E">
            <w:pPr>
              <w:pStyle w:val="P68B1DB1-Normal5"/>
              <w:spacing w:after="0" w:line="240" w:lineRule="auto"/>
              <w:ind w:left="-24"/>
              <w:jc w:val="both"/>
              <w:rPr>
                <w:rFonts w:cs="Times New Roman"/>
                <w:noProof/>
              </w:rPr>
            </w:pPr>
            <w:r>
              <w:rPr>
                <w:noProof/>
              </w:rPr>
              <w:t xml:space="preserve">(1) Sastavlja se izvješće u kojem se procjenjuju potrebe i razina vještina u području održivog razvoja među javnim upravama na središnjoj i lokalnoj razini; </w:t>
            </w:r>
          </w:p>
          <w:p w14:paraId="1559CC68" w14:textId="77777777" w:rsidR="003F46B9" w:rsidRDefault="0065662E">
            <w:pPr>
              <w:pStyle w:val="P68B1DB1-Normal5"/>
              <w:spacing w:after="0" w:line="240" w:lineRule="auto"/>
              <w:ind w:left="-21"/>
              <w:jc w:val="both"/>
              <w:rPr>
                <w:rFonts w:cs="Times New Roman"/>
                <w:noProof/>
              </w:rPr>
            </w:pPr>
            <w:r>
              <w:rPr>
                <w:noProof/>
              </w:rPr>
              <w:t>(2) Donose se i</w:t>
            </w:r>
            <w:r>
              <w:rPr>
                <w:noProof/>
              </w:rPr>
              <w:t xml:space="preserve"> stupaju na snagu zakonodavne izmjene radi dopune Priloga 5. Upravnom zakoniku funkcijom „stručnjaka za održivi razvoj”;</w:t>
            </w:r>
          </w:p>
          <w:p w14:paraId="31036568" w14:textId="77777777" w:rsidR="003F46B9" w:rsidRDefault="0065662E">
            <w:pPr>
              <w:pStyle w:val="P68B1DB1-Normal5"/>
              <w:spacing w:after="0" w:line="240" w:lineRule="auto"/>
              <w:ind w:left="-21"/>
              <w:jc w:val="both"/>
              <w:rPr>
                <w:rFonts w:cs="Times New Roman"/>
                <w:noProof/>
              </w:rPr>
            </w:pPr>
            <w:r>
              <w:rPr>
                <w:noProof/>
              </w:rPr>
              <w:t>(3) Program osposobljavanja razvijaju i pružaju javne, privatne i akademske institucije.</w:t>
            </w:r>
          </w:p>
        </w:tc>
      </w:tr>
      <w:tr w:rsidR="003F46B9" w14:paraId="3249B7F6" w14:textId="77777777">
        <w:trPr>
          <w:trHeight w:val="3587"/>
        </w:trPr>
        <w:tc>
          <w:tcPr>
            <w:tcW w:w="822" w:type="dxa"/>
            <w:shd w:val="clear" w:color="auto" w:fill="C6EFCE"/>
            <w:noWrap/>
          </w:tcPr>
          <w:p w14:paraId="060B9B7B" w14:textId="77777777" w:rsidR="003F46B9" w:rsidRDefault="0065662E">
            <w:pPr>
              <w:pStyle w:val="P68B1DB1-Normal5"/>
              <w:spacing w:after="0" w:line="240" w:lineRule="auto"/>
              <w:jc w:val="center"/>
              <w:rPr>
                <w:rFonts w:eastAsia="Times New Roman" w:cs="Times New Roman"/>
                <w:noProof/>
              </w:rPr>
            </w:pPr>
            <w:r>
              <w:rPr>
                <w:noProof/>
              </w:rPr>
              <w:t>416</w:t>
            </w:r>
          </w:p>
        </w:tc>
        <w:tc>
          <w:tcPr>
            <w:tcW w:w="2391" w:type="dxa"/>
            <w:shd w:val="clear" w:color="auto" w:fill="C6EFCE"/>
            <w:noWrap/>
          </w:tcPr>
          <w:p w14:paraId="0658664C" w14:textId="77777777" w:rsidR="003F46B9" w:rsidRDefault="0065662E">
            <w:pPr>
              <w:pStyle w:val="P68B1DB1-Normal5"/>
              <w:spacing w:after="0" w:line="240" w:lineRule="auto"/>
              <w:jc w:val="both"/>
              <w:rPr>
                <w:rFonts w:cs="Times New Roman"/>
                <w:noProof/>
              </w:rPr>
            </w:pPr>
            <w:r>
              <w:rPr>
                <w:noProof/>
              </w:rPr>
              <w:t xml:space="preserve">Reforma 3. Razvoj uspješnosti upravljanja ljudskim resursima u javnom sektoru </w:t>
            </w:r>
          </w:p>
        </w:tc>
        <w:tc>
          <w:tcPr>
            <w:tcW w:w="1226" w:type="dxa"/>
            <w:shd w:val="clear" w:color="auto" w:fill="C6EFCE"/>
            <w:noWrap/>
          </w:tcPr>
          <w:p w14:paraId="08593653"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6185B0EB" w14:textId="77777777" w:rsidR="003F46B9" w:rsidRDefault="0065662E">
            <w:pPr>
              <w:pStyle w:val="P68B1DB1-Normal5"/>
              <w:spacing w:after="0" w:line="240" w:lineRule="auto"/>
              <w:jc w:val="both"/>
              <w:rPr>
                <w:rFonts w:cs="Times New Roman"/>
                <w:noProof/>
              </w:rPr>
            </w:pPr>
            <w:r>
              <w:rPr>
                <w:noProof/>
              </w:rPr>
              <w:t>Ex post analiza (pilot) nacionalnog natječaja za odabir dviju kategorija javnih službi u središnjoj upravi</w:t>
            </w:r>
          </w:p>
        </w:tc>
        <w:tc>
          <w:tcPr>
            <w:tcW w:w="1547" w:type="dxa"/>
            <w:shd w:val="clear" w:color="auto" w:fill="C6EFCE"/>
            <w:noWrap/>
          </w:tcPr>
          <w:p w14:paraId="60E10C00" w14:textId="77777777" w:rsidR="003F46B9" w:rsidRDefault="0065662E">
            <w:pPr>
              <w:pStyle w:val="P68B1DB1-Normal5"/>
              <w:spacing w:after="0" w:line="240" w:lineRule="auto"/>
              <w:jc w:val="both"/>
              <w:rPr>
                <w:rFonts w:cs="Times New Roman"/>
                <w:noProof/>
              </w:rPr>
            </w:pPr>
            <w:r>
              <w:rPr>
                <w:noProof/>
              </w:rPr>
              <w:t xml:space="preserve">Objavljeno izvješće o ex post analizi </w:t>
            </w:r>
          </w:p>
          <w:p w14:paraId="349633AB" w14:textId="77777777" w:rsidR="003F46B9" w:rsidRDefault="003F46B9">
            <w:pPr>
              <w:spacing w:after="0" w:line="240" w:lineRule="auto"/>
              <w:jc w:val="both"/>
              <w:rPr>
                <w:rFonts w:ascii="Times New Roman" w:hAnsi="Times New Roman" w:cs="Times New Roman"/>
                <w:noProof/>
                <w:sz w:val="24"/>
              </w:rPr>
            </w:pPr>
          </w:p>
        </w:tc>
        <w:tc>
          <w:tcPr>
            <w:tcW w:w="1344" w:type="dxa"/>
            <w:shd w:val="clear" w:color="auto" w:fill="C6EFCE"/>
            <w:noWrap/>
          </w:tcPr>
          <w:p w14:paraId="0148EE88"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65F38EDA"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4BBC2AEB"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0CC769FE"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5939E8F9"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1DAB7F09" w14:textId="77777777" w:rsidR="003F46B9" w:rsidRDefault="0065662E">
            <w:pPr>
              <w:pStyle w:val="P68B1DB1-Normal5"/>
              <w:spacing w:after="0" w:line="240" w:lineRule="auto"/>
              <w:jc w:val="both"/>
              <w:rPr>
                <w:rFonts w:cs="Times New Roman"/>
                <w:noProof/>
              </w:rPr>
            </w:pPr>
            <w:r>
              <w:rPr>
                <w:noProof/>
              </w:rPr>
              <w:t xml:space="preserve">Nacionalni (pilot) natječaj za odabir dviju kategorija javnih službi u središnjoj upravi organizira se i dovršava u skladu s postupcima koje je odobrila Vlada. </w:t>
            </w:r>
          </w:p>
          <w:p w14:paraId="5735494B" w14:textId="77777777" w:rsidR="003F46B9" w:rsidRDefault="0065662E">
            <w:pPr>
              <w:pStyle w:val="P68B1DB1-Normal5"/>
              <w:spacing w:after="0" w:line="240" w:lineRule="auto"/>
              <w:jc w:val="both"/>
              <w:rPr>
                <w:rFonts w:cs="Times New Roman"/>
                <w:noProof/>
              </w:rPr>
            </w:pPr>
            <w:r>
              <w:rPr>
                <w:noProof/>
              </w:rPr>
              <w:t>Nakon provedbe pilot-projekta provodi se ex post analiza rezultata i postignutog učinka ko</w:t>
            </w:r>
            <w:r>
              <w:rPr>
                <w:noProof/>
              </w:rPr>
              <w:t>ja služi za prilagodbu šireg nacionalnog natječaja za zapošljavanje.</w:t>
            </w:r>
          </w:p>
        </w:tc>
      </w:tr>
      <w:tr w:rsidR="003F46B9" w14:paraId="709E8AF3" w14:textId="77777777">
        <w:trPr>
          <w:trHeight w:val="309"/>
        </w:trPr>
        <w:tc>
          <w:tcPr>
            <w:tcW w:w="822" w:type="dxa"/>
            <w:shd w:val="clear" w:color="auto" w:fill="C6EFCE"/>
            <w:noWrap/>
          </w:tcPr>
          <w:p w14:paraId="5123198E" w14:textId="77777777" w:rsidR="003F46B9" w:rsidRDefault="0065662E">
            <w:pPr>
              <w:pStyle w:val="P68B1DB1-Normal5"/>
              <w:spacing w:after="0" w:line="240" w:lineRule="auto"/>
              <w:jc w:val="center"/>
              <w:rPr>
                <w:rFonts w:eastAsia="Times New Roman" w:cs="Times New Roman"/>
                <w:noProof/>
              </w:rPr>
            </w:pPr>
            <w:r>
              <w:rPr>
                <w:noProof/>
              </w:rPr>
              <w:t>417</w:t>
            </w:r>
          </w:p>
        </w:tc>
        <w:tc>
          <w:tcPr>
            <w:tcW w:w="2391" w:type="dxa"/>
            <w:shd w:val="clear" w:color="auto" w:fill="C6EFCE"/>
            <w:noWrap/>
          </w:tcPr>
          <w:p w14:paraId="4A983779" w14:textId="77777777" w:rsidR="003F46B9" w:rsidRDefault="0065662E">
            <w:pPr>
              <w:pStyle w:val="P68B1DB1-Normal5"/>
              <w:spacing w:after="0" w:line="240" w:lineRule="auto"/>
              <w:jc w:val="both"/>
              <w:rPr>
                <w:rFonts w:cs="Times New Roman"/>
                <w:noProof/>
              </w:rPr>
            </w:pPr>
            <w:r>
              <w:rPr>
                <w:noProof/>
              </w:rPr>
              <w:t xml:space="preserve">Reforma 3. Razvoj uspješnosti upravljanja ljudskim resursima u javnom sektoru </w:t>
            </w:r>
          </w:p>
        </w:tc>
        <w:tc>
          <w:tcPr>
            <w:tcW w:w="1226" w:type="dxa"/>
            <w:shd w:val="clear" w:color="auto" w:fill="C6EFCE"/>
            <w:noWrap/>
          </w:tcPr>
          <w:p w14:paraId="4C950375"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0BB28BEE" w14:textId="77777777" w:rsidR="003F46B9" w:rsidRDefault="0065662E">
            <w:pPr>
              <w:pStyle w:val="P68B1DB1-Normal5"/>
              <w:spacing w:after="0" w:line="240" w:lineRule="auto"/>
              <w:jc w:val="both"/>
              <w:rPr>
                <w:rFonts w:cs="Times New Roman"/>
                <w:noProof/>
              </w:rPr>
            </w:pPr>
            <w:r>
              <w:rPr>
                <w:noProof/>
              </w:rPr>
              <w:t>Završetak najmanje dva nacionalna natječaja za zapošljavanj</w:t>
            </w:r>
            <w:r>
              <w:rPr>
                <w:noProof/>
              </w:rPr>
              <w:t xml:space="preserve">e javnih službenika godišnje za najmanje tri kategorije/razreda javnih službenika </w:t>
            </w:r>
          </w:p>
        </w:tc>
        <w:tc>
          <w:tcPr>
            <w:tcW w:w="1547" w:type="dxa"/>
            <w:shd w:val="clear" w:color="auto" w:fill="C6EFCE"/>
            <w:noWrap/>
          </w:tcPr>
          <w:p w14:paraId="5BAED691" w14:textId="77777777" w:rsidR="003F46B9" w:rsidRDefault="0065662E">
            <w:pPr>
              <w:pStyle w:val="P68B1DB1-Normal5"/>
              <w:spacing w:after="0" w:line="240" w:lineRule="auto"/>
              <w:jc w:val="both"/>
              <w:rPr>
                <w:rFonts w:cs="Times New Roman"/>
                <w:noProof/>
              </w:rPr>
            </w:pPr>
            <w:r>
              <w:rPr>
                <w:noProof/>
              </w:rPr>
              <w:t xml:space="preserve">Završetak dvaju nacionalnih natječaja za zapošljavanje državnih službenika </w:t>
            </w:r>
          </w:p>
        </w:tc>
        <w:tc>
          <w:tcPr>
            <w:tcW w:w="1344" w:type="dxa"/>
            <w:shd w:val="clear" w:color="auto" w:fill="C6EFCE"/>
            <w:noWrap/>
          </w:tcPr>
          <w:p w14:paraId="5D6A5FDA"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54EC0C9B"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7EAC6B0D"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3793BC46"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39AA884C"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5E3B8E4B" w14:textId="77777777" w:rsidR="003F46B9" w:rsidRDefault="0065662E">
            <w:pPr>
              <w:pStyle w:val="P68B1DB1-Normal5"/>
              <w:spacing w:after="0" w:line="240" w:lineRule="auto"/>
              <w:jc w:val="both"/>
              <w:rPr>
                <w:rFonts w:cs="Times New Roman"/>
                <w:noProof/>
              </w:rPr>
            </w:pPr>
            <w:r>
              <w:rPr>
                <w:noProof/>
              </w:rPr>
              <w:t>Provodi se sljedeće:</w:t>
            </w:r>
          </w:p>
          <w:p w14:paraId="2DCEC66A" w14:textId="403E043C"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 xml:space="preserve">(1) Odobrenje Vlade za postupak organizacije </w:t>
            </w:r>
            <w:r>
              <w:rPr>
                <w:rFonts w:ascii="Times New Roman" w:hAnsi="Times New Roman"/>
                <w:noProof/>
                <w:sz w:val="24"/>
              </w:rPr>
              <w:t>i vođenja nacionalnog natječaja prošireno je na druge kategorije opće javne službe u javnoj upravi (osim onih koje podliježu pokusnom izvođenju) u skladu sa zakonodavstvom na snazi.</w:t>
            </w:r>
            <w:r>
              <w:rPr>
                <w:noProof/>
              </w:rPr>
              <w:t xml:space="preserve"> </w:t>
            </w:r>
            <w:r>
              <w:rPr>
                <w:noProof/>
              </w:rPr>
              <w:br/>
            </w:r>
            <w:r>
              <w:rPr>
                <w:rFonts w:ascii="Times New Roman" w:hAnsi="Times New Roman"/>
                <w:noProof/>
                <w:sz w:val="24"/>
              </w:rPr>
              <w:t>(2) Analize provedene na temelju prikupljanja podataka, studija, anketa i</w:t>
            </w:r>
            <w:r>
              <w:rPr>
                <w:rFonts w:ascii="Times New Roman" w:hAnsi="Times New Roman"/>
                <w:noProof/>
                <w:sz w:val="24"/>
              </w:rPr>
              <w:t xml:space="preserve"> planova zapošljavanja kako bi se utvrdilo kako provesti nacionalni natječaj koji se provodi prije pripreme nacrta zakonodavnog akta.</w:t>
            </w:r>
            <w:r>
              <w:rPr>
                <w:noProof/>
              </w:rPr>
              <w:t xml:space="preserve"> </w:t>
            </w:r>
            <w:r>
              <w:rPr>
                <w:noProof/>
              </w:rPr>
              <w:br/>
            </w:r>
            <w:r>
              <w:rPr>
                <w:rFonts w:ascii="Times New Roman" w:hAnsi="Times New Roman"/>
                <w:noProof/>
                <w:sz w:val="24"/>
              </w:rPr>
              <w:t xml:space="preserve">(3)organizacija i završetak dvaju nacionalnih krugova natječaja. </w:t>
            </w:r>
          </w:p>
        </w:tc>
      </w:tr>
      <w:tr w:rsidR="003F46B9" w14:paraId="19A762A5" w14:textId="77777777">
        <w:trPr>
          <w:trHeight w:val="309"/>
        </w:trPr>
        <w:tc>
          <w:tcPr>
            <w:tcW w:w="822" w:type="dxa"/>
            <w:shd w:val="clear" w:color="auto" w:fill="C6EFCE"/>
            <w:noWrap/>
          </w:tcPr>
          <w:p w14:paraId="0D458032" w14:textId="77777777" w:rsidR="003F46B9" w:rsidRDefault="0065662E">
            <w:pPr>
              <w:pStyle w:val="P68B1DB1-Normal5"/>
              <w:spacing w:after="0" w:line="240" w:lineRule="auto"/>
              <w:jc w:val="center"/>
              <w:rPr>
                <w:rFonts w:eastAsia="Times New Roman" w:cs="Times New Roman"/>
                <w:noProof/>
              </w:rPr>
            </w:pPr>
            <w:r>
              <w:rPr>
                <w:noProof/>
              </w:rPr>
              <w:t>418</w:t>
            </w:r>
          </w:p>
        </w:tc>
        <w:tc>
          <w:tcPr>
            <w:tcW w:w="2391" w:type="dxa"/>
            <w:shd w:val="clear" w:color="auto" w:fill="C6EFCE"/>
            <w:noWrap/>
          </w:tcPr>
          <w:p w14:paraId="3E53B1A4" w14:textId="77777777" w:rsidR="003F46B9" w:rsidRDefault="0065662E">
            <w:pPr>
              <w:pStyle w:val="P68B1DB1-Normal5"/>
              <w:spacing w:after="0" w:line="240" w:lineRule="auto"/>
              <w:jc w:val="both"/>
              <w:rPr>
                <w:rFonts w:cs="Times New Roman"/>
                <w:noProof/>
              </w:rPr>
            </w:pPr>
            <w:r>
              <w:rPr>
                <w:noProof/>
              </w:rPr>
              <w:t xml:space="preserve">Reforma 3. Razvoj uspješnosti upravljanja ljudskim resursima u javnom sektoru. </w:t>
            </w:r>
          </w:p>
        </w:tc>
        <w:tc>
          <w:tcPr>
            <w:tcW w:w="1226" w:type="dxa"/>
            <w:shd w:val="clear" w:color="auto" w:fill="C6EFCE"/>
            <w:noWrap/>
          </w:tcPr>
          <w:p w14:paraId="2BD2B240"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4D0D1AA4" w14:textId="77777777" w:rsidR="003F46B9" w:rsidRDefault="0065662E">
            <w:pPr>
              <w:pStyle w:val="P68B1DB1-Normal5"/>
              <w:spacing w:after="0" w:line="240" w:lineRule="auto"/>
              <w:jc w:val="both"/>
              <w:rPr>
                <w:rFonts w:cs="Times New Roman"/>
                <w:noProof/>
              </w:rPr>
            </w:pPr>
            <w:r>
              <w:rPr>
                <w:noProof/>
              </w:rPr>
              <w:t xml:space="preserve">Stupanje na snagu dvaju zakonodavnih akata o upravljanju ljudskim resursima </w:t>
            </w:r>
          </w:p>
          <w:p w14:paraId="0AC3D3CF" w14:textId="77777777" w:rsidR="003F46B9" w:rsidRDefault="0065662E">
            <w:pPr>
              <w:spacing w:after="0" w:line="240" w:lineRule="auto"/>
              <w:jc w:val="both"/>
              <w:rPr>
                <w:rFonts w:ascii="Times New Roman" w:hAnsi="Times New Roman" w:cs="Times New Roman"/>
                <w:noProof/>
                <w:sz w:val="24"/>
              </w:rPr>
            </w:pPr>
            <w:r>
              <w:rPr>
                <w:noProof/>
              </w:rPr>
              <w:t xml:space="preserve"> </w:t>
            </w:r>
            <w:r>
              <w:rPr>
                <w:noProof/>
              </w:rPr>
              <w:br/>
            </w:r>
          </w:p>
        </w:tc>
        <w:tc>
          <w:tcPr>
            <w:tcW w:w="1547" w:type="dxa"/>
            <w:shd w:val="clear" w:color="auto" w:fill="C6EFCE"/>
            <w:noWrap/>
          </w:tcPr>
          <w:p w14:paraId="15A15197" w14:textId="77777777" w:rsidR="003F46B9" w:rsidRDefault="0065662E">
            <w:pPr>
              <w:pStyle w:val="P68B1DB1-Normal5"/>
              <w:spacing w:after="0" w:line="240" w:lineRule="auto"/>
              <w:jc w:val="both"/>
              <w:rPr>
                <w:rFonts w:cs="Times New Roman"/>
                <w:noProof/>
              </w:rPr>
            </w:pPr>
            <w:r>
              <w:rPr>
                <w:noProof/>
              </w:rPr>
              <w:t>Odredba u zakonima u kojoj se navodi stupanje na snagu zakona zakonodavnih akata o u</w:t>
            </w:r>
            <w:r>
              <w:rPr>
                <w:noProof/>
              </w:rPr>
              <w:t>pravljanju ljudskim resursima</w:t>
            </w:r>
          </w:p>
        </w:tc>
        <w:tc>
          <w:tcPr>
            <w:tcW w:w="1344" w:type="dxa"/>
            <w:shd w:val="clear" w:color="auto" w:fill="C6EFCE"/>
            <w:noWrap/>
          </w:tcPr>
          <w:p w14:paraId="68C3D9D5"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3C88A143"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609F5BDB"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5C93DC90"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2F8171C1" w14:textId="77777777" w:rsidR="003F46B9" w:rsidRDefault="0065662E">
            <w:pPr>
              <w:pStyle w:val="P68B1DB1-Normal5"/>
              <w:spacing w:after="0" w:line="240" w:lineRule="auto"/>
              <w:jc w:val="center"/>
              <w:rPr>
                <w:rFonts w:cs="Times New Roman"/>
                <w:noProof/>
              </w:rPr>
            </w:pPr>
            <w:r>
              <w:rPr>
                <w:noProof/>
              </w:rPr>
              <w:t>2024</w:t>
            </w:r>
          </w:p>
        </w:tc>
        <w:tc>
          <w:tcPr>
            <w:tcW w:w="3168" w:type="dxa"/>
            <w:shd w:val="clear" w:color="auto" w:fill="C6EFCE"/>
            <w:noWrap/>
          </w:tcPr>
          <w:p w14:paraId="13F5D31B" w14:textId="77777777" w:rsidR="003F46B9" w:rsidRDefault="0065662E">
            <w:pPr>
              <w:pStyle w:val="P68B1DB1-Normal5"/>
              <w:spacing w:after="0" w:line="240" w:lineRule="auto"/>
              <w:jc w:val="both"/>
              <w:rPr>
                <w:rFonts w:cs="Times New Roman"/>
                <w:noProof/>
              </w:rPr>
            </w:pPr>
            <w:r>
              <w:rPr>
                <w:noProof/>
              </w:rPr>
              <w:t xml:space="preserve">Donose se i stupaju na snagu sljedeći zakonodavni akti: </w:t>
            </w:r>
          </w:p>
          <w:p w14:paraId="58B06C0D" w14:textId="77777777" w:rsidR="003F46B9" w:rsidRDefault="0065662E">
            <w:pPr>
              <w:pStyle w:val="P68B1DB1-Normal5"/>
              <w:spacing w:after="0" w:line="240" w:lineRule="auto"/>
              <w:jc w:val="both"/>
              <w:rPr>
                <w:rFonts w:cs="Times New Roman"/>
                <w:noProof/>
              </w:rPr>
            </w:pPr>
            <w:r>
              <w:rPr>
                <w:noProof/>
              </w:rPr>
              <w:t>(1) uvođenje promjena u upravljanje karijerom državnih službenika na temelju zasluga, a posebno razvoj horizontalne/rotacijske politike mo</w:t>
            </w:r>
            <w:r>
              <w:rPr>
                <w:noProof/>
              </w:rPr>
              <w:t xml:space="preserve">bilnosti i strukturiranja karijere za ciljane službenike. </w:t>
            </w:r>
          </w:p>
          <w:p w14:paraId="032E263D" w14:textId="77777777" w:rsidR="003F46B9" w:rsidRDefault="0065662E">
            <w:pPr>
              <w:pStyle w:val="P68B1DB1-Normal5"/>
              <w:spacing w:after="0" w:line="240" w:lineRule="auto"/>
              <w:rPr>
                <w:rFonts w:cs="Times New Roman"/>
                <w:noProof/>
              </w:rPr>
            </w:pPr>
            <w:r>
              <w:rPr>
                <w:noProof/>
              </w:rPr>
              <w:t xml:space="preserve">2. upravljanje ugovornim osobljem u javnoj upravi. </w:t>
            </w:r>
          </w:p>
          <w:p w14:paraId="1C7D9AC6" w14:textId="77777777" w:rsidR="003F46B9" w:rsidRDefault="003F46B9">
            <w:pPr>
              <w:spacing w:after="0" w:line="240" w:lineRule="auto"/>
              <w:rPr>
                <w:rFonts w:ascii="Times New Roman" w:hAnsi="Times New Roman" w:cs="Times New Roman"/>
                <w:noProof/>
                <w:sz w:val="24"/>
              </w:rPr>
            </w:pPr>
          </w:p>
        </w:tc>
      </w:tr>
      <w:tr w:rsidR="003F46B9" w14:paraId="7F1D2489" w14:textId="77777777">
        <w:trPr>
          <w:trHeight w:val="309"/>
        </w:trPr>
        <w:tc>
          <w:tcPr>
            <w:tcW w:w="822" w:type="dxa"/>
            <w:shd w:val="clear" w:color="auto" w:fill="C6EFCE"/>
            <w:noWrap/>
          </w:tcPr>
          <w:p w14:paraId="45800DB6" w14:textId="77777777" w:rsidR="003F46B9" w:rsidRDefault="0065662E">
            <w:pPr>
              <w:pStyle w:val="P68B1DB1-Normal5"/>
              <w:spacing w:after="0" w:line="240" w:lineRule="auto"/>
              <w:jc w:val="center"/>
              <w:rPr>
                <w:rFonts w:eastAsia="Times New Roman" w:cs="Times New Roman"/>
                <w:noProof/>
              </w:rPr>
            </w:pPr>
            <w:r>
              <w:rPr>
                <w:noProof/>
              </w:rPr>
              <w:t>419</w:t>
            </w:r>
          </w:p>
        </w:tc>
        <w:tc>
          <w:tcPr>
            <w:tcW w:w="2391" w:type="dxa"/>
            <w:shd w:val="clear" w:color="auto" w:fill="C6EFCE"/>
            <w:noWrap/>
          </w:tcPr>
          <w:p w14:paraId="5C9ADAAE" w14:textId="77777777" w:rsidR="003F46B9" w:rsidRDefault="0065662E">
            <w:pPr>
              <w:pStyle w:val="P68B1DB1-Normal5"/>
              <w:spacing w:after="0" w:line="240" w:lineRule="auto"/>
              <w:jc w:val="both"/>
              <w:rPr>
                <w:rFonts w:cs="Times New Roman"/>
                <w:noProof/>
              </w:rPr>
            </w:pPr>
            <w:r>
              <w:rPr>
                <w:noProof/>
              </w:rPr>
              <w:t>Reforma 3. Razvoj uspješnosti upravljanja ljudskim resursima u javnom sektoru.</w:t>
            </w:r>
          </w:p>
        </w:tc>
        <w:tc>
          <w:tcPr>
            <w:tcW w:w="1226" w:type="dxa"/>
            <w:shd w:val="clear" w:color="auto" w:fill="C6EFCE"/>
            <w:noWrap/>
          </w:tcPr>
          <w:p w14:paraId="3BC41DB4"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6DB449B8" w14:textId="77777777" w:rsidR="003F46B9" w:rsidRDefault="0065662E">
            <w:pPr>
              <w:pStyle w:val="P68B1DB1-Normal5"/>
              <w:spacing w:after="0" w:line="240" w:lineRule="auto"/>
              <w:jc w:val="both"/>
              <w:rPr>
                <w:rFonts w:cs="Times New Roman"/>
                <w:noProof/>
              </w:rPr>
            </w:pPr>
            <w:r>
              <w:rPr>
                <w:noProof/>
              </w:rPr>
              <w:t xml:space="preserve">Operativni okviri kompetencija u središnjoj </w:t>
            </w:r>
            <w:r>
              <w:rPr>
                <w:noProof/>
              </w:rPr>
              <w:t>javnoj upravi</w:t>
            </w:r>
          </w:p>
        </w:tc>
        <w:tc>
          <w:tcPr>
            <w:tcW w:w="1547" w:type="dxa"/>
            <w:shd w:val="clear" w:color="auto" w:fill="C6EFCE"/>
            <w:noWrap/>
          </w:tcPr>
          <w:p w14:paraId="387D150D" w14:textId="77777777" w:rsidR="003F46B9" w:rsidRDefault="0065662E">
            <w:pPr>
              <w:pStyle w:val="P68B1DB1-Normal5"/>
              <w:spacing w:after="0" w:line="240" w:lineRule="auto"/>
              <w:jc w:val="both"/>
              <w:rPr>
                <w:rFonts w:cs="Times New Roman"/>
                <w:noProof/>
              </w:rPr>
            </w:pPr>
            <w:r>
              <w:rPr>
                <w:noProof/>
              </w:rPr>
              <w:t>Operativni okvir kompetencija</w:t>
            </w:r>
          </w:p>
        </w:tc>
        <w:tc>
          <w:tcPr>
            <w:tcW w:w="1344" w:type="dxa"/>
            <w:shd w:val="clear" w:color="auto" w:fill="C6EFCE"/>
            <w:noWrap/>
          </w:tcPr>
          <w:p w14:paraId="319D5B48"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7CC39E89"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77A5F59D"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34CC6E03"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21A54B2C" w14:textId="77777777" w:rsidR="003F46B9" w:rsidRDefault="0065662E">
            <w:pPr>
              <w:pStyle w:val="P68B1DB1-Normal5"/>
              <w:spacing w:after="0" w:line="240" w:lineRule="auto"/>
              <w:jc w:val="both"/>
              <w:rPr>
                <w:rFonts w:cs="Times New Roman"/>
                <w:noProof/>
              </w:rPr>
            </w:pPr>
            <w:r>
              <w:rPr>
                <w:noProof/>
              </w:rPr>
              <w:t xml:space="preserve">2025 </w:t>
            </w:r>
          </w:p>
          <w:p w14:paraId="5D41A7E8" w14:textId="77777777" w:rsidR="003F46B9" w:rsidRDefault="003F46B9">
            <w:pPr>
              <w:spacing w:after="0" w:line="240" w:lineRule="auto"/>
              <w:jc w:val="center"/>
              <w:rPr>
                <w:rFonts w:ascii="Times New Roman" w:hAnsi="Times New Roman" w:cs="Times New Roman"/>
                <w:noProof/>
                <w:sz w:val="24"/>
              </w:rPr>
            </w:pPr>
          </w:p>
        </w:tc>
        <w:tc>
          <w:tcPr>
            <w:tcW w:w="3168" w:type="dxa"/>
            <w:shd w:val="clear" w:color="auto" w:fill="C6EFCE"/>
            <w:noWrap/>
          </w:tcPr>
          <w:p w14:paraId="3AD34FB7" w14:textId="77777777" w:rsidR="003F46B9" w:rsidRDefault="0065662E">
            <w:pPr>
              <w:pStyle w:val="P68B1DB1-Normal5"/>
              <w:spacing w:after="0" w:line="240" w:lineRule="auto"/>
              <w:jc w:val="both"/>
              <w:rPr>
                <w:rFonts w:cs="Times New Roman"/>
                <w:noProof/>
              </w:rPr>
            </w:pPr>
            <w:r>
              <w:rPr>
                <w:noProof/>
              </w:rPr>
              <w:t xml:space="preserve">Ključna etapa uključuje stupanje na snagu zakonodavnog akta i njegovu djelotvornu provedbu. </w:t>
            </w:r>
          </w:p>
          <w:p w14:paraId="57A5F08D" w14:textId="77777777" w:rsidR="003F46B9" w:rsidRDefault="0065662E">
            <w:pPr>
              <w:pStyle w:val="P68B1DB1-Normal5"/>
              <w:spacing w:after="0" w:line="240" w:lineRule="auto"/>
              <w:jc w:val="both"/>
              <w:rPr>
                <w:rFonts w:cs="Times New Roman"/>
                <w:noProof/>
              </w:rPr>
            </w:pPr>
            <w:r>
              <w:rPr>
                <w:noProof/>
              </w:rPr>
              <w:t>Nacrt zakonodavnog akta o okvirima opće nadležnosti za državne službenike koristi se u</w:t>
            </w:r>
            <w:r>
              <w:rPr>
                <w:noProof/>
              </w:rPr>
              <w:t xml:space="preserve"> provedbi pilot-projekta. </w:t>
            </w:r>
          </w:p>
          <w:p w14:paraId="140A3F98" w14:textId="77777777" w:rsidR="003F46B9" w:rsidRDefault="0065662E">
            <w:pPr>
              <w:pStyle w:val="P68B1DB1-Normal5"/>
              <w:spacing w:after="0" w:line="240" w:lineRule="auto"/>
              <w:jc w:val="both"/>
              <w:rPr>
                <w:rFonts w:cs="Times New Roman"/>
                <w:noProof/>
              </w:rPr>
            </w:pPr>
            <w:r>
              <w:rPr>
                <w:noProof/>
              </w:rPr>
              <w:t>Zakonodavni prijedlog usmjeren je na postupnu provedbu okvira kompetencija u javnim institucijama i temelji se na modelu/oblikovanju razvijenom u okviru projekta SIPOCA 136. U izvješću o postupcima zapošljavanja i odabira u javno</w:t>
            </w:r>
            <w:r>
              <w:rPr>
                <w:noProof/>
              </w:rPr>
              <w:t xml:space="preserve">j službi potvrđuje se primjena novih postupaka. </w:t>
            </w:r>
          </w:p>
          <w:p w14:paraId="6836730C" w14:textId="77777777" w:rsidR="003F46B9" w:rsidRDefault="0065662E">
            <w:pPr>
              <w:pStyle w:val="P68B1DB1-Normal5"/>
              <w:spacing w:after="0" w:line="240" w:lineRule="auto"/>
              <w:jc w:val="both"/>
              <w:rPr>
                <w:rFonts w:cs="Times New Roman"/>
                <w:noProof/>
              </w:rPr>
            </w:pPr>
            <w:r>
              <w:rPr>
                <w:noProof/>
              </w:rPr>
              <w:t>Nakon dovršetka pilot-projekta, kako bi se normativni akt prilagodio i prilagodio, nakon ex post analize upotrebljava se tehnička potpora zatražena u nacionalnom planu za oporavak i otpornost.</w:t>
            </w:r>
          </w:p>
          <w:p w14:paraId="0BE8827B" w14:textId="77777777" w:rsidR="003F46B9" w:rsidRDefault="0065662E">
            <w:pPr>
              <w:pStyle w:val="P68B1DB1-Normal5"/>
              <w:spacing w:after="0" w:line="240" w:lineRule="auto"/>
              <w:jc w:val="both"/>
              <w:rPr>
                <w:rFonts w:cs="Times New Roman"/>
                <w:noProof/>
              </w:rPr>
            </w:pPr>
            <w:r>
              <w:rPr>
                <w:noProof/>
              </w:rPr>
              <w:t>Provedba se po</w:t>
            </w:r>
            <w:r>
              <w:rPr>
                <w:noProof/>
              </w:rPr>
              <w:t>stiže sljedećim koracima:</w:t>
            </w:r>
          </w:p>
          <w:p w14:paraId="71E26A78" w14:textId="77777777" w:rsidR="003F46B9" w:rsidRDefault="0065662E">
            <w:pPr>
              <w:pStyle w:val="P68B1DB1-Normal5"/>
              <w:spacing w:after="0" w:line="240" w:lineRule="auto"/>
              <w:jc w:val="both"/>
              <w:rPr>
                <w:rFonts w:cs="Times New Roman"/>
                <w:noProof/>
              </w:rPr>
            </w:pPr>
            <w:r>
              <w:rPr>
                <w:noProof/>
              </w:rPr>
              <w:t>(1) Pojašnjenje uloga specifičnih za određeno radno mjesto i priprema za uvođenje okvira kompetencija.</w:t>
            </w:r>
          </w:p>
          <w:p w14:paraId="161B69DE" w14:textId="77777777" w:rsidR="003F46B9" w:rsidRDefault="0065662E">
            <w:pPr>
              <w:pStyle w:val="P68B1DB1-Normal5"/>
              <w:spacing w:after="0" w:line="240" w:lineRule="auto"/>
              <w:jc w:val="both"/>
              <w:rPr>
                <w:rFonts w:cs="Times New Roman"/>
                <w:noProof/>
              </w:rPr>
            </w:pPr>
            <w:r>
              <w:rPr>
                <w:noProof/>
              </w:rPr>
              <w:t>(2) Pojednostavnjenje klasifikacije radnih mjesta i korelacije infrastrukture IKT-a s procesima upravljanja ljudskim resursima.</w:t>
            </w:r>
          </w:p>
          <w:p w14:paraId="34B92F42" w14:textId="77777777" w:rsidR="003F46B9" w:rsidRDefault="0065662E">
            <w:pPr>
              <w:pStyle w:val="P68B1DB1-Normal5"/>
              <w:spacing w:after="0" w:line="240" w:lineRule="auto"/>
              <w:jc w:val="both"/>
              <w:rPr>
                <w:rFonts w:cs="Times New Roman"/>
                <w:noProof/>
              </w:rPr>
            </w:pPr>
            <w:r>
              <w:rPr>
                <w:noProof/>
              </w:rPr>
              <w:t>(3) Procjena stručne uspješnosti na temelju kompetencija.</w:t>
            </w:r>
          </w:p>
          <w:p w14:paraId="3F56C700" w14:textId="77777777" w:rsidR="003F46B9" w:rsidRDefault="0065662E">
            <w:pPr>
              <w:pStyle w:val="P68B1DB1-Normal5"/>
              <w:spacing w:after="0" w:line="240" w:lineRule="auto"/>
              <w:jc w:val="both"/>
              <w:rPr>
                <w:rFonts w:cs="Times New Roman"/>
                <w:noProof/>
              </w:rPr>
            </w:pPr>
            <w:r>
              <w:rPr>
                <w:noProof/>
              </w:rPr>
              <w:t>Provedba okvira podliježe redovitom ažuriranju.</w:t>
            </w:r>
          </w:p>
        </w:tc>
      </w:tr>
      <w:tr w:rsidR="003F46B9" w14:paraId="18BF42C4" w14:textId="77777777">
        <w:trPr>
          <w:trHeight w:val="309"/>
        </w:trPr>
        <w:tc>
          <w:tcPr>
            <w:tcW w:w="822" w:type="dxa"/>
            <w:shd w:val="clear" w:color="auto" w:fill="C6EFCE"/>
            <w:noWrap/>
          </w:tcPr>
          <w:p w14:paraId="1C0F9E4C" w14:textId="77777777" w:rsidR="003F46B9" w:rsidRDefault="0065662E">
            <w:pPr>
              <w:pStyle w:val="P68B1DB1-Normal5"/>
              <w:spacing w:after="0" w:line="240" w:lineRule="auto"/>
              <w:jc w:val="center"/>
              <w:rPr>
                <w:rFonts w:eastAsia="Times New Roman" w:cs="Times New Roman"/>
                <w:noProof/>
              </w:rPr>
            </w:pPr>
            <w:r>
              <w:rPr>
                <w:noProof/>
              </w:rPr>
              <w:t>420</w:t>
            </w:r>
          </w:p>
        </w:tc>
        <w:tc>
          <w:tcPr>
            <w:tcW w:w="2391" w:type="dxa"/>
            <w:shd w:val="clear" w:color="auto" w:fill="C6EFCE"/>
            <w:noWrap/>
          </w:tcPr>
          <w:p w14:paraId="1E388D46" w14:textId="77777777" w:rsidR="003F46B9" w:rsidRDefault="0065662E">
            <w:pPr>
              <w:pStyle w:val="P68B1DB1-Normal5"/>
              <w:spacing w:after="0" w:line="240" w:lineRule="auto"/>
              <w:jc w:val="both"/>
              <w:rPr>
                <w:rFonts w:cs="Times New Roman"/>
                <w:noProof/>
              </w:rPr>
            </w:pPr>
            <w:r>
              <w:rPr>
                <w:noProof/>
              </w:rPr>
              <w:t>Reforma 4. Razvoj pravednog sustava jedinstvenih plaća u javnom sektoru</w:t>
            </w:r>
          </w:p>
        </w:tc>
        <w:tc>
          <w:tcPr>
            <w:tcW w:w="1226" w:type="dxa"/>
            <w:shd w:val="clear" w:color="auto" w:fill="C6EFCE"/>
            <w:noWrap/>
          </w:tcPr>
          <w:p w14:paraId="7A906ABA"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115B5989" w14:textId="26EE07EC" w:rsidR="003F46B9" w:rsidRDefault="0065662E">
            <w:pPr>
              <w:pStyle w:val="P68B1DB1-Normal5"/>
              <w:spacing w:after="0" w:line="240" w:lineRule="auto"/>
              <w:jc w:val="both"/>
              <w:rPr>
                <w:rFonts w:cs="Times New Roman"/>
                <w:noProof/>
              </w:rPr>
            </w:pPr>
            <w:r>
              <w:rPr>
                <w:noProof/>
              </w:rPr>
              <w:t xml:space="preserve">Stupanje na snagu novog pravnog okvira o plaćama državnih službenika </w:t>
            </w:r>
          </w:p>
        </w:tc>
        <w:tc>
          <w:tcPr>
            <w:tcW w:w="1547" w:type="dxa"/>
            <w:shd w:val="clear" w:color="auto" w:fill="C6EFCE"/>
            <w:noWrap/>
          </w:tcPr>
          <w:p w14:paraId="788688E6" w14:textId="77777777" w:rsidR="003F46B9" w:rsidRDefault="0065662E">
            <w:pPr>
              <w:pStyle w:val="P68B1DB1-Normal5"/>
              <w:spacing w:after="0" w:line="240" w:lineRule="auto"/>
              <w:jc w:val="both"/>
              <w:rPr>
                <w:rFonts w:cs="Times New Roman"/>
                <w:noProof/>
              </w:rPr>
            </w:pPr>
            <w:r>
              <w:rPr>
                <w:noProof/>
              </w:rPr>
              <w:t>Odredba zakona o stupanju na snagu zakona o plaći službenika</w:t>
            </w:r>
          </w:p>
        </w:tc>
        <w:tc>
          <w:tcPr>
            <w:tcW w:w="1344" w:type="dxa"/>
            <w:shd w:val="clear" w:color="auto" w:fill="C6EFCE"/>
            <w:noWrap/>
          </w:tcPr>
          <w:p w14:paraId="5C3EDF3B"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7306C80D"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663590F5"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3006F91F"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168FE63E"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2980930B" w14:textId="14B2A880" w:rsidR="003F46B9" w:rsidRDefault="0065662E">
            <w:pPr>
              <w:pStyle w:val="P68B1DB1-Normal5"/>
              <w:spacing w:after="0" w:line="240" w:lineRule="auto"/>
              <w:jc w:val="both"/>
              <w:rPr>
                <w:rFonts w:cs="Times New Roman"/>
                <w:noProof/>
              </w:rPr>
            </w:pPr>
            <w:r>
              <w:rPr>
                <w:noProof/>
              </w:rPr>
              <w:t xml:space="preserve">Novim zakonom o plaćama državnih službenika (Zakon o javnim plaćama) utvrđuje se jedinstvena metodologija izračuna kako bi se povećala pravednost plaća u proračunskom sektoru (primjena načela jednake plaće za jednak rad), nediskriminirajuće postupanje pri </w:t>
            </w:r>
            <w:r>
              <w:rPr>
                <w:noProof/>
              </w:rPr>
              <w:t xml:space="preserve">određivanju bonusa i povezivanje rezultata s isplaćenom plaćom. </w:t>
            </w:r>
          </w:p>
          <w:p w14:paraId="4495E184" w14:textId="77777777" w:rsidR="003F46B9" w:rsidRDefault="0065662E">
            <w:pPr>
              <w:pStyle w:val="P68B1DB1-Normal5"/>
              <w:spacing w:after="0" w:line="240" w:lineRule="auto"/>
              <w:ind w:left="37" w:hanging="37"/>
              <w:jc w:val="both"/>
              <w:rPr>
                <w:rFonts w:cs="Times New Roman"/>
                <w:noProof/>
              </w:rPr>
            </w:pPr>
            <w:r>
              <w:rPr>
                <w:noProof/>
              </w:rPr>
              <w:t>Predložena metodologija za ponovni izračun plaća fiskalno je održiva i temelji se na:</w:t>
            </w:r>
          </w:p>
          <w:p w14:paraId="44F95A99" w14:textId="77777777" w:rsidR="003F46B9" w:rsidRDefault="0065662E">
            <w:pPr>
              <w:pStyle w:val="P68B1DB1-ListParagraph13"/>
              <w:numPr>
                <w:ilvl w:val="0"/>
                <w:numId w:val="102"/>
              </w:numPr>
              <w:spacing w:after="0" w:line="240" w:lineRule="auto"/>
              <w:ind w:left="179" w:hanging="142"/>
              <w:jc w:val="both"/>
              <w:rPr>
                <w:rFonts w:cs="Times New Roman"/>
                <w:noProof/>
              </w:rPr>
            </w:pPr>
            <w:r>
              <w:rPr>
                <w:noProof/>
              </w:rPr>
              <w:t>revizija koeficijenata rangiranja za svaku obitelj funkcije povezane s proračunom zanimanja;</w:t>
            </w:r>
          </w:p>
          <w:p w14:paraId="2D156AA9" w14:textId="77777777" w:rsidR="003F46B9" w:rsidRDefault="0065662E">
            <w:pPr>
              <w:pStyle w:val="P68B1DB1-ListParagraph13"/>
              <w:numPr>
                <w:ilvl w:val="0"/>
                <w:numId w:val="102"/>
              </w:numPr>
              <w:spacing w:after="0" w:line="240" w:lineRule="auto"/>
              <w:ind w:left="179" w:hanging="142"/>
              <w:jc w:val="both"/>
              <w:rPr>
                <w:rFonts w:cs="Times New Roman"/>
                <w:noProof/>
              </w:rPr>
            </w:pPr>
            <w:r>
              <w:rPr>
                <w:noProof/>
              </w:rPr>
              <w:t>ponovno uvođ</w:t>
            </w:r>
            <w:r>
              <w:rPr>
                <w:noProof/>
              </w:rPr>
              <w:t>enje platnih ljestvica za lokalne vlasti koje odgovaraju javnim i ugovornim funkcijama;</w:t>
            </w:r>
          </w:p>
          <w:p w14:paraId="29A9AF63" w14:textId="63169E20" w:rsidR="003F46B9" w:rsidRDefault="0065662E">
            <w:pPr>
              <w:pStyle w:val="P68B1DB1-ListParagraph13"/>
              <w:numPr>
                <w:ilvl w:val="0"/>
                <w:numId w:val="102"/>
              </w:numPr>
              <w:spacing w:after="0" w:line="240" w:lineRule="auto"/>
              <w:ind w:left="179" w:hanging="142"/>
              <w:jc w:val="both"/>
              <w:rPr>
                <w:rFonts w:cs="Times New Roman"/>
                <w:noProof/>
              </w:rPr>
            </w:pPr>
            <w:r>
              <w:rPr>
                <w:noProof/>
              </w:rPr>
              <w:t>revizija sustava bonusa i ograničavanje iznosa bonusa na 20 % osnovne plaće, na razini glavnog dužnosnika za ovjeravanje/tijelo za oslobađanje kredita.</w:t>
            </w:r>
          </w:p>
          <w:p w14:paraId="6DBA2235" w14:textId="77777777" w:rsidR="003F46B9" w:rsidRDefault="0065662E">
            <w:pPr>
              <w:pStyle w:val="P68B1DB1-Normal5"/>
              <w:spacing w:after="0" w:line="240" w:lineRule="auto"/>
              <w:jc w:val="both"/>
              <w:rPr>
                <w:rFonts w:cs="Times New Roman"/>
                <w:noProof/>
              </w:rPr>
            </w:pPr>
            <w:r>
              <w:rPr>
                <w:noProof/>
              </w:rPr>
              <w:t>Novi pravni okvi</w:t>
            </w:r>
            <w:r>
              <w:rPr>
                <w:noProof/>
              </w:rPr>
              <w:t xml:space="preserve">r provodi se istodobno za sve kategorije zanimanja kako bi se izbjegla pojava novih neravnoteža u sustavu plaća u javnom sektoru. </w:t>
            </w:r>
          </w:p>
        </w:tc>
      </w:tr>
      <w:tr w:rsidR="003F46B9" w14:paraId="1E011577" w14:textId="77777777">
        <w:trPr>
          <w:trHeight w:val="309"/>
        </w:trPr>
        <w:tc>
          <w:tcPr>
            <w:tcW w:w="822" w:type="dxa"/>
            <w:shd w:val="clear" w:color="auto" w:fill="C6EFCE"/>
            <w:noWrap/>
          </w:tcPr>
          <w:p w14:paraId="7C712840" w14:textId="77777777" w:rsidR="003F46B9" w:rsidRDefault="0065662E">
            <w:pPr>
              <w:pStyle w:val="P68B1DB1-Normal5"/>
              <w:spacing w:after="0" w:line="240" w:lineRule="auto"/>
              <w:jc w:val="center"/>
              <w:rPr>
                <w:rFonts w:eastAsia="Times New Roman" w:cs="Times New Roman"/>
                <w:noProof/>
              </w:rPr>
            </w:pPr>
            <w:r>
              <w:rPr>
                <w:noProof/>
              </w:rPr>
              <w:t>421</w:t>
            </w:r>
          </w:p>
        </w:tc>
        <w:tc>
          <w:tcPr>
            <w:tcW w:w="2391" w:type="dxa"/>
            <w:shd w:val="clear" w:color="auto" w:fill="C6EFCE"/>
            <w:noWrap/>
          </w:tcPr>
          <w:p w14:paraId="1C22114B" w14:textId="77777777" w:rsidR="003F46B9" w:rsidRDefault="0065662E">
            <w:pPr>
              <w:pStyle w:val="P68B1DB1-Normal5"/>
              <w:spacing w:after="0" w:line="240" w:lineRule="auto"/>
              <w:jc w:val="both"/>
              <w:rPr>
                <w:rFonts w:cs="Times New Roman"/>
                <w:noProof/>
              </w:rPr>
            </w:pPr>
            <w:r>
              <w:rPr>
                <w:noProof/>
              </w:rPr>
              <w:t>Reforma 5. Osiguravanje neovisnosti pravosuđa, poboljšanje njegove kvalitete i učinkovitosti</w:t>
            </w:r>
          </w:p>
        </w:tc>
        <w:tc>
          <w:tcPr>
            <w:tcW w:w="1226" w:type="dxa"/>
            <w:shd w:val="clear" w:color="auto" w:fill="C6EFCE"/>
            <w:noWrap/>
          </w:tcPr>
          <w:p w14:paraId="61FE2F67"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6F6D755B" w14:textId="77777777" w:rsidR="003F46B9" w:rsidRDefault="0065662E">
            <w:pPr>
              <w:pStyle w:val="P68B1DB1-Normal5"/>
              <w:spacing w:after="0" w:line="240" w:lineRule="auto"/>
              <w:jc w:val="both"/>
              <w:rPr>
                <w:rFonts w:cs="Times New Roman"/>
                <w:noProof/>
              </w:rPr>
            </w:pPr>
            <w:r>
              <w:rPr>
                <w:noProof/>
              </w:rPr>
              <w:t xml:space="preserve">Stupanje na snagu vladine odluke o odobravanju strategije za razvoj pravosuđa za razdoblje 2022. 2025. </w:t>
            </w:r>
          </w:p>
        </w:tc>
        <w:tc>
          <w:tcPr>
            <w:tcW w:w="1547" w:type="dxa"/>
            <w:shd w:val="clear" w:color="auto" w:fill="C6EFCE"/>
            <w:noWrap/>
          </w:tcPr>
          <w:p w14:paraId="553C1653" w14:textId="77777777" w:rsidR="003F46B9" w:rsidRDefault="0065662E">
            <w:pPr>
              <w:pStyle w:val="P68B1DB1-Normal5"/>
              <w:spacing w:after="0" w:line="240" w:lineRule="auto"/>
              <w:jc w:val="both"/>
              <w:rPr>
                <w:rFonts w:cs="Times New Roman"/>
                <w:noProof/>
              </w:rPr>
            </w:pPr>
            <w:r>
              <w:rPr>
                <w:noProof/>
              </w:rPr>
              <w:t>Odredba u vladinoj odluci u kojoj se navodi donošenje strategije za razvoj pravosuđa</w:t>
            </w:r>
          </w:p>
        </w:tc>
        <w:tc>
          <w:tcPr>
            <w:tcW w:w="1344" w:type="dxa"/>
            <w:shd w:val="clear" w:color="auto" w:fill="C6EFCE"/>
            <w:noWrap/>
          </w:tcPr>
          <w:p w14:paraId="7D314823"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66A96CAF"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0CBB6D17"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0D54B3F8"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0588F5CF"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724AA8F7" w14:textId="6789480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Ministarstvo pravosuđa priprema novu strateg</w:t>
            </w:r>
            <w:r>
              <w:rPr>
                <w:rFonts w:ascii="Times New Roman" w:hAnsi="Times New Roman"/>
                <w:noProof/>
                <w:sz w:val="24"/>
              </w:rPr>
              <w:t xml:space="preserve">iju na temelju unutarnjih analiza i prijedloga zaprimljenih tijekom postupka javnog savjetovanja, nakon čega se strategija odobrava i stupa na snagu. </w:t>
            </w:r>
            <w:r>
              <w:rPr>
                <w:noProof/>
              </w:rPr>
              <w:t xml:space="preserve"> </w:t>
            </w:r>
            <w:r>
              <w:rPr>
                <w:noProof/>
              </w:rPr>
              <w:br/>
            </w:r>
            <w:r>
              <w:rPr>
                <w:rFonts w:ascii="Times New Roman" w:hAnsi="Times New Roman"/>
                <w:noProof/>
                <w:sz w:val="24"/>
              </w:rPr>
              <w:t xml:space="preserve">Strategija se sastoji od dva stupa: </w:t>
            </w:r>
          </w:p>
          <w:p w14:paraId="3540F05C" w14:textId="77777777" w:rsidR="003F46B9" w:rsidRDefault="0065662E">
            <w:pPr>
              <w:pStyle w:val="P68B1DB1-Normal5"/>
              <w:spacing w:after="0" w:line="240" w:lineRule="auto"/>
              <w:jc w:val="both"/>
              <w:rPr>
                <w:rFonts w:cs="Times New Roman"/>
                <w:noProof/>
              </w:rPr>
            </w:pPr>
            <w:r>
              <w:rPr>
                <w:noProof/>
              </w:rPr>
              <w:t>(1) prvi stup odnosi se na politike za jačanje neovisnosti pravosuđ</w:t>
            </w:r>
            <w:r>
              <w:rPr>
                <w:noProof/>
              </w:rPr>
              <w:t>a i vladavine prava. Rezultati politika koje se odnose na jačanje vladavine prava objektivno se procjenjuju s pomoću namjenskih pokazatelja ostvarenja, koji se razvijaju u okviru strategije. Mjere i pokazatelji pripremaju se uzimajući u obzir nalaze izvješ</w:t>
            </w:r>
            <w:r>
              <w:rPr>
                <w:noProof/>
              </w:rPr>
              <w:t xml:space="preserve">ća o vladavini prava. </w:t>
            </w:r>
          </w:p>
          <w:p w14:paraId="1751D12A" w14:textId="77777777" w:rsidR="003F46B9" w:rsidRDefault="0065662E">
            <w:pPr>
              <w:pStyle w:val="P68B1DB1-Normal5"/>
              <w:spacing w:after="0" w:line="240" w:lineRule="auto"/>
              <w:jc w:val="both"/>
              <w:rPr>
                <w:rFonts w:cs="Times New Roman"/>
                <w:noProof/>
              </w:rPr>
            </w:pPr>
            <w:r>
              <w:rPr>
                <w:noProof/>
              </w:rPr>
              <w:t>2. drugi stup uključuje politike za jačanje institucionalnih kapaciteta u pogledu resursa, postupaka i upravljanja te uključuje politike o kvaliteti i učinkovitosti usluga u pravosuđu, kao što su: a) učinkovita upotreba ljudskih resu</w:t>
            </w:r>
            <w:r>
              <w:rPr>
                <w:noProof/>
              </w:rPr>
              <w:t>rsa (npr. radno opterećenje); b) politiku optimizacije sudske infrastrukture, uključujući fizičku infrastrukturu; c) digitalna transformacija – s pomoću sljedećih mjera:</w:t>
            </w:r>
          </w:p>
          <w:p w14:paraId="38D206A2" w14:textId="77777777" w:rsidR="003F46B9" w:rsidRDefault="0065662E">
            <w:pPr>
              <w:pStyle w:val="P68B1DB1-Normal5"/>
              <w:numPr>
                <w:ilvl w:val="0"/>
                <w:numId w:val="49"/>
              </w:numPr>
              <w:spacing w:after="0" w:line="240" w:lineRule="auto"/>
              <w:ind w:left="179" w:hanging="179"/>
              <w:jc w:val="both"/>
              <w:rPr>
                <w:rFonts w:cs="Times New Roman"/>
                <w:noProof/>
              </w:rPr>
            </w:pPr>
            <w:r>
              <w:rPr>
                <w:noProof/>
              </w:rPr>
              <w:t xml:space="preserve">digitalna interakcija stranke u sporu i svih zainteresiranih subjekata sa sudstvom, </w:t>
            </w:r>
          </w:p>
          <w:p w14:paraId="6C554E8A" w14:textId="77777777" w:rsidR="003F46B9" w:rsidRDefault="0065662E">
            <w:pPr>
              <w:pStyle w:val="P68B1DB1-Normal5"/>
              <w:numPr>
                <w:ilvl w:val="0"/>
                <w:numId w:val="49"/>
              </w:numPr>
              <w:spacing w:after="0" w:line="240" w:lineRule="auto"/>
              <w:ind w:left="179" w:hanging="179"/>
              <w:jc w:val="both"/>
              <w:rPr>
                <w:rFonts w:cs="Times New Roman"/>
                <w:noProof/>
              </w:rPr>
            </w:pPr>
            <w:r>
              <w:rPr>
                <w:noProof/>
              </w:rPr>
              <w:t>e</w:t>
            </w:r>
            <w:r>
              <w:rPr>
                <w:noProof/>
              </w:rPr>
              <w:t xml:space="preserve">lektronički potpis i elektronički pečat. </w:t>
            </w:r>
          </w:p>
          <w:p w14:paraId="1FB2EE3C" w14:textId="77777777" w:rsidR="003F46B9" w:rsidRDefault="0065662E">
            <w:pPr>
              <w:pStyle w:val="P68B1DB1-Normal5"/>
              <w:numPr>
                <w:ilvl w:val="0"/>
                <w:numId w:val="101"/>
              </w:numPr>
              <w:spacing w:after="0" w:line="240" w:lineRule="auto"/>
              <w:ind w:left="179" w:hanging="179"/>
              <w:jc w:val="both"/>
              <w:rPr>
                <w:rFonts w:cs="Times New Roman"/>
                <w:noProof/>
              </w:rPr>
            </w:pPr>
            <w:r>
              <w:rPr>
                <w:noProof/>
              </w:rPr>
              <w:t xml:space="preserve">dostupnost poboljšane komunikacije podataka za e-datoteku (što je mogućnost za stranke u sporu da elektronički pristupe sudskim spisima). </w:t>
            </w:r>
          </w:p>
          <w:p w14:paraId="2E6A2F11" w14:textId="77777777" w:rsidR="003F46B9" w:rsidRDefault="0065662E">
            <w:pPr>
              <w:pStyle w:val="P68B1DB1-Normal5"/>
              <w:numPr>
                <w:ilvl w:val="0"/>
                <w:numId w:val="101"/>
              </w:numPr>
              <w:spacing w:after="0" w:line="240" w:lineRule="auto"/>
              <w:ind w:left="179" w:hanging="179"/>
              <w:jc w:val="both"/>
              <w:rPr>
                <w:rFonts w:cs="Times New Roman"/>
                <w:noProof/>
              </w:rPr>
            </w:pPr>
            <w:r>
              <w:rPr>
                <w:noProof/>
              </w:rPr>
              <w:t xml:space="preserve">izrada međusektorske međusektorske strategije za digitalizaciju fizičkog </w:t>
            </w:r>
            <w:r>
              <w:rPr>
                <w:noProof/>
              </w:rPr>
              <w:t>arhiva.</w:t>
            </w:r>
          </w:p>
          <w:p w14:paraId="3A9C6CA7" w14:textId="77777777" w:rsidR="003F46B9" w:rsidRDefault="0065662E">
            <w:pPr>
              <w:pStyle w:val="P68B1DB1-Normal5"/>
              <w:spacing w:after="0" w:line="240" w:lineRule="auto"/>
              <w:jc w:val="both"/>
              <w:rPr>
                <w:rFonts w:cs="Times New Roman"/>
                <w:noProof/>
              </w:rPr>
            </w:pPr>
            <w:r>
              <w:rPr>
                <w:noProof/>
              </w:rPr>
              <w:t>Napredak u provedbi strategije prati se i procjenjuje s pomoću skupa pokazatelja razvijenih na temelju objektivnih resursa kao što su Pregled stanja u području pravosuđa u EU-u i Izvješće Europske komisije o vladavini prava.</w:t>
            </w:r>
          </w:p>
        </w:tc>
      </w:tr>
      <w:tr w:rsidR="003F46B9" w14:paraId="6B352590" w14:textId="77777777">
        <w:trPr>
          <w:trHeight w:val="309"/>
        </w:trPr>
        <w:tc>
          <w:tcPr>
            <w:tcW w:w="822" w:type="dxa"/>
            <w:shd w:val="clear" w:color="auto" w:fill="C6EFCE"/>
            <w:noWrap/>
          </w:tcPr>
          <w:p w14:paraId="2AA1450F" w14:textId="77777777" w:rsidR="003F46B9" w:rsidRDefault="0065662E">
            <w:pPr>
              <w:pStyle w:val="P68B1DB1-Normal5"/>
              <w:spacing w:after="0" w:line="240" w:lineRule="auto"/>
              <w:jc w:val="center"/>
              <w:rPr>
                <w:rFonts w:eastAsia="Times New Roman" w:cs="Times New Roman"/>
                <w:noProof/>
              </w:rPr>
            </w:pPr>
            <w:r>
              <w:rPr>
                <w:noProof/>
              </w:rPr>
              <w:t>422</w:t>
            </w:r>
          </w:p>
        </w:tc>
        <w:tc>
          <w:tcPr>
            <w:tcW w:w="2391" w:type="dxa"/>
            <w:shd w:val="clear" w:color="auto" w:fill="C6EFCE"/>
            <w:noWrap/>
          </w:tcPr>
          <w:p w14:paraId="07E3073A" w14:textId="77777777" w:rsidR="003F46B9" w:rsidRDefault="0065662E">
            <w:pPr>
              <w:pStyle w:val="P68B1DB1-Normal5"/>
              <w:spacing w:after="0" w:line="240" w:lineRule="auto"/>
              <w:jc w:val="both"/>
              <w:rPr>
                <w:rFonts w:cs="Times New Roman"/>
                <w:noProof/>
              </w:rPr>
            </w:pPr>
            <w:r>
              <w:rPr>
                <w:noProof/>
              </w:rPr>
              <w:t xml:space="preserve">Reforma 5. </w:t>
            </w:r>
            <w:r>
              <w:rPr>
                <w:noProof/>
              </w:rPr>
              <w:t>Osiguravanje neovisnosti pravosuđa, poboljšanje njegove kvalitete i učinkovitosti</w:t>
            </w:r>
          </w:p>
        </w:tc>
        <w:tc>
          <w:tcPr>
            <w:tcW w:w="1226" w:type="dxa"/>
            <w:shd w:val="clear" w:color="auto" w:fill="C6EFCE"/>
            <w:noWrap/>
          </w:tcPr>
          <w:p w14:paraId="2B98E715"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23E5CE26" w14:textId="77777777" w:rsidR="003F46B9" w:rsidRDefault="0065662E">
            <w:pPr>
              <w:pStyle w:val="P68B1DB1-Normal5"/>
              <w:spacing w:after="0" w:line="240" w:lineRule="auto"/>
              <w:jc w:val="both"/>
              <w:rPr>
                <w:rFonts w:cs="Times New Roman"/>
                <w:noProof/>
              </w:rPr>
            </w:pPr>
            <w:r>
              <w:rPr>
                <w:noProof/>
              </w:rPr>
              <w:t>Stupanje na snagu zakona o izmjeni ovlasti Nacionalne agencije za upravljanje zaplijenjenom imovinom</w:t>
            </w:r>
          </w:p>
        </w:tc>
        <w:tc>
          <w:tcPr>
            <w:tcW w:w="1547" w:type="dxa"/>
            <w:shd w:val="clear" w:color="auto" w:fill="C6EFCE"/>
            <w:noWrap/>
          </w:tcPr>
          <w:p w14:paraId="42224027" w14:textId="77777777" w:rsidR="003F46B9" w:rsidRDefault="0065662E">
            <w:pPr>
              <w:pStyle w:val="P68B1DB1-Normal5"/>
              <w:spacing w:after="0" w:line="240" w:lineRule="auto"/>
              <w:jc w:val="both"/>
              <w:rPr>
                <w:rFonts w:cs="Times New Roman"/>
                <w:noProof/>
              </w:rPr>
            </w:pPr>
            <w:r>
              <w:rPr>
                <w:noProof/>
              </w:rPr>
              <w:t>Odredba zakona o stupanju na snagu zakona o izmjeni ovlasti N</w:t>
            </w:r>
            <w:r>
              <w:rPr>
                <w:noProof/>
              </w:rPr>
              <w:t>acionalne agencije za upravljanje zaplijenjenom imovinom</w:t>
            </w:r>
          </w:p>
        </w:tc>
        <w:tc>
          <w:tcPr>
            <w:tcW w:w="1344" w:type="dxa"/>
            <w:shd w:val="clear" w:color="auto" w:fill="C6EFCE"/>
            <w:noWrap/>
          </w:tcPr>
          <w:p w14:paraId="3703E26C"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2B12234D"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71E1012F"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5FF75B76"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2F7CB395"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5E021C51" w14:textId="77777777" w:rsidR="003F46B9" w:rsidRDefault="0065662E">
            <w:pPr>
              <w:pStyle w:val="P68B1DB1-Normal5"/>
              <w:spacing w:after="0" w:line="240" w:lineRule="auto"/>
              <w:jc w:val="both"/>
              <w:rPr>
                <w:rFonts w:cs="Times New Roman"/>
                <w:noProof/>
              </w:rPr>
            </w:pPr>
            <w:r>
              <w:rPr>
                <w:noProof/>
              </w:rPr>
              <w:t>Zakonodavnim aktom prenosi se Direktiva (EU) 2019/1153 te se uvodi nekoliko promjena povezanih s produljenjem institucijskog mandata, kojima se rješavaju pitanja kao što su: up</w:t>
            </w:r>
            <w:r>
              <w:rPr>
                <w:noProof/>
              </w:rPr>
              <w:t xml:space="preserve">ravljanje zaplijenjenom imovinom i njezino vrednovanje te suradnja s drugim relevantnim tijelima u postupku naplate štete. </w:t>
            </w:r>
          </w:p>
          <w:p w14:paraId="12052A51" w14:textId="77777777" w:rsidR="003F46B9" w:rsidRDefault="003F46B9">
            <w:pPr>
              <w:spacing w:after="0" w:line="240" w:lineRule="auto"/>
              <w:rPr>
                <w:rFonts w:ascii="Times New Roman" w:hAnsi="Times New Roman" w:cs="Times New Roman"/>
                <w:noProof/>
                <w:sz w:val="24"/>
              </w:rPr>
            </w:pPr>
          </w:p>
        </w:tc>
      </w:tr>
      <w:tr w:rsidR="003F46B9" w14:paraId="262CA01F" w14:textId="77777777">
        <w:trPr>
          <w:trHeight w:val="309"/>
        </w:trPr>
        <w:tc>
          <w:tcPr>
            <w:tcW w:w="822" w:type="dxa"/>
            <w:shd w:val="clear" w:color="auto" w:fill="C6EFCE"/>
            <w:noWrap/>
          </w:tcPr>
          <w:p w14:paraId="70EEF1BB" w14:textId="77777777" w:rsidR="003F46B9" w:rsidRDefault="0065662E">
            <w:pPr>
              <w:pStyle w:val="P68B1DB1-Normal5"/>
              <w:spacing w:after="0" w:line="240" w:lineRule="auto"/>
              <w:jc w:val="center"/>
              <w:rPr>
                <w:rFonts w:eastAsia="Times New Roman" w:cs="Times New Roman"/>
                <w:noProof/>
              </w:rPr>
            </w:pPr>
            <w:r>
              <w:rPr>
                <w:noProof/>
              </w:rPr>
              <w:t>423</w:t>
            </w:r>
          </w:p>
        </w:tc>
        <w:tc>
          <w:tcPr>
            <w:tcW w:w="2391" w:type="dxa"/>
            <w:shd w:val="clear" w:color="auto" w:fill="C6EFCE"/>
            <w:noWrap/>
          </w:tcPr>
          <w:p w14:paraId="19BC8CD8" w14:textId="77777777" w:rsidR="003F46B9" w:rsidRDefault="0065662E">
            <w:pPr>
              <w:pStyle w:val="P68B1DB1-Normal5"/>
              <w:spacing w:after="0" w:line="240" w:lineRule="auto"/>
              <w:jc w:val="both"/>
              <w:rPr>
                <w:rFonts w:cs="Times New Roman"/>
                <w:noProof/>
              </w:rPr>
            </w:pPr>
            <w:r>
              <w:rPr>
                <w:noProof/>
              </w:rPr>
              <w:t>Reforma 5. Osiguravanje neovisnosti pravosuđa, poboljšanje njegove kvalitete i učinkovitosti</w:t>
            </w:r>
          </w:p>
        </w:tc>
        <w:tc>
          <w:tcPr>
            <w:tcW w:w="1226" w:type="dxa"/>
            <w:shd w:val="clear" w:color="auto" w:fill="C6EFCE"/>
            <w:noWrap/>
          </w:tcPr>
          <w:p w14:paraId="71740253"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0A8A0B6A" w14:textId="77777777" w:rsidR="003F46B9" w:rsidRDefault="0065662E">
            <w:pPr>
              <w:pStyle w:val="P68B1DB1-Normal5"/>
              <w:spacing w:after="0" w:line="240" w:lineRule="auto"/>
              <w:jc w:val="both"/>
              <w:rPr>
                <w:rFonts w:cs="Times New Roman"/>
                <w:noProof/>
              </w:rPr>
            </w:pPr>
            <w:r>
              <w:rPr>
                <w:noProof/>
              </w:rPr>
              <w:t>Stupanje na snagu „zakona o pravosuđu” (zakoni o statusu sudaca, pravosudnoj organizaciji, Vrhovnom sudskom vijeću)</w:t>
            </w:r>
          </w:p>
        </w:tc>
        <w:tc>
          <w:tcPr>
            <w:tcW w:w="1547" w:type="dxa"/>
            <w:shd w:val="clear" w:color="auto" w:fill="C6EFCE"/>
            <w:noWrap/>
          </w:tcPr>
          <w:p w14:paraId="6CE48C4A" w14:textId="77777777" w:rsidR="003F46B9" w:rsidRDefault="0065662E">
            <w:pPr>
              <w:pStyle w:val="P68B1DB1-Normal5"/>
              <w:spacing w:after="0" w:line="240" w:lineRule="auto"/>
              <w:jc w:val="both"/>
              <w:rPr>
                <w:rFonts w:cs="Times New Roman"/>
                <w:noProof/>
              </w:rPr>
            </w:pPr>
            <w:r>
              <w:rPr>
                <w:noProof/>
              </w:rPr>
              <w:t>Zakonska odredba o stupanju na snagu zakonâ o pravosuđu</w:t>
            </w:r>
          </w:p>
        </w:tc>
        <w:tc>
          <w:tcPr>
            <w:tcW w:w="1344" w:type="dxa"/>
            <w:shd w:val="clear" w:color="auto" w:fill="C6EFCE"/>
            <w:noWrap/>
          </w:tcPr>
          <w:p w14:paraId="16E6E839"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33679791"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282E6CBF"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180E916A" w14:textId="77777777" w:rsidR="003F46B9" w:rsidRDefault="0065662E">
            <w:pPr>
              <w:pStyle w:val="P68B1DB1-Normal5"/>
              <w:spacing w:after="0" w:line="240" w:lineRule="auto"/>
              <w:jc w:val="center"/>
              <w:rPr>
                <w:rFonts w:cs="Times New Roman"/>
                <w:noProof/>
              </w:rPr>
            </w:pPr>
            <w:r>
              <w:rPr>
                <w:noProof/>
              </w:rPr>
              <w:t>TROMJESEČJE</w:t>
            </w:r>
          </w:p>
        </w:tc>
        <w:tc>
          <w:tcPr>
            <w:tcW w:w="820" w:type="dxa"/>
            <w:shd w:val="clear" w:color="auto" w:fill="C6EFCE"/>
            <w:noWrap/>
          </w:tcPr>
          <w:p w14:paraId="01ED4190" w14:textId="77777777" w:rsidR="003F46B9" w:rsidRDefault="0065662E">
            <w:pPr>
              <w:pStyle w:val="P68B1DB1-Normal5"/>
              <w:spacing w:after="0" w:line="240" w:lineRule="auto"/>
              <w:rPr>
                <w:rFonts w:cs="Times New Roman"/>
                <w:noProof/>
              </w:rPr>
            </w:pPr>
            <w:r>
              <w:rPr>
                <w:noProof/>
              </w:rPr>
              <w:t>2023</w:t>
            </w:r>
          </w:p>
        </w:tc>
        <w:tc>
          <w:tcPr>
            <w:tcW w:w="3168" w:type="dxa"/>
            <w:shd w:val="clear" w:color="auto" w:fill="C6EFCE"/>
            <w:noWrap/>
          </w:tcPr>
          <w:p w14:paraId="05F8F1AE" w14:textId="77777777" w:rsidR="003F46B9" w:rsidRDefault="0065662E">
            <w:pPr>
              <w:pStyle w:val="P68B1DB1-Normal5"/>
              <w:spacing w:after="0" w:line="240" w:lineRule="auto"/>
              <w:jc w:val="both"/>
              <w:rPr>
                <w:rFonts w:cs="Times New Roman"/>
                <w:noProof/>
              </w:rPr>
            </w:pPr>
            <w:r>
              <w:rPr>
                <w:noProof/>
              </w:rPr>
              <w:t xml:space="preserve">Novim zakonima o pravosuđu predviđa se sljedeće: </w:t>
            </w:r>
          </w:p>
          <w:p w14:paraId="3A5C54D0" w14:textId="77777777" w:rsidR="003F46B9" w:rsidRDefault="0065662E">
            <w:pPr>
              <w:pStyle w:val="P68B1DB1-Normal5"/>
              <w:spacing w:after="0" w:line="240" w:lineRule="auto"/>
              <w:jc w:val="both"/>
              <w:rPr>
                <w:rFonts w:cs="Times New Roman"/>
                <w:noProof/>
              </w:rPr>
            </w:pPr>
            <w:r>
              <w:rPr>
                <w:noProof/>
              </w:rPr>
              <w:t xml:space="preserve">1. jačanje neovisnosti sudaca i tužitelja; </w:t>
            </w:r>
          </w:p>
          <w:p w14:paraId="032E8DAB" w14:textId="77777777" w:rsidR="003F46B9" w:rsidRDefault="0065662E">
            <w:pPr>
              <w:pStyle w:val="P68B1DB1-Normal5"/>
              <w:spacing w:after="0" w:line="240" w:lineRule="auto"/>
              <w:jc w:val="both"/>
              <w:rPr>
                <w:rFonts w:cs="Times New Roman"/>
                <w:noProof/>
              </w:rPr>
            </w:pPr>
            <w:r>
              <w:rPr>
                <w:noProof/>
              </w:rPr>
              <w:t xml:space="preserve">(2) pristup profesiji i napredovanje u karijeri na temelju zasluga, zajedno s jačanjem uloge Nacionalnog sudskog instituta u organizaciji i provođenju ispita i natječaja; </w:t>
            </w:r>
          </w:p>
          <w:p w14:paraId="2BFD82B5" w14:textId="77777777" w:rsidR="003F46B9" w:rsidRDefault="0065662E">
            <w:pPr>
              <w:pStyle w:val="P68B1DB1-Normal5"/>
              <w:spacing w:after="0" w:line="240" w:lineRule="auto"/>
              <w:jc w:val="both"/>
              <w:rPr>
                <w:rFonts w:cs="Times New Roman"/>
                <w:noProof/>
              </w:rPr>
            </w:pPr>
            <w:r>
              <w:rPr>
                <w:noProof/>
              </w:rPr>
              <w:t>Efikasno funkcioniranje sudova, Vrhovnog</w:t>
            </w:r>
            <w:r>
              <w:rPr>
                <w:noProof/>
              </w:rPr>
              <w:t xml:space="preserve"> sudskog vijeća i Ureda javnog tužitelja; </w:t>
            </w:r>
          </w:p>
          <w:p w14:paraId="378C2C54" w14:textId="77777777" w:rsidR="003F46B9" w:rsidRDefault="0065662E">
            <w:pPr>
              <w:pStyle w:val="P68B1DB1-Normal5"/>
              <w:spacing w:after="0" w:line="240" w:lineRule="auto"/>
              <w:jc w:val="both"/>
              <w:rPr>
                <w:rFonts w:cs="Times New Roman"/>
                <w:noProof/>
              </w:rPr>
            </w:pPr>
            <w:r>
              <w:rPr>
                <w:noProof/>
              </w:rPr>
              <w:t xml:space="preserve">(4) učinkovita odgovornost sudaca, ali i njihova zaštita od bilo kakvog uplitanja i zlostavljanja; </w:t>
            </w:r>
          </w:p>
          <w:p w14:paraId="178D6371" w14:textId="77777777" w:rsidR="003F46B9" w:rsidRDefault="0065662E">
            <w:pPr>
              <w:pStyle w:val="P68B1DB1-Normal5"/>
              <w:spacing w:after="0" w:line="240" w:lineRule="auto"/>
              <w:jc w:val="both"/>
              <w:rPr>
                <w:rFonts w:cs="Times New Roman"/>
                <w:noProof/>
              </w:rPr>
            </w:pPr>
            <w:r>
              <w:rPr>
                <w:noProof/>
              </w:rPr>
              <w:t>(5) povećanje učinkovitosti sudske inspekcije, čime se osiguravaju veća jamstva neovisnosti i nepristranosti.</w:t>
            </w:r>
          </w:p>
        </w:tc>
      </w:tr>
      <w:tr w:rsidR="003F46B9" w14:paraId="1B1EE8BA" w14:textId="77777777">
        <w:trPr>
          <w:trHeight w:val="309"/>
        </w:trPr>
        <w:tc>
          <w:tcPr>
            <w:tcW w:w="822" w:type="dxa"/>
            <w:shd w:val="clear" w:color="auto" w:fill="C6EFCE"/>
            <w:noWrap/>
          </w:tcPr>
          <w:p w14:paraId="19079656" w14:textId="77777777" w:rsidR="003F46B9" w:rsidRDefault="0065662E">
            <w:pPr>
              <w:pStyle w:val="P68B1DB1-Normal5"/>
              <w:spacing w:after="0" w:line="240" w:lineRule="auto"/>
              <w:jc w:val="center"/>
              <w:rPr>
                <w:rFonts w:eastAsia="Times New Roman" w:cs="Times New Roman"/>
                <w:noProof/>
              </w:rPr>
            </w:pPr>
            <w:r>
              <w:rPr>
                <w:noProof/>
              </w:rPr>
              <w:t>424</w:t>
            </w:r>
          </w:p>
        </w:tc>
        <w:tc>
          <w:tcPr>
            <w:tcW w:w="2391" w:type="dxa"/>
            <w:shd w:val="clear" w:color="auto" w:fill="C6EFCE"/>
            <w:noWrap/>
          </w:tcPr>
          <w:p w14:paraId="531F293F" w14:textId="77777777" w:rsidR="003F46B9" w:rsidRDefault="0065662E">
            <w:pPr>
              <w:pStyle w:val="P68B1DB1-Normal5"/>
              <w:spacing w:after="0" w:line="240" w:lineRule="auto"/>
              <w:jc w:val="both"/>
              <w:rPr>
                <w:rFonts w:cs="Times New Roman"/>
                <w:noProof/>
              </w:rPr>
            </w:pPr>
            <w:r>
              <w:rPr>
                <w:noProof/>
              </w:rPr>
              <w:t>Reforma 5. Osiguravanje neovisnosti pravosuđa, poboljšanje njegove kvalitete i učinkovitosti</w:t>
            </w:r>
          </w:p>
        </w:tc>
        <w:tc>
          <w:tcPr>
            <w:tcW w:w="1226" w:type="dxa"/>
            <w:shd w:val="clear" w:color="auto" w:fill="C6EFCE"/>
            <w:noWrap/>
          </w:tcPr>
          <w:p w14:paraId="6D7E4514"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202CFF63" w14:textId="77777777" w:rsidR="003F46B9" w:rsidRDefault="0065662E">
            <w:pPr>
              <w:pStyle w:val="P68B1DB1-Normal5"/>
              <w:spacing w:after="0" w:line="240" w:lineRule="auto"/>
              <w:jc w:val="both"/>
              <w:rPr>
                <w:rFonts w:cs="Times New Roman"/>
                <w:noProof/>
              </w:rPr>
            </w:pPr>
            <w:bookmarkStart w:id="14" w:name="_Hlk80360815"/>
            <w:r>
              <w:rPr>
                <w:noProof/>
              </w:rPr>
              <w:t xml:space="preserve">Izmjena Kaznenog zakona i Zakona o kaznenom postupku </w:t>
            </w:r>
            <w:bookmarkEnd w:id="14"/>
          </w:p>
        </w:tc>
        <w:tc>
          <w:tcPr>
            <w:tcW w:w="1547" w:type="dxa"/>
            <w:shd w:val="clear" w:color="auto" w:fill="C6EFCE"/>
            <w:noWrap/>
          </w:tcPr>
          <w:p w14:paraId="794E3AD3" w14:textId="77777777" w:rsidR="003F46B9" w:rsidRDefault="0065662E">
            <w:pPr>
              <w:pStyle w:val="P68B1DB1-Normal5"/>
              <w:spacing w:after="0" w:line="240" w:lineRule="auto"/>
              <w:jc w:val="both"/>
              <w:rPr>
                <w:rFonts w:cs="Times New Roman"/>
                <w:noProof/>
              </w:rPr>
            </w:pPr>
            <w:r>
              <w:rPr>
                <w:noProof/>
              </w:rPr>
              <w:t xml:space="preserve">Odredba u zakonu o stupanju na snagu zakona </w:t>
            </w:r>
          </w:p>
        </w:tc>
        <w:tc>
          <w:tcPr>
            <w:tcW w:w="1344" w:type="dxa"/>
            <w:shd w:val="clear" w:color="auto" w:fill="C6EFCE"/>
            <w:noWrap/>
          </w:tcPr>
          <w:p w14:paraId="4933A3E4"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5D2349C1"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noWrap/>
          </w:tcPr>
          <w:p w14:paraId="2DD1487B"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50D66894"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4C76E40F"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0817FBAE" w14:textId="77777777" w:rsidR="003F46B9" w:rsidRDefault="0065662E">
            <w:pPr>
              <w:pStyle w:val="P68B1DB1-Normal5"/>
              <w:spacing w:after="0" w:line="240" w:lineRule="auto"/>
              <w:jc w:val="both"/>
              <w:rPr>
                <w:rFonts w:cs="Times New Roman"/>
                <w:noProof/>
              </w:rPr>
            </w:pPr>
            <w:r>
              <w:rPr>
                <w:noProof/>
              </w:rPr>
              <w:t>Potrebne izmjene Kaznenog zakona i Zakona o kaznenom postupku donose se i stupaju na snagu kako bi se odredbe Kaznenog zakona i Zakona o kaznenom postupku koji su stupili na snagu 2014. uskladile s ustavnim odredbama, u skladu s relevantnim odlukama nacion</w:t>
            </w:r>
            <w:r>
              <w:rPr>
                <w:noProof/>
              </w:rPr>
              <w:t xml:space="preserve">alnog Ustavnog suda o aspektima ustavnosti nedavnih izmjena Kaznenog zakona i kaznenog postupka. </w:t>
            </w:r>
          </w:p>
        </w:tc>
      </w:tr>
      <w:tr w:rsidR="003F46B9" w14:paraId="60B41695" w14:textId="77777777">
        <w:trPr>
          <w:trHeight w:val="309"/>
        </w:trPr>
        <w:tc>
          <w:tcPr>
            <w:tcW w:w="822" w:type="dxa"/>
            <w:shd w:val="clear" w:color="auto" w:fill="C6EFCE"/>
            <w:noWrap/>
          </w:tcPr>
          <w:p w14:paraId="0BD2E8FC" w14:textId="77777777" w:rsidR="003F46B9" w:rsidRDefault="0065662E">
            <w:pPr>
              <w:pStyle w:val="P68B1DB1-Normal5"/>
              <w:spacing w:after="0" w:line="240" w:lineRule="auto"/>
              <w:jc w:val="center"/>
              <w:rPr>
                <w:rFonts w:eastAsia="Times New Roman" w:cs="Times New Roman"/>
                <w:noProof/>
              </w:rPr>
            </w:pPr>
            <w:r>
              <w:rPr>
                <w:noProof/>
              </w:rPr>
              <w:t>425</w:t>
            </w:r>
          </w:p>
        </w:tc>
        <w:tc>
          <w:tcPr>
            <w:tcW w:w="2391" w:type="dxa"/>
            <w:shd w:val="clear" w:color="auto" w:fill="C6EFCE"/>
            <w:noWrap/>
          </w:tcPr>
          <w:p w14:paraId="3540D4FA" w14:textId="77777777" w:rsidR="003F46B9" w:rsidRDefault="0065662E">
            <w:pPr>
              <w:pStyle w:val="P68B1DB1-Normal5"/>
              <w:spacing w:after="0" w:line="240" w:lineRule="auto"/>
              <w:jc w:val="both"/>
              <w:rPr>
                <w:rFonts w:cs="Times New Roman"/>
                <w:noProof/>
              </w:rPr>
            </w:pPr>
            <w:r>
              <w:rPr>
                <w:noProof/>
              </w:rPr>
              <w:t>Reforma 5. Osiguravanje neovisnosti pravosuđa, poboljšanje njegove kvalitete i učinkovitosti</w:t>
            </w:r>
          </w:p>
        </w:tc>
        <w:tc>
          <w:tcPr>
            <w:tcW w:w="1226" w:type="dxa"/>
            <w:shd w:val="clear" w:color="auto" w:fill="C6EFCE"/>
            <w:noWrap/>
          </w:tcPr>
          <w:p w14:paraId="133754F6"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4CC3288C" w14:textId="77777777" w:rsidR="003F46B9" w:rsidRDefault="0065662E">
            <w:pPr>
              <w:pStyle w:val="P68B1DB1-Normal5"/>
              <w:spacing w:after="0" w:line="240" w:lineRule="auto"/>
              <w:jc w:val="both"/>
              <w:rPr>
                <w:rFonts w:cs="Times New Roman"/>
                <w:noProof/>
              </w:rPr>
            </w:pPr>
            <w:r>
              <w:rPr>
                <w:noProof/>
              </w:rPr>
              <w:t xml:space="preserve">Najmanje 6000 pravosudnog osoblja (kao što su suci, </w:t>
            </w:r>
            <w:r>
              <w:rPr>
                <w:noProof/>
              </w:rPr>
              <w:t>tužitelji i sudski službenici) pohađalo je osposobljavanje za poboljšanje kvalitete i učinkovitosti pravosudnog sustava</w:t>
            </w:r>
          </w:p>
        </w:tc>
        <w:tc>
          <w:tcPr>
            <w:tcW w:w="1547" w:type="dxa"/>
            <w:shd w:val="clear" w:color="auto" w:fill="C6EFCE"/>
            <w:noWrap/>
          </w:tcPr>
          <w:p w14:paraId="75F77220"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30E22BB7"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6FB3C925"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noWrap/>
          </w:tcPr>
          <w:p w14:paraId="5F387D16" w14:textId="77777777" w:rsidR="003F46B9" w:rsidRDefault="0065662E">
            <w:pPr>
              <w:pStyle w:val="P68B1DB1-Normal5"/>
              <w:spacing w:after="0" w:line="240" w:lineRule="auto"/>
              <w:rPr>
                <w:rFonts w:cs="Times New Roman"/>
                <w:noProof/>
              </w:rPr>
            </w:pPr>
            <w:r>
              <w:rPr>
                <w:noProof/>
              </w:rPr>
              <w:t>6 000</w:t>
            </w:r>
          </w:p>
        </w:tc>
        <w:tc>
          <w:tcPr>
            <w:tcW w:w="1082" w:type="dxa"/>
            <w:shd w:val="clear" w:color="auto" w:fill="C6EFCE"/>
            <w:noWrap/>
          </w:tcPr>
          <w:p w14:paraId="15239D85"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125EB9B5"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570705AE" w14:textId="77777777" w:rsidR="003F46B9" w:rsidRDefault="0065662E">
            <w:pPr>
              <w:pStyle w:val="P68B1DB1-Normal5"/>
              <w:spacing w:after="0" w:line="240" w:lineRule="auto"/>
              <w:jc w:val="both"/>
              <w:rPr>
                <w:rFonts w:cs="Times New Roman"/>
                <w:noProof/>
              </w:rPr>
            </w:pPr>
            <w:r>
              <w:rPr>
                <w:noProof/>
              </w:rPr>
              <w:t>Osposobljavanje sudaca i sudskih službenika organizirat će se kako bi se poboljšala kvaliteta pr</w:t>
            </w:r>
            <w:r>
              <w:rPr>
                <w:noProof/>
              </w:rPr>
              <w:t xml:space="preserve">avosudnog sustava i povećala njegova učinkovitost. Organiziraju se sljedeća osposobljavanja: </w:t>
            </w:r>
          </w:p>
          <w:p w14:paraId="4371D581" w14:textId="6109000D" w:rsidR="003F46B9" w:rsidRDefault="0065662E">
            <w:pPr>
              <w:pStyle w:val="P68B1DB1-Normal5"/>
              <w:spacing w:after="0" w:line="240" w:lineRule="auto"/>
              <w:jc w:val="both"/>
              <w:rPr>
                <w:rFonts w:cs="Times New Roman"/>
                <w:noProof/>
              </w:rPr>
            </w:pPr>
            <w:r>
              <w:rPr>
                <w:noProof/>
              </w:rPr>
              <w:t xml:space="preserve">1. ujednačavanje sudske prakse s obzirom na nove zakone (Građanski zakon, Zakon o parničnom postupku, Kazneni zakon i Zakon o kaznenom postupku), </w:t>
            </w:r>
          </w:p>
          <w:p w14:paraId="011881EB" w14:textId="77777777" w:rsidR="003F46B9" w:rsidRDefault="0065662E">
            <w:pPr>
              <w:pStyle w:val="P68B1DB1-Normal5"/>
              <w:spacing w:after="0" w:line="240" w:lineRule="auto"/>
              <w:jc w:val="both"/>
              <w:rPr>
                <w:rFonts w:cs="Times New Roman"/>
                <w:noProof/>
              </w:rPr>
            </w:pPr>
            <w:r>
              <w:rPr>
                <w:noProof/>
              </w:rPr>
              <w:t>(2) javna nabav</w:t>
            </w:r>
            <w:r>
              <w:rPr>
                <w:noProof/>
              </w:rPr>
              <w:t xml:space="preserve">a, upravno pravo, porezni postupak, </w:t>
            </w:r>
          </w:p>
          <w:p w14:paraId="243CD5DC" w14:textId="77777777" w:rsidR="003F46B9" w:rsidRDefault="0065662E">
            <w:pPr>
              <w:pStyle w:val="P68B1DB1-Normal5"/>
              <w:spacing w:after="0" w:line="240" w:lineRule="auto"/>
              <w:jc w:val="both"/>
              <w:rPr>
                <w:rFonts w:cs="Times New Roman"/>
                <w:noProof/>
              </w:rPr>
            </w:pPr>
            <w:r>
              <w:rPr>
                <w:noProof/>
              </w:rPr>
              <w:t xml:space="preserve">(3) međunarodna pravosudna suradnja u građanskim i kaznenim stvarima, sudska praksa Suda Europske unije u području temeljnih prava, </w:t>
            </w:r>
          </w:p>
          <w:p w14:paraId="4CE52952" w14:textId="77777777" w:rsidR="003F46B9" w:rsidRDefault="0065662E">
            <w:pPr>
              <w:pStyle w:val="P68B1DB1-Normal5"/>
              <w:spacing w:after="0" w:line="240" w:lineRule="auto"/>
              <w:jc w:val="both"/>
              <w:rPr>
                <w:rFonts w:cs="Times New Roman"/>
                <w:noProof/>
              </w:rPr>
            </w:pPr>
            <w:r>
              <w:rPr>
                <w:noProof/>
              </w:rPr>
              <w:t xml:space="preserve">(4) upravljanje radom sudskih službenika, </w:t>
            </w:r>
          </w:p>
          <w:p w14:paraId="0E6F1050" w14:textId="77777777" w:rsidR="003F46B9" w:rsidRDefault="0065662E">
            <w:pPr>
              <w:pStyle w:val="P68B1DB1-Normal5"/>
              <w:spacing w:after="0" w:line="240" w:lineRule="auto"/>
              <w:jc w:val="both"/>
              <w:rPr>
                <w:rFonts w:cs="Times New Roman"/>
                <w:noProof/>
              </w:rPr>
            </w:pPr>
            <w:r>
              <w:rPr>
                <w:noProof/>
              </w:rPr>
              <w:t>(5) sudska praksa Europskog suda za ljudska</w:t>
            </w:r>
            <w:r>
              <w:rPr>
                <w:noProof/>
              </w:rPr>
              <w:t xml:space="preserve"> prava, </w:t>
            </w:r>
          </w:p>
          <w:p w14:paraId="55D17CDE" w14:textId="77777777" w:rsidR="003F46B9" w:rsidRDefault="0065662E">
            <w:pPr>
              <w:pStyle w:val="P68B1DB1-Normal5"/>
              <w:spacing w:after="0" w:line="240" w:lineRule="auto"/>
              <w:jc w:val="both"/>
              <w:rPr>
                <w:rFonts w:cs="Times New Roman"/>
                <w:noProof/>
              </w:rPr>
            </w:pPr>
            <w:r>
              <w:rPr>
                <w:noProof/>
              </w:rPr>
              <w:t>(6) izvršenje kaznenih presuda.</w:t>
            </w:r>
          </w:p>
          <w:p w14:paraId="60B02624" w14:textId="77777777" w:rsidR="003F46B9" w:rsidRDefault="0065662E">
            <w:pPr>
              <w:pStyle w:val="P68B1DB1-Normal5"/>
              <w:spacing w:after="0" w:line="240" w:lineRule="auto"/>
              <w:jc w:val="both"/>
              <w:rPr>
                <w:rFonts w:cs="Times New Roman"/>
                <w:noProof/>
              </w:rPr>
            </w:pPr>
            <w:r>
              <w:rPr>
                <w:noProof/>
              </w:rPr>
              <w:t xml:space="preserve">300 tečajeva osposobljavanja namijenjeno je približno 6000 sudaca, tužitelja i sudskih službenika. </w:t>
            </w:r>
          </w:p>
        </w:tc>
      </w:tr>
      <w:tr w:rsidR="003F46B9" w14:paraId="0BB33479" w14:textId="77777777">
        <w:trPr>
          <w:trHeight w:val="309"/>
        </w:trPr>
        <w:tc>
          <w:tcPr>
            <w:tcW w:w="822" w:type="dxa"/>
            <w:shd w:val="clear" w:color="auto" w:fill="C6EFCE"/>
            <w:noWrap/>
          </w:tcPr>
          <w:p w14:paraId="77D3345B" w14:textId="77777777" w:rsidR="003F46B9" w:rsidRDefault="0065662E">
            <w:pPr>
              <w:pStyle w:val="P68B1DB1-Normal5"/>
              <w:spacing w:after="0" w:line="240" w:lineRule="auto"/>
              <w:jc w:val="center"/>
              <w:rPr>
                <w:rFonts w:eastAsia="Times New Roman" w:cs="Times New Roman"/>
                <w:noProof/>
              </w:rPr>
            </w:pPr>
            <w:r>
              <w:rPr>
                <w:noProof/>
              </w:rPr>
              <w:t>426</w:t>
            </w:r>
          </w:p>
        </w:tc>
        <w:tc>
          <w:tcPr>
            <w:tcW w:w="2391" w:type="dxa"/>
            <w:shd w:val="clear" w:color="auto" w:fill="C6EFCE"/>
            <w:noWrap/>
          </w:tcPr>
          <w:p w14:paraId="7C8C8C47" w14:textId="77777777" w:rsidR="003F46B9" w:rsidRDefault="0065662E">
            <w:pPr>
              <w:pStyle w:val="P68B1DB1-Normal5"/>
              <w:spacing w:after="0" w:line="240" w:lineRule="auto"/>
              <w:jc w:val="both"/>
              <w:rPr>
                <w:rFonts w:cs="Times New Roman"/>
                <w:noProof/>
              </w:rPr>
            </w:pPr>
            <w:r>
              <w:rPr>
                <w:noProof/>
              </w:rPr>
              <w:t xml:space="preserve">Reforma 6. Jačanje borbe protiv korupcije </w:t>
            </w:r>
          </w:p>
        </w:tc>
        <w:tc>
          <w:tcPr>
            <w:tcW w:w="1226" w:type="dxa"/>
            <w:shd w:val="clear" w:color="auto" w:fill="C6EFCE"/>
            <w:noWrap/>
          </w:tcPr>
          <w:p w14:paraId="36EE7E7F"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7677ADF8" w14:textId="77777777" w:rsidR="003F46B9" w:rsidRDefault="0065662E">
            <w:pPr>
              <w:pStyle w:val="P68B1DB1-Normal5"/>
              <w:spacing w:after="0" w:line="240" w:lineRule="auto"/>
              <w:jc w:val="both"/>
              <w:rPr>
                <w:rFonts w:cs="Times New Roman"/>
                <w:noProof/>
              </w:rPr>
            </w:pPr>
            <w:r>
              <w:rPr>
                <w:noProof/>
              </w:rPr>
              <w:t xml:space="preserve">Stupanje na snagu odluke Vlade o odobravanju nove Nacionalne strategije za borbu protiv korupcije </w:t>
            </w:r>
          </w:p>
        </w:tc>
        <w:tc>
          <w:tcPr>
            <w:tcW w:w="1547" w:type="dxa"/>
            <w:shd w:val="clear" w:color="auto" w:fill="C6EFCE"/>
            <w:noWrap/>
          </w:tcPr>
          <w:p w14:paraId="6859E925" w14:textId="77777777" w:rsidR="003F46B9" w:rsidRDefault="0065662E">
            <w:pPr>
              <w:pStyle w:val="P68B1DB1-Normal5"/>
              <w:spacing w:after="0" w:line="240" w:lineRule="auto"/>
              <w:jc w:val="both"/>
              <w:rPr>
                <w:rFonts w:cs="Times New Roman"/>
                <w:noProof/>
              </w:rPr>
            </w:pPr>
            <w:r>
              <w:rPr>
                <w:noProof/>
              </w:rPr>
              <w:t>Odredba u vladinoj odluci u kojoj se navodi donošenje strategije za borbu protiv korupcije</w:t>
            </w:r>
          </w:p>
        </w:tc>
        <w:tc>
          <w:tcPr>
            <w:tcW w:w="1344" w:type="dxa"/>
            <w:shd w:val="clear" w:color="auto" w:fill="C6EFCE"/>
            <w:noWrap/>
          </w:tcPr>
          <w:p w14:paraId="5C521990"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54ABA372"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noWrap/>
          </w:tcPr>
          <w:p w14:paraId="57AA2919" w14:textId="77777777" w:rsidR="003F46B9" w:rsidRDefault="0065662E">
            <w:pPr>
              <w:pStyle w:val="P68B1DB1-Normal5"/>
              <w:spacing w:after="0" w:line="240" w:lineRule="auto"/>
              <w:rPr>
                <w:rFonts w:cs="Times New Roman"/>
                <w:noProof/>
              </w:rPr>
            </w:pPr>
            <w:r>
              <w:rPr>
                <w:noProof/>
              </w:rPr>
              <w:t xml:space="preserve"> </w:t>
            </w:r>
          </w:p>
        </w:tc>
        <w:tc>
          <w:tcPr>
            <w:tcW w:w="1082" w:type="dxa"/>
            <w:shd w:val="clear" w:color="auto" w:fill="C6EFCE"/>
            <w:noWrap/>
          </w:tcPr>
          <w:p w14:paraId="35F7985F"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769D4AC0" w14:textId="77777777" w:rsidR="003F46B9" w:rsidRDefault="0065662E">
            <w:pPr>
              <w:pStyle w:val="P68B1DB1-Normal5"/>
              <w:spacing w:after="0" w:line="240" w:lineRule="auto"/>
              <w:jc w:val="center"/>
              <w:rPr>
                <w:rFonts w:cs="Times New Roman"/>
                <w:noProof/>
              </w:rPr>
            </w:pPr>
            <w:r>
              <w:rPr>
                <w:noProof/>
              </w:rPr>
              <w:t>2021</w:t>
            </w:r>
          </w:p>
        </w:tc>
        <w:tc>
          <w:tcPr>
            <w:tcW w:w="3168" w:type="dxa"/>
            <w:shd w:val="clear" w:color="auto" w:fill="C6EFCE"/>
            <w:noWrap/>
          </w:tcPr>
          <w:p w14:paraId="0B49AA94"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 xml:space="preserve">Opći su ciljevi nove strategije za </w:t>
            </w:r>
            <w:r>
              <w:rPr>
                <w:rFonts w:ascii="Times New Roman" w:hAnsi="Times New Roman"/>
                <w:noProof/>
                <w:sz w:val="24"/>
              </w:rPr>
              <w:t>borbu protiv korupcije sljedeći:</w:t>
            </w:r>
            <w:r>
              <w:rPr>
                <w:noProof/>
              </w:rPr>
              <w:t xml:space="preserve"> </w:t>
            </w:r>
            <w:r>
              <w:rPr>
                <w:noProof/>
              </w:rPr>
              <w:br/>
            </w:r>
            <w:r>
              <w:rPr>
                <w:rFonts w:ascii="Times New Roman" w:hAnsi="Times New Roman"/>
                <w:noProof/>
                <w:sz w:val="24"/>
              </w:rPr>
              <w:t>1. smanjenje učinka korupcije na građane;</w:t>
            </w:r>
          </w:p>
          <w:p w14:paraId="2421A8F0" w14:textId="77777777" w:rsidR="003F46B9" w:rsidRDefault="0065662E">
            <w:pPr>
              <w:spacing w:line="240" w:lineRule="auto"/>
              <w:jc w:val="both"/>
              <w:rPr>
                <w:rFonts w:ascii="Times New Roman" w:hAnsi="Times New Roman" w:cs="Times New Roman"/>
                <w:noProof/>
                <w:sz w:val="24"/>
              </w:rPr>
            </w:pPr>
            <w:r>
              <w:rPr>
                <w:rFonts w:ascii="Times New Roman" w:hAnsi="Times New Roman"/>
                <w:noProof/>
                <w:sz w:val="24"/>
              </w:rPr>
              <w:t>(2) Jačanje kapaciteta za upravljanje integritetom i administrativnih kapaciteta za sprečavanje i borbu protiv korupcije;</w:t>
            </w:r>
            <w:r>
              <w:rPr>
                <w:noProof/>
              </w:rPr>
              <w:t xml:space="preserve"> </w:t>
            </w:r>
            <w:r>
              <w:rPr>
                <w:noProof/>
              </w:rPr>
              <w:br/>
            </w:r>
            <w:r>
              <w:rPr>
                <w:rFonts w:ascii="Times New Roman" w:hAnsi="Times New Roman"/>
                <w:noProof/>
                <w:sz w:val="24"/>
              </w:rPr>
              <w:t>(3) jačanje integriteta u prioritetnim područjima;</w:t>
            </w:r>
            <w:r>
              <w:rPr>
                <w:noProof/>
              </w:rPr>
              <w:t xml:space="preserve"> </w:t>
            </w:r>
            <w:r>
              <w:rPr>
                <w:noProof/>
              </w:rPr>
              <w:br/>
            </w:r>
            <w:r>
              <w:rPr>
                <w:rFonts w:ascii="Times New Roman" w:hAnsi="Times New Roman"/>
                <w:noProof/>
                <w:sz w:val="24"/>
              </w:rPr>
              <w:t>(4)po</w:t>
            </w:r>
            <w:r>
              <w:rPr>
                <w:rFonts w:ascii="Times New Roman" w:hAnsi="Times New Roman"/>
                <w:noProof/>
                <w:sz w:val="24"/>
              </w:rPr>
              <w:t>boljšati učinkovitost borbe protiv korupcije kaznenim i administrativnim sredstvima;</w:t>
            </w:r>
            <w:r>
              <w:rPr>
                <w:noProof/>
              </w:rPr>
              <w:t xml:space="preserve"> </w:t>
            </w:r>
            <w:r>
              <w:rPr>
                <w:noProof/>
              </w:rPr>
              <w:br/>
            </w:r>
            <w:r>
              <w:rPr>
                <w:rFonts w:ascii="Times New Roman" w:hAnsi="Times New Roman"/>
                <w:noProof/>
                <w:sz w:val="24"/>
              </w:rPr>
              <w:t>(5)Povećanje provedbe antikorupcijskih mjera.</w:t>
            </w:r>
          </w:p>
          <w:p w14:paraId="3A5AC95E" w14:textId="77777777" w:rsidR="003F46B9" w:rsidRDefault="0065662E">
            <w:pPr>
              <w:pStyle w:val="P68B1DB1-Normal5"/>
              <w:spacing w:after="0" w:line="240" w:lineRule="auto"/>
              <w:jc w:val="both"/>
              <w:rPr>
                <w:rFonts w:cs="Times New Roman"/>
                <w:noProof/>
              </w:rPr>
            </w:pPr>
            <w:r>
              <w:rPr>
                <w:noProof/>
              </w:rPr>
              <w:t>Posebni ciljevi nove strategije za borbu protiv korupcije su:</w:t>
            </w:r>
          </w:p>
          <w:p w14:paraId="47EBEE3E" w14:textId="77777777" w:rsidR="003F46B9" w:rsidRDefault="0065662E">
            <w:pPr>
              <w:pStyle w:val="P68B1DB1-Normal5"/>
              <w:spacing w:after="0" w:line="240" w:lineRule="auto"/>
              <w:jc w:val="both"/>
              <w:rPr>
                <w:rFonts w:cs="Times New Roman"/>
                <w:noProof/>
              </w:rPr>
            </w:pPr>
            <w:r>
              <w:rPr>
                <w:noProof/>
              </w:rPr>
              <w:t>(1) osposobljavanje stručnjaka uključenih u sprečavanje i suzb</w:t>
            </w:r>
            <w:r>
              <w:rPr>
                <w:noProof/>
              </w:rPr>
              <w:t xml:space="preserve">ijanje kaznenih djela protiv okoliša; </w:t>
            </w:r>
          </w:p>
          <w:p w14:paraId="411FAB39" w14:textId="77777777" w:rsidR="003F46B9" w:rsidRDefault="0065662E">
            <w:pPr>
              <w:pStyle w:val="P68B1DB1-Normal5"/>
              <w:spacing w:after="0" w:line="240" w:lineRule="auto"/>
              <w:jc w:val="both"/>
              <w:rPr>
                <w:rFonts w:cs="Times New Roman"/>
                <w:noProof/>
              </w:rPr>
            </w:pPr>
            <w:r>
              <w:rPr>
                <w:noProof/>
              </w:rPr>
              <w:t>(2) dodjelu potrebnih resursa za optimalno funkcioniranje DNA-a (Nacionalna uprava za borbu protiv korupcije), potporne strukture Ureda europskog javnog tužitelja, tehničke službe i jačanje službenika pravosudne polic</w:t>
            </w:r>
            <w:r>
              <w:rPr>
                <w:noProof/>
              </w:rPr>
              <w:t xml:space="preserve">ije; </w:t>
            </w:r>
          </w:p>
          <w:p w14:paraId="76F8765B" w14:textId="778ADA18"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 xml:space="preserve">(3) promicanje ujednačavanja pravosudne prakse u području korupcije. U tom pogledu NAD provodi analizu sudske prakse u predmetima korupcije. </w:t>
            </w:r>
            <w:r>
              <w:rPr>
                <w:noProof/>
              </w:rPr>
              <w:br/>
            </w:r>
            <w:r>
              <w:rPr>
                <w:rFonts w:ascii="Times New Roman" w:hAnsi="Times New Roman"/>
                <w:noProof/>
                <w:sz w:val="24"/>
              </w:rPr>
              <w:t>Novom strategijom utvrđuju se nova prioritetna područja: korupcija u okolišu, veza između korupcije i organi</w:t>
            </w:r>
            <w:r>
              <w:rPr>
                <w:rFonts w:ascii="Times New Roman" w:hAnsi="Times New Roman"/>
                <w:noProof/>
                <w:sz w:val="24"/>
              </w:rPr>
              <w:t>ziranog kriminala te integritet u zaštiti kulturnih dobara. Također preispituje zakonodavstvo o integritetu te se stoga provode moguća poboljšanja u vezi s posebnim zakonodavstvom koje se odnosi na:</w:t>
            </w:r>
          </w:p>
          <w:p w14:paraId="34E17A4B" w14:textId="77777777" w:rsidR="003F46B9" w:rsidRDefault="0065662E">
            <w:pPr>
              <w:pStyle w:val="P68B1DB1-Normal5"/>
              <w:spacing w:after="0" w:line="240" w:lineRule="auto"/>
              <w:jc w:val="both"/>
              <w:rPr>
                <w:rFonts w:cs="Times New Roman"/>
                <w:noProof/>
              </w:rPr>
            </w:pPr>
            <w:r>
              <w:rPr>
                <w:noProof/>
              </w:rPr>
              <w:t>—sukob interesa, nekompatibilnosti;</w:t>
            </w:r>
          </w:p>
          <w:p w14:paraId="491D6530" w14:textId="77777777" w:rsidR="003F46B9" w:rsidRDefault="0065662E">
            <w:pPr>
              <w:pStyle w:val="P68B1DB1-Normal5"/>
              <w:spacing w:after="0" w:line="240" w:lineRule="auto"/>
              <w:jc w:val="both"/>
              <w:rPr>
                <w:rFonts w:cs="Times New Roman"/>
                <w:noProof/>
              </w:rPr>
            </w:pPr>
            <w:r>
              <w:rPr>
                <w:noProof/>
              </w:rPr>
              <w:t>—izvješćivanje o imov</w:t>
            </w:r>
            <w:r>
              <w:rPr>
                <w:noProof/>
              </w:rPr>
              <w:t>inskom stanju;</w:t>
            </w:r>
          </w:p>
          <w:p w14:paraId="07BFC965" w14:textId="77777777" w:rsidR="003F46B9" w:rsidRDefault="0065662E">
            <w:pPr>
              <w:pStyle w:val="P68B1DB1-Normal5"/>
              <w:spacing w:after="0" w:line="240" w:lineRule="auto"/>
              <w:jc w:val="both"/>
              <w:rPr>
                <w:rFonts w:cs="Times New Roman"/>
                <w:noProof/>
              </w:rPr>
            </w:pPr>
            <w:r>
              <w:rPr>
                <w:noProof/>
              </w:rPr>
              <w:t>rotirajuća vrata (pantouflage);</w:t>
            </w:r>
          </w:p>
          <w:p w14:paraId="639DCAD5" w14:textId="77777777" w:rsidR="003F46B9" w:rsidRDefault="0065662E">
            <w:pPr>
              <w:pStyle w:val="P68B1DB1-Normal5"/>
              <w:spacing w:after="0" w:line="240" w:lineRule="auto"/>
              <w:jc w:val="both"/>
              <w:rPr>
                <w:rFonts w:cs="Times New Roman"/>
                <w:noProof/>
              </w:rPr>
            </w:pPr>
            <w:r>
              <w:rPr>
                <w:noProof/>
              </w:rPr>
              <w:t>—savjetnik za etička pitanja;</w:t>
            </w:r>
          </w:p>
          <w:p w14:paraId="377B2E7D" w14:textId="77777777" w:rsidR="003F46B9" w:rsidRDefault="0065662E">
            <w:pPr>
              <w:pStyle w:val="P68B1DB1-Normal5"/>
              <w:spacing w:after="0" w:line="240" w:lineRule="auto"/>
              <w:jc w:val="both"/>
              <w:rPr>
                <w:rFonts w:cs="Times New Roman"/>
                <w:noProof/>
              </w:rPr>
            </w:pPr>
            <w:r>
              <w:rPr>
                <w:noProof/>
              </w:rPr>
              <w:t>Opći standard za objavu informacija od javnog interesa po službenoj dužnosti na razini središnjih i lokalnih javnih tijela (kako bi se osigurala dosljednost u primjeni).</w:t>
            </w:r>
          </w:p>
        </w:tc>
      </w:tr>
      <w:tr w:rsidR="003F46B9" w14:paraId="4476245A" w14:textId="77777777">
        <w:trPr>
          <w:trHeight w:val="309"/>
        </w:trPr>
        <w:tc>
          <w:tcPr>
            <w:tcW w:w="822" w:type="dxa"/>
            <w:shd w:val="clear" w:color="auto" w:fill="C6EFCE"/>
            <w:noWrap/>
          </w:tcPr>
          <w:p w14:paraId="74F0CF3C" w14:textId="77777777" w:rsidR="003F46B9" w:rsidRDefault="0065662E">
            <w:pPr>
              <w:pStyle w:val="P68B1DB1-Normal5"/>
              <w:spacing w:after="0" w:line="240" w:lineRule="auto"/>
              <w:jc w:val="center"/>
              <w:rPr>
                <w:rFonts w:eastAsia="Times New Roman" w:cs="Times New Roman"/>
                <w:noProof/>
              </w:rPr>
            </w:pPr>
            <w:r>
              <w:rPr>
                <w:noProof/>
              </w:rPr>
              <w:t>427</w:t>
            </w:r>
          </w:p>
        </w:tc>
        <w:tc>
          <w:tcPr>
            <w:tcW w:w="2391" w:type="dxa"/>
            <w:shd w:val="clear" w:color="auto" w:fill="C6EFCE"/>
            <w:noWrap/>
          </w:tcPr>
          <w:p w14:paraId="554B235C" w14:textId="77777777" w:rsidR="003F46B9" w:rsidRDefault="0065662E">
            <w:pPr>
              <w:pStyle w:val="P68B1DB1-Normal5"/>
              <w:spacing w:after="0" w:line="240" w:lineRule="auto"/>
              <w:jc w:val="both"/>
              <w:rPr>
                <w:rFonts w:cs="Times New Roman"/>
                <w:noProof/>
              </w:rPr>
            </w:pPr>
            <w:r>
              <w:rPr>
                <w:noProof/>
              </w:rPr>
              <w:t xml:space="preserve">Reforma 6. Jačanje borbe protiv korupcije </w:t>
            </w:r>
          </w:p>
        </w:tc>
        <w:tc>
          <w:tcPr>
            <w:tcW w:w="1226" w:type="dxa"/>
            <w:shd w:val="clear" w:color="auto" w:fill="C6EFCE"/>
            <w:noWrap/>
          </w:tcPr>
          <w:p w14:paraId="3E987649"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79FE9DA4" w14:textId="77777777" w:rsidR="003F46B9" w:rsidRDefault="0065662E">
            <w:pPr>
              <w:pStyle w:val="P68B1DB1-Normal5"/>
              <w:spacing w:after="0" w:line="240" w:lineRule="auto"/>
              <w:jc w:val="both"/>
              <w:rPr>
                <w:rFonts w:cs="Times New Roman"/>
                <w:noProof/>
              </w:rPr>
            </w:pPr>
            <w:r>
              <w:rPr>
                <w:noProof/>
              </w:rPr>
              <w:t>Povećanje vrijednosti zaplijenjene imovine kojom upravlja Nacionalna agencija za upravljanje zaplijenjenom imovinom</w:t>
            </w:r>
          </w:p>
        </w:tc>
        <w:tc>
          <w:tcPr>
            <w:tcW w:w="1547" w:type="dxa"/>
            <w:shd w:val="clear" w:color="auto" w:fill="C6EFCE"/>
            <w:noWrap/>
          </w:tcPr>
          <w:p w14:paraId="37F29597"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706182D1" w14:textId="77777777" w:rsidR="003F46B9" w:rsidRDefault="0065662E">
            <w:pPr>
              <w:pStyle w:val="P68B1DB1-Normal5"/>
              <w:spacing w:after="0" w:line="240" w:lineRule="auto"/>
              <w:rPr>
                <w:rFonts w:cs="Times New Roman"/>
                <w:noProof/>
              </w:rPr>
            </w:pPr>
            <w:r>
              <w:rPr>
                <w:noProof/>
              </w:rPr>
              <w:t>Postotak (%)</w:t>
            </w:r>
          </w:p>
        </w:tc>
        <w:tc>
          <w:tcPr>
            <w:tcW w:w="1109" w:type="dxa"/>
            <w:shd w:val="clear" w:color="auto" w:fill="C6EFCE"/>
            <w:noWrap/>
          </w:tcPr>
          <w:p w14:paraId="67E47845"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noWrap/>
          </w:tcPr>
          <w:p w14:paraId="42E6E215" w14:textId="77777777" w:rsidR="003F46B9" w:rsidRDefault="0065662E">
            <w:pPr>
              <w:pStyle w:val="P68B1DB1-Normal5"/>
              <w:spacing w:after="0" w:line="240" w:lineRule="auto"/>
              <w:rPr>
                <w:rFonts w:cs="Times New Roman"/>
                <w:noProof/>
              </w:rPr>
            </w:pPr>
            <w:r>
              <w:rPr>
                <w:noProof/>
              </w:rPr>
              <w:t>50</w:t>
            </w:r>
          </w:p>
        </w:tc>
        <w:tc>
          <w:tcPr>
            <w:tcW w:w="1082" w:type="dxa"/>
            <w:shd w:val="clear" w:color="auto" w:fill="C6EFCE"/>
            <w:noWrap/>
          </w:tcPr>
          <w:p w14:paraId="2E7C1280" w14:textId="77777777" w:rsidR="003F46B9" w:rsidRDefault="0065662E">
            <w:pPr>
              <w:pStyle w:val="P68B1DB1-Normal5"/>
              <w:spacing w:after="0" w:line="240" w:lineRule="auto"/>
              <w:jc w:val="center"/>
              <w:rPr>
                <w:rFonts w:cs="Times New Roman"/>
                <w:noProof/>
              </w:rPr>
            </w:pPr>
            <w:r>
              <w:rPr>
                <w:noProof/>
              </w:rPr>
              <w:t>ČETVRTO TROMJESEČJE</w:t>
            </w:r>
          </w:p>
        </w:tc>
        <w:tc>
          <w:tcPr>
            <w:tcW w:w="820" w:type="dxa"/>
            <w:shd w:val="clear" w:color="auto" w:fill="C6EFCE"/>
            <w:noWrap/>
          </w:tcPr>
          <w:p w14:paraId="68DE8E4A"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3D05AC43" w14:textId="687FD6EE" w:rsidR="003F46B9" w:rsidRDefault="0065662E">
            <w:pPr>
              <w:pStyle w:val="P68B1DB1-Normal5"/>
              <w:spacing w:after="0" w:line="240" w:lineRule="auto"/>
              <w:jc w:val="both"/>
              <w:rPr>
                <w:rFonts w:cs="Times New Roman"/>
                <w:noProof/>
              </w:rPr>
            </w:pPr>
            <w:r>
              <w:rPr>
                <w:noProof/>
              </w:rPr>
              <w:t>Povećanje vrijednosti zaplijenjene imovine ko</w:t>
            </w:r>
            <w:r>
              <w:rPr>
                <w:noProof/>
              </w:rPr>
              <w:t>jom upravlja Nacionalna agencija za upravljanje zaplijenjenom imovinom postiže se nakon zakonodavnih izmjena u pogledu konsolidacije zakonskog mandata Nacionalne agencije za upravljanje zaplijenjenom imovinom (ANABI) (ključna etapa 422) i izgradnje skladiš</w:t>
            </w:r>
            <w:r>
              <w:rPr>
                <w:noProof/>
              </w:rPr>
              <w:t xml:space="preserve">ta (cilj 446) za skladištenje zaplijenjene imovine. </w:t>
            </w:r>
          </w:p>
          <w:p w14:paraId="1DAE5817" w14:textId="48F4DB64" w:rsidR="003F46B9" w:rsidRDefault="0065662E">
            <w:pPr>
              <w:pStyle w:val="P68B1DB1-Normal5"/>
              <w:spacing w:after="0" w:line="240" w:lineRule="auto"/>
              <w:jc w:val="both"/>
              <w:rPr>
                <w:rFonts w:cs="Times New Roman"/>
                <w:noProof/>
              </w:rPr>
            </w:pPr>
            <w:r>
              <w:rPr>
                <w:noProof/>
              </w:rPr>
              <w:t xml:space="preserve">Osnovna vrijednost za taj cilj jest vrijednost zaplijenjene imovine kojom upravlja Agencija u lipnju 2021. (otprilike 45 milijuna EUR).  </w:t>
            </w:r>
          </w:p>
        </w:tc>
      </w:tr>
      <w:tr w:rsidR="003F46B9" w14:paraId="19AC28A5" w14:textId="77777777">
        <w:trPr>
          <w:trHeight w:val="309"/>
        </w:trPr>
        <w:tc>
          <w:tcPr>
            <w:tcW w:w="822" w:type="dxa"/>
            <w:shd w:val="clear" w:color="auto" w:fill="C6EFCE"/>
            <w:noWrap/>
          </w:tcPr>
          <w:p w14:paraId="035D5ACE" w14:textId="77777777" w:rsidR="003F46B9" w:rsidRDefault="0065662E">
            <w:pPr>
              <w:pStyle w:val="P68B1DB1-Normal5"/>
              <w:spacing w:after="0" w:line="240" w:lineRule="auto"/>
              <w:jc w:val="center"/>
              <w:rPr>
                <w:rFonts w:eastAsia="Times New Roman" w:cs="Times New Roman"/>
                <w:noProof/>
              </w:rPr>
            </w:pPr>
            <w:r>
              <w:rPr>
                <w:noProof/>
              </w:rPr>
              <w:t>428</w:t>
            </w:r>
          </w:p>
        </w:tc>
        <w:tc>
          <w:tcPr>
            <w:tcW w:w="2391" w:type="dxa"/>
            <w:vMerge w:val="restart"/>
            <w:shd w:val="clear" w:color="auto" w:fill="C6EFCE"/>
            <w:noWrap/>
          </w:tcPr>
          <w:p w14:paraId="2F71369A" w14:textId="77777777" w:rsidR="003F46B9" w:rsidRDefault="0065662E">
            <w:pPr>
              <w:pStyle w:val="P68B1DB1-Normal5"/>
              <w:spacing w:after="0" w:line="240" w:lineRule="auto"/>
              <w:jc w:val="both"/>
              <w:rPr>
                <w:rFonts w:cs="Times New Roman"/>
                <w:noProof/>
              </w:rPr>
            </w:pPr>
            <w:r>
              <w:rPr>
                <w:noProof/>
              </w:rPr>
              <w:t xml:space="preserve">Reforma 6. Jačanje borbe protiv korupcije </w:t>
            </w:r>
          </w:p>
          <w:p w14:paraId="25487A67" w14:textId="77777777" w:rsidR="003F46B9" w:rsidRDefault="003F46B9">
            <w:pPr>
              <w:spacing w:after="0" w:line="240" w:lineRule="auto"/>
              <w:jc w:val="both"/>
              <w:rPr>
                <w:rFonts w:ascii="Times New Roman" w:eastAsia="Times New Roman" w:hAnsi="Times New Roman" w:cs="Times New Roman"/>
                <w:noProof/>
                <w:sz w:val="24"/>
              </w:rPr>
            </w:pPr>
          </w:p>
          <w:p w14:paraId="688C8DB1" w14:textId="77777777" w:rsidR="003F46B9" w:rsidRDefault="003F46B9">
            <w:pPr>
              <w:spacing w:after="0" w:line="240" w:lineRule="auto"/>
              <w:jc w:val="both"/>
              <w:rPr>
                <w:rFonts w:ascii="Times New Roman" w:eastAsia="Times New Roman" w:hAnsi="Times New Roman" w:cs="Times New Roman"/>
                <w:noProof/>
                <w:sz w:val="24"/>
              </w:rPr>
            </w:pPr>
          </w:p>
        </w:tc>
        <w:tc>
          <w:tcPr>
            <w:tcW w:w="1226" w:type="dxa"/>
            <w:vMerge w:val="restart"/>
            <w:shd w:val="clear" w:color="auto" w:fill="C6EFCE"/>
            <w:noWrap/>
          </w:tcPr>
          <w:p w14:paraId="7324BC0E" w14:textId="77777777" w:rsidR="003F46B9" w:rsidRDefault="0065662E">
            <w:pPr>
              <w:pStyle w:val="P68B1DB1-Normal5"/>
              <w:spacing w:after="0" w:line="240" w:lineRule="auto"/>
              <w:rPr>
                <w:rFonts w:eastAsia="Times New Roman" w:cs="Times New Roman"/>
                <w:noProof/>
              </w:rPr>
            </w:pPr>
            <w:r>
              <w:rPr>
                <w:noProof/>
              </w:rPr>
              <w:t>Ciljna</w:t>
            </w:r>
          </w:p>
          <w:p w14:paraId="634F4F7B" w14:textId="77777777" w:rsidR="003F46B9" w:rsidRDefault="003F46B9">
            <w:pPr>
              <w:spacing w:after="0" w:line="240" w:lineRule="auto"/>
              <w:rPr>
                <w:rFonts w:ascii="Times New Roman" w:eastAsia="Times New Roman" w:hAnsi="Times New Roman" w:cs="Times New Roman"/>
                <w:noProof/>
                <w:sz w:val="24"/>
              </w:rPr>
            </w:pPr>
          </w:p>
          <w:p w14:paraId="74A91F30" w14:textId="77777777" w:rsidR="003F46B9" w:rsidRDefault="003F46B9">
            <w:pPr>
              <w:spacing w:after="0" w:line="240" w:lineRule="auto"/>
              <w:jc w:val="both"/>
              <w:rPr>
                <w:rFonts w:ascii="Times New Roman" w:hAnsi="Times New Roman" w:cs="Times New Roman"/>
                <w:noProof/>
                <w:sz w:val="24"/>
              </w:rPr>
            </w:pPr>
          </w:p>
          <w:p w14:paraId="171E57CC" w14:textId="77777777" w:rsidR="003F46B9" w:rsidRDefault="003F46B9">
            <w:pPr>
              <w:spacing w:after="0" w:line="240" w:lineRule="auto"/>
              <w:rPr>
                <w:rFonts w:ascii="Times New Roman" w:eastAsia="Times New Roman" w:hAnsi="Times New Roman" w:cs="Times New Roman"/>
                <w:noProof/>
                <w:sz w:val="24"/>
              </w:rPr>
            </w:pPr>
          </w:p>
        </w:tc>
        <w:tc>
          <w:tcPr>
            <w:tcW w:w="1495" w:type="dxa"/>
            <w:vMerge w:val="restart"/>
            <w:shd w:val="clear" w:color="auto" w:fill="C6EFCE"/>
            <w:noWrap/>
          </w:tcPr>
          <w:p w14:paraId="021ADB32" w14:textId="77777777" w:rsidR="003F46B9" w:rsidRDefault="0065662E">
            <w:pPr>
              <w:pStyle w:val="P68B1DB1-Normal5"/>
              <w:spacing w:after="0" w:line="240" w:lineRule="auto"/>
              <w:jc w:val="both"/>
              <w:rPr>
                <w:rFonts w:eastAsia="Times New Roman" w:cs="Times New Roman"/>
                <w:noProof/>
              </w:rPr>
            </w:pPr>
            <w:r>
              <w:rPr>
                <w:noProof/>
              </w:rPr>
              <w:t>Završetak najmanje 70 % mjera predviđenih u novoj strategiji za borbu protiv korupcije</w:t>
            </w:r>
          </w:p>
          <w:p w14:paraId="78EC8787" w14:textId="77777777" w:rsidR="003F46B9" w:rsidRDefault="003F46B9">
            <w:pPr>
              <w:spacing w:after="0" w:line="240" w:lineRule="auto"/>
              <w:jc w:val="both"/>
              <w:rPr>
                <w:rFonts w:ascii="Times New Roman" w:eastAsia="Times New Roman" w:hAnsi="Times New Roman" w:cs="Times New Roman"/>
                <w:noProof/>
                <w:sz w:val="24"/>
              </w:rPr>
            </w:pPr>
          </w:p>
        </w:tc>
        <w:tc>
          <w:tcPr>
            <w:tcW w:w="1547" w:type="dxa"/>
            <w:vMerge w:val="restart"/>
            <w:shd w:val="clear" w:color="auto" w:fill="C6EFCE"/>
            <w:noWrap/>
          </w:tcPr>
          <w:p w14:paraId="25182D99" w14:textId="77777777" w:rsidR="003F46B9" w:rsidRDefault="0065662E">
            <w:pPr>
              <w:pStyle w:val="P68B1DB1-Normal5"/>
              <w:spacing w:after="0" w:line="240" w:lineRule="auto"/>
              <w:jc w:val="both"/>
              <w:rPr>
                <w:rFonts w:eastAsia="Times New Roman" w:cs="Times New Roman"/>
                <w:noProof/>
              </w:rPr>
            </w:pPr>
            <w:r>
              <w:rPr>
                <w:noProof/>
              </w:rPr>
              <w:t xml:space="preserve"> </w:t>
            </w:r>
          </w:p>
          <w:p w14:paraId="2B99FB42" w14:textId="77777777" w:rsidR="003F46B9" w:rsidRDefault="003F46B9">
            <w:pPr>
              <w:spacing w:after="0" w:line="240" w:lineRule="auto"/>
              <w:jc w:val="both"/>
              <w:rPr>
                <w:rFonts w:ascii="Times New Roman" w:eastAsia="Times New Roman" w:hAnsi="Times New Roman" w:cs="Times New Roman"/>
                <w:noProof/>
                <w:sz w:val="24"/>
              </w:rPr>
            </w:pPr>
          </w:p>
        </w:tc>
        <w:tc>
          <w:tcPr>
            <w:tcW w:w="1344" w:type="dxa"/>
            <w:vMerge w:val="restart"/>
            <w:shd w:val="clear" w:color="auto" w:fill="C6EFCE"/>
            <w:noWrap/>
          </w:tcPr>
          <w:p w14:paraId="4D48E10D" w14:textId="77777777" w:rsidR="003F46B9" w:rsidRDefault="0065662E">
            <w:pPr>
              <w:pStyle w:val="P68B1DB1-Normal5"/>
              <w:spacing w:after="0" w:line="240" w:lineRule="auto"/>
              <w:rPr>
                <w:rFonts w:cs="Times New Roman"/>
                <w:noProof/>
              </w:rPr>
            </w:pPr>
            <w:r>
              <w:rPr>
                <w:noProof/>
              </w:rPr>
              <w:t>Postotak (%)</w:t>
            </w:r>
          </w:p>
          <w:p w14:paraId="7FEE93E6" w14:textId="77777777" w:rsidR="003F46B9" w:rsidRDefault="003F46B9">
            <w:pPr>
              <w:spacing w:after="0" w:line="240" w:lineRule="auto"/>
              <w:rPr>
                <w:rFonts w:ascii="Times New Roman" w:eastAsia="Times New Roman" w:hAnsi="Times New Roman" w:cs="Times New Roman"/>
                <w:noProof/>
                <w:sz w:val="24"/>
              </w:rPr>
            </w:pPr>
          </w:p>
        </w:tc>
        <w:tc>
          <w:tcPr>
            <w:tcW w:w="1109" w:type="dxa"/>
            <w:vMerge w:val="restart"/>
            <w:shd w:val="clear" w:color="auto" w:fill="C6EFCE"/>
            <w:noWrap/>
          </w:tcPr>
          <w:p w14:paraId="7EACD922" w14:textId="77777777" w:rsidR="003F46B9" w:rsidRDefault="0065662E">
            <w:pPr>
              <w:pStyle w:val="P68B1DB1-Normal5"/>
              <w:spacing w:after="0" w:line="240" w:lineRule="auto"/>
              <w:rPr>
                <w:rFonts w:eastAsia="Times New Roman" w:cs="Times New Roman"/>
                <w:noProof/>
              </w:rPr>
            </w:pPr>
            <w:r>
              <w:rPr>
                <w:noProof/>
              </w:rPr>
              <w:t>0</w:t>
            </w:r>
          </w:p>
          <w:p w14:paraId="4812F3D9" w14:textId="77777777" w:rsidR="003F46B9" w:rsidRDefault="003F46B9">
            <w:pPr>
              <w:spacing w:after="0" w:line="240" w:lineRule="auto"/>
              <w:rPr>
                <w:rFonts w:ascii="Times New Roman" w:eastAsia="Times New Roman" w:hAnsi="Times New Roman" w:cs="Times New Roman"/>
                <w:noProof/>
                <w:sz w:val="24"/>
              </w:rPr>
            </w:pPr>
          </w:p>
        </w:tc>
        <w:tc>
          <w:tcPr>
            <w:tcW w:w="872" w:type="dxa"/>
            <w:vMerge w:val="restart"/>
            <w:shd w:val="clear" w:color="auto" w:fill="C6EFCE"/>
          </w:tcPr>
          <w:p w14:paraId="1A21A779" w14:textId="77777777" w:rsidR="003F46B9" w:rsidRDefault="0065662E">
            <w:pPr>
              <w:pStyle w:val="P68B1DB1-Normal5"/>
              <w:spacing w:after="0" w:line="240" w:lineRule="auto"/>
              <w:rPr>
                <w:rFonts w:eastAsia="Times New Roman" w:cs="Times New Roman"/>
                <w:noProof/>
              </w:rPr>
            </w:pPr>
            <w:r>
              <w:rPr>
                <w:noProof/>
              </w:rPr>
              <w:t>70</w:t>
            </w:r>
          </w:p>
          <w:p w14:paraId="1822860E" w14:textId="77777777" w:rsidR="003F46B9" w:rsidRDefault="003F46B9">
            <w:pPr>
              <w:spacing w:after="0" w:line="240" w:lineRule="auto"/>
              <w:rPr>
                <w:rFonts w:ascii="Times New Roman" w:eastAsia="Times New Roman" w:hAnsi="Times New Roman" w:cs="Times New Roman"/>
                <w:noProof/>
                <w:sz w:val="24"/>
              </w:rPr>
            </w:pPr>
          </w:p>
        </w:tc>
        <w:tc>
          <w:tcPr>
            <w:tcW w:w="1082" w:type="dxa"/>
            <w:vMerge w:val="restart"/>
            <w:shd w:val="clear" w:color="auto" w:fill="C6EFCE"/>
            <w:noWrap/>
          </w:tcPr>
          <w:p w14:paraId="7F7D8A4B" w14:textId="77777777" w:rsidR="003F46B9" w:rsidRDefault="0065662E">
            <w:pPr>
              <w:pStyle w:val="P68B1DB1-Normal5"/>
              <w:spacing w:after="0" w:line="240" w:lineRule="auto"/>
              <w:jc w:val="center"/>
              <w:rPr>
                <w:rFonts w:eastAsia="Times New Roman" w:cs="Times New Roman"/>
                <w:noProof/>
              </w:rPr>
            </w:pPr>
            <w:r>
              <w:rPr>
                <w:noProof/>
              </w:rPr>
              <w:t>ČETVRTO TROMJESEČJE</w:t>
            </w:r>
          </w:p>
          <w:p w14:paraId="0E2F5CD4" w14:textId="77777777" w:rsidR="003F46B9" w:rsidRDefault="003F46B9">
            <w:pPr>
              <w:spacing w:after="0" w:line="240" w:lineRule="auto"/>
              <w:rPr>
                <w:rFonts w:ascii="Times New Roman" w:eastAsia="Times New Roman" w:hAnsi="Times New Roman" w:cs="Times New Roman"/>
                <w:noProof/>
                <w:sz w:val="24"/>
              </w:rPr>
            </w:pPr>
          </w:p>
        </w:tc>
        <w:tc>
          <w:tcPr>
            <w:tcW w:w="820" w:type="dxa"/>
            <w:vMerge w:val="restart"/>
            <w:shd w:val="clear" w:color="auto" w:fill="C6EFCE"/>
            <w:noWrap/>
          </w:tcPr>
          <w:p w14:paraId="4A08F4FA" w14:textId="77777777" w:rsidR="003F46B9" w:rsidRDefault="0065662E">
            <w:pPr>
              <w:pStyle w:val="P68B1DB1-Normal5"/>
              <w:spacing w:after="0" w:line="240" w:lineRule="auto"/>
              <w:jc w:val="center"/>
              <w:rPr>
                <w:rFonts w:eastAsia="Times New Roman" w:cs="Times New Roman"/>
                <w:noProof/>
              </w:rPr>
            </w:pPr>
            <w:r>
              <w:rPr>
                <w:noProof/>
              </w:rPr>
              <w:t>2025</w:t>
            </w:r>
          </w:p>
          <w:p w14:paraId="54AAEAFE" w14:textId="77777777" w:rsidR="003F46B9" w:rsidRDefault="003F46B9">
            <w:pPr>
              <w:spacing w:after="0" w:line="240" w:lineRule="auto"/>
              <w:jc w:val="center"/>
              <w:rPr>
                <w:rFonts w:ascii="Times New Roman" w:eastAsia="Times New Roman" w:hAnsi="Times New Roman" w:cs="Times New Roman"/>
                <w:noProof/>
                <w:sz w:val="24"/>
              </w:rPr>
            </w:pPr>
          </w:p>
        </w:tc>
        <w:tc>
          <w:tcPr>
            <w:tcW w:w="3168" w:type="dxa"/>
            <w:vMerge w:val="restart"/>
            <w:shd w:val="clear" w:color="auto" w:fill="C6EFCE"/>
            <w:noWrap/>
          </w:tcPr>
          <w:p w14:paraId="3C05F9C0" w14:textId="77777777" w:rsidR="003F46B9" w:rsidRDefault="0065662E">
            <w:pPr>
              <w:pStyle w:val="P68B1DB1-Normal5"/>
              <w:spacing w:after="0" w:line="240" w:lineRule="auto"/>
              <w:jc w:val="both"/>
              <w:rPr>
                <w:rFonts w:cs="Times New Roman"/>
                <w:noProof/>
              </w:rPr>
            </w:pPr>
            <w:r>
              <w:rPr>
                <w:noProof/>
              </w:rPr>
              <w:t>Strategijom se predviđa provedba sveobuhvatnog mehanizma praćenja sličnog onome koji je uspješno primijenjen u ciklusu za razdoblje 2016. – 2020. Uključuje redovito izvješćivanje, zadaće procjene usklađenosti u javnim institucijama, godišnja izvješća o eva</w:t>
            </w:r>
            <w:r>
              <w:rPr>
                <w:noProof/>
              </w:rPr>
              <w:t xml:space="preserve">luaciji koja potvrđuju javni i privatni stručnjaci. </w:t>
            </w:r>
          </w:p>
          <w:p w14:paraId="4C4B0EAB" w14:textId="77777777" w:rsidR="003F46B9" w:rsidRDefault="0065662E">
            <w:pPr>
              <w:pStyle w:val="P68B1DB1-Normal5"/>
              <w:spacing w:after="0" w:line="240" w:lineRule="auto"/>
              <w:jc w:val="both"/>
              <w:rPr>
                <w:rFonts w:cs="Times New Roman"/>
                <w:noProof/>
              </w:rPr>
            </w:pPr>
            <w:r>
              <w:rPr>
                <w:noProof/>
              </w:rPr>
              <w:t>Mehanizam za procjenu usklađenosti strategije uključuje:</w:t>
            </w:r>
          </w:p>
          <w:p w14:paraId="767EA0BE" w14:textId="77777777" w:rsidR="003F46B9" w:rsidRDefault="0065662E">
            <w:pPr>
              <w:pStyle w:val="P68B1DB1-Normal5"/>
              <w:spacing w:after="0" w:line="240" w:lineRule="auto"/>
              <w:jc w:val="both"/>
              <w:rPr>
                <w:rFonts w:cs="Times New Roman"/>
                <w:noProof/>
              </w:rPr>
            </w:pPr>
            <w:r>
              <w:rPr>
                <w:noProof/>
              </w:rPr>
              <w:t xml:space="preserve">—misije stručnog pregleda koje u javnim institucijama provode timovi stručnjaka iz neovisnih tijela, institucija za borbu protiv korupcije, javne </w:t>
            </w:r>
            <w:r>
              <w:rPr>
                <w:noProof/>
              </w:rPr>
              <w:t xml:space="preserve">uprave, poslovnog okruženja i civilnog društva (taj alat djelomično odražava međunarodno iskustvo, npr. GRECO). </w:t>
            </w:r>
          </w:p>
          <w:p w14:paraId="72E98511" w14:textId="77777777" w:rsidR="003F46B9" w:rsidRDefault="0065662E">
            <w:pPr>
              <w:pStyle w:val="P68B1DB1-Normal5"/>
              <w:spacing w:after="0" w:line="240" w:lineRule="auto"/>
              <w:jc w:val="both"/>
              <w:rPr>
                <w:rFonts w:cs="Times New Roman"/>
                <w:noProof/>
              </w:rPr>
            </w:pPr>
            <w:r>
              <w:rPr>
                <w:noProof/>
              </w:rPr>
              <w:t>—provedba privremenih i konačnih vanjskih revizija u vezi s provedbom strategije.</w:t>
            </w:r>
          </w:p>
          <w:p w14:paraId="03A2DAAF" w14:textId="77777777" w:rsidR="003F46B9" w:rsidRDefault="0065662E">
            <w:pPr>
              <w:pStyle w:val="P68B1DB1-Normal5"/>
              <w:spacing w:after="0" w:line="240" w:lineRule="auto"/>
              <w:jc w:val="both"/>
              <w:rPr>
                <w:rFonts w:cs="Times New Roman"/>
                <w:noProof/>
              </w:rPr>
            </w:pPr>
            <w:r>
              <w:rPr>
                <w:noProof/>
              </w:rPr>
              <w:t>U vanjskim evaluacijama analiziraju se ciljevi strategije, nj</w:t>
            </w:r>
            <w:r>
              <w:rPr>
                <w:noProof/>
              </w:rPr>
              <w:t>ezin učinak, učinkovitost i djelotvornost provedbenih mjera te održivost njezinih rezultata.</w:t>
            </w:r>
          </w:p>
        </w:tc>
      </w:tr>
      <w:tr w:rsidR="003F46B9" w14:paraId="312D2252" w14:textId="77777777">
        <w:trPr>
          <w:trHeight w:val="309"/>
        </w:trPr>
        <w:tc>
          <w:tcPr>
            <w:tcW w:w="822" w:type="dxa"/>
            <w:shd w:val="clear" w:color="auto" w:fill="C6EFCE"/>
            <w:noWrap/>
          </w:tcPr>
          <w:p w14:paraId="7C9FF6D6" w14:textId="77777777" w:rsidR="003F46B9" w:rsidRDefault="003F46B9">
            <w:pPr>
              <w:spacing w:after="0" w:line="240" w:lineRule="auto"/>
              <w:jc w:val="center"/>
              <w:rPr>
                <w:rFonts w:ascii="Times New Roman" w:hAnsi="Times New Roman" w:cs="Times New Roman"/>
                <w:noProof/>
                <w:sz w:val="24"/>
              </w:rPr>
            </w:pPr>
          </w:p>
        </w:tc>
        <w:tc>
          <w:tcPr>
            <w:tcW w:w="2391" w:type="dxa"/>
            <w:vMerge/>
            <w:noWrap/>
          </w:tcPr>
          <w:p w14:paraId="1FCD7917" w14:textId="77777777" w:rsidR="003F46B9" w:rsidRDefault="003F46B9">
            <w:pPr>
              <w:spacing w:after="0" w:line="240" w:lineRule="auto"/>
              <w:jc w:val="both"/>
              <w:rPr>
                <w:rFonts w:ascii="Times New Roman" w:hAnsi="Times New Roman" w:cs="Times New Roman"/>
                <w:noProof/>
                <w:sz w:val="24"/>
              </w:rPr>
            </w:pPr>
          </w:p>
        </w:tc>
        <w:tc>
          <w:tcPr>
            <w:tcW w:w="1226" w:type="dxa"/>
            <w:vMerge/>
            <w:noWrap/>
          </w:tcPr>
          <w:p w14:paraId="28AB18E3" w14:textId="77777777" w:rsidR="003F46B9" w:rsidRDefault="003F46B9">
            <w:pPr>
              <w:spacing w:after="0" w:line="240" w:lineRule="auto"/>
              <w:rPr>
                <w:rFonts w:ascii="Times New Roman" w:hAnsi="Times New Roman" w:cs="Times New Roman"/>
                <w:noProof/>
                <w:sz w:val="24"/>
              </w:rPr>
            </w:pPr>
          </w:p>
        </w:tc>
        <w:tc>
          <w:tcPr>
            <w:tcW w:w="1495" w:type="dxa"/>
            <w:vMerge/>
            <w:noWrap/>
          </w:tcPr>
          <w:p w14:paraId="46E6726A" w14:textId="77777777" w:rsidR="003F46B9" w:rsidRDefault="003F46B9">
            <w:pPr>
              <w:spacing w:after="0" w:line="240" w:lineRule="auto"/>
              <w:jc w:val="both"/>
              <w:rPr>
                <w:rFonts w:ascii="Times New Roman" w:hAnsi="Times New Roman" w:cs="Times New Roman"/>
                <w:noProof/>
                <w:sz w:val="24"/>
              </w:rPr>
            </w:pPr>
          </w:p>
        </w:tc>
        <w:tc>
          <w:tcPr>
            <w:tcW w:w="1547" w:type="dxa"/>
            <w:vMerge/>
            <w:noWrap/>
          </w:tcPr>
          <w:p w14:paraId="11C01DF5" w14:textId="77777777" w:rsidR="003F46B9" w:rsidRDefault="003F46B9">
            <w:pPr>
              <w:spacing w:after="0" w:line="240" w:lineRule="auto"/>
              <w:jc w:val="both"/>
              <w:rPr>
                <w:rFonts w:ascii="Times New Roman" w:hAnsi="Times New Roman" w:cs="Times New Roman"/>
                <w:noProof/>
                <w:sz w:val="24"/>
              </w:rPr>
            </w:pPr>
          </w:p>
        </w:tc>
        <w:tc>
          <w:tcPr>
            <w:tcW w:w="1344" w:type="dxa"/>
            <w:vMerge/>
            <w:noWrap/>
          </w:tcPr>
          <w:p w14:paraId="124A047E" w14:textId="77777777" w:rsidR="003F46B9" w:rsidRDefault="003F46B9">
            <w:pPr>
              <w:spacing w:after="0" w:line="240" w:lineRule="auto"/>
              <w:rPr>
                <w:rFonts w:ascii="Times New Roman" w:hAnsi="Times New Roman" w:cs="Times New Roman"/>
                <w:noProof/>
                <w:sz w:val="24"/>
              </w:rPr>
            </w:pPr>
          </w:p>
        </w:tc>
        <w:tc>
          <w:tcPr>
            <w:tcW w:w="1109" w:type="dxa"/>
            <w:vMerge/>
            <w:noWrap/>
          </w:tcPr>
          <w:p w14:paraId="3C9B0A00" w14:textId="77777777" w:rsidR="003F46B9" w:rsidRDefault="003F46B9">
            <w:pPr>
              <w:spacing w:after="0" w:line="240" w:lineRule="auto"/>
              <w:rPr>
                <w:rFonts w:ascii="Times New Roman" w:hAnsi="Times New Roman" w:cs="Times New Roman"/>
                <w:noProof/>
                <w:sz w:val="24"/>
              </w:rPr>
            </w:pPr>
          </w:p>
        </w:tc>
        <w:tc>
          <w:tcPr>
            <w:tcW w:w="872" w:type="dxa"/>
            <w:vMerge/>
          </w:tcPr>
          <w:p w14:paraId="22DB6CA1" w14:textId="77777777" w:rsidR="003F46B9" w:rsidRDefault="003F46B9">
            <w:pPr>
              <w:spacing w:after="0" w:line="240" w:lineRule="auto"/>
              <w:rPr>
                <w:rFonts w:ascii="Times New Roman" w:hAnsi="Times New Roman" w:cs="Times New Roman"/>
                <w:noProof/>
                <w:sz w:val="24"/>
              </w:rPr>
            </w:pPr>
          </w:p>
        </w:tc>
        <w:tc>
          <w:tcPr>
            <w:tcW w:w="1082" w:type="dxa"/>
            <w:vMerge/>
            <w:noWrap/>
          </w:tcPr>
          <w:p w14:paraId="56E33308" w14:textId="77777777" w:rsidR="003F46B9" w:rsidRDefault="003F46B9">
            <w:pPr>
              <w:spacing w:after="0" w:line="240" w:lineRule="auto"/>
              <w:rPr>
                <w:rFonts w:ascii="Times New Roman" w:hAnsi="Times New Roman" w:cs="Times New Roman"/>
                <w:noProof/>
                <w:sz w:val="24"/>
              </w:rPr>
            </w:pPr>
          </w:p>
        </w:tc>
        <w:tc>
          <w:tcPr>
            <w:tcW w:w="820" w:type="dxa"/>
            <w:vMerge/>
            <w:noWrap/>
          </w:tcPr>
          <w:p w14:paraId="65298BE0" w14:textId="77777777" w:rsidR="003F46B9" w:rsidRDefault="003F46B9">
            <w:pPr>
              <w:spacing w:after="0" w:line="240" w:lineRule="auto"/>
              <w:jc w:val="center"/>
              <w:rPr>
                <w:rFonts w:ascii="Times New Roman" w:hAnsi="Times New Roman" w:cs="Times New Roman"/>
                <w:noProof/>
                <w:sz w:val="24"/>
              </w:rPr>
            </w:pPr>
          </w:p>
        </w:tc>
        <w:tc>
          <w:tcPr>
            <w:tcW w:w="3168" w:type="dxa"/>
            <w:vMerge/>
            <w:noWrap/>
          </w:tcPr>
          <w:p w14:paraId="05E805A4" w14:textId="77777777" w:rsidR="003F46B9" w:rsidRDefault="003F46B9">
            <w:pPr>
              <w:spacing w:after="0" w:line="240" w:lineRule="auto"/>
              <w:jc w:val="both"/>
              <w:rPr>
                <w:rFonts w:ascii="Times New Roman" w:hAnsi="Times New Roman" w:cs="Times New Roman"/>
                <w:noProof/>
                <w:sz w:val="24"/>
              </w:rPr>
            </w:pPr>
          </w:p>
        </w:tc>
      </w:tr>
      <w:tr w:rsidR="003F46B9" w14:paraId="0AA2BF37" w14:textId="77777777">
        <w:trPr>
          <w:trHeight w:val="309"/>
        </w:trPr>
        <w:tc>
          <w:tcPr>
            <w:tcW w:w="822" w:type="dxa"/>
            <w:shd w:val="clear" w:color="auto" w:fill="C6EFCE"/>
            <w:noWrap/>
          </w:tcPr>
          <w:p w14:paraId="2B8A710B" w14:textId="77777777" w:rsidR="003F46B9" w:rsidRDefault="0065662E">
            <w:pPr>
              <w:pStyle w:val="P68B1DB1-Normal5"/>
              <w:spacing w:after="0" w:line="240" w:lineRule="auto"/>
              <w:jc w:val="center"/>
              <w:rPr>
                <w:rFonts w:eastAsia="Times New Roman" w:cs="Times New Roman"/>
                <w:noProof/>
              </w:rPr>
            </w:pPr>
            <w:r>
              <w:rPr>
                <w:noProof/>
              </w:rPr>
              <w:t>429</w:t>
            </w:r>
          </w:p>
        </w:tc>
        <w:tc>
          <w:tcPr>
            <w:tcW w:w="2391" w:type="dxa"/>
            <w:shd w:val="clear" w:color="auto" w:fill="C6EFCE"/>
            <w:noWrap/>
          </w:tcPr>
          <w:p w14:paraId="791F70E2" w14:textId="77777777" w:rsidR="003F46B9" w:rsidRDefault="0065662E">
            <w:pPr>
              <w:pStyle w:val="P68B1DB1-Normal5"/>
              <w:spacing w:after="0" w:line="240" w:lineRule="auto"/>
              <w:jc w:val="both"/>
              <w:rPr>
                <w:rFonts w:eastAsia="Times New Roman" w:cs="Times New Roman"/>
                <w:noProof/>
              </w:rPr>
            </w:pPr>
            <w:r>
              <w:rPr>
                <w:noProof/>
              </w:rPr>
              <w:t xml:space="preserve">Reforma 6. Jačanje borbe protiv korupcije </w:t>
            </w:r>
          </w:p>
        </w:tc>
        <w:tc>
          <w:tcPr>
            <w:tcW w:w="1226" w:type="dxa"/>
            <w:shd w:val="clear" w:color="auto" w:fill="C6EFCE"/>
            <w:noWrap/>
          </w:tcPr>
          <w:p w14:paraId="463A8FA7" w14:textId="77777777" w:rsidR="003F46B9" w:rsidRDefault="0065662E">
            <w:pPr>
              <w:pStyle w:val="P68B1DB1-Normal5"/>
              <w:spacing w:after="0" w:line="240" w:lineRule="auto"/>
              <w:rPr>
                <w:rFonts w:eastAsia="Times New Roman" w:cs="Times New Roman"/>
                <w:noProof/>
              </w:rPr>
            </w:pPr>
            <w:r>
              <w:rPr>
                <w:noProof/>
              </w:rPr>
              <w:t xml:space="preserve">Ciljna </w:t>
            </w:r>
          </w:p>
        </w:tc>
        <w:tc>
          <w:tcPr>
            <w:tcW w:w="1495" w:type="dxa"/>
            <w:shd w:val="clear" w:color="auto" w:fill="C6EFCE"/>
            <w:noWrap/>
          </w:tcPr>
          <w:p w14:paraId="4FA5D5C1" w14:textId="77777777" w:rsidR="003F46B9" w:rsidRDefault="0065662E">
            <w:pPr>
              <w:pStyle w:val="P68B1DB1-Normal5"/>
              <w:spacing w:after="0" w:line="240" w:lineRule="auto"/>
              <w:jc w:val="both"/>
              <w:rPr>
                <w:rFonts w:cs="Times New Roman"/>
                <w:noProof/>
              </w:rPr>
            </w:pPr>
            <w:r>
              <w:rPr>
                <w:noProof/>
              </w:rPr>
              <w:t xml:space="preserve">Stopa popunjenosti radnih mjesta tužitelja u Nacionalnoj upravi za borbu protiv korupcije od 85 % </w:t>
            </w:r>
          </w:p>
        </w:tc>
        <w:tc>
          <w:tcPr>
            <w:tcW w:w="1547" w:type="dxa"/>
            <w:shd w:val="clear" w:color="auto" w:fill="C6EFCE"/>
            <w:noWrap/>
          </w:tcPr>
          <w:p w14:paraId="28063005" w14:textId="77777777" w:rsidR="003F46B9" w:rsidRDefault="003F46B9">
            <w:pPr>
              <w:spacing w:after="0" w:line="240" w:lineRule="auto"/>
              <w:jc w:val="both"/>
              <w:rPr>
                <w:rFonts w:ascii="Times New Roman" w:eastAsia="Times New Roman" w:hAnsi="Times New Roman" w:cs="Times New Roman"/>
                <w:noProof/>
                <w:sz w:val="24"/>
              </w:rPr>
            </w:pPr>
          </w:p>
        </w:tc>
        <w:tc>
          <w:tcPr>
            <w:tcW w:w="1344" w:type="dxa"/>
            <w:shd w:val="clear" w:color="auto" w:fill="C6EFCE"/>
            <w:noWrap/>
          </w:tcPr>
          <w:p w14:paraId="106D00AB" w14:textId="77777777" w:rsidR="003F46B9" w:rsidRDefault="0065662E">
            <w:pPr>
              <w:pStyle w:val="P68B1DB1-Normal5"/>
              <w:spacing w:after="0" w:line="240" w:lineRule="auto"/>
              <w:rPr>
                <w:rFonts w:eastAsia="Times New Roman" w:cs="Times New Roman"/>
                <w:noProof/>
              </w:rPr>
            </w:pPr>
            <w:r>
              <w:rPr>
                <w:noProof/>
              </w:rPr>
              <w:t>Postotak (%)</w:t>
            </w:r>
          </w:p>
          <w:p w14:paraId="40BF5339" w14:textId="77777777" w:rsidR="003F46B9" w:rsidRDefault="003F46B9">
            <w:pPr>
              <w:spacing w:after="0" w:line="240" w:lineRule="auto"/>
              <w:rPr>
                <w:rFonts w:ascii="Times New Roman" w:eastAsia="Times New Roman" w:hAnsi="Times New Roman" w:cs="Times New Roman"/>
                <w:noProof/>
                <w:sz w:val="24"/>
              </w:rPr>
            </w:pPr>
          </w:p>
        </w:tc>
        <w:tc>
          <w:tcPr>
            <w:tcW w:w="1109" w:type="dxa"/>
            <w:shd w:val="clear" w:color="auto" w:fill="C6EFCE"/>
            <w:noWrap/>
          </w:tcPr>
          <w:p w14:paraId="06E886E8" w14:textId="77777777" w:rsidR="003F46B9" w:rsidRDefault="0065662E">
            <w:pPr>
              <w:pStyle w:val="P68B1DB1-Normal5"/>
              <w:spacing w:after="0" w:line="240" w:lineRule="auto"/>
              <w:rPr>
                <w:rFonts w:eastAsia="Times New Roman" w:cs="Times New Roman"/>
                <w:noProof/>
              </w:rPr>
            </w:pPr>
            <w:r>
              <w:rPr>
                <w:noProof/>
              </w:rPr>
              <w:t>0</w:t>
            </w:r>
          </w:p>
        </w:tc>
        <w:tc>
          <w:tcPr>
            <w:tcW w:w="872" w:type="dxa"/>
            <w:shd w:val="clear" w:color="auto" w:fill="C6EFCE"/>
          </w:tcPr>
          <w:p w14:paraId="218C138D" w14:textId="77777777" w:rsidR="003F46B9" w:rsidRDefault="0065662E">
            <w:pPr>
              <w:pStyle w:val="P68B1DB1-Normal5"/>
              <w:spacing w:after="0" w:line="240" w:lineRule="auto"/>
              <w:rPr>
                <w:rFonts w:eastAsia="Times New Roman" w:cs="Times New Roman"/>
                <w:noProof/>
              </w:rPr>
            </w:pPr>
            <w:r>
              <w:rPr>
                <w:noProof/>
              </w:rPr>
              <w:t>85</w:t>
            </w:r>
          </w:p>
        </w:tc>
        <w:tc>
          <w:tcPr>
            <w:tcW w:w="1082" w:type="dxa"/>
            <w:shd w:val="clear" w:color="auto" w:fill="C6EFCE"/>
            <w:noWrap/>
          </w:tcPr>
          <w:p w14:paraId="15D6D494" w14:textId="77777777" w:rsidR="003F46B9" w:rsidRDefault="0065662E">
            <w:pPr>
              <w:pStyle w:val="P68B1DB1-Normal5"/>
              <w:spacing w:after="0" w:line="240" w:lineRule="auto"/>
              <w:rPr>
                <w:rFonts w:eastAsia="Times New Roman" w:cs="Times New Roman"/>
                <w:noProof/>
              </w:rPr>
            </w:pPr>
            <w:r>
              <w:rPr>
                <w:noProof/>
              </w:rPr>
              <w:t>TROMJESEČJE</w:t>
            </w:r>
          </w:p>
        </w:tc>
        <w:tc>
          <w:tcPr>
            <w:tcW w:w="820" w:type="dxa"/>
            <w:shd w:val="clear" w:color="auto" w:fill="C6EFCE"/>
            <w:noWrap/>
          </w:tcPr>
          <w:p w14:paraId="6DA5E8C3" w14:textId="77777777" w:rsidR="003F46B9" w:rsidRDefault="0065662E">
            <w:pPr>
              <w:pStyle w:val="P68B1DB1-Normal5"/>
              <w:spacing w:after="0" w:line="240" w:lineRule="auto"/>
              <w:jc w:val="center"/>
              <w:rPr>
                <w:rFonts w:eastAsia="Times New Roman" w:cs="Times New Roman"/>
                <w:noProof/>
              </w:rPr>
            </w:pPr>
            <w:r>
              <w:rPr>
                <w:noProof/>
              </w:rPr>
              <w:t>2023</w:t>
            </w:r>
          </w:p>
        </w:tc>
        <w:tc>
          <w:tcPr>
            <w:tcW w:w="3168" w:type="dxa"/>
            <w:shd w:val="clear" w:color="auto" w:fill="C6EFCE"/>
            <w:noWrap/>
          </w:tcPr>
          <w:p w14:paraId="10DF671F" w14:textId="77777777" w:rsidR="003F46B9" w:rsidRDefault="0065662E">
            <w:pPr>
              <w:pStyle w:val="P68B1DB1-Normal5"/>
              <w:spacing w:after="0" w:line="240" w:lineRule="auto"/>
              <w:jc w:val="both"/>
              <w:rPr>
                <w:rFonts w:cs="Times New Roman"/>
                <w:noProof/>
              </w:rPr>
            </w:pPr>
            <w:r>
              <w:rPr>
                <w:noProof/>
              </w:rPr>
              <w:t xml:space="preserve">Stopa popunjenosti radnih mjesta tužitelja u Nacionalnoj upravi za borbu protiv korupcije iznosi 85 %. </w:t>
            </w:r>
          </w:p>
          <w:p w14:paraId="6583C17D" w14:textId="77777777" w:rsidR="003F46B9" w:rsidRDefault="003F46B9">
            <w:pPr>
              <w:spacing w:after="0" w:line="240" w:lineRule="auto"/>
              <w:rPr>
                <w:rFonts w:ascii="Times New Roman" w:eastAsia="Times New Roman" w:hAnsi="Times New Roman" w:cs="Times New Roman"/>
                <w:noProof/>
                <w:sz w:val="24"/>
              </w:rPr>
            </w:pPr>
          </w:p>
        </w:tc>
      </w:tr>
      <w:tr w:rsidR="003F46B9" w14:paraId="70847846" w14:textId="77777777">
        <w:trPr>
          <w:trHeight w:val="309"/>
        </w:trPr>
        <w:tc>
          <w:tcPr>
            <w:tcW w:w="822" w:type="dxa"/>
            <w:shd w:val="clear" w:color="auto" w:fill="C6EFCE"/>
            <w:noWrap/>
          </w:tcPr>
          <w:p w14:paraId="208E5C8D" w14:textId="77777777" w:rsidR="003F46B9" w:rsidRDefault="0065662E">
            <w:pPr>
              <w:pStyle w:val="P68B1DB1-Normal5"/>
              <w:spacing w:after="0" w:line="240" w:lineRule="auto"/>
              <w:jc w:val="center"/>
              <w:rPr>
                <w:rFonts w:cs="Times New Roman"/>
                <w:noProof/>
              </w:rPr>
            </w:pPr>
            <w:r>
              <w:rPr>
                <w:noProof/>
              </w:rPr>
              <w:t>430</w:t>
            </w:r>
          </w:p>
        </w:tc>
        <w:tc>
          <w:tcPr>
            <w:tcW w:w="2391" w:type="dxa"/>
            <w:shd w:val="clear" w:color="auto" w:fill="C6EFCE"/>
            <w:noWrap/>
          </w:tcPr>
          <w:p w14:paraId="10815036" w14:textId="77777777" w:rsidR="003F46B9" w:rsidRDefault="0065662E">
            <w:pPr>
              <w:pStyle w:val="P68B1DB1-Normal5"/>
              <w:spacing w:after="0" w:line="240" w:lineRule="auto"/>
              <w:jc w:val="both"/>
              <w:rPr>
                <w:rFonts w:cs="Times New Roman"/>
                <w:noProof/>
              </w:rPr>
            </w:pPr>
            <w:r>
              <w:rPr>
                <w:noProof/>
              </w:rPr>
              <w:t xml:space="preserve">Reforma 6. Jačanje borbe protiv korupcije </w:t>
            </w:r>
          </w:p>
        </w:tc>
        <w:tc>
          <w:tcPr>
            <w:tcW w:w="1226" w:type="dxa"/>
            <w:shd w:val="clear" w:color="auto" w:fill="C6EFCE"/>
            <w:noWrap/>
          </w:tcPr>
          <w:p w14:paraId="4BEEE9EE" w14:textId="77777777" w:rsidR="003F46B9" w:rsidRDefault="0065662E">
            <w:pPr>
              <w:pStyle w:val="P68B1DB1-Normal5"/>
              <w:spacing w:after="0" w:line="240" w:lineRule="auto"/>
              <w:jc w:val="both"/>
              <w:rPr>
                <w:rFonts w:cs="Times New Roman"/>
                <w:noProof/>
              </w:rPr>
            </w:pPr>
            <w:r>
              <w:rPr>
                <w:noProof/>
              </w:rPr>
              <w:t xml:space="preserve">Prekretnica </w:t>
            </w:r>
          </w:p>
          <w:p w14:paraId="27911FC9" w14:textId="77777777" w:rsidR="003F46B9" w:rsidRDefault="003F46B9">
            <w:pPr>
              <w:spacing w:after="0" w:line="240" w:lineRule="auto"/>
              <w:jc w:val="both"/>
              <w:rPr>
                <w:rFonts w:ascii="Times New Roman" w:hAnsi="Times New Roman" w:cs="Times New Roman"/>
                <w:noProof/>
                <w:sz w:val="24"/>
              </w:rPr>
            </w:pPr>
          </w:p>
          <w:p w14:paraId="057D3113" w14:textId="77777777" w:rsidR="003F46B9" w:rsidRDefault="003F46B9">
            <w:pPr>
              <w:spacing w:after="0" w:line="240" w:lineRule="auto"/>
              <w:rPr>
                <w:rFonts w:ascii="Times New Roman" w:hAnsi="Times New Roman" w:cs="Times New Roman"/>
                <w:noProof/>
                <w:sz w:val="24"/>
              </w:rPr>
            </w:pPr>
          </w:p>
        </w:tc>
        <w:tc>
          <w:tcPr>
            <w:tcW w:w="1495" w:type="dxa"/>
            <w:shd w:val="clear" w:color="auto" w:fill="C6EFCE"/>
            <w:noWrap/>
          </w:tcPr>
          <w:p w14:paraId="2ED04B38" w14:textId="77777777" w:rsidR="003F46B9" w:rsidRDefault="0065662E">
            <w:pPr>
              <w:pStyle w:val="P68B1DB1-Normal5"/>
              <w:spacing w:after="0" w:line="240" w:lineRule="auto"/>
              <w:jc w:val="both"/>
              <w:rPr>
                <w:rFonts w:cs="Times New Roman"/>
                <w:noProof/>
              </w:rPr>
            </w:pPr>
            <w:r>
              <w:rPr>
                <w:noProof/>
              </w:rPr>
              <w:t>Stupanje na snagu zakona o zaštiti zviždača</w:t>
            </w:r>
          </w:p>
          <w:p w14:paraId="07E2685B" w14:textId="77777777" w:rsidR="003F46B9" w:rsidRDefault="003F46B9">
            <w:pPr>
              <w:spacing w:after="0" w:line="240" w:lineRule="auto"/>
              <w:jc w:val="both"/>
              <w:rPr>
                <w:rFonts w:ascii="Times New Roman" w:hAnsi="Times New Roman" w:cs="Times New Roman"/>
                <w:noProof/>
                <w:sz w:val="24"/>
              </w:rPr>
            </w:pPr>
          </w:p>
          <w:p w14:paraId="13CA29B4" w14:textId="77777777" w:rsidR="003F46B9" w:rsidRDefault="003F46B9">
            <w:pPr>
              <w:spacing w:after="0" w:line="240" w:lineRule="auto"/>
              <w:jc w:val="both"/>
              <w:rPr>
                <w:rFonts w:ascii="Times New Roman" w:hAnsi="Times New Roman" w:cs="Times New Roman"/>
                <w:noProof/>
                <w:sz w:val="24"/>
              </w:rPr>
            </w:pPr>
          </w:p>
          <w:p w14:paraId="4DAE8C2C" w14:textId="77777777" w:rsidR="003F46B9" w:rsidRDefault="003F46B9">
            <w:pPr>
              <w:spacing w:after="0" w:line="240" w:lineRule="auto"/>
              <w:jc w:val="both"/>
              <w:rPr>
                <w:rFonts w:ascii="Times New Roman" w:hAnsi="Times New Roman" w:cs="Times New Roman"/>
                <w:strike/>
                <w:noProof/>
                <w:sz w:val="24"/>
              </w:rPr>
            </w:pPr>
          </w:p>
        </w:tc>
        <w:tc>
          <w:tcPr>
            <w:tcW w:w="1547" w:type="dxa"/>
            <w:shd w:val="clear" w:color="auto" w:fill="C6EFCE"/>
            <w:noWrap/>
          </w:tcPr>
          <w:p w14:paraId="3C444D26"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w:t>
            </w:r>
          </w:p>
        </w:tc>
        <w:tc>
          <w:tcPr>
            <w:tcW w:w="1344" w:type="dxa"/>
            <w:shd w:val="clear" w:color="auto" w:fill="C6EFCE"/>
            <w:noWrap/>
          </w:tcPr>
          <w:p w14:paraId="23508A7D"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63DDB586"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4B89C6E5"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7FA02AA3"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3E909B30"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4C9E5089" w14:textId="77777777" w:rsidR="003F46B9" w:rsidRDefault="0065662E">
            <w:pPr>
              <w:pStyle w:val="P68B1DB1-Normal5"/>
              <w:spacing w:after="0" w:line="240" w:lineRule="auto"/>
              <w:jc w:val="both"/>
              <w:rPr>
                <w:rFonts w:cs="Times New Roman"/>
                <w:noProof/>
              </w:rPr>
            </w:pPr>
            <w:r>
              <w:rPr>
                <w:noProof/>
              </w:rPr>
              <w:t>Stupanje na snagu zakona o zaštiti zviždača. Zakonom se prenosi Direktiva (EU) 2019/193</w:t>
            </w:r>
            <w:r>
              <w:rPr>
                <w:noProof/>
              </w:rPr>
              <w:t xml:space="preserve">7 o zaštiti osoba koje prijavljuju povrede prava Unije i uključuju dodatne odredbe, specifične za nacionalni kontekst, kako bi se učinkovito riješila pitanja politike integriteta. </w:t>
            </w:r>
          </w:p>
        </w:tc>
      </w:tr>
      <w:tr w:rsidR="003F46B9" w14:paraId="291A4E43" w14:textId="77777777">
        <w:trPr>
          <w:trHeight w:val="309"/>
        </w:trPr>
        <w:tc>
          <w:tcPr>
            <w:tcW w:w="822" w:type="dxa"/>
            <w:shd w:val="clear" w:color="auto" w:fill="C6EFCE"/>
            <w:noWrap/>
          </w:tcPr>
          <w:p w14:paraId="250713D6" w14:textId="77777777" w:rsidR="003F46B9" w:rsidRDefault="0065662E">
            <w:pPr>
              <w:pStyle w:val="P68B1DB1-Normal5"/>
              <w:spacing w:after="0" w:line="240" w:lineRule="auto"/>
              <w:jc w:val="center"/>
              <w:rPr>
                <w:rFonts w:cs="Times New Roman"/>
                <w:noProof/>
              </w:rPr>
            </w:pPr>
            <w:r>
              <w:rPr>
                <w:noProof/>
              </w:rPr>
              <w:t>431</w:t>
            </w:r>
          </w:p>
        </w:tc>
        <w:tc>
          <w:tcPr>
            <w:tcW w:w="2391" w:type="dxa"/>
            <w:shd w:val="clear" w:color="auto" w:fill="C6EFCE"/>
            <w:noWrap/>
          </w:tcPr>
          <w:p w14:paraId="1B90BCB4" w14:textId="77777777" w:rsidR="003F46B9" w:rsidRDefault="0065662E">
            <w:pPr>
              <w:pStyle w:val="P68B1DB1-Normal5"/>
              <w:spacing w:after="0" w:line="240" w:lineRule="auto"/>
              <w:jc w:val="both"/>
              <w:rPr>
                <w:rFonts w:cs="Times New Roman"/>
                <w:noProof/>
              </w:rPr>
            </w:pPr>
            <w:r>
              <w:rPr>
                <w:noProof/>
              </w:rPr>
              <w:t xml:space="preserve">Reforma 7. Evaluacija i ažuriranje zakonodavstva o okviru za </w:t>
            </w:r>
            <w:r>
              <w:rPr>
                <w:noProof/>
              </w:rPr>
              <w:t>integritet</w:t>
            </w:r>
          </w:p>
        </w:tc>
        <w:tc>
          <w:tcPr>
            <w:tcW w:w="1226" w:type="dxa"/>
            <w:shd w:val="clear" w:color="auto" w:fill="C6EFCE"/>
            <w:noWrap/>
          </w:tcPr>
          <w:p w14:paraId="1AA41591" w14:textId="77777777" w:rsidR="003F46B9" w:rsidRDefault="0065662E">
            <w:pPr>
              <w:pStyle w:val="P68B1DB1-Normal5"/>
              <w:spacing w:after="0" w:line="240" w:lineRule="auto"/>
              <w:jc w:val="both"/>
              <w:rPr>
                <w:rFonts w:cs="Times New Roman"/>
                <w:noProof/>
              </w:rPr>
            </w:pPr>
            <w:r>
              <w:rPr>
                <w:noProof/>
              </w:rPr>
              <w:t>Prekretnica</w:t>
            </w:r>
          </w:p>
        </w:tc>
        <w:tc>
          <w:tcPr>
            <w:tcW w:w="1495" w:type="dxa"/>
            <w:shd w:val="clear" w:color="auto" w:fill="C6EFCE"/>
            <w:noWrap/>
          </w:tcPr>
          <w:p w14:paraId="23DC1CCA" w14:textId="77777777" w:rsidR="003F46B9" w:rsidRDefault="0065662E">
            <w:pPr>
              <w:pStyle w:val="P68B1DB1-Normal5"/>
              <w:spacing w:after="0" w:line="240" w:lineRule="auto"/>
              <w:jc w:val="both"/>
              <w:rPr>
                <w:rFonts w:cs="Times New Roman"/>
                <w:noProof/>
              </w:rPr>
            </w:pPr>
            <w:r>
              <w:rPr>
                <w:noProof/>
              </w:rPr>
              <w:t xml:space="preserve">Stupanje na snagu konsolidiranih zakona o integritetu </w:t>
            </w:r>
          </w:p>
        </w:tc>
        <w:tc>
          <w:tcPr>
            <w:tcW w:w="1547" w:type="dxa"/>
            <w:shd w:val="clear" w:color="auto" w:fill="C6EFCE"/>
            <w:noWrap/>
          </w:tcPr>
          <w:p w14:paraId="4E49454D" w14:textId="77777777" w:rsidR="003F46B9" w:rsidRDefault="0065662E">
            <w:pPr>
              <w:pStyle w:val="P68B1DB1-Normal5"/>
              <w:spacing w:after="0" w:line="240" w:lineRule="auto"/>
              <w:jc w:val="both"/>
              <w:rPr>
                <w:rFonts w:eastAsia="Times New Roman" w:cs="Times New Roman"/>
                <w:noProof/>
              </w:rPr>
            </w:pPr>
            <w:r>
              <w:rPr>
                <w:noProof/>
              </w:rPr>
              <w:t>Odredba u zakonu o stupanju na snagu zakona o integritetu</w:t>
            </w:r>
          </w:p>
        </w:tc>
        <w:tc>
          <w:tcPr>
            <w:tcW w:w="1344" w:type="dxa"/>
            <w:shd w:val="clear" w:color="auto" w:fill="C6EFCE"/>
            <w:noWrap/>
          </w:tcPr>
          <w:p w14:paraId="6BF48598"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1EB60445"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47CE7BD8"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5771F0D3"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4930A2F2" w14:textId="77777777" w:rsidR="003F46B9" w:rsidRDefault="0065662E">
            <w:pPr>
              <w:pStyle w:val="P68B1DB1-Normal5"/>
              <w:spacing w:after="0" w:line="240" w:lineRule="auto"/>
              <w:jc w:val="center"/>
              <w:rPr>
                <w:rFonts w:cs="Times New Roman"/>
                <w:noProof/>
              </w:rPr>
            </w:pPr>
            <w:r>
              <w:rPr>
                <w:noProof/>
              </w:rPr>
              <w:t>2024</w:t>
            </w:r>
          </w:p>
        </w:tc>
        <w:tc>
          <w:tcPr>
            <w:tcW w:w="3168" w:type="dxa"/>
            <w:shd w:val="clear" w:color="auto" w:fill="C6EFCE"/>
            <w:noWrap/>
          </w:tcPr>
          <w:p w14:paraId="69E80503" w14:textId="77777777" w:rsidR="003F46B9" w:rsidRDefault="0065662E">
            <w:pPr>
              <w:pStyle w:val="P68B1DB1-Normal5"/>
              <w:spacing w:after="0" w:line="240" w:lineRule="auto"/>
              <w:jc w:val="both"/>
              <w:rPr>
                <w:rFonts w:cs="Times New Roman"/>
                <w:noProof/>
              </w:rPr>
            </w:pPr>
            <w:r>
              <w:rPr>
                <w:noProof/>
              </w:rPr>
              <w:t>Konsolidirani zakoni o integritetu stupaju na snagu.</w:t>
            </w:r>
          </w:p>
          <w:p w14:paraId="051541E6" w14:textId="77777777" w:rsidR="003F46B9" w:rsidRDefault="0065662E">
            <w:pPr>
              <w:pStyle w:val="P68B1DB1-Normal5"/>
              <w:spacing w:after="0" w:line="240" w:lineRule="auto"/>
              <w:jc w:val="both"/>
              <w:rPr>
                <w:rFonts w:cs="Times New Roman"/>
                <w:noProof/>
              </w:rPr>
            </w:pPr>
            <w:r>
              <w:rPr>
                <w:noProof/>
              </w:rPr>
              <w:t xml:space="preserve">Ažuriranje zakonodavstva o integritetu </w:t>
            </w:r>
            <w:r>
              <w:rPr>
                <w:noProof/>
              </w:rPr>
              <w:t xml:space="preserve">provodi se na temelju prethodne evaluacije i analize zakona o integritetu, zajedno s početnim grupiranjem normativnih akata. </w:t>
            </w:r>
          </w:p>
          <w:p w14:paraId="1B8DC70F" w14:textId="77777777" w:rsidR="003F46B9" w:rsidRDefault="0065662E">
            <w:pPr>
              <w:pStyle w:val="P68B1DB1-Normal5"/>
              <w:spacing w:before="120" w:after="0" w:line="240" w:lineRule="auto"/>
              <w:jc w:val="both"/>
              <w:rPr>
                <w:rFonts w:cs="Times New Roman"/>
                <w:noProof/>
              </w:rPr>
            </w:pPr>
            <w:r>
              <w:rPr>
                <w:noProof/>
              </w:rPr>
              <w:t xml:space="preserve">U drugoj fazi projekta postojeći se zakoni ujednačuju i ažuriraju ili se predlažu novi normativni akti. </w:t>
            </w:r>
          </w:p>
        </w:tc>
      </w:tr>
      <w:tr w:rsidR="003F46B9" w14:paraId="31AB0AD9" w14:textId="77777777">
        <w:trPr>
          <w:trHeight w:val="309"/>
        </w:trPr>
        <w:tc>
          <w:tcPr>
            <w:tcW w:w="822" w:type="dxa"/>
            <w:shd w:val="clear" w:color="auto" w:fill="C6EFCE"/>
            <w:noWrap/>
          </w:tcPr>
          <w:p w14:paraId="71392293" w14:textId="77777777" w:rsidR="003F46B9" w:rsidRDefault="0065662E">
            <w:pPr>
              <w:pStyle w:val="P68B1DB1-Normal5"/>
              <w:spacing w:after="0" w:line="240" w:lineRule="auto"/>
              <w:jc w:val="center"/>
              <w:rPr>
                <w:rFonts w:cs="Times New Roman"/>
                <w:noProof/>
              </w:rPr>
            </w:pPr>
            <w:r>
              <w:rPr>
                <w:noProof/>
              </w:rPr>
              <w:t>432</w:t>
            </w:r>
          </w:p>
        </w:tc>
        <w:tc>
          <w:tcPr>
            <w:tcW w:w="2391" w:type="dxa"/>
            <w:shd w:val="clear" w:color="auto" w:fill="C6EFCE"/>
            <w:noWrap/>
          </w:tcPr>
          <w:p w14:paraId="37F0511F" w14:textId="77777777" w:rsidR="003F46B9" w:rsidRDefault="0065662E">
            <w:pPr>
              <w:pStyle w:val="P68B1DB1-Normal5"/>
              <w:spacing w:after="0" w:line="240" w:lineRule="auto"/>
              <w:jc w:val="both"/>
              <w:rPr>
                <w:rFonts w:cs="Times New Roman"/>
                <w:noProof/>
              </w:rPr>
            </w:pPr>
            <w:r>
              <w:rPr>
                <w:noProof/>
              </w:rPr>
              <w:t xml:space="preserve">Reforma 7. </w:t>
            </w:r>
            <w:r>
              <w:rPr>
                <w:noProof/>
              </w:rPr>
              <w:t>Evaluacija i ažuriranje zakonodavstva o okviru za integritet</w:t>
            </w:r>
          </w:p>
        </w:tc>
        <w:tc>
          <w:tcPr>
            <w:tcW w:w="1226" w:type="dxa"/>
            <w:shd w:val="clear" w:color="auto" w:fill="C6EFCE"/>
            <w:noWrap/>
          </w:tcPr>
          <w:p w14:paraId="1964E582" w14:textId="77777777" w:rsidR="003F46B9" w:rsidRDefault="0065662E">
            <w:pPr>
              <w:pStyle w:val="P68B1DB1-Normal5"/>
              <w:spacing w:after="0" w:line="240" w:lineRule="auto"/>
              <w:jc w:val="both"/>
              <w:rPr>
                <w:rFonts w:cs="Times New Roman"/>
                <w:noProof/>
              </w:rPr>
            </w:pPr>
            <w:r>
              <w:rPr>
                <w:noProof/>
              </w:rPr>
              <w:t xml:space="preserve">Prekretnica </w:t>
            </w:r>
          </w:p>
        </w:tc>
        <w:tc>
          <w:tcPr>
            <w:tcW w:w="1495" w:type="dxa"/>
            <w:shd w:val="clear" w:color="auto" w:fill="C6EFCE"/>
            <w:noWrap/>
          </w:tcPr>
          <w:p w14:paraId="4EC57E7F" w14:textId="09EE4845" w:rsidR="003F46B9" w:rsidRDefault="0065662E">
            <w:pPr>
              <w:pStyle w:val="P68B1DB1-Normal5"/>
              <w:spacing w:after="0" w:line="240" w:lineRule="auto"/>
              <w:jc w:val="both"/>
              <w:rPr>
                <w:rFonts w:cs="Times New Roman"/>
                <w:noProof/>
              </w:rPr>
            </w:pPr>
            <w:r>
              <w:rPr>
                <w:noProof/>
              </w:rPr>
              <w:t xml:space="preserve">Odobrena revidirana verzija etičkog kodeksa i kodeksa ponašanja za vladu, uz postojeće kodekse za državnu službu te donošenje i provedbu izvršnih mjera </w:t>
            </w:r>
          </w:p>
        </w:tc>
        <w:tc>
          <w:tcPr>
            <w:tcW w:w="1547" w:type="dxa"/>
            <w:shd w:val="clear" w:color="auto" w:fill="C6EFCE"/>
            <w:noWrap/>
          </w:tcPr>
          <w:p w14:paraId="0992B8EA" w14:textId="77777777" w:rsidR="003F46B9" w:rsidRDefault="0065662E">
            <w:pPr>
              <w:pStyle w:val="P68B1DB1-Normal5"/>
              <w:spacing w:after="0" w:line="240" w:lineRule="auto"/>
              <w:jc w:val="both"/>
              <w:rPr>
                <w:rFonts w:eastAsia="Times New Roman" w:cs="Times New Roman"/>
                <w:noProof/>
              </w:rPr>
            </w:pPr>
            <w:r>
              <w:rPr>
                <w:noProof/>
              </w:rPr>
              <w:t>Odredba u zakonu u kojoj se n</w:t>
            </w:r>
            <w:r>
              <w:rPr>
                <w:noProof/>
              </w:rPr>
              <w:t xml:space="preserve">avodi stupanje na snagu revidirane verzije etičkog kodeksa i kodeksa ponašanja za Vladu </w:t>
            </w:r>
          </w:p>
        </w:tc>
        <w:tc>
          <w:tcPr>
            <w:tcW w:w="1344" w:type="dxa"/>
            <w:shd w:val="clear" w:color="auto" w:fill="C6EFCE"/>
            <w:noWrap/>
          </w:tcPr>
          <w:p w14:paraId="5CCC9643"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2FAD7D74"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2DB2A14F"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38E32931"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7DB0204D" w14:textId="77777777" w:rsidR="003F46B9" w:rsidRDefault="0065662E">
            <w:pPr>
              <w:pStyle w:val="P68B1DB1-Normal5"/>
              <w:spacing w:after="0" w:line="240" w:lineRule="auto"/>
              <w:jc w:val="center"/>
              <w:rPr>
                <w:rFonts w:cs="Times New Roman"/>
                <w:noProof/>
              </w:rPr>
            </w:pPr>
            <w:r>
              <w:rPr>
                <w:noProof/>
              </w:rPr>
              <w:t>2024</w:t>
            </w:r>
          </w:p>
        </w:tc>
        <w:tc>
          <w:tcPr>
            <w:tcW w:w="3168" w:type="dxa"/>
            <w:shd w:val="clear" w:color="auto" w:fill="C6EFCE"/>
            <w:noWrap/>
          </w:tcPr>
          <w:p w14:paraId="68D43291" w14:textId="77777777" w:rsidR="003F46B9" w:rsidRDefault="0065662E">
            <w:pPr>
              <w:pStyle w:val="P68B1DB1-Normal5"/>
              <w:spacing w:after="0" w:line="240" w:lineRule="auto"/>
              <w:jc w:val="both"/>
              <w:rPr>
                <w:rFonts w:cs="Times New Roman"/>
                <w:noProof/>
              </w:rPr>
            </w:pPr>
            <w:r>
              <w:rPr>
                <w:noProof/>
              </w:rPr>
              <w:t>Preispitivanjem etičkog kodeksa:</w:t>
            </w:r>
          </w:p>
          <w:p w14:paraId="2FA4C39C"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pojasniti posljedice trenutačnih odredbi o sukobu interesa za članove vlade neovisno o tome bi li se tak</w:t>
            </w:r>
            <w:r>
              <w:rPr>
                <w:rFonts w:ascii="Times New Roman" w:hAnsi="Times New Roman"/>
                <w:noProof/>
                <w:sz w:val="24"/>
              </w:rPr>
              <w:t xml:space="preserve">av sukob mogao otkriti i u izjavama o imovinskom stanju i interesima </w:t>
            </w:r>
          </w:p>
          <w:p w14:paraId="5EF116D4"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proširiti definiciju izvan okvira osobnih financijskih interesa</w:t>
            </w:r>
          </w:p>
          <w:p w14:paraId="6205B714"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 xml:space="preserve">uvesti zahtjev za ad hoc otkrivanje kada se može pojaviti sukob između određenih privatnih interesa pojedinih članova </w:t>
            </w:r>
            <w:r>
              <w:rPr>
                <w:rFonts w:ascii="Times New Roman" w:hAnsi="Times New Roman"/>
                <w:noProof/>
                <w:sz w:val="24"/>
              </w:rPr>
              <w:t xml:space="preserve">vlade u vezi s pitanjem koje se razmatra u postupcima vlade ili u drugom radu povezanom s njihovim mandatom; </w:t>
            </w:r>
          </w:p>
          <w:p w14:paraId="104D61F8"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uspostaviti čvrst skup ograničenja koja se odnose na darove, ugostiteljstvo, usluge i druge pogodnosti za članove te osigurati pravilno razumije</w:t>
            </w:r>
            <w:r>
              <w:rPr>
                <w:rFonts w:ascii="Times New Roman" w:hAnsi="Times New Roman"/>
                <w:noProof/>
                <w:sz w:val="24"/>
              </w:rPr>
              <w:t>vanje i provedivost budućeg sustava.</w:t>
            </w:r>
          </w:p>
          <w:p w14:paraId="03B4298F"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w:t>
            </w:r>
            <w:r>
              <w:rPr>
                <w:noProof/>
              </w:rPr>
              <w:tab/>
            </w:r>
            <w:r>
              <w:rPr>
                <w:rFonts w:ascii="Times New Roman" w:hAnsi="Times New Roman"/>
                <w:noProof/>
                <w:sz w:val="24"/>
              </w:rPr>
              <w:t>uvođenje pravila o tome kako članovi vlade surađuju s lobistima i ostalim trećim stranama koje žele utjecati na zakonodavni postupak</w:t>
            </w:r>
          </w:p>
        </w:tc>
      </w:tr>
      <w:tr w:rsidR="003F46B9" w14:paraId="4217A76C" w14:textId="77777777">
        <w:trPr>
          <w:trHeight w:val="309"/>
        </w:trPr>
        <w:tc>
          <w:tcPr>
            <w:tcW w:w="822" w:type="dxa"/>
            <w:shd w:val="clear" w:color="auto" w:fill="C6EFCE"/>
            <w:noWrap/>
          </w:tcPr>
          <w:p w14:paraId="09CBEDA5" w14:textId="77777777" w:rsidR="003F46B9" w:rsidRDefault="0065662E">
            <w:pPr>
              <w:pStyle w:val="P68B1DB1-Normal5"/>
              <w:spacing w:after="0" w:line="240" w:lineRule="auto"/>
              <w:jc w:val="center"/>
              <w:rPr>
                <w:rFonts w:cs="Times New Roman"/>
                <w:noProof/>
              </w:rPr>
            </w:pPr>
            <w:r>
              <w:rPr>
                <w:noProof/>
              </w:rPr>
              <w:t>433</w:t>
            </w:r>
          </w:p>
        </w:tc>
        <w:tc>
          <w:tcPr>
            <w:tcW w:w="2391" w:type="dxa"/>
            <w:shd w:val="clear" w:color="auto" w:fill="C6EFCE"/>
            <w:noWrap/>
          </w:tcPr>
          <w:p w14:paraId="6F687901" w14:textId="77777777" w:rsidR="003F46B9" w:rsidRDefault="0065662E">
            <w:pPr>
              <w:pStyle w:val="P68B1DB1-Normal5"/>
              <w:spacing w:after="0" w:line="240" w:lineRule="auto"/>
              <w:jc w:val="both"/>
              <w:rPr>
                <w:rFonts w:cs="Times New Roman"/>
                <w:noProof/>
              </w:rPr>
            </w:pPr>
            <w:r>
              <w:rPr>
                <w:noProof/>
              </w:rPr>
              <w:t>Reforma 8. Reforma nacionalnog sustava javne nabave</w:t>
            </w:r>
          </w:p>
        </w:tc>
        <w:tc>
          <w:tcPr>
            <w:tcW w:w="1226" w:type="dxa"/>
            <w:shd w:val="clear" w:color="auto" w:fill="C6EFCE"/>
            <w:noWrap/>
          </w:tcPr>
          <w:p w14:paraId="15F6FFB2"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3FBC0B88" w14:textId="77777777" w:rsidR="003F46B9" w:rsidRDefault="0065662E">
            <w:pPr>
              <w:pStyle w:val="P68B1DB1-Normal5"/>
              <w:spacing w:after="0" w:line="240" w:lineRule="auto"/>
              <w:jc w:val="both"/>
              <w:rPr>
                <w:rFonts w:cs="Times New Roman"/>
                <w:noProof/>
              </w:rPr>
            </w:pPr>
            <w:r>
              <w:rPr>
                <w:noProof/>
              </w:rPr>
              <w:t xml:space="preserve">Stupanje na snagu izmjene nacionalnog zakonodavstva o pravnim lijekovima (Zakon br. 101/2016) </w:t>
            </w:r>
          </w:p>
        </w:tc>
        <w:tc>
          <w:tcPr>
            <w:tcW w:w="1547" w:type="dxa"/>
            <w:shd w:val="clear" w:color="auto" w:fill="C6EFCE"/>
            <w:noWrap/>
          </w:tcPr>
          <w:p w14:paraId="2C133F44" w14:textId="4D3AD02B" w:rsidR="003F46B9" w:rsidRDefault="0065662E">
            <w:pPr>
              <w:pStyle w:val="P68B1DB1-Normal5"/>
              <w:spacing w:after="0" w:line="240" w:lineRule="auto"/>
              <w:jc w:val="both"/>
              <w:rPr>
                <w:rFonts w:cs="Times New Roman"/>
                <w:noProof/>
              </w:rPr>
            </w:pPr>
            <w:r>
              <w:rPr>
                <w:noProof/>
              </w:rPr>
              <w:t>Zakonska odredba o stupanju na snagu zakona o pravnim lijekovima</w:t>
            </w:r>
          </w:p>
        </w:tc>
        <w:tc>
          <w:tcPr>
            <w:tcW w:w="1344" w:type="dxa"/>
            <w:shd w:val="clear" w:color="auto" w:fill="C6EFCE"/>
            <w:noWrap/>
          </w:tcPr>
          <w:p w14:paraId="796EEBE4"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2F5C8204"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0AF4946B"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63EE92DA" w14:textId="77777777" w:rsidR="003F46B9" w:rsidRDefault="0065662E">
            <w:pPr>
              <w:pStyle w:val="P68B1DB1-Normal5"/>
              <w:spacing w:after="0" w:line="240" w:lineRule="auto"/>
              <w:rPr>
                <w:rFonts w:cs="Times New Roman"/>
                <w:noProof/>
              </w:rPr>
            </w:pPr>
            <w:r>
              <w:rPr>
                <w:noProof/>
              </w:rPr>
              <w:t> TROMJESEČJE</w:t>
            </w:r>
          </w:p>
        </w:tc>
        <w:tc>
          <w:tcPr>
            <w:tcW w:w="820" w:type="dxa"/>
            <w:shd w:val="clear" w:color="auto" w:fill="C6EFCE"/>
            <w:noWrap/>
          </w:tcPr>
          <w:p w14:paraId="5284A80F"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463032BF" w14:textId="77777777" w:rsidR="003F46B9" w:rsidRDefault="0065662E">
            <w:pPr>
              <w:pStyle w:val="P68B1DB1-Normal5"/>
              <w:spacing w:before="120" w:after="0" w:line="240" w:lineRule="auto"/>
              <w:jc w:val="both"/>
              <w:rPr>
                <w:rFonts w:cs="Times New Roman"/>
                <w:noProof/>
              </w:rPr>
            </w:pPr>
            <w:r>
              <w:rPr>
                <w:noProof/>
              </w:rPr>
              <w:t>Zakonodavnom izmjenom nacionalnog zakonodavstva o pravnim lijekovima (Zak</w:t>
            </w:r>
            <w:r>
              <w:rPr>
                <w:noProof/>
              </w:rPr>
              <w:t xml:space="preserve">on br. 101/2016) uvodi se obveza potpisivanja ugovora s odabranim ponuditeljem odmah nakon donošenja odluke Nacionalnog vijeća za rješavanje sporova (CNSC), prije sudske odluke u slučaju pritužbe na odluku Vijeća. </w:t>
            </w:r>
          </w:p>
        </w:tc>
      </w:tr>
      <w:tr w:rsidR="003F46B9" w14:paraId="675CA65A" w14:textId="77777777">
        <w:trPr>
          <w:trHeight w:val="309"/>
        </w:trPr>
        <w:tc>
          <w:tcPr>
            <w:tcW w:w="822" w:type="dxa"/>
            <w:shd w:val="clear" w:color="auto" w:fill="C6EFCE"/>
            <w:noWrap/>
          </w:tcPr>
          <w:p w14:paraId="207EB281" w14:textId="77777777" w:rsidR="003F46B9" w:rsidRDefault="0065662E">
            <w:pPr>
              <w:pStyle w:val="P68B1DB1-Normal5"/>
              <w:spacing w:after="0" w:line="240" w:lineRule="auto"/>
              <w:jc w:val="center"/>
              <w:rPr>
                <w:rFonts w:cs="Times New Roman"/>
                <w:noProof/>
              </w:rPr>
            </w:pPr>
            <w:r>
              <w:rPr>
                <w:noProof/>
              </w:rPr>
              <w:t>434</w:t>
            </w:r>
          </w:p>
        </w:tc>
        <w:tc>
          <w:tcPr>
            <w:tcW w:w="2391" w:type="dxa"/>
            <w:shd w:val="clear" w:color="auto" w:fill="C6EFCE"/>
            <w:noWrap/>
          </w:tcPr>
          <w:p w14:paraId="3792B14A" w14:textId="77777777" w:rsidR="003F46B9" w:rsidRDefault="0065662E">
            <w:pPr>
              <w:pStyle w:val="P68B1DB1-Normal5"/>
              <w:spacing w:after="0" w:line="240" w:lineRule="auto"/>
              <w:jc w:val="both"/>
              <w:rPr>
                <w:rFonts w:cs="Times New Roman"/>
                <w:noProof/>
              </w:rPr>
            </w:pPr>
            <w:r>
              <w:rPr>
                <w:noProof/>
              </w:rPr>
              <w:t xml:space="preserve">Reforma 8. Reforma nacionalnog sustava javne nabave. </w:t>
            </w:r>
          </w:p>
        </w:tc>
        <w:tc>
          <w:tcPr>
            <w:tcW w:w="1226" w:type="dxa"/>
            <w:shd w:val="clear" w:color="auto" w:fill="C6EFCE"/>
            <w:noWrap/>
          </w:tcPr>
          <w:p w14:paraId="11A84717"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7FBC03B6" w14:textId="77777777" w:rsidR="003F46B9" w:rsidRDefault="0065662E">
            <w:pPr>
              <w:pStyle w:val="P68B1DB1-Normal5"/>
              <w:spacing w:after="0" w:line="240" w:lineRule="auto"/>
              <w:jc w:val="both"/>
              <w:rPr>
                <w:rFonts w:cs="Times New Roman"/>
                <w:noProof/>
              </w:rPr>
            </w:pPr>
            <w:r>
              <w:rPr>
                <w:noProof/>
              </w:rPr>
              <w:t xml:space="preserve">Stupanje na snagu strategije javne nabave, uključujući horizontalne mjere za potporu provedbi nacionalnog plana za oporavak i otpornost </w:t>
            </w:r>
          </w:p>
        </w:tc>
        <w:tc>
          <w:tcPr>
            <w:tcW w:w="1547" w:type="dxa"/>
            <w:shd w:val="clear" w:color="auto" w:fill="C6EFCE"/>
            <w:noWrap/>
          </w:tcPr>
          <w:p w14:paraId="6AE74C75" w14:textId="0CEED052" w:rsidR="003F46B9" w:rsidRDefault="0065662E">
            <w:pPr>
              <w:pStyle w:val="P68B1DB1-Normal5"/>
              <w:spacing w:after="0" w:line="240" w:lineRule="auto"/>
              <w:jc w:val="both"/>
              <w:rPr>
                <w:rFonts w:cs="Times New Roman"/>
                <w:noProof/>
              </w:rPr>
            </w:pPr>
            <w:r>
              <w:rPr>
                <w:noProof/>
              </w:rPr>
              <w:t xml:space="preserve"> Odredba odluke Vlade o stupanju na snagu Strategije </w:t>
            </w:r>
            <w:r>
              <w:rPr>
                <w:noProof/>
              </w:rPr>
              <w:t>javne nabave</w:t>
            </w:r>
          </w:p>
        </w:tc>
        <w:tc>
          <w:tcPr>
            <w:tcW w:w="1344" w:type="dxa"/>
            <w:shd w:val="clear" w:color="auto" w:fill="C6EFCE"/>
            <w:noWrap/>
          </w:tcPr>
          <w:p w14:paraId="466D21B6"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63B30AAC"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66AD543B"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22853CEB"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6C7EC2E8"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56083FAE" w14:textId="77777777" w:rsidR="003F46B9" w:rsidRDefault="0065662E">
            <w:pPr>
              <w:pStyle w:val="P68B1DB1-Normal5"/>
              <w:spacing w:after="0" w:line="240" w:lineRule="auto"/>
              <w:jc w:val="both"/>
              <w:rPr>
                <w:rFonts w:cs="Times New Roman"/>
                <w:noProof/>
              </w:rPr>
            </w:pPr>
            <w:r>
              <w:rPr>
                <w:noProof/>
              </w:rPr>
              <w:t>Ciljevi buduće strategije moraju biti u skladu sa strateškim prioritetima navedenima u strategiji Europske komisije za javnu nabavu. Slijedom toga, mjere koje treba uključiti u akcijski plan buduće strategije usredotočuju s</w:t>
            </w:r>
            <w:r>
              <w:rPr>
                <w:noProof/>
              </w:rPr>
              <w:t>e na šest strateških prioriteta politike iz strategije Komisije, s ciljem poboljšanja prakse javne nabave u suradnji s drugim javnim tijelima i drugim dionicima.</w:t>
            </w:r>
          </w:p>
          <w:p w14:paraId="157FEABA" w14:textId="77777777" w:rsidR="003F46B9" w:rsidRDefault="0065662E">
            <w:pPr>
              <w:pStyle w:val="P68B1DB1-Normal5"/>
              <w:spacing w:after="0" w:line="240" w:lineRule="auto"/>
              <w:jc w:val="both"/>
              <w:rPr>
                <w:rFonts w:cs="Times New Roman"/>
                <w:noProof/>
              </w:rPr>
            </w:pPr>
            <w:r>
              <w:rPr>
                <w:noProof/>
              </w:rPr>
              <w:t>Strategiju i njezine točne mjere, zajedno s pripadajućim rasporedom provedbe i raspodjelom odg</w:t>
            </w:r>
            <w:r>
              <w:rPr>
                <w:noProof/>
              </w:rPr>
              <w:t xml:space="preserve">ovornosti, dogovara Međuministarski odbor za javnu nabavu. </w:t>
            </w:r>
          </w:p>
        </w:tc>
      </w:tr>
      <w:tr w:rsidR="003F46B9" w14:paraId="5A581407" w14:textId="77777777">
        <w:trPr>
          <w:trHeight w:val="309"/>
        </w:trPr>
        <w:tc>
          <w:tcPr>
            <w:tcW w:w="822" w:type="dxa"/>
            <w:shd w:val="clear" w:color="auto" w:fill="C6EFCE"/>
            <w:noWrap/>
          </w:tcPr>
          <w:p w14:paraId="6866C128" w14:textId="77777777" w:rsidR="003F46B9" w:rsidRDefault="0065662E">
            <w:pPr>
              <w:pStyle w:val="P68B1DB1-Normal5"/>
              <w:spacing w:after="0" w:line="240" w:lineRule="auto"/>
              <w:jc w:val="center"/>
              <w:rPr>
                <w:rFonts w:cs="Times New Roman"/>
                <w:noProof/>
              </w:rPr>
            </w:pPr>
            <w:r>
              <w:rPr>
                <w:noProof/>
              </w:rPr>
              <w:t>435</w:t>
            </w:r>
          </w:p>
        </w:tc>
        <w:tc>
          <w:tcPr>
            <w:tcW w:w="2391" w:type="dxa"/>
            <w:shd w:val="clear" w:color="auto" w:fill="C6EFCE"/>
            <w:noWrap/>
          </w:tcPr>
          <w:p w14:paraId="490CFC0A" w14:textId="4DADD3B0" w:rsidR="003F46B9" w:rsidRDefault="0065662E">
            <w:pPr>
              <w:pStyle w:val="P68B1DB1-Normal5"/>
              <w:spacing w:after="0" w:line="240" w:lineRule="auto"/>
              <w:jc w:val="both"/>
              <w:rPr>
                <w:rFonts w:cs="Times New Roman"/>
                <w:noProof/>
              </w:rPr>
            </w:pPr>
            <w:r>
              <w:rPr>
                <w:noProof/>
              </w:rPr>
              <w:t xml:space="preserve">Reforma 8. Reforma nacionalnog sustava javne nabave </w:t>
            </w:r>
          </w:p>
        </w:tc>
        <w:tc>
          <w:tcPr>
            <w:tcW w:w="1226" w:type="dxa"/>
            <w:shd w:val="clear" w:color="auto" w:fill="C6EFCE"/>
            <w:noWrap/>
          </w:tcPr>
          <w:p w14:paraId="122DE3AD"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058427BD" w14:textId="77777777" w:rsidR="003F46B9" w:rsidRDefault="0065662E">
            <w:pPr>
              <w:pStyle w:val="P68B1DB1-Normal5"/>
              <w:spacing w:after="0" w:line="240" w:lineRule="auto"/>
              <w:jc w:val="both"/>
              <w:rPr>
                <w:rFonts w:cs="Times New Roman"/>
                <w:noProof/>
              </w:rPr>
            </w:pPr>
            <w:r>
              <w:rPr>
                <w:noProof/>
              </w:rPr>
              <w:t>Operativna centralizirana tijela za nabavu za lokalna tijela</w:t>
            </w:r>
          </w:p>
        </w:tc>
        <w:tc>
          <w:tcPr>
            <w:tcW w:w="1547" w:type="dxa"/>
            <w:shd w:val="clear" w:color="auto" w:fill="C6EFCE"/>
            <w:noWrap/>
          </w:tcPr>
          <w:p w14:paraId="39F52081" w14:textId="77777777" w:rsidR="003F46B9" w:rsidRDefault="003F46B9">
            <w:pPr>
              <w:spacing w:after="0" w:line="240" w:lineRule="auto"/>
              <w:jc w:val="both"/>
              <w:rPr>
                <w:rFonts w:ascii="Times New Roman" w:hAnsi="Times New Roman" w:cs="Times New Roman"/>
                <w:noProof/>
                <w:sz w:val="24"/>
              </w:rPr>
            </w:pPr>
          </w:p>
        </w:tc>
        <w:tc>
          <w:tcPr>
            <w:tcW w:w="1344" w:type="dxa"/>
            <w:shd w:val="clear" w:color="auto" w:fill="C6EFCE"/>
            <w:noWrap/>
          </w:tcPr>
          <w:p w14:paraId="0BECBA1A" w14:textId="77777777" w:rsidR="003F46B9" w:rsidRDefault="0065662E">
            <w:pPr>
              <w:pStyle w:val="P68B1DB1-Normal5"/>
              <w:spacing w:after="0" w:line="240" w:lineRule="auto"/>
              <w:rPr>
                <w:rFonts w:cs="Times New Roman"/>
                <w:noProof/>
              </w:rPr>
            </w:pPr>
            <w:r>
              <w:rPr>
                <w:noProof/>
              </w:rPr>
              <w:t>Broj operativnih centraliziranih tijela za nabavu</w:t>
            </w:r>
          </w:p>
        </w:tc>
        <w:tc>
          <w:tcPr>
            <w:tcW w:w="1109" w:type="dxa"/>
            <w:shd w:val="clear" w:color="auto" w:fill="C6EFCE"/>
            <w:noWrap/>
          </w:tcPr>
          <w:p w14:paraId="13AC24A1" w14:textId="77777777" w:rsidR="003F46B9" w:rsidRDefault="0065662E">
            <w:pPr>
              <w:pStyle w:val="P68B1DB1-Normal5"/>
              <w:spacing w:after="0" w:line="240" w:lineRule="auto"/>
              <w:rPr>
                <w:rFonts w:cs="Times New Roman"/>
                <w:noProof/>
              </w:rPr>
            </w:pPr>
            <w:r>
              <w:rPr>
                <w:noProof/>
              </w:rPr>
              <w:t>[2021.]</w:t>
            </w:r>
          </w:p>
        </w:tc>
        <w:tc>
          <w:tcPr>
            <w:tcW w:w="872" w:type="dxa"/>
            <w:shd w:val="clear" w:color="auto" w:fill="C6EFCE"/>
          </w:tcPr>
          <w:p w14:paraId="4E05FC45" w14:textId="77777777" w:rsidR="003F46B9" w:rsidRDefault="0065662E">
            <w:pPr>
              <w:pStyle w:val="P68B1DB1-Normal5"/>
              <w:spacing w:after="0" w:line="240" w:lineRule="auto"/>
              <w:rPr>
                <w:rFonts w:cs="Times New Roman"/>
                <w:noProof/>
              </w:rPr>
            </w:pPr>
            <w:r>
              <w:rPr>
                <w:noProof/>
              </w:rPr>
              <w:t>7</w:t>
            </w:r>
          </w:p>
        </w:tc>
        <w:tc>
          <w:tcPr>
            <w:tcW w:w="1082" w:type="dxa"/>
            <w:shd w:val="clear" w:color="auto" w:fill="C6EFCE"/>
            <w:noWrap/>
          </w:tcPr>
          <w:p w14:paraId="56ABBD5B" w14:textId="77777777" w:rsidR="003F46B9" w:rsidRDefault="0065662E">
            <w:pPr>
              <w:pStyle w:val="P68B1DB1-Normal5"/>
              <w:spacing w:after="0" w:line="240" w:lineRule="auto"/>
              <w:rPr>
                <w:rFonts w:cs="Times New Roman"/>
                <w:noProof/>
              </w:rPr>
            </w:pPr>
            <w:r>
              <w:rPr>
                <w:noProof/>
              </w:rPr>
              <w:t xml:space="preserve">ČETVRTO </w:t>
            </w:r>
            <w:r>
              <w:rPr>
                <w:noProof/>
              </w:rPr>
              <w:t>TROMJESEČJE</w:t>
            </w:r>
          </w:p>
        </w:tc>
        <w:tc>
          <w:tcPr>
            <w:tcW w:w="820" w:type="dxa"/>
            <w:shd w:val="clear" w:color="auto" w:fill="C6EFCE"/>
            <w:noWrap/>
          </w:tcPr>
          <w:p w14:paraId="158C212E"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3BE1A260" w14:textId="77777777" w:rsidR="003F46B9" w:rsidRDefault="0065662E">
            <w:pPr>
              <w:pStyle w:val="P68B1DB1-Normal5"/>
              <w:spacing w:after="0" w:line="240" w:lineRule="auto"/>
              <w:jc w:val="both"/>
              <w:rPr>
                <w:rFonts w:cs="Times New Roman"/>
                <w:noProof/>
              </w:rPr>
            </w:pPr>
            <w:r>
              <w:rPr>
                <w:noProof/>
              </w:rPr>
              <w:t xml:space="preserve">4 dodatna lokalna središnja tijela za nabavu konfiguriraju se i stavljaju na raspolaganje operativni instrumenti te znanje i iskustvo. </w:t>
            </w:r>
          </w:p>
          <w:p w14:paraId="5A1F0D59" w14:textId="0B3037D0" w:rsidR="003F46B9" w:rsidRDefault="0065662E">
            <w:pPr>
              <w:pStyle w:val="P68B1DB1-Normal5"/>
              <w:spacing w:after="0" w:line="240" w:lineRule="auto"/>
              <w:jc w:val="both"/>
              <w:rPr>
                <w:rFonts w:cs="Times New Roman"/>
                <w:noProof/>
              </w:rPr>
            </w:pPr>
            <w:r>
              <w:rPr>
                <w:noProof/>
              </w:rPr>
              <w:t>Točne kategorije robe/usluga/radova koji podliježu centraliziranoj nabavi utvrđuju se na temelju analiz</w:t>
            </w:r>
            <w:r>
              <w:rPr>
                <w:noProof/>
              </w:rPr>
              <w:t xml:space="preserve">e potreba korisnika svakog središnjeg tijela za nabavu, ali mogu uključivati sljedeće: </w:t>
            </w:r>
          </w:p>
          <w:p w14:paraId="744FEC51" w14:textId="77777777" w:rsidR="003F46B9" w:rsidRDefault="0065662E">
            <w:pPr>
              <w:spacing w:after="0" w:line="240" w:lineRule="auto"/>
              <w:jc w:val="both"/>
              <w:rPr>
                <w:noProof/>
              </w:rPr>
            </w:pPr>
            <w:r>
              <w:rPr>
                <w:noProof/>
              </w:rPr>
              <w:t xml:space="preserve">i. uredski materijal, </w:t>
            </w:r>
          </w:p>
          <w:p w14:paraId="3929C93A" w14:textId="77777777" w:rsidR="003F46B9" w:rsidRDefault="0065662E">
            <w:pPr>
              <w:pStyle w:val="P68B1DB1-Normal5"/>
              <w:spacing w:after="0" w:line="240" w:lineRule="auto"/>
              <w:jc w:val="both"/>
              <w:rPr>
                <w:rFonts w:cs="Times New Roman"/>
                <w:noProof/>
              </w:rPr>
            </w:pPr>
            <w:r>
              <w:rPr>
                <w:noProof/>
              </w:rPr>
              <w:t>II) gorivo,</w:t>
            </w:r>
          </w:p>
          <w:p w14:paraId="13197BD5" w14:textId="77777777" w:rsidR="003F46B9" w:rsidRDefault="0065662E">
            <w:pPr>
              <w:pStyle w:val="P68B1DB1-Normal5"/>
              <w:spacing w:after="0" w:line="240" w:lineRule="auto"/>
              <w:jc w:val="both"/>
              <w:rPr>
                <w:rFonts w:cs="Times New Roman"/>
                <w:noProof/>
              </w:rPr>
            </w:pPr>
            <w:r>
              <w:rPr>
                <w:noProof/>
              </w:rPr>
              <w:t xml:space="preserve">informatička oprema, </w:t>
            </w:r>
          </w:p>
          <w:p w14:paraId="53B051FA" w14:textId="77777777" w:rsidR="003F46B9" w:rsidRDefault="0065662E">
            <w:pPr>
              <w:pStyle w:val="P68B1DB1-Normal5"/>
              <w:spacing w:after="0" w:line="240" w:lineRule="auto"/>
              <w:jc w:val="both"/>
              <w:rPr>
                <w:rFonts w:cs="Times New Roman"/>
                <w:noProof/>
              </w:rPr>
            </w:pPr>
            <w:r>
              <w:rPr>
                <w:noProof/>
              </w:rPr>
              <w:t xml:space="preserve">iv. komunikacijske usluge </w:t>
            </w:r>
          </w:p>
          <w:p w14:paraId="2E45B51E" w14:textId="77777777" w:rsidR="003F46B9" w:rsidRDefault="0065662E">
            <w:pPr>
              <w:pStyle w:val="P68B1DB1-Normal5"/>
              <w:spacing w:after="0" w:line="240" w:lineRule="auto"/>
              <w:jc w:val="both"/>
              <w:rPr>
                <w:rFonts w:cs="Times New Roman"/>
                <w:noProof/>
              </w:rPr>
            </w:pPr>
            <w:r>
              <w:rPr>
                <w:noProof/>
              </w:rPr>
              <w:t>V) usluge upravljanja objektima</w:t>
            </w:r>
          </w:p>
          <w:p w14:paraId="43421CCF" w14:textId="77777777" w:rsidR="003F46B9" w:rsidRDefault="0065662E">
            <w:pPr>
              <w:pStyle w:val="P68B1DB1-Normal5"/>
              <w:spacing w:after="0" w:line="240" w:lineRule="auto"/>
              <w:jc w:val="both"/>
              <w:rPr>
                <w:rFonts w:cs="Times New Roman"/>
                <w:noProof/>
              </w:rPr>
            </w:pPr>
            <w:r>
              <w:rPr>
                <w:noProof/>
              </w:rPr>
              <w:t xml:space="preserve">VI.) usluge mobilnosti. </w:t>
            </w:r>
          </w:p>
        </w:tc>
      </w:tr>
      <w:tr w:rsidR="003F46B9" w14:paraId="0081DBF6" w14:textId="77777777">
        <w:trPr>
          <w:trHeight w:val="309"/>
        </w:trPr>
        <w:tc>
          <w:tcPr>
            <w:tcW w:w="822" w:type="dxa"/>
            <w:shd w:val="clear" w:color="auto" w:fill="C6EFCE"/>
            <w:noWrap/>
          </w:tcPr>
          <w:p w14:paraId="000540CA" w14:textId="77777777" w:rsidR="003F46B9" w:rsidRDefault="0065662E">
            <w:pPr>
              <w:pStyle w:val="P68B1DB1-Normal5"/>
              <w:spacing w:after="0" w:line="240" w:lineRule="auto"/>
              <w:jc w:val="center"/>
              <w:rPr>
                <w:rFonts w:cs="Times New Roman"/>
                <w:noProof/>
              </w:rPr>
            </w:pPr>
            <w:r>
              <w:rPr>
                <w:noProof/>
              </w:rPr>
              <w:t>436</w:t>
            </w:r>
          </w:p>
        </w:tc>
        <w:tc>
          <w:tcPr>
            <w:tcW w:w="2391" w:type="dxa"/>
            <w:shd w:val="clear" w:color="auto" w:fill="C6EFCE"/>
            <w:noWrap/>
          </w:tcPr>
          <w:p w14:paraId="64933C9A" w14:textId="77777777" w:rsidR="003F46B9" w:rsidRDefault="0065662E">
            <w:pPr>
              <w:pStyle w:val="P68B1DB1-Normal5"/>
              <w:spacing w:after="0" w:line="240" w:lineRule="auto"/>
              <w:jc w:val="both"/>
              <w:rPr>
                <w:rFonts w:cs="Times New Roman"/>
                <w:noProof/>
              </w:rPr>
            </w:pPr>
            <w:r>
              <w:rPr>
                <w:noProof/>
              </w:rPr>
              <w:t xml:space="preserve">Reforma 8. Reforma nacionalnog sustava javne nabave </w:t>
            </w:r>
          </w:p>
        </w:tc>
        <w:tc>
          <w:tcPr>
            <w:tcW w:w="1226" w:type="dxa"/>
            <w:shd w:val="clear" w:color="auto" w:fill="C6EFCE"/>
            <w:noWrap/>
          </w:tcPr>
          <w:p w14:paraId="7F88DB20"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404B5A01" w14:textId="77777777" w:rsidR="003F46B9" w:rsidRDefault="0065662E">
            <w:pPr>
              <w:pStyle w:val="P68B1DB1-Normal5"/>
              <w:spacing w:after="0" w:line="240" w:lineRule="auto"/>
              <w:jc w:val="both"/>
              <w:rPr>
                <w:rFonts w:cs="Times New Roman"/>
                <w:noProof/>
              </w:rPr>
            </w:pPr>
            <w:r>
              <w:rPr>
                <w:noProof/>
              </w:rPr>
              <w:t>Osigurano specijalizirano osposobljavanje u području javne nabave</w:t>
            </w:r>
          </w:p>
        </w:tc>
        <w:tc>
          <w:tcPr>
            <w:tcW w:w="1547" w:type="dxa"/>
            <w:shd w:val="clear" w:color="auto" w:fill="C6EFCE"/>
            <w:noWrap/>
          </w:tcPr>
          <w:p w14:paraId="25C8AA1D"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1E32D488"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1F102F83"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4AFB80B7" w14:textId="77777777" w:rsidR="003F46B9" w:rsidRDefault="0065662E">
            <w:pPr>
              <w:pStyle w:val="P68B1DB1-Normal5"/>
              <w:spacing w:after="0" w:line="240" w:lineRule="auto"/>
              <w:rPr>
                <w:rFonts w:cs="Times New Roman"/>
                <w:noProof/>
              </w:rPr>
            </w:pPr>
            <w:r>
              <w:rPr>
                <w:noProof/>
              </w:rPr>
              <w:t>350</w:t>
            </w:r>
          </w:p>
        </w:tc>
        <w:tc>
          <w:tcPr>
            <w:tcW w:w="1082" w:type="dxa"/>
            <w:shd w:val="clear" w:color="auto" w:fill="C6EFCE"/>
            <w:noWrap/>
          </w:tcPr>
          <w:p w14:paraId="2D85DB4D"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033AE541"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05799EA5" w14:textId="77777777" w:rsidR="003F46B9" w:rsidRDefault="0065662E">
            <w:pPr>
              <w:pStyle w:val="P68B1DB1-Normal5"/>
              <w:spacing w:after="0" w:line="240" w:lineRule="auto"/>
              <w:jc w:val="both"/>
              <w:rPr>
                <w:rFonts w:cs="Times New Roman"/>
                <w:noProof/>
              </w:rPr>
            </w:pPr>
            <w:r>
              <w:rPr>
                <w:noProof/>
              </w:rPr>
              <w:t>Specijalizirano osposobljavanje u području javne nabave osigurava se za najmanje 350 osoba (</w:t>
            </w:r>
            <w:r>
              <w:rPr>
                <w:noProof/>
              </w:rPr>
              <w:t xml:space="preserve">državni službenici i ugovorno osoblje), posebno za zaposlenike poduzeća u državnom vlasništvu. </w:t>
            </w:r>
          </w:p>
          <w:p w14:paraId="25C7E3FB" w14:textId="77777777" w:rsidR="003F46B9" w:rsidRDefault="0065662E">
            <w:pPr>
              <w:pStyle w:val="P68B1DB1-Normal5"/>
              <w:spacing w:after="0" w:line="240" w:lineRule="auto"/>
              <w:jc w:val="both"/>
              <w:rPr>
                <w:rFonts w:cs="Times New Roman"/>
                <w:noProof/>
              </w:rPr>
            </w:pPr>
            <w:r>
              <w:rPr>
                <w:noProof/>
              </w:rPr>
              <w:t>Specijalizirano osposobljavanje doprinosi povećanju administrativnih kapaciteta „velikih kupaca” i drugih javnih naručitelja koji provode investicijske projekte</w:t>
            </w:r>
            <w:r>
              <w:rPr>
                <w:noProof/>
              </w:rPr>
              <w:t xml:space="preserve"> koji se financiraju iz Mehanizma za oporavak i otpornost, zbog čega je naglasak stavljen na poduzeća u državnom vlasništvu.</w:t>
            </w:r>
          </w:p>
        </w:tc>
      </w:tr>
      <w:tr w:rsidR="003F46B9" w14:paraId="0337072F" w14:textId="77777777">
        <w:trPr>
          <w:trHeight w:val="309"/>
        </w:trPr>
        <w:tc>
          <w:tcPr>
            <w:tcW w:w="822" w:type="dxa"/>
            <w:shd w:val="clear" w:color="auto" w:fill="C6EFCE"/>
            <w:noWrap/>
          </w:tcPr>
          <w:p w14:paraId="10E0110C" w14:textId="77777777" w:rsidR="003F46B9" w:rsidRDefault="0065662E">
            <w:pPr>
              <w:pStyle w:val="P68B1DB1-Normal5"/>
              <w:spacing w:after="0" w:line="240" w:lineRule="auto"/>
              <w:jc w:val="center"/>
              <w:rPr>
                <w:rFonts w:cs="Times New Roman"/>
                <w:noProof/>
              </w:rPr>
            </w:pPr>
            <w:r>
              <w:rPr>
                <w:noProof/>
              </w:rPr>
              <w:t>437</w:t>
            </w:r>
          </w:p>
        </w:tc>
        <w:tc>
          <w:tcPr>
            <w:tcW w:w="2391" w:type="dxa"/>
            <w:shd w:val="clear" w:color="auto" w:fill="C6EFCE"/>
            <w:noWrap/>
          </w:tcPr>
          <w:p w14:paraId="7EFABCAE" w14:textId="77777777" w:rsidR="003F46B9" w:rsidRDefault="0065662E">
            <w:pPr>
              <w:pStyle w:val="P68B1DB1-Normal5"/>
              <w:spacing w:after="0" w:line="240" w:lineRule="auto"/>
              <w:rPr>
                <w:rFonts w:cs="Times New Roman"/>
                <w:noProof/>
              </w:rPr>
            </w:pPr>
            <w:r>
              <w:rPr>
                <w:noProof/>
              </w:rPr>
              <w:t xml:space="preserve">Reforma 8. Reforma nacionalnog sustava javne nabave </w:t>
            </w:r>
          </w:p>
        </w:tc>
        <w:tc>
          <w:tcPr>
            <w:tcW w:w="1226" w:type="dxa"/>
            <w:shd w:val="clear" w:color="auto" w:fill="C6EFCE"/>
            <w:noWrap/>
          </w:tcPr>
          <w:p w14:paraId="74255F8F"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58CFF6FF" w14:textId="77777777" w:rsidR="003F46B9" w:rsidRDefault="0065662E">
            <w:pPr>
              <w:pStyle w:val="P68B1DB1-Normal5"/>
              <w:spacing w:after="0" w:line="240" w:lineRule="auto"/>
              <w:rPr>
                <w:rFonts w:cs="Times New Roman"/>
                <w:noProof/>
              </w:rPr>
            </w:pPr>
            <w:r>
              <w:rPr>
                <w:noProof/>
              </w:rPr>
              <w:t xml:space="preserve">Sustav elektroničkog sustava javne nabave (SEAP) međusobno je povezan i interoperabilan s drugim bazama podataka </w:t>
            </w:r>
          </w:p>
        </w:tc>
        <w:tc>
          <w:tcPr>
            <w:tcW w:w="1547" w:type="dxa"/>
            <w:shd w:val="clear" w:color="auto" w:fill="C6EFCE"/>
            <w:noWrap/>
          </w:tcPr>
          <w:p w14:paraId="3D436CD4" w14:textId="77777777" w:rsidR="003F46B9" w:rsidRDefault="0065662E">
            <w:pPr>
              <w:pStyle w:val="P68B1DB1-Normal5"/>
              <w:spacing w:after="0" w:line="240" w:lineRule="auto"/>
              <w:rPr>
                <w:rFonts w:cs="Times New Roman"/>
                <w:noProof/>
              </w:rPr>
            </w:pPr>
            <w:r>
              <w:rPr>
                <w:noProof/>
              </w:rPr>
              <w:t xml:space="preserve">Međusobno povezan i interoperabilan sustav SEAP-a </w:t>
            </w:r>
          </w:p>
        </w:tc>
        <w:tc>
          <w:tcPr>
            <w:tcW w:w="1344" w:type="dxa"/>
            <w:shd w:val="clear" w:color="auto" w:fill="C6EFCE"/>
            <w:noWrap/>
          </w:tcPr>
          <w:p w14:paraId="5EB2D2D6"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0D4F4312"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34CCCF86"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3042142F" w14:textId="77777777" w:rsidR="003F46B9" w:rsidRDefault="0065662E">
            <w:pPr>
              <w:pStyle w:val="P68B1DB1-Normal5"/>
              <w:spacing w:after="0" w:line="240" w:lineRule="auto"/>
              <w:rPr>
                <w:rFonts w:cs="Times New Roman"/>
                <w:noProof/>
              </w:rPr>
            </w:pPr>
            <w:r>
              <w:rPr>
                <w:noProof/>
              </w:rPr>
              <w:t> ČETVRTO TROMJESEČJE</w:t>
            </w:r>
          </w:p>
        </w:tc>
        <w:tc>
          <w:tcPr>
            <w:tcW w:w="820" w:type="dxa"/>
            <w:shd w:val="clear" w:color="auto" w:fill="C6EFCE"/>
            <w:noWrap/>
          </w:tcPr>
          <w:p w14:paraId="720D1401"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7AC56EC2" w14:textId="77777777" w:rsidR="003F46B9" w:rsidRDefault="0065662E">
            <w:pPr>
              <w:pStyle w:val="P68B1DB1-Normal5"/>
              <w:spacing w:after="0" w:line="240" w:lineRule="auto"/>
              <w:jc w:val="both"/>
              <w:rPr>
                <w:rFonts w:cs="Times New Roman"/>
                <w:noProof/>
              </w:rPr>
            </w:pPr>
            <w:r>
              <w:rPr>
                <w:noProof/>
              </w:rPr>
              <w:t>Sustav elektroničkog sustava javne nabave (SEAP) međusobno je povezan i interoperabilan s drugim bazama podataka: Nacionalni ured za registar trgovačkih društava, Nacionalna agencija za integritet, Nacionalna agencija za fiskalnu upravu, Nacionalna agencij</w:t>
            </w:r>
            <w:r>
              <w:rPr>
                <w:noProof/>
              </w:rPr>
              <w:t xml:space="preserve">a za javnu nabavu, Nacionalni odbor za pritužbe, Ministarstvo unutarnjih poslova, Ministarstvo pravosuđa, upotreba informacija i pojednostavnjenje postupaka nabave i provjera u korist sudionika u postupku. </w:t>
            </w:r>
          </w:p>
        </w:tc>
      </w:tr>
      <w:tr w:rsidR="003F46B9" w14:paraId="344AC454" w14:textId="77777777">
        <w:trPr>
          <w:trHeight w:val="309"/>
        </w:trPr>
        <w:tc>
          <w:tcPr>
            <w:tcW w:w="822" w:type="dxa"/>
            <w:shd w:val="clear" w:color="auto" w:fill="C6EFCE"/>
            <w:noWrap/>
          </w:tcPr>
          <w:p w14:paraId="711B4F8B" w14:textId="77777777" w:rsidR="003F46B9" w:rsidRDefault="0065662E">
            <w:pPr>
              <w:pStyle w:val="P68B1DB1-Normal5"/>
              <w:spacing w:after="0" w:line="240" w:lineRule="auto"/>
              <w:jc w:val="center"/>
              <w:rPr>
                <w:rFonts w:cs="Times New Roman"/>
                <w:noProof/>
              </w:rPr>
            </w:pPr>
            <w:r>
              <w:rPr>
                <w:noProof/>
              </w:rPr>
              <w:t>438</w:t>
            </w:r>
          </w:p>
        </w:tc>
        <w:tc>
          <w:tcPr>
            <w:tcW w:w="2391" w:type="dxa"/>
            <w:shd w:val="clear" w:color="auto" w:fill="C6EFCE"/>
            <w:noWrap/>
          </w:tcPr>
          <w:p w14:paraId="3FC76D8D" w14:textId="77777777" w:rsidR="003F46B9" w:rsidRDefault="0065662E">
            <w:pPr>
              <w:pStyle w:val="P68B1DB1-Normal5"/>
              <w:spacing w:after="0" w:line="240" w:lineRule="auto"/>
              <w:jc w:val="both"/>
              <w:rPr>
                <w:rFonts w:cs="Times New Roman"/>
                <w:noProof/>
              </w:rPr>
            </w:pPr>
            <w:r>
              <w:rPr>
                <w:noProof/>
              </w:rPr>
              <w:t xml:space="preserve">Reforma 8. Reforma nacionalnog sustava javne nabave </w:t>
            </w:r>
          </w:p>
        </w:tc>
        <w:tc>
          <w:tcPr>
            <w:tcW w:w="1226" w:type="dxa"/>
            <w:shd w:val="clear" w:color="auto" w:fill="C6EFCE"/>
            <w:noWrap/>
          </w:tcPr>
          <w:p w14:paraId="60C293E9" w14:textId="38EFB343"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23B13BBF" w14:textId="77777777" w:rsidR="003F46B9" w:rsidRDefault="0065662E">
            <w:pPr>
              <w:pStyle w:val="P68B1DB1-Normal5"/>
              <w:spacing w:after="0" w:line="240" w:lineRule="auto"/>
              <w:jc w:val="both"/>
              <w:rPr>
                <w:rFonts w:cs="Times New Roman"/>
                <w:noProof/>
              </w:rPr>
            </w:pPr>
            <w:r>
              <w:rPr>
                <w:noProof/>
              </w:rPr>
              <w:t xml:space="preserve">Operativni sustav e-nabave </w:t>
            </w:r>
          </w:p>
        </w:tc>
        <w:tc>
          <w:tcPr>
            <w:tcW w:w="1547" w:type="dxa"/>
            <w:shd w:val="clear" w:color="auto" w:fill="C6EFCE"/>
            <w:noWrap/>
          </w:tcPr>
          <w:p w14:paraId="614DC9A7" w14:textId="77777777" w:rsidR="003F46B9" w:rsidRDefault="0065662E">
            <w:pPr>
              <w:pStyle w:val="P68B1DB1-Normal5"/>
              <w:spacing w:after="0" w:line="240" w:lineRule="auto"/>
              <w:jc w:val="both"/>
              <w:rPr>
                <w:rFonts w:cs="Times New Roman"/>
                <w:noProof/>
              </w:rPr>
            </w:pPr>
            <w:r>
              <w:rPr>
                <w:noProof/>
              </w:rPr>
              <w:t xml:space="preserve">Sustav e-nabave u funkciji </w:t>
            </w:r>
          </w:p>
        </w:tc>
        <w:tc>
          <w:tcPr>
            <w:tcW w:w="1344" w:type="dxa"/>
            <w:shd w:val="clear" w:color="auto" w:fill="C6EFCE"/>
            <w:noWrap/>
          </w:tcPr>
          <w:p w14:paraId="003DFF83"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657FF105"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784E4201"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6D470BE2" w14:textId="77777777" w:rsidR="003F46B9" w:rsidRDefault="0065662E">
            <w:pPr>
              <w:pStyle w:val="P68B1DB1-Normal5"/>
              <w:spacing w:after="0" w:line="240" w:lineRule="auto"/>
              <w:rPr>
                <w:rFonts w:cs="Times New Roman"/>
                <w:noProof/>
              </w:rPr>
            </w:pPr>
            <w:r>
              <w:rPr>
                <w:noProof/>
              </w:rPr>
              <w:t> TROMJESEČJE</w:t>
            </w:r>
          </w:p>
        </w:tc>
        <w:tc>
          <w:tcPr>
            <w:tcW w:w="820" w:type="dxa"/>
            <w:shd w:val="clear" w:color="auto" w:fill="C6EFCE"/>
            <w:noWrap/>
          </w:tcPr>
          <w:p w14:paraId="599FD01E"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62FFE1D8" w14:textId="77777777" w:rsidR="003F46B9" w:rsidRDefault="0065662E">
            <w:pPr>
              <w:pStyle w:val="P68B1DB1-Normal5"/>
              <w:spacing w:after="0" w:line="240" w:lineRule="auto"/>
              <w:jc w:val="both"/>
              <w:rPr>
                <w:rFonts w:cs="Times New Roman"/>
                <w:noProof/>
              </w:rPr>
            </w:pPr>
            <w:r>
              <w:rPr>
                <w:noProof/>
              </w:rPr>
              <w:t>U okviru SEAP-a (sustav e-nabave) dovršava se i radi sljedeće:</w:t>
            </w:r>
          </w:p>
          <w:p w14:paraId="0D87F83C"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 xml:space="preserve">(1) izradu i provedbu novih obrazaca (e-obrasca) </w:t>
            </w:r>
            <w:r>
              <w:rPr>
                <w:rFonts w:ascii="Times New Roman" w:hAnsi="Times New Roman"/>
                <w:noProof/>
                <w:sz w:val="24"/>
              </w:rPr>
              <w:t>predviđenih Provedbenom uredbom Komisije (EU) 2019/1780 оd 23. rujna 2019. o utvrđivanju standardnih obrazaca za objavljivanje obavijesti u području javne nabave i stavljanju izvan snage Provedbene uredbe (EU) 2015/1986;</w:t>
            </w:r>
            <w:r>
              <w:rPr>
                <w:noProof/>
              </w:rPr>
              <w:t xml:space="preserve"> </w:t>
            </w:r>
            <w:r>
              <w:rPr>
                <w:noProof/>
              </w:rPr>
              <w:br/>
            </w:r>
            <w:r>
              <w:rPr>
                <w:rFonts w:ascii="Times New Roman" w:hAnsi="Times New Roman"/>
                <w:noProof/>
                <w:sz w:val="24"/>
              </w:rPr>
              <w:t>(2) razvoj i uvođenje elektronički</w:t>
            </w:r>
            <w:r>
              <w:rPr>
                <w:rFonts w:ascii="Times New Roman" w:hAnsi="Times New Roman"/>
                <w:noProof/>
                <w:sz w:val="24"/>
              </w:rPr>
              <w:t>h obrazaca u ocjenjivanju ponuda u postupcima javne nabave;</w:t>
            </w:r>
            <w:r>
              <w:rPr>
                <w:noProof/>
              </w:rPr>
              <w:t xml:space="preserve"> </w:t>
            </w:r>
            <w:r>
              <w:rPr>
                <w:noProof/>
              </w:rPr>
              <w:br/>
            </w:r>
            <w:r>
              <w:rPr>
                <w:rFonts w:ascii="Times New Roman" w:hAnsi="Times New Roman"/>
                <w:noProof/>
                <w:sz w:val="24"/>
              </w:rPr>
              <w:t>3. proširenje funkcionalnosti dinamičnog sustava javne nabave (SAD), koji je postao operativan u ožujku 2021., s uređajima koji omogućuju automatiziranu procjenu kvalifikacija i uključivanje elek</w:t>
            </w:r>
            <w:r>
              <w:rPr>
                <w:rFonts w:ascii="Times New Roman" w:hAnsi="Times New Roman"/>
                <w:noProof/>
                <w:sz w:val="24"/>
              </w:rPr>
              <w:t>troničkog kataloga;</w:t>
            </w:r>
            <w:r>
              <w:rPr>
                <w:noProof/>
              </w:rPr>
              <w:t xml:space="preserve"> </w:t>
            </w:r>
            <w:r>
              <w:rPr>
                <w:noProof/>
              </w:rPr>
              <w:br/>
            </w:r>
            <w:r>
              <w:rPr>
                <w:rFonts w:ascii="Times New Roman" w:hAnsi="Times New Roman"/>
                <w:noProof/>
                <w:sz w:val="24"/>
              </w:rPr>
              <w:t>(4) e-ugovori, e-fakturiranje, e-plaćanje i alati za upravljanje ugovorima (dodatak, izvješća o prihvaćanju, plaćanja).</w:t>
            </w:r>
          </w:p>
        </w:tc>
      </w:tr>
      <w:tr w:rsidR="003F46B9" w14:paraId="13C4D311" w14:textId="77777777">
        <w:trPr>
          <w:trHeight w:val="309"/>
        </w:trPr>
        <w:tc>
          <w:tcPr>
            <w:tcW w:w="822" w:type="dxa"/>
            <w:shd w:val="clear" w:color="auto" w:fill="C6EFCE"/>
            <w:noWrap/>
          </w:tcPr>
          <w:p w14:paraId="335A9CA3" w14:textId="77777777" w:rsidR="003F46B9" w:rsidRDefault="0065662E">
            <w:pPr>
              <w:pStyle w:val="P68B1DB1-Normal5"/>
              <w:spacing w:after="0" w:line="240" w:lineRule="auto"/>
              <w:jc w:val="center"/>
              <w:rPr>
                <w:rFonts w:cs="Times New Roman"/>
                <w:noProof/>
              </w:rPr>
            </w:pPr>
            <w:r>
              <w:rPr>
                <w:noProof/>
              </w:rPr>
              <w:t>439</w:t>
            </w:r>
          </w:p>
        </w:tc>
        <w:tc>
          <w:tcPr>
            <w:tcW w:w="2391" w:type="dxa"/>
            <w:shd w:val="clear" w:color="auto" w:fill="C6EFCE"/>
            <w:noWrap/>
          </w:tcPr>
          <w:p w14:paraId="3637F60D" w14:textId="77777777" w:rsidR="003F46B9" w:rsidRDefault="0065662E">
            <w:pPr>
              <w:pStyle w:val="P68B1DB1-Normal5"/>
              <w:spacing w:after="0" w:line="240" w:lineRule="auto"/>
              <w:jc w:val="both"/>
              <w:rPr>
                <w:rFonts w:cs="Times New Roman"/>
                <w:noProof/>
              </w:rPr>
            </w:pPr>
            <w:r>
              <w:rPr>
                <w:noProof/>
              </w:rPr>
              <w:t xml:space="preserve">Reforma 9. Poboljšati postupovni okvir za provedbu načela korporativnog upravljanja u poduzećima u državnom </w:t>
            </w:r>
            <w:r>
              <w:rPr>
                <w:noProof/>
              </w:rPr>
              <w:t>vlasništvu</w:t>
            </w:r>
          </w:p>
        </w:tc>
        <w:tc>
          <w:tcPr>
            <w:tcW w:w="1226" w:type="dxa"/>
            <w:shd w:val="clear" w:color="auto" w:fill="C6EFCE"/>
            <w:noWrap/>
          </w:tcPr>
          <w:p w14:paraId="1BE72C96"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0EA6447F" w14:textId="77777777" w:rsidR="003F46B9" w:rsidRDefault="0065662E">
            <w:pPr>
              <w:pStyle w:val="P68B1DB1-Normal5"/>
              <w:spacing w:after="0" w:line="240" w:lineRule="auto"/>
              <w:jc w:val="both"/>
              <w:rPr>
                <w:rFonts w:cs="Times New Roman"/>
                <w:noProof/>
              </w:rPr>
            </w:pPr>
            <w:r>
              <w:rPr>
                <w:noProof/>
              </w:rPr>
              <w:t xml:space="preserve">Stupanje na snagu ažuriranog zakonodavstva za poduzeća u državnom vlasništvu </w:t>
            </w:r>
          </w:p>
        </w:tc>
        <w:tc>
          <w:tcPr>
            <w:tcW w:w="1547" w:type="dxa"/>
            <w:shd w:val="clear" w:color="auto" w:fill="C6EFCE"/>
            <w:noWrap/>
          </w:tcPr>
          <w:p w14:paraId="1B9E72FD" w14:textId="77777777" w:rsidR="003F46B9" w:rsidRDefault="0065662E">
            <w:pPr>
              <w:pStyle w:val="P68B1DB1-Normal5"/>
              <w:spacing w:after="0" w:line="240" w:lineRule="auto"/>
              <w:jc w:val="both"/>
              <w:rPr>
                <w:rFonts w:cs="Times New Roman"/>
                <w:noProof/>
              </w:rPr>
            </w:pPr>
            <w:r>
              <w:rPr>
                <w:noProof/>
              </w:rPr>
              <w:t>Odredba u zakonu o stupanju na snagu zakona o poduzećima u državnom vlasništvu</w:t>
            </w:r>
          </w:p>
        </w:tc>
        <w:tc>
          <w:tcPr>
            <w:tcW w:w="1344" w:type="dxa"/>
            <w:shd w:val="clear" w:color="auto" w:fill="C6EFCE"/>
            <w:noWrap/>
          </w:tcPr>
          <w:p w14:paraId="28AE05E4"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3724B539"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16492ACB"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0FFB747B" w14:textId="77777777" w:rsidR="003F46B9" w:rsidRDefault="0065662E">
            <w:pPr>
              <w:pStyle w:val="P68B1DB1-Normal5"/>
              <w:spacing w:after="0" w:line="240" w:lineRule="auto"/>
              <w:rPr>
                <w:rFonts w:cs="Times New Roman"/>
                <w:noProof/>
              </w:rPr>
            </w:pPr>
            <w:r>
              <w:rPr>
                <w:noProof/>
              </w:rPr>
              <w:t> ČETVRTO TROMJESEČJE</w:t>
            </w:r>
          </w:p>
        </w:tc>
        <w:tc>
          <w:tcPr>
            <w:tcW w:w="820" w:type="dxa"/>
            <w:shd w:val="clear" w:color="auto" w:fill="C6EFCE"/>
            <w:noWrap/>
          </w:tcPr>
          <w:p w14:paraId="3CB05825"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54324587" w14:textId="66ED8A8B" w:rsidR="003F46B9" w:rsidRDefault="0065662E">
            <w:pPr>
              <w:pStyle w:val="P68B1DB1-Normal5"/>
              <w:spacing w:after="0" w:line="240" w:lineRule="auto"/>
              <w:jc w:val="both"/>
              <w:rPr>
                <w:rFonts w:cs="Times New Roman"/>
                <w:noProof/>
              </w:rPr>
            </w:pPr>
            <w:r>
              <w:rPr>
                <w:noProof/>
              </w:rPr>
              <w:t>Stupanje na snagu izmijenjenog Zakona 111/201</w:t>
            </w:r>
            <w:r>
              <w:rPr>
                <w:noProof/>
              </w:rPr>
              <w:t>6, kojim su uklonjene sve iznimke, uključujući za poduzeća u državnom vlasništvu na lokalnoj razini. Tim se izmjenama i. razdvajaju regulatorne i vlasničke funkcije ii. uklanjaju sve izravne ili neizravne prednosti koje bi mogle proizaći iz državnog vlasni</w:t>
            </w:r>
            <w:r>
              <w:rPr>
                <w:noProof/>
              </w:rPr>
              <w:t xml:space="preserve">štva, bilo u smislu tržišnih pravila/propisa, financiranja, oporezivanja ili javne nabave; iii. osigurava se da sva poduzeća u državnom vlasništvu ostvaruju profitabilnost. </w:t>
            </w:r>
          </w:p>
          <w:p w14:paraId="27A22DD4" w14:textId="77777777" w:rsidR="003F46B9" w:rsidRDefault="003F46B9">
            <w:pPr>
              <w:spacing w:after="0" w:line="240" w:lineRule="auto"/>
              <w:jc w:val="both"/>
              <w:rPr>
                <w:rFonts w:ascii="Times New Roman" w:hAnsi="Times New Roman" w:cs="Times New Roman"/>
                <w:noProof/>
                <w:sz w:val="24"/>
              </w:rPr>
            </w:pPr>
          </w:p>
        </w:tc>
      </w:tr>
      <w:tr w:rsidR="003F46B9" w14:paraId="2AC516DF" w14:textId="77777777">
        <w:trPr>
          <w:trHeight w:val="309"/>
        </w:trPr>
        <w:tc>
          <w:tcPr>
            <w:tcW w:w="822" w:type="dxa"/>
            <w:shd w:val="clear" w:color="auto" w:fill="C6EFCE"/>
            <w:noWrap/>
          </w:tcPr>
          <w:p w14:paraId="00E1FDBC" w14:textId="77777777" w:rsidR="003F46B9" w:rsidRDefault="0065662E">
            <w:pPr>
              <w:pStyle w:val="P68B1DB1-Normal5"/>
              <w:spacing w:after="0" w:line="240" w:lineRule="auto"/>
              <w:jc w:val="center"/>
              <w:rPr>
                <w:rFonts w:cs="Times New Roman"/>
                <w:noProof/>
              </w:rPr>
            </w:pPr>
            <w:r>
              <w:rPr>
                <w:noProof/>
              </w:rPr>
              <w:t>440</w:t>
            </w:r>
          </w:p>
        </w:tc>
        <w:tc>
          <w:tcPr>
            <w:tcW w:w="2391" w:type="dxa"/>
            <w:shd w:val="clear" w:color="auto" w:fill="C6EFCE"/>
            <w:noWrap/>
          </w:tcPr>
          <w:p w14:paraId="78CFBE81" w14:textId="77777777" w:rsidR="003F46B9" w:rsidRDefault="0065662E">
            <w:pPr>
              <w:pStyle w:val="P68B1DB1-Normal5"/>
              <w:spacing w:after="0" w:line="240" w:lineRule="auto"/>
              <w:jc w:val="both"/>
              <w:rPr>
                <w:rFonts w:cs="Times New Roman"/>
                <w:noProof/>
              </w:rPr>
            </w:pPr>
            <w:r>
              <w:rPr>
                <w:noProof/>
              </w:rPr>
              <w:t xml:space="preserve">Reforma 9. Poboljšati postupovni okvir za provedbu načela korporativnog upravljanja u poduzećima u državnom vlasništvu </w:t>
            </w:r>
          </w:p>
        </w:tc>
        <w:tc>
          <w:tcPr>
            <w:tcW w:w="1226" w:type="dxa"/>
            <w:shd w:val="clear" w:color="auto" w:fill="C6EFCE"/>
            <w:noWrap/>
          </w:tcPr>
          <w:p w14:paraId="54CC5752"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3E3EBEEE" w14:textId="77777777" w:rsidR="003F46B9" w:rsidRDefault="0065662E">
            <w:pPr>
              <w:pStyle w:val="P68B1DB1-Normal5"/>
              <w:spacing w:after="0" w:line="240" w:lineRule="auto"/>
              <w:jc w:val="both"/>
              <w:rPr>
                <w:rFonts w:cs="Times New Roman"/>
                <w:noProof/>
              </w:rPr>
            </w:pPr>
            <w:r>
              <w:rPr>
                <w:noProof/>
              </w:rPr>
              <w:t>Operacionalizacija radne skupine u Centru Vlade za koordinaciju i praćenje politika korporativnog upravljanja</w:t>
            </w:r>
          </w:p>
        </w:tc>
        <w:tc>
          <w:tcPr>
            <w:tcW w:w="1547" w:type="dxa"/>
            <w:shd w:val="clear" w:color="auto" w:fill="C6EFCE"/>
            <w:noWrap/>
          </w:tcPr>
          <w:p w14:paraId="082F77A6" w14:textId="77777777" w:rsidR="003F46B9" w:rsidRDefault="0065662E">
            <w:pPr>
              <w:pStyle w:val="P68B1DB1-Normal5"/>
              <w:spacing w:after="0" w:line="240" w:lineRule="auto"/>
              <w:jc w:val="both"/>
              <w:rPr>
                <w:rFonts w:cs="Times New Roman"/>
                <w:noProof/>
              </w:rPr>
            </w:pPr>
            <w:r>
              <w:rPr>
                <w:noProof/>
              </w:rPr>
              <w:t>Odredba Odluke</w:t>
            </w:r>
            <w:r>
              <w:rPr>
                <w:noProof/>
              </w:rPr>
              <w:t xml:space="preserve"> predsjednika Vlade o stupanju na snagu Odluke premijera o organizaciji i funkcioniranju Radne skupine u Glavnom tajništvu Vlade </w:t>
            </w:r>
          </w:p>
        </w:tc>
        <w:tc>
          <w:tcPr>
            <w:tcW w:w="1344" w:type="dxa"/>
            <w:shd w:val="clear" w:color="auto" w:fill="C6EFCE"/>
            <w:noWrap/>
          </w:tcPr>
          <w:p w14:paraId="200DBDD9"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4A38FD8E"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0764149E"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2577B7AF" w14:textId="73EC47E6"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7CCE7695"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17A8334F" w14:textId="2152C271" w:rsidR="003F46B9" w:rsidRDefault="0065662E">
            <w:pPr>
              <w:pStyle w:val="P68B1DB1-Normal5"/>
              <w:spacing w:after="0" w:line="240" w:lineRule="auto"/>
              <w:jc w:val="both"/>
              <w:rPr>
                <w:rFonts w:cs="Times New Roman"/>
                <w:noProof/>
              </w:rPr>
            </w:pPr>
            <w:r>
              <w:rPr>
                <w:noProof/>
              </w:rPr>
              <w:t>Na temelju preporuka neovisnog stručnog povjerenstva, uspostavlja se stalna radna skupina u skla</w:t>
            </w:r>
            <w:r>
              <w:rPr>
                <w:noProof/>
              </w:rPr>
              <w:t>du sa standardima OECD-a o korporativnom upravljanju te postaje operativna (tj. zakonski ovlaštena i raspolaže resursima) kako bi se osiguralo praćenje primjene standarda korporativnog upravljanja, ima krajnju odgovornost osigurati transparentan i konkuren</w:t>
            </w:r>
            <w:r>
              <w:rPr>
                <w:noProof/>
              </w:rPr>
              <w:t xml:space="preserve">tan postupak odabira za odobravanje imenovanja članova upravnog odbora, praćenja, evaluacije, kontrole i objavljivanja redovitog izvješćivanja o pokazateljima uspješnosti te provodi sankcije za poduzeća u državnom vlasništvu koja nisu usklađena s ključnim </w:t>
            </w:r>
            <w:r>
              <w:rPr>
                <w:noProof/>
              </w:rPr>
              <w:t>pokazateljima uspješnosti.</w:t>
            </w:r>
          </w:p>
        </w:tc>
      </w:tr>
      <w:tr w:rsidR="003F46B9" w14:paraId="1605A358" w14:textId="77777777">
        <w:trPr>
          <w:trHeight w:val="309"/>
        </w:trPr>
        <w:tc>
          <w:tcPr>
            <w:tcW w:w="822" w:type="dxa"/>
            <w:shd w:val="clear" w:color="auto" w:fill="C6EFCE"/>
            <w:noWrap/>
          </w:tcPr>
          <w:p w14:paraId="660B3330" w14:textId="77777777" w:rsidR="003F46B9" w:rsidRDefault="0065662E">
            <w:pPr>
              <w:pStyle w:val="P68B1DB1-Normal5"/>
              <w:spacing w:after="0" w:line="240" w:lineRule="auto"/>
              <w:jc w:val="center"/>
              <w:rPr>
                <w:rFonts w:cs="Times New Roman"/>
                <w:noProof/>
              </w:rPr>
            </w:pPr>
            <w:r>
              <w:rPr>
                <w:noProof/>
              </w:rPr>
              <w:t>441</w:t>
            </w:r>
          </w:p>
        </w:tc>
        <w:tc>
          <w:tcPr>
            <w:tcW w:w="2391" w:type="dxa"/>
            <w:shd w:val="clear" w:color="auto" w:fill="C6EFCE"/>
            <w:noWrap/>
          </w:tcPr>
          <w:p w14:paraId="56B7B1E5" w14:textId="77777777" w:rsidR="003F46B9" w:rsidRDefault="0065662E">
            <w:pPr>
              <w:pStyle w:val="P68B1DB1-Normal5"/>
              <w:spacing w:after="0" w:line="240" w:lineRule="auto"/>
              <w:jc w:val="both"/>
              <w:rPr>
                <w:rFonts w:cs="Times New Roman"/>
                <w:noProof/>
              </w:rPr>
            </w:pPr>
            <w:r>
              <w:rPr>
                <w:noProof/>
              </w:rPr>
              <w:t xml:space="preserve">Reforma. 9. Poboljšati postupovni okvir za provedbu načela korporativnog upravljanja u poduzećima u državnom vlasništvu </w:t>
            </w:r>
          </w:p>
        </w:tc>
        <w:tc>
          <w:tcPr>
            <w:tcW w:w="1226" w:type="dxa"/>
            <w:shd w:val="clear" w:color="auto" w:fill="C6EFCE"/>
            <w:noWrap/>
          </w:tcPr>
          <w:p w14:paraId="603088E3"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41005F7B" w14:textId="60978580" w:rsidR="003F46B9" w:rsidRDefault="0065662E">
            <w:pPr>
              <w:pStyle w:val="P68B1DB1-Normal5"/>
              <w:spacing w:after="0" w:line="240" w:lineRule="auto"/>
              <w:jc w:val="both"/>
              <w:rPr>
                <w:rFonts w:cs="Times New Roman"/>
                <w:noProof/>
              </w:rPr>
            </w:pPr>
            <w:r>
              <w:rPr>
                <w:noProof/>
              </w:rPr>
              <w:t xml:space="preserve">Objava pregleda pokazatelja za praćenje s financijskim i nefinancijskim ciljevima i pokazateljima uspješnosti za sve kategorije javnih poduzeća (uključujući ključne sektore kao što su promet, energetika, komunalne usluge) </w:t>
            </w:r>
          </w:p>
        </w:tc>
        <w:tc>
          <w:tcPr>
            <w:tcW w:w="1547" w:type="dxa"/>
            <w:shd w:val="clear" w:color="auto" w:fill="C6EFCE"/>
            <w:noWrap/>
          </w:tcPr>
          <w:p w14:paraId="465BC48E" w14:textId="77777777" w:rsidR="003F46B9" w:rsidRDefault="0065662E">
            <w:pPr>
              <w:pStyle w:val="P68B1DB1-Normal5"/>
              <w:spacing w:after="0" w:line="240" w:lineRule="auto"/>
              <w:jc w:val="both"/>
              <w:rPr>
                <w:rFonts w:cs="Times New Roman"/>
                <w:noProof/>
              </w:rPr>
            </w:pPr>
            <w:r>
              <w:rPr>
                <w:noProof/>
              </w:rPr>
              <w:t>Nadzorna ploča za praćenje objavl</w:t>
            </w:r>
            <w:r>
              <w:rPr>
                <w:noProof/>
              </w:rPr>
              <w:t>jena s relevantnim podacima o dinamici pokazatelja uspješnosti</w:t>
            </w:r>
          </w:p>
        </w:tc>
        <w:tc>
          <w:tcPr>
            <w:tcW w:w="1344" w:type="dxa"/>
            <w:shd w:val="clear" w:color="auto" w:fill="C6EFCE"/>
            <w:noWrap/>
          </w:tcPr>
          <w:p w14:paraId="49905161" w14:textId="77777777" w:rsidR="003F46B9" w:rsidRDefault="0065662E">
            <w:pPr>
              <w:pStyle w:val="P68B1DB1-Normal5"/>
              <w:spacing w:after="0" w:line="240" w:lineRule="auto"/>
              <w:rPr>
                <w:rFonts w:cs="Times New Roman"/>
                <w:noProof/>
              </w:rPr>
            </w:pPr>
            <w:r>
              <w:rPr>
                <w:noProof/>
              </w:rPr>
              <w:t xml:space="preserve"> </w:t>
            </w:r>
          </w:p>
        </w:tc>
        <w:tc>
          <w:tcPr>
            <w:tcW w:w="1109" w:type="dxa"/>
            <w:shd w:val="clear" w:color="auto" w:fill="C6EFCE"/>
            <w:noWrap/>
          </w:tcPr>
          <w:p w14:paraId="408ECF41" w14:textId="77777777" w:rsidR="003F46B9" w:rsidRDefault="0065662E">
            <w:pPr>
              <w:pStyle w:val="P68B1DB1-Normal5"/>
              <w:spacing w:after="0" w:line="240" w:lineRule="auto"/>
              <w:rPr>
                <w:rFonts w:cs="Times New Roman"/>
                <w:noProof/>
              </w:rPr>
            </w:pPr>
            <w:r>
              <w:rPr>
                <w:noProof/>
              </w:rPr>
              <w:t xml:space="preserve"> </w:t>
            </w:r>
          </w:p>
        </w:tc>
        <w:tc>
          <w:tcPr>
            <w:tcW w:w="872" w:type="dxa"/>
            <w:shd w:val="clear" w:color="auto" w:fill="C6EFCE"/>
          </w:tcPr>
          <w:p w14:paraId="41B1C25C"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5B7A23C7" w14:textId="4A8F31BF"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77BB79C2"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6E3AF9F7" w14:textId="77777777" w:rsidR="003F46B9" w:rsidRDefault="0065662E">
            <w:pPr>
              <w:pStyle w:val="P68B1DB1-Normal5"/>
              <w:spacing w:after="0" w:line="240" w:lineRule="auto"/>
              <w:jc w:val="both"/>
              <w:rPr>
                <w:rFonts w:cs="Times New Roman"/>
                <w:noProof/>
              </w:rPr>
            </w:pPr>
            <w:r>
              <w:rPr>
                <w:noProof/>
              </w:rPr>
              <w:t xml:space="preserve">Kontrolna ploča za praćenje razvija se, svake godine objavljuje i upotrebljava na središnjoj razini za izvješćivanje i praćenje napretka u postizanju pokazatelja </w:t>
            </w:r>
            <w:r>
              <w:rPr>
                <w:noProof/>
              </w:rPr>
              <w:t>uspješnosti (financijskih i nefinancijskih) za sve kategorije poduzeća u državnom vlasništvu.</w:t>
            </w:r>
          </w:p>
          <w:p w14:paraId="6794678C" w14:textId="77777777" w:rsidR="003F46B9" w:rsidRDefault="0065662E">
            <w:pPr>
              <w:pStyle w:val="P68B1DB1-Normal5"/>
              <w:spacing w:after="0" w:line="240" w:lineRule="auto"/>
              <w:jc w:val="both"/>
              <w:rPr>
                <w:rFonts w:cs="Times New Roman"/>
                <w:noProof/>
              </w:rPr>
            </w:pPr>
            <w:r>
              <w:rPr>
                <w:noProof/>
              </w:rPr>
              <w:t xml:space="preserve">Prednost se daje svim poduzećima u ključnim sektorima kao što su promet, energetika, komunalne usluge. </w:t>
            </w:r>
          </w:p>
          <w:p w14:paraId="43555893" w14:textId="77777777" w:rsidR="003F46B9" w:rsidRDefault="0065662E">
            <w:pPr>
              <w:pStyle w:val="P68B1DB1-Normal5"/>
              <w:spacing w:after="0" w:line="240" w:lineRule="auto"/>
              <w:jc w:val="both"/>
              <w:rPr>
                <w:rFonts w:cs="Times New Roman"/>
                <w:noProof/>
              </w:rPr>
            </w:pPr>
            <w:r>
              <w:rPr>
                <w:noProof/>
              </w:rPr>
              <w:t xml:space="preserve">U tu se svrhu provode sljedeći koraci: </w:t>
            </w:r>
          </w:p>
          <w:p w14:paraId="3C33DCC3" w14:textId="77777777" w:rsidR="003F46B9" w:rsidRDefault="0065662E">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 xml:space="preserve">Provesti </w:t>
            </w:r>
            <w:r>
              <w:rPr>
                <w:noProof/>
              </w:rPr>
              <w:t>evaluaciju svih poduzeća u državnom vlasništvu s preporukama za prodaju ili uvrštavanje imovine poduzeća u državnom vlasništvu;</w:t>
            </w:r>
          </w:p>
          <w:p w14:paraId="2CA90B1E" w14:textId="77777777" w:rsidR="003F46B9" w:rsidRDefault="0065662E">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Utvrditi financijske i nefunkcionalne ciljeve i tablicu pokazatelja za praćenje financijskih i nefinancijskih ključnih pokazatel</w:t>
            </w:r>
            <w:r>
              <w:rPr>
                <w:noProof/>
              </w:rPr>
              <w:t>ja uspješnosti za sve kategorije poduzeća u državnom vlasništvu, uključujući one u sektorima kao što su energetski promet, komunalne usluge, kojima upravlja radna skupina;</w:t>
            </w:r>
          </w:p>
          <w:p w14:paraId="6C1C556A" w14:textId="28B01247" w:rsidR="003F46B9" w:rsidRDefault="0065662E">
            <w:pPr>
              <w:pStyle w:val="P68B1DB1-Normal5"/>
              <w:numPr>
                <w:ilvl w:val="0"/>
                <w:numId w:val="103"/>
              </w:numPr>
              <w:pBdr>
                <w:top w:val="nil"/>
                <w:left w:val="nil"/>
                <w:bottom w:val="nil"/>
                <w:right w:val="nil"/>
                <w:between w:val="nil"/>
              </w:pBdr>
              <w:spacing w:after="0" w:line="240" w:lineRule="auto"/>
              <w:ind w:left="179" w:hanging="179"/>
              <w:jc w:val="both"/>
              <w:rPr>
                <w:rFonts w:eastAsia="Calibri" w:cs="Times New Roman"/>
                <w:noProof/>
              </w:rPr>
            </w:pPr>
            <w:r>
              <w:rPr>
                <w:noProof/>
              </w:rPr>
              <w:t>Radna skupina odobrava sve financijske i nefinancijske ciljeve i ključne pokazatelje</w:t>
            </w:r>
            <w:r>
              <w:rPr>
                <w:noProof/>
              </w:rPr>
              <w:t xml:space="preserve"> uspješnosti za sva poduzeća u državnom vlasništvu, uključujući ona u energetskom i prometnom sektoru. </w:t>
            </w:r>
          </w:p>
        </w:tc>
      </w:tr>
      <w:tr w:rsidR="003F46B9" w14:paraId="28C5B141" w14:textId="77777777">
        <w:trPr>
          <w:trHeight w:val="309"/>
        </w:trPr>
        <w:tc>
          <w:tcPr>
            <w:tcW w:w="822" w:type="dxa"/>
            <w:shd w:val="clear" w:color="auto" w:fill="C6EFCE"/>
            <w:noWrap/>
          </w:tcPr>
          <w:p w14:paraId="715826BB" w14:textId="77777777" w:rsidR="003F46B9" w:rsidRDefault="0065662E">
            <w:pPr>
              <w:pStyle w:val="P68B1DB1-Normal5"/>
              <w:spacing w:after="0" w:line="240" w:lineRule="auto"/>
              <w:jc w:val="center"/>
              <w:rPr>
                <w:rFonts w:cs="Times New Roman"/>
                <w:noProof/>
              </w:rPr>
            </w:pPr>
            <w:r>
              <w:rPr>
                <w:noProof/>
              </w:rPr>
              <w:t>442</w:t>
            </w:r>
          </w:p>
        </w:tc>
        <w:tc>
          <w:tcPr>
            <w:tcW w:w="2391" w:type="dxa"/>
            <w:shd w:val="clear" w:color="auto" w:fill="C6EFCE"/>
            <w:noWrap/>
          </w:tcPr>
          <w:p w14:paraId="5DD2C3E0" w14:textId="77777777" w:rsidR="003F46B9" w:rsidRDefault="0065662E">
            <w:pPr>
              <w:pStyle w:val="P68B1DB1-Normal5"/>
              <w:spacing w:after="0" w:line="240" w:lineRule="auto"/>
              <w:jc w:val="both"/>
              <w:rPr>
                <w:rFonts w:cs="Times New Roman"/>
                <w:noProof/>
              </w:rPr>
            </w:pPr>
            <w:r>
              <w:rPr>
                <w:noProof/>
              </w:rPr>
              <w:t>Reforma 9. Poboljšati postupovni okvir za provedbu načela korporativnog upravljanja u poduzećima u državnom vlasništvu</w:t>
            </w:r>
          </w:p>
        </w:tc>
        <w:tc>
          <w:tcPr>
            <w:tcW w:w="1226" w:type="dxa"/>
            <w:shd w:val="clear" w:color="auto" w:fill="C6EFCE"/>
            <w:noWrap/>
          </w:tcPr>
          <w:p w14:paraId="79B15099"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226DF0D3" w14:textId="77777777" w:rsidR="003F46B9" w:rsidRDefault="0065662E">
            <w:pPr>
              <w:pStyle w:val="P68B1DB1-Normal5"/>
              <w:spacing w:after="0" w:line="240" w:lineRule="auto"/>
              <w:jc w:val="both"/>
              <w:rPr>
                <w:rFonts w:cs="Times New Roman"/>
                <w:noProof/>
              </w:rPr>
            </w:pPr>
            <w:r>
              <w:rPr>
                <w:noProof/>
              </w:rPr>
              <w:t>Smanjenje imenovanja privremenih/privremenih upravnih odbora za 50 % za poduzeća u državnom vlasništvu na središnjoj razini</w:t>
            </w:r>
          </w:p>
        </w:tc>
        <w:tc>
          <w:tcPr>
            <w:tcW w:w="1547" w:type="dxa"/>
            <w:shd w:val="clear" w:color="auto" w:fill="C6EFCE"/>
            <w:noWrap/>
          </w:tcPr>
          <w:p w14:paraId="6EBC9036" w14:textId="77777777" w:rsidR="003F46B9" w:rsidRDefault="0065662E">
            <w:pPr>
              <w:pStyle w:val="P68B1DB1-Normal5"/>
              <w:spacing w:before="120" w:after="0" w:line="240" w:lineRule="auto"/>
              <w:jc w:val="both"/>
              <w:rPr>
                <w:rFonts w:cs="Times New Roman"/>
                <w:noProof/>
              </w:rPr>
            </w:pPr>
            <w:r>
              <w:rPr>
                <w:noProof/>
              </w:rPr>
              <w:t xml:space="preserve"> </w:t>
            </w:r>
          </w:p>
        </w:tc>
        <w:tc>
          <w:tcPr>
            <w:tcW w:w="1344" w:type="dxa"/>
            <w:shd w:val="clear" w:color="auto" w:fill="C6EFCE"/>
            <w:noWrap/>
          </w:tcPr>
          <w:p w14:paraId="52F56559" w14:textId="77777777" w:rsidR="003F46B9" w:rsidRDefault="0065662E">
            <w:pPr>
              <w:pStyle w:val="P68B1DB1-Normal5"/>
              <w:spacing w:after="0" w:line="240" w:lineRule="auto"/>
              <w:rPr>
                <w:rFonts w:eastAsia="Times New Roman" w:cs="Times New Roman"/>
                <w:noProof/>
              </w:rPr>
            </w:pPr>
            <w:r>
              <w:rPr>
                <w:noProof/>
              </w:rPr>
              <w:t>Postotak (%)</w:t>
            </w:r>
          </w:p>
          <w:p w14:paraId="2B3DD961"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7EC9341A" w14:textId="72745B81"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07E0CFCC" w14:textId="77777777" w:rsidR="003F46B9" w:rsidRDefault="0065662E">
            <w:pPr>
              <w:pStyle w:val="P68B1DB1-Normal5"/>
              <w:spacing w:after="0" w:line="240" w:lineRule="auto"/>
              <w:rPr>
                <w:rFonts w:cs="Times New Roman"/>
                <w:noProof/>
              </w:rPr>
            </w:pPr>
            <w:r>
              <w:rPr>
                <w:noProof/>
              </w:rPr>
              <w:t>50</w:t>
            </w:r>
          </w:p>
        </w:tc>
        <w:tc>
          <w:tcPr>
            <w:tcW w:w="1082" w:type="dxa"/>
            <w:shd w:val="clear" w:color="auto" w:fill="C6EFCE"/>
            <w:noWrap/>
          </w:tcPr>
          <w:p w14:paraId="56906C72"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7D9D391D"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13A4F65D" w14:textId="77777777" w:rsidR="003F46B9" w:rsidRDefault="0065662E">
            <w:pPr>
              <w:pStyle w:val="P68B1DB1-Normal5"/>
              <w:spacing w:after="0" w:line="240" w:lineRule="auto"/>
              <w:jc w:val="both"/>
              <w:rPr>
                <w:rFonts w:cs="Times New Roman"/>
                <w:noProof/>
              </w:rPr>
            </w:pPr>
            <w:r>
              <w:rPr>
                <w:noProof/>
              </w:rPr>
              <w:t>Smanjenje privremenih imenovanja za upravu poduzeća u državnom vlasništvu na središnjo</w:t>
            </w:r>
            <w:r>
              <w:rPr>
                <w:noProof/>
              </w:rPr>
              <w:t>j razini izračunava se u odnosu na osnovnu razinu koja će se utvrditi u analizi provedenoj 2022.</w:t>
            </w:r>
          </w:p>
          <w:p w14:paraId="3A8C05C2" w14:textId="77777777" w:rsidR="003F46B9" w:rsidRDefault="003F46B9">
            <w:pPr>
              <w:spacing w:after="0" w:line="240" w:lineRule="auto"/>
              <w:jc w:val="both"/>
              <w:rPr>
                <w:rFonts w:ascii="Times New Roman" w:hAnsi="Times New Roman" w:cs="Times New Roman"/>
                <w:noProof/>
                <w:sz w:val="24"/>
              </w:rPr>
            </w:pPr>
          </w:p>
        </w:tc>
      </w:tr>
      <w:tr w:rsidR="003F46B9" w14:paraId="6CEB5FF3" w14:textId="77777777">
        <w:trPr>
          <w:trHeight w:val="309"/>
        </w:trPr>
        <w:tc>
          <w:tcPr>
            <w:tcW w:w="822" w:type="dxa"/>
            <w:shd w:val="clear" w:color="auto" w:fill="C6EFCE"/>
            <w:noWrap/>
          </w:tcPr>
          <w:p w14:paraId="432DD2EB" w14:textId="77777777" w:rsidR="003F46B9" w:rsidRDefault="0065662E">
            <w:pPr>
              <w:pStyle w:val="P68B1DB1-Normal5"/>
              <w:spacing w:after="0" w:line="240" w:lineRule="auto"/>
              <w:jc w:val="center"/>
              <w:rPr>
                <w:rFonts w:cs="Times New Roman"/>
                <w:noProof/>
              </w:rPr>
            </w:pPr>
            <w:r>
              <w:rPr>
                <w:noProof/>
              </w:rPr>
              <w:t>443</w:t>
            </w:r>
          </w:p>
        </w:tc>
        <w:tc>
          <w:tcPr>
            <w:tcW w:w="2391" w:type="dxa"/>
            <w:shd w:val="clear" w:color="auto" w:fill="C6EFCE"/>
            <w:noWrap/>
          </w:tcPr>
          <w:p w14:paraId="50016613" w14:textId="77777777" w:rsidR="003F46B9" w:rsidRDefault="0065662E">
            <w:pPr>
              <w:pStyle w:val="P68B1DB1-Normal5"/>
              <w:spacing w:after="0" w:line="240" w:lineRule="auto"/>
              <w:jc w:val="both"/>
              <w:rPr>
                <w:rFonts w:cs="Times New Roman"/>
                <w:noProof/>
              </w:rPr>
            </w:pPr>
            <w:r>
              <w:rPr>
                <w:noProof/>
              </w:rPr>
              <w:t>Reforma 9. Poboljšati postupovni okvir za provedbu načela korporativnog upravljanja u poduzećima u državnom vlasništvu</w:t>
            </w:r>
          </w:p>
        </w:tc>
        <w:tc>
          <w:tcPr>
            <w:tcW w:w="1226" w:type="dxa"/>
            <w:shd w:val="clear" w:color="auto" w:fill="C6EFCE"/>
            <w:noWrap/>
          </w:tcPr>
          <w:p w14:paraId="60B5C589" w14:textId="77777777" w:rsidR="003F46B9" w:rsidRDefault="0065662E">
            <w:pPr>
              <w:pStyle w:val="P68B1DB1-Normal5"/>
              <w:spacing w:after="0" w:line="240" w:lineRule="auto"/>
              <w:rPr>
                <w:rFonts w:cs="Times New Roman"/>
                <w:noProof/>
              </w:rPr>
            </w:pPr>
            <w:r>
              <w:rPr>
                <w:noProof/>
              </w:rPr>
              <w:t xml:space="preserve">Ciljna </w:t>
            </w:r>
          </w:p>
        </w:tc>
        <w:tc>
          <w:tcPr>
            <w:tcW w:w="1495" w:type="dxa"/>
            <w:shd w:val="clear" w:color="auto" w:fill="C6EFCE"/>
            <w:noWrap/>
          </w:tcPr>
          <w:p w14:paraId="3868026B" w14:textId="77777777" w:rsidR="003F46B9" w:rsidRDefault="0065662E">
            <w:pPr>
              <w:pStyle w:val="P68B1DB1-Normal5"/>
              <w:spacing w:after="0" w:line="240" w:lineRule="auto"/>
              <w:jc w:val="both"/>
              <w:rPr>
                <w:rFonts w:cs="Times New Roman"/>
                <w:noProof/>
              </w:rPr>
            </w:pPr>
            <w:r>
              <w:rPr>
                <w:noProof/>
              </w:rPr>
              <w:t xml:space="preserve">Središnja poduzeća u </w:t>
            </w:r>
            <w:r>
              <w:rPr>
                <w:noProof/>
              </w:rPr>
              <w:t>državnom vlasništvu uvrštena/zakupljena/restrukturirana u području energetike i prometa</w:t>
            </w:r>
          </w:p>
        </w:tc>
        <w:tc>
          <w:tcPr>
            <w:tcW w:w="1547" w:type="dxa"/>
            <w:shd w:val="clear" w:color="auto" w:fill="C6EFCE"/>
            <w:noWrap/>
          </w:tcPr>
          <w:p w14:paraId="0931A10F" w14:textId="77777777" w:rsidR="003F46B9" w:rsidRDefault="0065662E">
            <w:pPr>
              <w:pStyle w:val="P68B1DB1-Normal5"/>
              <w:spacing w:before="120" w:after="0" w:line="240" w:lineRule="auto"/>
              <w:jc w:val="both"/>
              <w:rPr>
                <w:rFonts w:cs="Times New Roman"/>
                <w:noProof/>
              </w:rPr>
            </w:pPr>
            <w:r>
              <w:rPr>
                <w:noProof/>
              </w:rPr>
              <w:t xml:space="preserve"> </w:t>
            </w:r>
          </w:p>
        </w:tc>
        <w:tc>
          <w:tcPr>
            <w:tcW w:w="1344" w:type="dxa"/>
            <w:shd w:val="clear" w:color="auto" w:fill="C6EFCE"/>
            <w:noWrap/>
          </w:tcPr>
          <w:p w14:paraId="4FFC7C4A"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2438F36F"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37DFA6EB" w14:textId="77777777" w:rsidR="003F46B9" w:rsidRDefault="0065662E">
            <w:pPr>
              <w:pStyle w:val="P68B1DB1-Normal5"/>
              <w:spacing w:after="0" w:line="240" w:lineRule="auto"/>
              <w:rPr>
                <w:rFonts w:cs="Times New Roman"/>
                <w:noProof/>
              </w:rPr>
            </w:pPr>
            <w:r>
              <w:rPr>
                <w:noProof/>
              </w:rPr>
              <w:t>3</w:t>
            </w:r>
          </w:p>
        </w:tc>
        <w:tc>
          <w:tcPr>
            <w:tcW w:w="1082" w:type="dxa"/>
            <w:shd w:val="clear" w:color="auto" w:fill="C6EFCE"/>
            <w:noWrap/>
          </w:tcPr>
          <w:p w14:paraId="1A1344B0"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703EDA11" w14:textId="77777777" w:rsidR="003F46B9" w:rsidRDefault="0065662E">
            <w:pPr>
              <w:pStyle w:val="P68B1DB1-Normal5"/>
              <w:spacing w:after="0" w:line="240" w:lineRule="auto"/>
              <w:jc w:val="center"/>
              <w:rPr>
                <w:rFonts w:cs="Times New Roman"/>
                <w:noProof/>
              </w:rPr>
            </w:pPr>
            <w:r>
              <w:rPr>
                <w:noProof/>
              </w:rPr>
              <w:t>2026</w:t>
            </w:r>
          </w:p>
        </w:tc>
        <w:tc>
          <w:tcPr>
            <w:tcW w:w="3168" w:type="dxa"/>
            <w:shd w:val="clear" w:color="auto" w:fill="C6EFCE"/>
            <w:noWrap/>
          </w:tcPr>
          <w:p w14:paraId="3640BEFA" w14:textId="77777777" w:rsidR="003F46B9" w:rsidRDefault="0065662E">
            <w:pPr>
              <w:pStyle w:val="P68B1DB1-Normal5"/>
              <w:spacing w:after="0" w:line="240" w:lineRule="auto"/>
              <w:jc w:val="both"/>
              <w:rPr>
                <w:rFonts w:cs="Times New Roman"/>
                <w:noProof/>
              </w:rPr>
            </w:pPr>
            <w:r>
              <w:rPr>
                <w:noProof/>
              </w:rPr>
              <w:t>Najmanje tri središnja poduzeća u državnom vlasništvu uvrštena/unajmljena/restrukturirana u području energetike i prometa, uz uvrštenje najm</w:t>
            </w:r>
            <w:r>
              <w:rPr>
                <w:noProof/>
              </w:rPr>
              <w:t>anje 15 % dionica društva Hidroelectrica koje je obuhvaćeno ciljem 122. u odjeljku o energetskoj komponenti ovog dokumenta.</w:t>
            </w:r>
          </w:p>
        </w:tc>
      </w:tr>
      <w:tr w:rsidR="003F46B9" w14:paraId="06EBBC2A" w14:textId="77777777">
        <w:trPr>
          <w:trHeight w:val="309"/>
        </w:trPr>
        <w:tc>
          <w:tcPr>
            <w:tcW w:w="822" w:type="dxa"/>
            <w:shd w:val="clear" w:color="auto" w:fill="C6EFCE"/>
            <w:noWrap/>
          </w:tcPr>
          <w:p w14:paraId="1CCCD308" w14:textId="77777777" w:rsidR="003F46B9" w:rsidRDefault="0065662E">
            <w:pPr>
              <w:pStyle w:val="P68B1DB1-Normal5"/>
              <w:spacing w:after="0" w:line="240" w:lineRule="auto"/>
              <w:jc w:val="center"/>
              <w:rPr>
                <w:rFonts w:cs="Times New Roman"/>
                <w:noProof/>
              </w:rPr>
            </w:pPr>
            <w:r>
              <w:rPr>
                <w:noProof/>
              </w:rPr>
              <w:t>444</w:t>
            </w:r>
          </w:p>
        </w:tc>
        <w:tc>
          <w:tcPr>
            <w:tcW w:w="2391" w:type="dxa"/>
            <w:shd w:val="clear" w:color="auto" w:fill="C6EFCE"/>
            <w:noWrap/>
          </w:tcPr>
          <w:p w14:paraId="78C8A727" w14:textId="77777777" w:rsidR="003F46B9" w:rsidRDefault="0065662E">
            <w:pPr>
              <w:pStyle w:val="P68B1DB1-Normal5"/>
              <w:spacing w:after="0" w:line="240" w:lineRule="auto"/>
              <w:jc w:val="both"/>
              <w:rPr>
                <w:rFonts w:cs="Times New Roman"/>
                <w:noProof/>
              </w:rPr>
            </w:pPr>
            <w:r>
              <w:rPr>
                <w:noProof/>
              </w:rPr>
              <w:t>Reforma 9. Poboljšati postupovni okvir za provedbu načela korporativnog upravljanja u poduzećima u državnom vlasništvu</w:t>
            </w:r>
          </w:p>
          <w:p w14:paraId="44C18DC9" w14:textId="77777777" w:rsidR="003F46B9" w:rsidRDefault="003F46B9">
            <w:pPr>
              <w:spacing w:after="0" w:line="240" w:lineRule="auto"/>
              <w:jc w:val="both"/>
              <w:rPr>
                <w:rFonts w:ascii="Times New Roman" w:hAnsi="Times New Roman" w:cs="Times New Roman"/>
                <w:noProof/>
                <w:sz w:val="24"/>
              </w:rPr>
            </w:pPr>
          </w:p>
        </w:tc>
        <w:tc>
          <w:tcPr>
            <w:tcW w:w="1226" w:type="dxa"/>
            <w:shd w:val="clear" w:color="auto" w:fill="C6EFCE"/>
            <w:noWrap/>
          </w:tcPr>
          <w:p w14:paraId="5069335B" w14:textId="77777777" w:rsidR="003F46B9" w:rsidRDefault="0065662E">
            <w:pPr>
              <w:pStyle w:val="P68B1DB1-Normal5"/>
              <w:spacing w:after="0" w:line="240" w:lineRule="auto"/>
              <w:rPr>
                <w:rFonts w:cs="Times New Roman"/>
                <w:noProof/>
              </w:rPr>
            </w:pPr>
            <w:r>
              <w:rPr>
                <w:noProof/>
              </w:rPr>
              <w:t xml:space="preserve">Ciljna </w:t>
            </w:r>
          </w:p>
        </w:tc>
        <w:tc>
          <w:tcPr>
            <w:tcW w:w="1495" w:type="dxa"/>
            <w:shd w:val="clear" w:color="auto" w:fill="C6EFCE"/>
            <w:noWrap/>
          </w:tcPr>
          <w:p w14:paraId="6EE41401" w14:textId="77777777" w:rsidR="003F46B9" w:rsidRDefault="0065662E">
            <w:pPr>
              <w:pStyle w:val="P68B1DB1-Normal5"/>
              <w:spacing w:after="0" w:line="240" w:lineRule="auto"/>
              <w:jc w:val="both"/>
              <w:rPr>
                <w:rFonts w:cs="Times New Roman"/>
                <w:noProof/>
              </w:rPr>
            </w:pPr>
            <w:r>
              <w:rPr>
                <w:noProof/>
              </w:rPr>
              <w:t>Smanjenje privremenih/privremenih imenovanja upravnog odbora za 10 % za poduzeća u državnom vlasništvu na lokalnoj razini</w:t>
            </w:r>
          </w:p>
        </w:tc>
        <w:tc>
          <w:tcPr>
            <w:tcW w:w="1547" w:type="dxa"/>
            <w:shd w:val="clear" w:color="auto" w:fill="C6EFCE"/>
            <w:noWrap/>
          </w:tcPr>
          <w:p w14:paraId="3EE0646C" w14:textId="77777777" w:rsidR="003F46B9" w:rsidRDefault="003F46B9">
            <w:pPr>
              <w:spacing w:before="120" w:after="0" w:line="240" w:lineRule="auto"/>
              <w:jc w:val="both"/>
              <w:rPr>
                <w:rFonts w:ascii="Times New Roman" w:hAnsi="Times New Roman" w:cs="Times New Roman"/>
                <w:noProof/>
                <w:sz w:val="24"/>
              </w:rPr>
            </w:pPr>
          </w:p>
        </w:tc>
        <w:tc>
          <w:tcPr>
            <w:tcW w:w="1344" w:type="dxa"/>
            <w:shd w:val="clear" w:color="auto" w:fill="C6EFCE"/>
            <w:noWrap/>
          </w:tcPr>
          <w:p w14:paraId="41795907" w14:textId="77777777" w:rsidR="003F46B9" w:rsidRDefault="0065662E">
            <w:pPr>
              <w:pStyle w:val="P68B1DB1-Normal5"/>
              <w:spacing w:after="0" w:line="240" w:lineRule="auto"/>
              <w:rPr>
                <w:rFonts w:eastAsia="Times New Roman" w:cs="Times New Roman"/>
                <w:noProof/>
              </w:rPr>
            </w:pPr>
            <w:r>
              <w:rPr>
                <w:noProof/>
              </w:rPr>
              <w:t>Postotak (%)</w:t>
            </w:r>
          </w:p>
          <w:p w14:paraId="67593A8E"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652851B2"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56D2FA05" w14:textId="77777777" w:rsidR="003F46B9" w:rsidRDefault="0065662E">
            <w:pPr>
              <w:pStyle w:val="P68B1DB1-Normal5"/>
              <w:spacing w:after="0" w:line="240" w:lineRule="auto"/>
              <w:rPr>
                <w:rFonts w:cs="Times New Roman"/>
                <w:noProof/>
              </w:rPr>
            </w:pPr>
            <w:r>
              <w:rPr>
                <w:noProof/>
              </w:rPr>
              <w:t>10</w:t>
            </w:r>
          </w:p>
        </w:tc>
        <w:tc>
          <w:tcPr>
            <w:tcW w:w="1082" w:type="dxa"/>
            <w:shd w:val="clear" w:color="auto" w:fill="C6EFCE"/>
            <w:noWrap/>
          </w:tcPr>
          <w:p w14:paraId="76CE8248"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6B68F6A5" w14:textId="77777777" w:rsidR="003F46B9" w:rsidRDefault="0065662E">
            <w:pPr>
              <w:pStyle w:val="P68B1DB1-Normal5"/>
              <w:spacing w:after="0" w:line="240" w:lineRule="auto"/>
              <w:jc w:val="center"/>
              <w:rPr>
                <w:rFonts w:cs="Times New Roman"/>
                <w:noProof/>
              </w:rPr>
            </w:pPr>
            <w:r>
              <w:rPr>
                <w:noProof/>
              </w:rPr>
              <w:t>2023</w:t>
            </w:r>
          </w:p>
        </w:tc>
        <w:tc>
          <w:tcPr>
            <w:tcW w:w="3168" w:type="dxa"/>
            <w:shd w:val="clear" w:color="auto" w:fill="C6EFCE"/>
            <w:noWrap/>
          </w:tcPr>
          <w:p w14:paraId="34CB06C3" w14:textId="77777777" w:rsidR="003F46B9" w:rsidRDefault="0065662E">
            <w:pPr>
              <w:pStyle w:val="P68B1DB1-Normal5"/>
              <w:spacing w:after="0" w:line="240" w:lineRule="auto"/>
              <w:jc w:val="both"/>
              <w:rPr>
                <w:rFonts w:cs="Times New Roman"/>
                <w:noProof/>
              </w:rPr>
            </w:pPr>
            <w:r>
              <w:rPr>
                <w:noProof/>
              </w:rPr>
              <w:t xml:space="preserve">Smanjenje privremenih imenovanja za upravu poduzeća u državnom vlasništvu na lokalnoj razini izračunava se u odnosu na osnovnu razinu (2020.) koja će se utvrditi u analizi provedenoj 2022. </w:t>
            </w:r>
          </w:p>
          <w:p w14:paraId="6BCF3330" w14:textId="77777777" w:rsidR="003F46B9" w:rsidRDefault="003F46B9">
            <w:pPr>
              <w:spacing w:after="0" w:line="240" w:lineRule="auto"/>
              <w:jc w:val="both"/>
              <w:rPr>
                <w:rFonts w:ascii="Times New Roman" w:hAnsi="Times New Roman" w:cs="Times New Roman"/>
                <w:noProof/>
                <w:sz w:val="24"/>
              </w:rPr>
            </w:pPr>
          </w:p>
        </w:tc>
      </w:tr>
      <w:tr w:rsidR="003F46B9" w14:paraId="66757CA9" w14:textId="77777777">
        <w:trPr>
          <w:trHeight w:val="309"/>
        </w:trPr>
        <w:tc>
          <w:tcPr>
            <w:tcW w:w="822" w:type="dxa"/>
            <w:shd w:val="clear" w:color="auto" w:fill="C6EFCE"/>
            <w:noWrap/>
          </w:tcPr>
          <w:p w14:paraId="1C9E5753" w14:textId="77777777" w:rsidR="003F46B9" w:rsidRDefault="0065662E">
            <w:pPr>
              <w:pStyle w:val="P68B1DB1-Normal5"/>
              <w:spacing w:after="0" w:line="240" w:lineRule="auto"/>
              <w:jc w:val="center"/>
              <w:rPr>
                <w:rFonts w:cs="Times New Roman"/>
                <w:noProof/>
              </w:rPr>
            </w:pPr>
            <w:r>
              <w:rPr>
                <w:noProof/>
              </w:rPr>
              <w:t>445</w:t>
            </w:r>
          </w:p>
        </w:tc>
        <w:tc>
          <w:tcPr>
            <w:tcW w:w="2391" w:type="dxa"/>
            <w:shd w:val="clear" w:color="auto" w:fill="C6EFCE"/>
            <w:noWrap/>
          </w:tcPr>
          <w:p w14:paraId="0188CA3F" w14:textId="77777777" w:rsidR="003F46B9" w:rsidRDefault="0065662E">
            <w:pPr>
              <w:pStyle w:val="P68B1DB1-Normal5"/>
              <w:spacing w:after="0" w:line="240" w:lineRule="auto"/>
              <w:jc w:val="both"/>
              <w:rPr>
                <w:rFonts w:cs="Times New Roman"/>
                <w:noProof/>
              </w:rPr>
            </w:pPr>
            <w:r>
              <w:rPr>
                <w:noProof/>
              </w:rPr>
              <w:t xml:space="preserve">Ulaganje 1. Optimizacija pravosudne infrastrukture kako bi se zajamčio pristup pravosuđu i kvaliteta usluga </w:t>
            </w:r>
          </w:p>
        </w:tc>
        <w:tc>
          <w:tcPr>
            <w:tcW w:w="1226" w:type="dxa"/>
            <w:shd w:val="clear" w:color="auto" w:fill="C6EFCE"/>
            <w:noWrap/>
          </w:tcPr>
          <w:p w14:paraId="77C3841D"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22B03357" w14:textId="4765A157" w:rsidR="003F46B9" w:rsidRDefault="0065662E">
            <w:pPr>
              <w:pStyle w:val="P68B1DB1-Normal5"/>
              <w:spacing w:after="0" w:line="240" w:lineRule="auto"/>
              <w:jc w:val="both"/>
              <w:rPr>
                <w:rFonts w:cs="Times New Roman"/>
                <w:noProof/>
              </w:rPr>
            </w:pPr>
            <w:r>
              <w:rPr>
                <w:noProof/>
              </w:rPr>
              <w:t xml:space="preserve">Prostorije sudova izgrađene u skladu sa zelenim standardima </w:t>
            </w:r>
          </w:p>
        </w:tc>
        <w:tc>
          <w:tcPr>
            <w:tcW w:w="1547" w:type="dxa"/>
            <w:shd w:val="clear" w:color="auto" w:fill="C6EFCE"/>
            <w:noWrap/>
          </w:tcPr>
          <w:p w14:paraId="5CAE57B6"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767C96B"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53A6E1B7"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442E0D23" w14:textId="77777777" w:rsidR="003F46B9" w:rsidRDefault="0065662E">
            <w:pPr>
              <w:pStyle w:val="P68B1DB1-Normal5"/>
              <w:spacing w:after="0" w:line="240" w:lineRule="auto"/>
              <w:rPr>
                <w:rFonts w:cs="Times New Roman"/>
                <w:noProof/>
              </w:rPr>
            </w:pPr>
            <w:r>
              <w:rPr>
                <w:noProof/>
              </w:rPr>
              <w:t>3</w:t>
            </w:r>
          </w:p>
        </w:tc>
        <w:tc>
          <w:tcPr>
            <w:tcW w:w="1082" w:type="dxa"/>
            <w:shd w:val="clear" w:color="auto" w:fill="C6EFCE"/>
            <w:noWrap/>
          </w:tcPr>
          <w:p w14:paraId="35BAC185"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589EE1EF" w14:textId="77777777" w:rsidR="003F46B9" w:rsidRDefault="0065662E">
            <w:pPr>
              <w:pStyle w:val="P68B1DB1-Normal5"/>
              <w:spacing w:after="0" w:line="240" w:lineRule="auto"/>
              <w:jc w:val="center"/>
              <w:rPr>
                <w:rFonts w:cs="Times New Roman"/>
                <w:noProof/>
              </w:rPr>
            </w:pPr>
            <w:r>
              <w:rPr>
                <w:noProof/>
              </w:rPr>
              <w:t>2026</w:t>
            </w:r>
          </w:p>
        </w:tc>
        <w:tc>
          <w:tcPr>
            <w:tcW w:w="3168" w:type="dxa"/>
            <w:shd w:val="clear" w:color="auto" w:fill="C6EFCE"/>
            <w:noWrap/>
          </w:tcPr>
          <w:p w14:paraId="624E66C3" w14:textId="77777777" w:rsidR="003F46B9" w:rsidRDefault="0065662E">
            <w:pPr>
              <w:pStyle w:val="P68B1DB1-Normal5"/>
              <w:spacing w:after="0" w:line="240" w:lineRule="auto"/>
              <w:jc w:val="both"/>
              <w:rPr>
                <w:rFonts w:cs="Times New Roman"/>
                <w:noProof/>
              </w:rPr>
            </w:pPr>
            <w:r>
              <w:rPr>
                <w:noProof/>
              </w:rPr>
              <w:t>Ulaganje se odnosi na izgradnju tri nove sudske zgr</w:t>
            </w:r>
            <w:r>
              <w:rPr>
                <w:noProof/>
              </w:rPr>
              <w:t>ade, koje moraju biti u skladu s ciljem postizanja potražnje za primarnom energijom (PED) koja je najmanje 20 % niža od zahtjeva za zgradu gotovo nulte energije (NZEB) u skladu s nacionalnim smjernicama, što se osigurava energetskim certifikatima.</w:t>
            </w:r>
          </w:p>
          <w:p w14:paraId="74C937FB" w14:textId="77777777" w:rsidR="003F46B9" w:rsidRDefault="0065662E">
            <w:pPr>
              <w:pStyle w:val="P68B1DB1-Normal5"/>
              <w:spacing w:after="0" w:line="240" w:lineRule="auto"/>
              <w:jc w:val="both"/>
              <w:rPr>
                <w:rFonts w:cs="Times New Roman"/>
                <w:noProof/>
              </w:rPr>
            </w:pPr>
            <w:r>
              <w:rPr>
                <w:noProof/>
              </w:rPr>
              <w:t xml:space="preserve">Pristup </w:t>
            </w:r>
            <w:r>
              <w:rPr>
                <w:noProof/>
              </w:rPr>
              <w:t>zgradama prilagođava se osobama s invaliditetom, a ta prilagodba mora biti popraćena usklađenošću sa standardima zaštite od požara i tehničkim standardima zaštite, uključujući otpornost na potrese. Prednost se daje lokacijama pravosudnih tijela u gospodars</w:t>
            </w:r>
            <w:r>
              <w:rPr>
                <w:noProof/>
              </w:rPr>
              <w:t>ki slabije razvijenim dijelovima Rumunjske.</w:t>
            </w:r>
          </w:p>
        </w:tc>
      </w:tr>
      <w:tr w:rsidR="003F46B9" w14:paraId="5E7DF591" w14:textId="77777777">
        <w:trPr>
          <w:trHeight w:val="309"/>
        </w:trPr>
        <w:tc>
          <w:tcPr>
            <w:tcW w:w="822" w:type="dxa"/>
            <w:shd w:val="clear" w:color="auto" w:fill="C6EFCE"/>
            <w:noWrap/>
          </w:tcPr>
          <w:p w14:paraId="443C4F90" w14:textId="77777777" w:rsidR="003F46B9" w:rsidRDefault="0065662E">
            <w:pPr>
              <w:pStyle w:val="P68B1DB1-Normal5"/>
              <w:spacing w:after="0" w:line="240" w:lineRule="auto"/>
              <w:jc w:val="center"/>
              <w:rPr>
                <w:rFonts w:cs="Times New Roman"/>
                <w:noProof/>
              </w:rPr>
            </w:pPr>
            <w:r>
              <w:rPr>
                <w:noProof/>
              </w:rPr>
              <w:t>446</w:t>
            </w:r>
          </w:p>
        </w:tc>
        <w:tc>
          <w:tcPr>
            <w:tcW w:w="2391" w:type="dxa"/>
            <w:shd w:val="clear" w:color="auto" w:fill="C6EFCE"/>
            <w:noWrap/>
          </w:tcPr>
          <w:p w14:paraId="58C51DEE" w14:textId="77777777" w:rsidR="003F46B9" w:rsidRDefault="0065662E">
            <w:pPr>
              <w:pStyle w:val="P68B1DB1-Normal5"/>
              <w:spacing w:after="0" w:line="240" w:lineRule="auto"/>
              <w:jc w:val="both"/>
              <w:rPr>
                <w:rFonts w:cs="Times New Roman"/>
                <w:noProof/>
              </w:rPr>
            </w:pPr>
            <w:r>
              <w:rPr>
                <w:noProof/>
              </w:rPr>
              <w:t xml:space="preserve">Ulaganje 2. Razvoj logističke (ne IT) infrastrukture potrebne za borbu protiv korupcije i povrat imovinske koristi i štete ostvarene kaznenim djelom, uključujući osposobljavanje u tim područjima </w:t>
            </w:r>
          </w:p>
        </w:tc>
        <w:tc>
          <w:tcPr>
            <w:tcW w:w="1226" w:type="dxa"/>
            <w:shd w:val="clear" w:color="auto" w:fill="C6EFCE"/>
            <w:noWrap/>
          </w:tcPr>
          <w:p w14:paraId="1D1A0C67"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0B5A9633" w14:textId="77777777" w:rsidR="003F46B9" w:rsidRDefault="0065662E">
            <w:pPr>
              <w:pStyle w:val="P68B1DB1-Normal5"/>
              <w:spacing w:after="0" w:line="240" w:lineRule="auto"/>
              <w:jc w:val="both"/>
              <w:rPr>
                <w:rFonts w:cs="Times New Roman"/>
                <w:noProof/>
              </w:rPr>
            </w:pPr>
            <w:r>
              <w:rPr>
                <w:noProof/>
              </w:rPr>
              <w:t>Skladišta za skladištenje zaplijenjene imovine puštena u rad</w:t>
            </w:r>
          </w:p>
        </w:tc>
        <w:tc>
          <w:tcPr>
            <w:tcW w:w="1547" w:type="dxa"/>
            <w:shd w:val="clear" w:color="auto" w:fill="C6EFCE"/>
            <w:noWrap/>
          </w:tcPr>
          <w:p w14:paraId="2D40E0A5" w14:textId="77777777" w:rsidR="003F46B9" w:rsidRDefault="0065662E">
            <w:pPr>
              <w:pStyle w:val="P68B1DB1-Normal5"/>
              <w:spacing w:after="0" w:line="240" w:lineRule="auto"/>
              <w:jc w:val="both"/>
              <w:rPr>
                <w:rFonts w:cs="Times New Roman"/>
                <w:noProof/>
              </w:rPr>
            </w:pPr>
            <w:r>
              <w:rPr>
                <w:noProof/>
              </w:rPr>
              <w:t xml:space="preserve"> </w:t>
            </w:r>
          </w:p>
        </w:tc>
        <w:tc>
          <w:tcPr>
            <w:tcW w:w="1344" w:type="dxa"/>
            <w:shd w:val="clear" w:color="auto" w:fill="C6EFCE"/>
            <w:noWrap/>
          </w:tcPr>
          <w:p w14:paraId="2CF6E3AC"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16890D23"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22C9AE6A" w14:textId="77777777" w:rsidR="003F46B9" w:rsidRDefault="0065662E">
            <w:pPr>
              <w:pStyle w:val="P68B1DB1-Normal5"/>
              <w:spacing w:after="0" w:line="240" w:lineRule="auto"/>
              <w:rPr>
                <w:rFonts w:cs="Times New Roman"/>
                <w:noProof/>
              </w:rPr>
            </w:pPr>
            <w:r>
              <w:rPr>
                <w:noProof/>
              </w:rPr>
              <w:t>3</w:t>
            </w:r>
          </w:p>
        </w:tc>
        <w:tc>
          <w:tcPr>
            <w:tcW w:w="1082" w:type="dxa"/>
            <w:shd w:val="clear" w:color="auto" w:fill="C6EFCE"/>
            <w:noWrap/>
          </w:tcPr>
          <w:p w14:paraId="2E34E2EA"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3DF1ECA5" w14:textId="77777777" w:rsidR="003F46B9" w:rsidRDefault="0065662E">
            <w:pPr>
              <w:pStyle w:val="P68B1DB1-Normal5"/>
              <w:spacing w:after="0" w:line="240" w:lineRule="auto"/>
              <w:jc w:val="center"/>
              <w:rPr>
                <w:rFonts w:cs="Times New Roman"/>
                <w:noProof/>
              </w:rPr>
            </w:pPr>
            <w:r>
              <w:rPr>
                <w:noProof/>
              </w:rPr>
              <w:t>2025</w:t>
            </w:r>
          </w:p>
        </w:tc>
        <w:tc>
          <w:tcPr>
            <w:tcW w:w="3168" w:type="dxa"/>
            <w:shd w:val="clear" w:color="auto" w:fill="C6EFCE"/>
            <w:noWrap/>
          </w:tcPr>
          <w:p w14:paraId="05105448" w14:textId="77777777" w:rsidR="003F46B9" w:rsidRDefault="0065662E">
            <w:pPr>
              <w:pStyle w:val="P68B1DB1-Normal5"/>
              <w:spacing w:after="0" w:line="240" w:lineRule="auto"/>
              <w:jc w:val="both"/>
              <w:rPr>
                <w:rFonts w:cs="Times New Roman"/>
                <w:noProof/>
              </w:rPr>
            </w:pPr>
            <w:r>
              <w:rPr>
                <w:noProof/>
              </w:rPr>
              <w:t>Dovršetak radova sanacije/izgradnje za najmanje tri skladišta zaplijenjene imovine koja moraju biti u skladu s ciljem postizanja potražnje za primarnom energijom (PED)</w:t>
            </w:r>
            <w:r>
              <w:rPr>
                <w:noProof/>
              </w:rPr>
              <w:t xml:space="preserve"> koja su najmanje 20 % niža od zahtjeva za zgradu gotovo nulte energije (NZEB) u skladu s nacionalnim smjernicama, što se osigurava energetskim certifikatima. </w:t>
            </w:r>
          </w:p>
        </w:tc>
      </w:tr>
      <w:tr w:rsidR="003F46B9" w14:paraId="5A663F49" w14:textId="77777777">
        <w:trPr>
          <w:trHeight w:val="309"/>
        </w:trPr>
        <w:tc>
          <w:tcPr>
            <w:tcW w:w="822" w:type="dxa"/>
            <w:shd w:val="clear" w:color="auto" w:fill="C6EFCE"/>
            <w:noWrap/>
          </w:tcPr>
          <w:p w14:paraId="2142AA59" w14:textId="77777777" w:rsidR="003F46B9" w:rsidRDefault="0065662E">
            <w:pPr>
              <w:pStyle w:val="P68B1DB1-Normal5"/>
              <w:spacing w:after="0" w:line="240" w:lineRule="auto"/>
              <w:jc w:val="center"/>
              <w:rPr>
                <w:rFonts w:cs="Times New Roman"/>
                <w:noProof/>
              </w:rPr>
            </w:pPr>
            <w:r>
              <w:rPr>
                <w:noProof/>
              </w:rPr>
              <w:t>447</w:t>
            </w:r>
          </w:p>
        </w:tc>
        <w:tc>
          <w:tcPr>
            <w:tcW w:w="2391" w:type="dxa"/>
            <w:shd w:val="clear" w:color="auto" w:fill="C6EFCE"/>
            <w:noWrap/>
          </w:tcPr>
          <w:p w14:paraId="158DD6AD" w14:textId="77777777" w:rsidR="003F46B9" w:rsidRDefault="0065662E">
            <w:pPr>
              <w:pStyle w:val="P68B1DB1-Normal5"/>
              <w:spacing w:after="0" w:line="240" w:lineRule="auto"/>
              <w:jc w:val="both"/>
              <w:rPr>
                <w:rFonts w:cs="Times New Roman"/>
                <w:noProof/>
              </w:rPr>
            </w:pPr>
            <w:r>
              <w:rPr>
                <w:noProof/>
              </w:rPr>
              <w:t xml:space="preserve">Ulaganje 3 Stvaranje struktura lokalnih partnerstava između lokalnih vlasti i civilnog </w:t>
            </w:r>
            <w:r>
              <w:rPr>
                <w:noProof/>
              </w:rPr>
              <w:t>društva</w:t>
            </w:r>
          </w:p>
        </w:tc>
        <w:tc>
          <w:tcPr>
            <w:tcW w:w="1226" w:type="dxa"/>
            <w:shd w:val="clear" w:color="auto" w:fill="C6EFCE"/>
            <w:noWrap/>
          </w:tcPr>
          <w:p w14:paraId="7D71631E"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01F45F8D" w14:textId="77777777" w:rsidR="003F46B9" w:rsidRDefault="0065662E">
            <w:pPr>
              <w:pStyle w:val="P68B1DB1-Normal5"/>
              <w:spacing w:after="0" w:line="240" w:lineRule="auto"/>
              <w:jc w:val="both"/>
              <w:rPr>
                <w:rFonts w:cs="Times New Roman"/>
                <w:noProof/>
              </w:rPr>
            </w:pPr>
            <w:r>
              <w:rPr>
                <w:noProof/>
              </w:rPr>
              <w:t>Uspostavljena i operativna partnerstva između lokalnih tijela javne uprave i nevladinih organizacija</w:t>
            </w:r>
          </w:p>
        </w:tc>
        <w:tc>
          <w:tcPr>
            <w:tcW w:w="1547" w:type="dxa"/>
            <w:shd w:val="clear" w:color="auto" w:fill="C6EFCE"/>
            <w:noWrap/>
          </w:tcPr>
          <w:p w14:paraId="17025C32" w14:textId="77777777" w:rsidR="003F46B9" w:rsidRDefault="003F46B9">
            <w:pPr>
              <w:spacing w:after="0" w:line="240" w:lineRule="auto"/>
              <w:jc w:val="both"/>
              <w:rPr>
                <w:rFonts w:ascii="Times New Roman" w:hAnsi="Times New Roman" w:cs="Times New Roman"/>
                <w:noProof/>
                <w:sz w:val="24"/>
              </w:rPr>
            </w:pPr>
          </w:p>
        </w:tc>
        <w:tc>
          <w:tcPr>
            <w:tcW w:w="1344" w:type="dxa"/>
            <w:shd w:val="clear" w:color="auto" w:fill="C6EFCE"/>
            <w:noWrap/>
          </w:tcPr>
          <w:p w14:paraId="5097B7F1"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677877DC"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139B0E90" w14:textId="77777777" w:rsidR="003F46B9" w:rsidRDefault="0065662E">
            <w:pPr>
              <w:pStyle w:val="P68B1DB1-Normal5"/>
              <w:spacing w:after="0" w:line="240" w:lineRule="auto"/>
              <w:rPr>
                <w:rFonts w:cs="Times New Roman"/>
                <w:noProof/>
              </w:rPr>
            </w:pPr>
            <w:r>
              <w:rPr>
                <w:noProof/>
              </w:rPr>
              <w:t>50</w:t>
            </w:r>
          </w:p>
        </w:tc>
        <w:tc>
          <w:tcPr>
            <w:tcW w:w="1082" w:type="dxa"/>
            <w:shd w:val="clear" w:color="auto" w:fill="C6EFCE"/>
            <w:noWrap/>
          </w:tcPr>
          <w:p w14:paraId="3E8A6369"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5E14765B" w14:textId="77777777" w:rsidR="003F46B9" w:rsidRDefault="0065662E">
            <w:pPr>
              <w:pStyle w:val="P68B1DB1-Normal5"/>
              <w:spacing w:after="0" w:line="240" w:lineRule="auto"/>
              <w:jc w:val="center"/>
              <w:rPr>
                <w:rFonts w:cs="Times New Roman"/>
                <w:noProof/>
              </w:rPr>
            </w:pPr>
            <w:r>
              <w:rPr>
                <w:noProof/>
              </w:rPr>
              <w:t>2026</w:t>
            </w:r>
          </w:p>
        </w:tc>
        <w:tc>
          <w:tcPr>
            <w:tcW w:w="3168" w:type="dxa"/>
            <w:shd w:val="clear" w:color="auto" w:fill="C6EFCE"/>
            <w:noWrap/>
          </w:tcPr>
          <w:p w14:paraId="520D5846" w14:textId="77777777" w:rsidR="003F46B9" w:rsidRDefault="0065662E">
            <w:pPr>
              <w:pStyle w:val="P68B1DB1-Normal5"/>
              <w:spacing w:before="120" w:after="0" w:line="240" w:lineRule="auto"/>
              <w:jc w:val="both"/>
              <w:rPr>
                <w:rFonts w:cs="Times New Roman"/>
                <w:noProof/>
              </w:rPr>
            </w:pPr>
            <w:r>
              <w:rPr>
                <w:noProof/>
              </w:rPr>
              <w:t>Između nevladinih organizacija i tijela lokalne javne uprave sklapa se 50 novih partnerstava za razvoj projekata</w:t>
            </w:r>
            <w:r>
              <w:rPr>
                <w:noProof/>
              </w:rPr>
              <w:t xml:space="preserve"> kojima se podupire razvoj lokalnih zajednica. </w:t>
            </w:r>
          </w:p>
          <w:p w14:paraId="65005FC0" w14:textId="02CE30D9" w:rsidR="003F46B9" w:rsidRDefault="0065662E">
            <w:pPr>
              <w:pStyle w:val="P68B1DB1-Normal5"/>
              <w:spacing w:after="0" w:line="240" w:lineRule="auto"/>
              <w:jc w:val="both"/>
              <w:rPr>
                <w:rFonts w:cs="Times New Roman"/>
                <w:noProof/>
              </w:rPr>
            </w:pPr>
            <w:r>
              <w:rPr>
                <w:noProof/>
              </w:rPr>
              <w:t>Konkretni planovi intervencije koji uključuju partnerstva definiraju se na razini svake zajednice i u njima se prednost daje područjima kao što su borba protiv diskriminacije, participativno upravljanje i izr</w:t>
            </w:r>
            <w:r>
              <w:rPr>
                <w:noProof/>
              </w:rPr>
              <w:t>ada proračuna, pružanje usluga ranjivim zajednicama (kao što su Romi, beskućnici), borba protiv siromaštva i zelena tranzicija. Interventni planovi uključuju povezane ciljeve, kratkoročne i dugoročne rezultate, proračune i obvezuju se na redovite, transpar</w:t>
            </w:r>
            <w:r>
              <w:rPr>
                <w:noProof/>
              </w:rPr>
              <w:t>entne i uključive postupke savjetovanja, osiguravajući jasnu raspodjelu uloga uključenim stranama). Interventnim planovima predviđaju se i radni instrumenti usmjereni na razvoj unutarnjih kapaciteta uprave koja je uključena u partnerstvo kako bi služila sv</w:t>
            </w:r>
            <w:r>
              <w:rPr>
                <w:noProof/>
              </w:rPr>
              <w:t>ojim građanima. Određivanje prioriteta interventnih planova podliježe suradničkom i javnom savjetovanju. Provedba svakog interventnog plana prati se najmanje dvije godine nakon završetka svakog plana. Suradnja među strankama i redovitost/učinkovitost postu</w:t>
            </w:r>
            <w:r>
              <w:rPr>
                <w:noProof/>
              </w:rPr>
              <w:t xml:space="preserve">pka savjetovanja dokumentiraju se tijekom cijelog razdoblja ulaganja. </w:t>
            </w:r>
          </w:p>
        </w:tc>
      </w:tr>
      <w:tr w:rsidR="003F46B9" w14:paraId="783E224A" w14:textId="77777777">
        <w:trPr>
          <w:trHeight w:val="309"/>
        </w:trPr>
        <w:tc>
          <w:tcPr>
            <w:tcW w:w="822" w:type="dxa"/>
            <w:shd w:val="clear" w:color="auto" w:fill="C6EFCE"/>
            <w:noWrap/>
          </w:tcPr>
          <w:p w14:paraId="1F96BAFF" w14:textId="77777777" w:rsidR="003F46B9" w:rsidRDefault="0065662E">
            <w:pPr>
              <w:pStyle w:val="P68B1DB1-Normal5"/>
              <w:spacing w:after="0" w:line="240" w:lineRule="auto"/>
              <w:jc w:val="center"/>
              <w:rPr>
                <w:rFonts w:cs="Times New Roman"/>
                <w:noProof/>
              </w:rPr>
            </w:pPr>
            <w:r>
              <w:rPr>
                <w:noProof/>
              </w:rPr>
              <w:t>448</w:t>
            </w:r>
          </w:p>
        </w:tc>
        <w:tc>
          <w:tcPr>
            <w:tcW w:w="2391" w:type="dxa"/>
            <w:shd w:val="clear" w:color="auto" w:fill="C6EFCE"/>
            <w:noWrap/>
          </w:tcPr>
          <w:p w14:paraId="74909C8E" w14:textId="77777777" w:rsidR="003F46B9" w:rsidRDefault="0065662E">
            <w:pPr>
              <w:pStyle w:val="P68B1DB1-Normal5"/>
              <w:spacing w:after="0" w:line="240" w:lineRule="auto"/>
              <w:jc w:val="both"/>
              <w:rPr>
                <w:rFonts w:cs="Times New Roman"/>
                <w:noProof/>
              </w:rPr>
            </w:pPr>
            <w:r>
              <w:rPr>
                <w:noProof/>
              </w:rPr>
              <w:t xml:space="preserve">Ulaganje 4. Povećanje kapaciteta organizacija civilnog društva za poticanje aktivnog građanstva, za profesionalno sudjelovanje u planiranju i provedbi javnih politika o </w:t>
            </w:r>
            <w:r>
              <w:rPr>
                <w:noProof/>
              </w:rPr>
              <w:t xml:space="preserve">socijalnim pravima obuhvaćenih nacionalnim planom za oporavak i otpornost te za praćenje povezanih reformi </w:t>
            </w:r>
          </w:p>
        </w:tc>
        <w:tc>
          <w:tcPr>
            <w:tcW w:w="1226" w:type="dxa"/>
            <w:shd w:val="clear" w:color="auto" w:fill="C6EFCE"/>
            <w:noWrap/>
          </w:tcPr>
          <w:p w14:paraId="6AD2DE35" w14:textId="77777777" w:rsidR="003F46B9" w:rsidRDefault="0065662E">
            <w:pPr>
              <w:pStyle w:val="P68B1DB1-Normal5"/>
              <w:spacing w:after="0" w:line="240" w:lineRule="auto"/>
              <w:rPr>
                <w:rFonts w:cs="Times New Roman"/>
                <w:noProof/>
              </w:rPr>
            </w:pPr>
            <w:r>
              <w:rPr>
                <w:noProof/>
              </w:rPr>
              <w:t>Ciljna</w:t>
            </w:r>
          </w:p>
        </w:tc>
        <w:tc>
          <w:tcPr>
            <w:tcW w:w="1495" w:type="dxa"/>
            <w:shd w:val="clear" w:color="auto" w:fill="C6EFCE"/>
            <w:noWrap/>
          </w:tcPr>
          <w:p w14:paraId="36A38360" w14:textId="6B5B10B4" w:rsidR="003F46B9" w:rsidRDefault="0065662E">
            <w:pPr>
              <w:pStyle w:val="P68B1DB1-Normal5"/>
              <w:spacing w:after="0" w:line="240" w:lineRule="auto"/>
              <w:jc w:val="both"/>
              <w:rPr>
                <w:rFonts w:cs="Times New Roman"/>
                <w:noProof/>
              </w:rPr>
            </w:pPr>
            <w:r>
              <w:rPr>
                <w:noProof/>
              </w:rPr>
              <w:t xml:space="preserve">Funkcionalne suradničke inicijative nevladinog sektora koje su operativne </w:t>
            </w:r>
          </w:p>
        </w:tc>
        <w:tc>
          <w:tcPr>
            <w:tcW w:w="1547" w:type="dxa"/>
            <w:shd w:val="clear" w:color="auto" w:fill="C6EFCE"/>
            <w:noWrap/>
          </w:tcPr>
          <w:p w14:paraId="39F3D7E9" w14:textId="77777777" w:rsidR="003F46B9" w:rsidRDefault="003F46B9">
            <w:pPr>
              <w:spacing w:after="0" w:line="240" w:lineRule="auto"/>
              <w:jc w:val="both"/>
              <w:rPr>
                <w:rFonts w:ascii="Times New Roman" w:hAnsi="Times New Roman" w:cs="Times New Roman"/>
                <w:noProof/>
                <w:sz w:val="24"/>
              </w:rPr>
            </w:pPr>
          </w:p>
        </w:tc>
        <w:tc>
          <w:tcPr>
            <w:tcW w:w="1344" w:type="dxa"/>
            <w:shd w:val="clear" w:color="auto" w:fill="C6EFCE"/>
            <w:noWrap/>
          </w:tcPr>
          <w:p w14:paraId="5AAEDDE9" w14:textId="77777777" w:rsidR="003F46B9" w:rsidRDefault="0065662E">
            <w:pPr>
              <w:pStyle w:val="P68B1DB1-Normal5"/>
              <w:spacing w:after="0" w:line="240" w:lineRule="auto"/>
              <w:rPr>
                <w:rFonts w:cs="Times New Roman"/>
                <w:noProof/>
              </w:rPr>
            </w:pPr>
            <w:r>
              <w:rPr>
                <w:noProof/>
              </w:rPr>
              <w:t>Broj</w:t>
            </w:r>
          </w:p>
        </w:tc>
        <w:tc>
          <w:tcPr>
            <w:tcW w:w="1109" w:type="dxa"/>
            <w:shd w:val="clear" w:color="auto" w:fill="C6EFCE"/>
            <w:noWrap/>
          </w:tcPr>
          <w:p w14:paraId="01840C70" w14:textId="77777777" w:rsidR="003F46B9" w:rsidRDefault="0065662E">
            <w:pPr>
              <w:pStyle w:val="P68B1DB1-Normal5"/>
              <w:spacing w:after="0" w:line="240" w:lineRule="auto"/>
              <w:rPr>
                <w:rFonts w:cs="Times New Roman"/>
                <w:noProof/>
              </w:rPr>
            </w:pPr>
            <w:r>
              <w:rPr>
                <w:noProof/>
              </w:rPr>
              <w:t>0</w:t>
            </w:r>
          </w:p>
        </w:tc>
        <w:tc>
          <w:tcPr>
            <w:tcW w:w="872" w:type="dxa"/>
            <w:shd w:val="clear" w:color="auto" w:fill="C6EFCE"/>
          </w:tcPr>
          <w:p w14:paraId="41DDE188" w14:textId="77777777" w:rsidR="003F46B9" w:rsidRDefault="0065662E">
            <w:pPr>
              <w:pStyle w:val="P68B1DB1-Normal5"/>
              <w:spacing w:after="0" w:line="240" w:lineRule="auto"/>
              <w:rPr>
                <w:rFonts w:cs="Times New Roman"/>
                <w:noProof/>
              </w:rPr>
            </w:pPr>
            <w:r>
              <w:rPr>
                <w:noProof/>
              </w:rPr>
              <w:t>15</w:t>
            </w:r>
          </w:p>
        </w:tc>
        <w:tc>
          <w:tcPr>
            <w:tcW w:w="1082" w:type="dxa"/>
            <w:shd w:val="clear" w:color="auto" w:fill="C6EFCE"/>
            <w:noWrap/>
          </w:tcPr>
          <w:p w14:paraId="7821E4C3" w14:textId="77777777" w:rsidR="003F46B9" w:rsidRDefault="0065662E">
            <w:pPr>
              <w:pStyle w:val="P68B1DB1-Normal5"/>
              <w:spacing w:after="0" w:line="240" w:lineRule="auto"/>
              <w:rPr>
                <w:rFonts w:cs="Times New Roman"/>
                <w:noProof/>
              </w:rPr>
            </w:pPr>
            <w:r>
              <w:rPr>
                <w:noProof/>
              </w:rPr>
              <w:t>TROMJESEČJE</w:t>
            </w:r>
          </w:p>
        </w:tc>
        <w:tc>
          <w:tcPr>
            <w:tcW w:w="820" w:type="dxa"/>
            <w:shd w:val="clear" w:color="auto" w:fill="C6EFCE"/>
            <w:noWrap/>
          </w:tcPr>
          <w:p w14:paraId="475207A6" w14:textId="77777777" w:rsidR="003F46B9" w:rsidRDefault="0065662E">
            <w:pPr>
              <w:pStyle w:val="P68B1DB1-Normal5"/>
              <w:spacing w:after="0" w:line="240" w:lineRule="auto"/>
              <w:jc w:val="center"/>
              <w:rPr>
                <w:rFonts w:cs="Times New Roman"/>
                <w:noProof/>
              </w:rPr>
            </w:pPr>
            <w:r>
              <w:rPr>
                <w:noProof/>
              </w:rPr>
              <w:t>2026</w:t>
            </w:r>
          </w:p>
        </w:tc>
        <w:tc>
          <w:tcPr>
            <w:tcW w:w="3168" w:type="dxa"/>
            <w:shd w:val="clear" w:color="auto" w:fill="C6EFCE"/>
            <w:noWrap/>
          </w:tcPr>
          <w:p w14:paraId="30FC3A0E" w14:textId="77777777" w:rsidR="003F46B9" w:rsidRDefault="0065662E">
            <w:pPr>
              <w:pStyle w:val="P68B1DB1-Normal5"/>
              <w:spacing w:after="0" w:line="240" w:lineRule="auto"/>
              <w:jc w:val="both"/>
              <w:rPr>
                <w:rFonts w:cs="Times New Roman"/>
                <w:noProof/>
              </w:rPr>
            </w:pPr>
            <w:r>
              <w:rPr>
                <w:noProof/>
              </w:rPr>
              <w:t>Uspostavlja se najmanje 15 funkcionalnih nevladinih sektorskih inicijativa za suradnju (mreže, koalicije, platforme, skupine organizacija, uključujući skupine za strateško promišljanje, analitičke i istraživačke strukture) kako bi se osiguralo sudjelovanje</w:t>
            </w:r>
            <w:r>
              <w:rPr>
                <w:noProof/>
              </w:rPr>
              <w:t xml:space="preserve"> i učinkovit doprinos nevladinih organizacija u postupcima javnog savjetovanja. Cilj je tih inicijativa pratiti stvaranje, donošenje i provedbu najmanje 15 javnih politika/nacionalnih reformi koje su važne za nacionalni plan za oporavak i otpornost te u po</w:t>
            </w:r>
            <w:r>
              <w:rPr>
                <w:noProof/>
              </w:rPr>
              <w:t xml:space="preserve">dručjima od socijalne važnosti (kao što su zdravstvo, obrazovanje, zelena tranzicija). </w:t>
            </w:r>
          </w:p>
          <w:p w14:paraId="574C0141" w14:textId="77777777" w:rsidR="003F46B9" w:rsidRDefault="0065662E">
            <w:pPr>
              <w:pStyle w:val="P68B1DB1-Normal5"/>
              <w:spacing w:after="0" w:line="240" w:lineRule="auto"/>
              <w:jc w:val="both"/>
              <w:rPr>
                <w:rFonts w:cs="Times New Roman"/>
                <w:noProof/>
              </w:rPr>
            </w:pPr>
            <w:r>
              <w:rPr>
                <w:noProof/>
              </w:rPr>
              <w:t>Mehanizmi suradnje uspostavljaju se i postaju operativni putem sporazuma o partnerstvu, kojima se uspostavlja definirana strategija djelovanja, s konkretnim i definiran</w:t>
            </w:r>
            <w:r>
              <w:rPr>
                <w:noProof/>
              </w:rPr>
              <w:t>im rezultatima i rokovima, s naglaskom na osiguravanju aktivnog sudjelovanja u postupcima savjetovanja i praćenju provedbe posebne nacionalne javne politike. Praćenje takvih inicijativa provodi se s pomoću najmanje 15 vanjskih izvješća o praćenju koja se r</w:t>
            </w:r>
            <w:r>
              <w:rPr>
                <w:noProof/>
              </w:rPr>
              <w:t xml:space="preserve">edovito pripremaju za svaku inicijativu. </w:t>
            </w:r>
          </w:p>
          <w:p w14:paraId="19D8F01C" w14:textId="77777777" w:rsidR="003F46B9" w:rsidRDefault="0065662E">
            <w:pPr>
              <w:pStyle w:val="P68B1DB1-Normal5"/>
              <w:spacing w:after="0" w:line="240" w:lineRule="auto"/>
              <w:jc w:val="both"/>
              <w:rPr>
                <w:rFonts w:cs="Times New Roman"/>
                <w:noProof/>
              </w:rPr>
            </w:pPr>
            <w:r>
              <w:rPr>
                <w:noProof/>
              </w:rPr>
              <w:t>Pružena potpora obuhvaća rashode za tehničku i financijsku provedbu projekta, izravne i neizravne operativne troškove povezane s djelovanjima predviđenima u projektu (tj. organiziranje savjetovanja, aktivnosti komu</w:t>
            </w:r>
            <w:r>
              <w:rPr>
                <w:noProof/>
              </w:rPr>
              <w:t>nikacije i širenja informacija, prikupljanje i obradu podataka, stručno znanje u različitim područjima).</w:t>
            </w:r>
          </w:p>
          <w:p w14:paraId="32801F51" w14:textId="77777777" w:rsidR="003F46B9" w:rsidRDefault="003F46B9">
            <w:pPr>
              <w:spacing w:after="0" w:line="240" w:lineRule="auto"/>
              <w:jc w:val="both"/>
              <w:rPr>
                <w:rFonts w:ascii="Times New Roman" w:hAnsi="Times New Roman" w:cs="Times New Roman"/>
                <w:noProof/>
                <w:sz w:val="24"/>
              </w:rPr>
            </w:pPr>
          </w:p>
        </w:tc>
      </w:tr>
      <w:tr w:rsidR="003F46B9" w14:paraId="2E8A25A0" w14:textId="77777777">
        <w:trPr>
          <w:trHeight w:val="309"/>
        </w:trPr>
        <w:tc>
          <w:tcPr>
            <w:tcW w:w="822" w:type="dxa"/>
            <w:shd w:val="clear" w:color="auto" w:fill="C6EFCE"/>
            <w:noWrap/>
          </w:tcPr>
          <w:p w14:paraId="02B6761C" w14:textId="77777777" w:rsidR="003F46B9" w:rsidRDefault="0065662E">
            <w:pPr>
              <w:pStyle w:val="P68B1DB1-Normal5"/>
              <w:spacing w:after="0" w:line="240" w:lineRule="auto"/>
              <w:jc w:val="center"/>
              <w:rPr>
                <w:rFonts w:cs="Times New Roman"/>
                <w:noProof/>
              </w:rPr>
            </w:pPr>
            <w:r>
              <w:rPr>
                <w:noProof/>
              </w:rPr>
              <w:t>449</w:t>
            </w:r>
          </w:p>
        </w:tc>
        <w:tc>
          <w:tcPr>
            <w:tcW w:w="2391" w:type="dxa"/>
            <w:shd w:val="clear" w:color="auto" w:fill="C6EFCE"/>
            <w:noWrap/>
          </w:tcPr>
          <w:p w14:paraId="2CDDC227" w14:textId="59BB62E6" w:rsidR="003F46B9" w:rsidRDefault="0065662E">
            <w:pPr>
              <w:pStyle w:val="P68B1DB1-Normal5"/>
              <w:spacing w:after="0" w:line="240" w:lineRule="auto"/>
              <w:jc w:val="both"/>
              <w:rPr>
                <w:rFonts w:cs="Times New Roman"/>
                <w:noProof/>
              </w:rPr>
            </w:pPr>
            <w:r>
              <w:rPr>
                <w:noProof/>
              </w:rPr>
              <w:t>Ulaganje 4.  Povećanje kapaciteta organizacija civilnog društva za poticanje aktivnog građanstva, za profesionalno sudjelovanje u planiranju i provedbi javnih politika o socijalnim pravima obuhvaćenih nacionalnim planom za oporavak i otpornost te za praćen</w:t>
            </w:r>
            <w:r>
              <w:rPr>
                <w:noProof/>
              </w:rPr>
              <w:t xml:space="preserve">je povezanih reformi </w:t>
            </w:r>
          </w:p>
        </w:tc>
        <w:tc>
          <w:tcPr>
            <w:tcW w:w="1226" w:type="dxa"/>
            <w:shd w:val="clear" w:color="auto" w:fill="C6EFCE"/>
            <w:noWrap/>
          </w:tcPr>
          <w:p w14:paraId="526E0B91" w14:textId="77777777" w:rsidR="003F46B9" w:rsidRDefault="0065662E">
            <w:pPr>
              <w:pStyle w:val="P68B1DB1-Normal5"/>
              <w:spacing w:after="0" w:line="240" w:lineRule="auto"/>
              <w:rPr>
                <w:rFonts w:cs="Times New Roman"/>
                <w:noProof/>
              </w:rPr>
            </w:pPr>
            <w:r>
              <w:rPr>
                <w:noProof/>
              </w:rPr>
              <w:t xml:space="preserve">Prekretnica </w:t>
            </w:r>
          </w:p>
        </w:tc>
        <w:tc>
          <w:tcPr>
            <w:tcW w:w="1495" w:type="dxa"/>
            <w:shd w:val="clear" w:color="auto" w:fill="C6EFCE"/>
            <w:noWrap/>
          </w:tcPr>
          <w:p w14:paraId="62BE8966" w14:textId="77777777" w:rsidR="003F46B9" w:rsidRDefault="0065662E">
            <w:pPr>
              <w:pStyle w:val="P68B1DB1-Normal5"/>
              <w:spacing w:after="0" w:line="240" w:lineRule="auto"/>
              <w:jc w:val="both"/>
              <w:rPr>
                <w:rFonts w:cs="Times New Roman"/>
                <w:noProof/>
              </w:rPr>
            </w:pPr>
            <w:r>
              <w:rPr>
                <w:noProof/>
              </w:rPr>
              <w:t>Stupanje na snagu zakonodavstva o socijalnom dijalogu kojim se osigurava smislen i pravodoban socijalni dijalog i kolektivno pregovaranje, u skladu s preporukama ILO-a</w:t>
            </w:r>
          </w:p>
        </w:tc>
        <w:tc>
          <w:tcPr>
            <w:tcW w:w="1547" w:type="dxa"/>
            <w:shd w:val="clear" w:color="auto" w:fill="C6EFCE"/>
            <w:noWrap/>
          </w:tcPr>
          <w:p w14:paraId="42A9F216" w14:textId="77777777" w:rsidR="003F46B9" w:rsidRDefault="0065662E">
            <w:pPr>
              <w:pStyle w:val="P68B1DB1-Normal5"/>
              <w:spacing w:after="0" w:line="240" w:lineRule="auto"/>
              <w:jc w:val="both"/>
              <w:rPr>
                <w:rFonts w:cs="Times New Roman"/>
                <w:noProof/>
              </w:rPr>
            </w:pPr>
            <w:r>
              <w:rPr>
                <w:noProof/>
              </w:rPr>
              <w:t>Zakonska odredba o stupanju na snagu zakona o socijal</w:t>
            </w:r>
            <w:r>
              <w:rPr>
                <w:noProof/>
              </w:rPr>
              <w:t>nom dijalogu</w:t>
            </w:r>
          </w:p>
        </w:tc>
        <w:tc>
          <w:tcPr>
            <w:tcW w:w="1344" w:type="dxa"/>
            <w:shd w:val="clear" w:color="auto" w:fill="C6EFCE"/>
            <w:noWrap/>
          </w:tcPr>
          <w:p w14:paraId="0CB8FC47"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2FB2F1CE"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7EF346A5"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55EA2DD6"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13ED5B5D" w14:textId="77777777" w:rsidR="003F46B9" w:rsidRDefault="0065662E">
            <w:pPr>
              <w:pStyle w:val="P68B1DB1-Normal5"/>
              <w:spacing w:after="0" w:line="240" w:lineRule="auto"/>
              <w:jc w:val="center"/>
              <w:rPr>
                <w:rFonts w:cs="Times New Roman"/>
                <w:noProof/>
              </w:rPr>
            </w:pPr>
            <w:r>
              <w:rPr>
                <w:noProof/>
              </w:rPr>
              <w:t>2022</w:t>
            </w:r>
          </w:p>
        </w:tc>
        <w:tc>
          <w:tcPr>
            <w:tcW w:w="3168" w:type="dxa"/>
            <w:shd w:val="clear" w:color="auto" w:fill="C6EFCE"/>
            <w:noWrap/>
          </w:tcPr>
          <w:p w14:paraId="13D6B27D" w14:textId="77777777" w:rsidR="003F46B9" w:rsidRDefault="0065662E">
            <w:pPr>
              <w:pStyle w:val="P68B1DB1-Normal5"/>
              <w:spacing w:after="0" w:line="240" w:lineRule="auto"/>
              <w:jc w:val="both"/>
              <w:rPr>
                <w:rFonts w:cs="Times New Roman"/>
                <w:noProof/>
              </w:rPr>
            </w:pPr>
            <w:r>
              <w:rPr>
                <w:noProof/>
              </w:rPr>
              <w:t>Stupanje na snagu novog zakona o socijalnom dijalogu, o kojem se pregovara sa socijalnim partnerima. Zakonom se uklanjaju nedostaci u procesu socijalnog dijaloga, kako je istaknuto u relevantnoj preporuci za pojedin</w:t>
            </w:r>
            <w:r>
              <w:rPr>
                <w:noProof/>
              </w:rPr>
              <w:t>u zemlju, te on mora biti u skladu s preporukama Međunarodne organizacije rada izdanima u travnju 2018. i navedenima u uvodnoj izjavi 25. preporuka za pojedine zemlje za 2020. Zakonom se također predviđa revizija definicije gospodarskih sektora kao temelja</w:t>
            </w:r>
            <w:r>
              <w:rPr>
                <w:noProof/>
              </w:rPr>
              <w:t xml:space="preserve"> za kolektivni ugovor na razini sektora. </w:t>
            </w:r>
          </w:p>
        </w:tc>
      </w:tr>
      <w:tr w:rsidR="003F46B9" w14:paraId="2AD4604C" w14:textId="77777777">
        <w:trPr>
          <w:trHeight w:val="309"/>
        </w:trPr>
        <w:tc>
          <w:tcPr>
            <w:tcW w:w="822" w:type="dxa"/>
            <w:shd w:val="clear" w:color="auto" w:fill="C6EFCE"/>
            <w:noWrap/>
          </w:tcPr>
          <w:p w14:paraId="04D23828" w14:textId="77777777" w:rsidR="003F46B9" w:rsidRDefault="0065662E">
            <w:pPr>
              <w:pStyle w:val="P68B1DB1-Normal5"/>
              <w:spacing w:after="0" w:line="240" w:lineRule="auto"/>
              <w:jc w:val="center"/>
              <w:rPr>
                <w:rFonts w:cs="Times New Roman"/>
                <w:noProof/>
              </w:rPr>
            </w:pPr>
            <w:r>
              <w:rPr>
                <w:noProof/>
              </w:rPr>
              <w:t>450</w:t>
            </w:r>
          </w:p>
        </w:tc>
        <w:tc>
          <w:tcPr>
            <w:tcW w:w="2391" w:type="dxa"/>
            <w:shd w:val="clear" w:color="auto" w:fill="C6EFCE"/>
            <w:noWrap/>
          </w:tcPr>
          <w:p w14:paraId="0FC0FF85" w14:textId="6A9B758F" w:rsidR="003F46B9" w:rsidRDefault="0065662E">
            <w:pPr>
              <w:pStyle w:val="P68B1DB1-Normal5"/>
              <w:spacing w:after="0" w:line="240" w:lineRule="auto"/>
              <w:jc w:val="both"/>
              <w:rPr>
                <w:rFonts w:cs="Times New Roman"/>
                <w:noProof/>
              </w:rPr>
            </w:pPr>
            <w:r>
              <w:rPr>
                <w:noProof/>
              </w:rPr>
              <w:t>Ulaganje 5.  Praćenje i provedba plana</w:t>
            </w:r>
          </w:p>
          <w:p w14:paraId="7A175280" w14:textId="77777777" w:rsidR="003F46B9" w:rsidRDefault="003F46B9">
            <w:pPr>
              <w:spacing w:after="0" w:line="240" w:lineRule="auto"/>
              <w:jc w:val="both"/>
              <w:rPr>
                <w:rFonts w:ascii="Times New Roman" w:hAnsi="Times New Roman" w:cs="Times New Roman"/>
                <w:noProof/>
                <w:sz w:val="24"/>
              </w:rPr>
            </w:pPr>
          </w:p>
        </w:tc>
        <w:tc>
          <w:tcPr>
            <w:tcW w:w="1226" w:type="dxa"/>
            <w:shd w:val="clear" w:color="auto" w:fill="C6EFCE"/>
            <w:noWrap/>
          </w:tcPr>
          <w:p w14:paraId="6BC4F9C0"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7EAE2153" w14:textId="77777777" w:rsidR="003F46B9" w:rsidRDefault="0065662E">
            <w:pPr>
              <w:pStyle w:val="P68B1DB1-Normal5"/>
              <w:spacing w:after="0" w:line="240" w:lineRule="auto"/>
              <w:jc w:val="both"/>
              <w:rPr>
                <w:rFonts w:cs="Times New Roman"/>
                <w:noProof/>
              </w:rPr>
            </w:pPr>
            <w:r>
              <w:rPr>
                <w:noProof/>
              </w:rPr>
              <w:t>Revizija i kontrole: informacije za praćenje provedbe plana za oporavak i otpornost</w:t>
            </w:r>
          </w:p>
        </w:tc>
        <w:tc>
          <w:tcPr>
            <w:tcW w:w="1547" w:type="dxa"/>
            <w:shd w:val="clear" w:color="auto" w:fill="C6EFCE"/>
            <w:noWrap/>
          </w:tcPr>
          <w:p w14:paraId="7941609D" w14:textId="56476920" w:rsidR="003F46B9" w:rsidRDefault="0065662E">
            <w:pPr>
              <w:pStyle w:val="P68B1DB1-Normal5"/>
              <w:spacing w:after="0" w:line="240" w:lineRule="auto"/>
              <w:jc w:val="both"/>
              <w:rPr>
                <w:rFonts w:cs="Times New Roman"/>
                <w:noProof/>
              </w:rPr>
            </w:pPr>
            <w:r>
              <w:rPr>
                <w:noProof/>
              </w:rPr>
              <w:t xml:space="preserve">Izvješće o reviziji kojim se potvrđuju funkcije repozitorijskog sustava </w:t>
            </w:r>
          </w:p>
        </w:tc>
        <w:tc>
          <w:tcPr>
            <w:tcW w:w="1344" w:type="dxa"/>
            <w:shd w:val="clear" w:color="auto" w:fill="C6EFCE"/>
            <w:noWrap/>
          </w:tcPr>
          <w:p w14:paraId="5C2463CA"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7B1526DA"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75807DAA"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5D61E85A"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101BBFCE" w14:textId="77777777" w:rsidR="003F46B9" w:rsidRDefault="0065662E">
            <w:pPr>
              <w:pStyle w:val="P68B1DB1-Normal5"/>
              <w:spacing w:after="0" w:line="240" w:lineRule="auto"/>
              <w:rPr>
                <w:rFonts w:cs="Times New Roman"/>
                <w:noProof/>
              </w:rPr>
            </w:pPr>
            <w:r>
              <w:rPr>
                <w:noProof/>
              </w:rPr>
              <w:t>2021</w:t>
            </w:r>
          </w:p>
        </w:tc>
        <w:tc>
          <w:tcPr>
            <w:tcW w:w="3168" w:type="dxa"/>
            <w:shd w:val="clear" w:color="auto" w:fill="C6EFCE"/>
            <w:noWrap/>
          </w:tcPr>
          <w:p w14:paraId="139A0606" w14:textId="77777777" w:rsidR="003F46B9" w:rsidRDefault="0065662E">
            <w:pPr>
              <w:pStyle w:val="P68B1DB1-Normal5"/>
              <w:spacing w:after="0"/>
              <w:jc w:val="both"/>
              <w:rPr>
                <w:rFonts w:cs="Times New Roman"/>
                <w:noProof/>
              </w:rPr>
            </w:pPr>
            <w:r>
              <w:rPr>
                <w:noProof/>
              </w:rPr>
              <w:t xml:space="preserve">Repozitorijski sustav za praćenje provedbe plana za oporavak i otpornost uspostavljen je i operativan prije prvog zahtjeva za plaćanje (osim za pretfinanciranje). </w:t>
            </w:r>
          </w:p>
          <w:p w14:paraId="16E5D2E6" w14:textId="77777777" w:rsidR="003F46B9" w:rsidRDefault="0065662E">
            <w:pPr>
              <w:pStyle w:val="P68B1DB1-Normal5"/>
              <w:spacing w:after="0"/>
              <w:jc w:val="both"/>
              <w:rPr>
                <w:rFonts w:cs="Times New Roman"/>
                <w:noProof/>
              </w:rPr>
            </w:pPr>
            <w:r>
              <w:rPr>
                <w:noProof/>
              </w:rPr>
              <w:t>Sustav uključuje barem sljedeće funkcionalnosti:</w:t>
            </w:r>
          </w:p>
          <w:p w14:paraId="09D8764F" w14:textId="77777777" w:rsidR="003F46B9" w:rsidRDefault="0065662E">
            <w:pPr>
              <w:pStyle w:val="P68B1DB1-Normal5"/>
              <w:spacing w:after="0"/>
              <w:jc w:val="both"/>
              <w:rPr>
                <w:rFonts w:cs="Times New Roman"/>
                <w:noProof/>
              </w:rPr>
            </w:pPr>
            <w:r>
              <w:rPr>
                <w:noProof/>
              </w:rPr>
              <w:t>(a) prikupljanj</w:t>
            </w:r>
            <w:r>
              <w:rPr>
                <w:noProof/>
              </w:rPr>
              <w:t>e podataka i praćenje ostvarenja ključnih etapa i ciljnih vrijednosti;</w:t>
            </w:r>
          </w:p>
          <w:p w14:paraId="503F6361" w14:textId="77777777" w:rsidR="003F46B9" w:rsidRDefault="0065662E">
            <w:pPr>
              <w:pStyle w:val="P68B1DB1-Normal5"/>
              <w:spacing w:after="0" w:line="240" w:lineRule="auto"/>
              <w:jc w:val="both"/>
              <w:rPr>
                <w:rFonts w:cs="Times New Roman"/>
                <w:noProof/>
              </w:rPr>
            </w:pPr>
            <w:r>
              <w:rPr>
                <w:noProof/>
              </w:rPr>
              <w:t>(b) prikuplja i pohranjuje podatke propisane člankom 22. stavkom 2. točkom (d) podtočkama od i. do iii. Uredbe o Mehanizmu za oporavak i otpornost te osigurava pristup tim podacima.</w:t>
            </w:r>
          </w:p>
        </w:tc>
      </w:tr>
      <w:tr w:rsidR="003F46B9" w14:paraId="6D2B523E" w14:textId="77777777">
        <w:trPr>
          <w:trHeight w:val="309"/>
        </w:trPr>
        <w:tc>
          <w:tcPr>
            <w:tcW w:w="822" w:type="dxa"/>
            <w:shd w:val="clear" w:color="auto" w:fill="C6EFCE"/>
            <w:noWrap/>
          </w:tcPr>
          <w:p w14:paraId="307F1834" w14:textId="77777777" w:rsidR="003F46B9" w:rsidRDefault="0065662E">
            <w:pPr>
              <w:pStyle w:val="P68B1DB1-Normal5"/>
              <w:spacing w:after="0" w:line="240" w:lineRule="auto"/>
              <w:jc w:val="center"/>
              <w:rPr>
                <w:rFonts w:cs="Times New Roman"/>
                <w:noProof/>
              </w:rPr>
            </w:pPr>
            <w:r>
              <w:rPr>
                <w:noProof/>
              </w:rPr>
              <w:t>451</w:t>
            </w:r>
          </w:p>
        </w:tc>
        <w:tc>
          <w:tcPr>
            <w:tcW w:w="2391" w:type="dxa"/>
            <w:shd w:val="clear" w:color="auto" w:fill="C6EFCE"/>
            <w:noWrap/>
          </w:tcPr>
          <w:p w14:paraId="16D05F81" w14:textId="77777777" w:rsidR="003F46B9" w:rsidRDefault="0065662E">
            <w:pPr>
              <w:pStyle w:val="P68B1DB1-Normal5"/>
              <w:spacing w:after="0" w:line="240" w:lineRule="auto"/>
              <w:jc w:val="both"/>
              <w:rPr>
                <w:rFonts w:cs="Times New Roman"/>
                <w:noProof/>
              </w:rPr>
            </w:pPr>
            <w:r>
              <w:rPr>
                <w:noProof/>
              </w:rPr>
              <w:t xml:space="preserve">Ulaganje 5. Praćenje i provedba plana </w:t>
            </w:r>
          </w:p>
        </w:tc>
        <w:tc>
          <w:tcPr>
            <w:tcW w:w="1226" w:type="dxa"/>
            <w:shd w:val="clear" w:color="auto" w:fill="C6EFCE"/>
            <w:noWrap/>
          </w:tcPr>
          <w:p w14:paraId="52EC9ED2" w14:textId="77777777" w:rsidR="003F46B9" w:rsidRDefault="0065662E">
            <w:pPr>
              <w:pStyle w:val="P68B1DB1-Normal5"/>
              <w:spacing w:after="0" w:line="240" w:lineRule="auto"/>
              <w:rPr>
                <w:rFonts w:cs="Times New Roman"/>
                <w:noProof/>
              </w:rPr>
            </w:pPr>
            <w:r>
              <w:rPr>
                <w:noProof/>
              </w:rPr>
              <w:t>Prekretnica</w:t>
            </w:r>
          </w:p>
        </w:tc>
        <w:tc>
          <w:tcPr>
            <w:tcW w:w="1495" w:type="dxa"/>
            <w:shd w:val="clear" w:color="auto" w:fill="C6EFCE"/>
            <w:noWrap/>
          </w:tcPr>
          <w:p w14:paraId="5A95B8A7" w14:textId="77777777" w:rsidR="003F46B9" w:rsidRDefault="0065662E">
            <w:pPr>
              <w:pStyle w:val="P68B1DB1-Normal5"/>
              <w:spacing w:after="0" w:line="240" w:lineRule="auto"/>
              <w:jc w:val="both"/>
              <w:rPr>
                <w:rFonts w:cs="Times New Roman"/>
                <w:noProof/>
              </w:rPr>
            </w:pPr>
            <w:r>
              <w:rPr>
                <w:noProof/>
              </w:rPr>
              <w:t>Stupanje na snagu vladinog pravilnika kojim se utvrđuje pravni mandat Ministarstva ulaganja i europskih projekata (MIPE), Ministarstva financija (MoF) i Tijela za reviziju (AA)</w:t>
            </w:r>
          </w:p>
        </w:tc>
        <w:tc>
          <w:tcPr>
            <w:tcW w:w="1547" w:type="dxa"/>
            <w:shd w:val="clear" w:color="auto" w:fill="C6EFCE"/>
            <w:noWrap/>
          </w:tcPr>
          <w:p w14:paraId="3CD9BAC1" w14:textId="77777777" w:rsidR="003F46B9" w:rsidRDefault="0065662E">
            <w:pPr>
              <w:pStyle w:val="P68B1DB1-Normal5"/>
              <w:spacing w:after="0" w:line="240" w:lineRule="auto"/>
              <w:jc w:val="both"/>
              <w:rPr>
                <w:rFonts w:cs="Times New Roman"/>
                <w:noProof/>
              </w:rPr>
            </w:pPr>
            <w:r>
              <w:rPr>
                <w:noProof/>
              </w:rPr>
              <w:t>Zakonska odredba o stupanju na snagu Izvanredne uredbe Vlade o financijskom, provedbenom, kontrolnom i revizijskom mehanizmu, uključujući jasan mandat trima institucijama</w:t>
            </w:r>
          </w:p>
        </w:tc>
        <w:tc>
          <w:tcPr>
            <w:tcW w:w="1344" w:type="dxa"/>
            <w:shd w:val="clear" w:color="auto" w:fill="C6EFCE"/>
            <w:noWrap/>
          </w:tcPr>
          <w:p w14:paraId="07DE6106" w14:textId="77777777" w:rsidR="003F46B9" w:rsidRDefault="003F46B9">
            <w:pPr>
              <w:spacing w:after="0" w:line="240" w:lineRule="auto"/>
              <w:rPr>
                <w:rFonts w:ascii="Times New Roman" w:hAnsi="Times New Roman" w:cs="Times New Roman"/>
                <w:noProof/>
                <w:sz w:val="24"/>
              </w:rPr>
            </w:pPr>
          </w:p>
        </w:tc>
        <w:tc>
          <w:tcPr>
            <w:tcW w:w="1109" w:type="dxa"/>
            <w:shd w:val="clear" w:color="auto" w:fill="C6EFCE"/>
            <w:noWrap/>
          </w:tcPr>
          <w:p w14:paraId="793CCDA9" w14:textId="77777777" w:rsidR="003F46B9" w:rsidRDefault="003F46B9">
            <w:pPr>
              <w:spacing w:after="0" w:line="240" w:lineRule="auto"/>
              <w:rPr>
                <w:rFonts w:ascii="Times New Roman" w:hAnsi="Times New Roman" w:cs="Times New Roman"/>
                <w:noProof/>
                <w:sz w:val="24"/>
              </w:rPr>
            </w:pPr>
          </w:p>
        </w:tc>
        <w:tc>
          <w:tcPr>
            <w:tcW w:w="872" w:type="dxa"/>
            <w:shd w:val="clear" w:color="auto" w:fill="C6EFCE"/>
          </w:tcPr>
          <w:p w14:paraId="2CAACC39" w14:textId="77777777" w:rsidR="003F46B9" w:rsidRDefault="003F46B9">
            <w:pPr>
              <w:spacing w:after="0" w:line="240" w:lineRule="auto"/>
              <w:rPr>
                <w:rFonts w:ascii="Times New Roman" w:hAnsi="Times New Roman" w:cs="Times New Roman"/>
                <w:noProof/>
                <w:sz w:val="24"/>
              </w:rPr>
            </w:pPr>
          </w:p>
        </w:tc>
        <w:tc>
          <w:tcPr>
            <w:tcW w:w="1082" w:type="dxa"/>
            <w:shd w:val="clear" w:color="auto" w:fill="C6EFCE"/>
            <w:noWrap/>
          </w:tcPr>
          <w:p w14:paraId="2F697C0D" w14:textId="77777777" w:rsidR="003F46B9" w:rsidRDefault="0065662E">
            <w:pPr>
              <w:pStyle w:val="P68B1DB1-Normal5"/>
              <w:spacing w:after="0" w:line="240" w:lineRule="auto"/>
              <w:rPr>
                <w:rFonts w:cs="Times New Roman"/>
                <w:noProof/>
              </w:rPr>
            </w:pPr>
            <w:r>
              <w:rPr>
                <w:noProof/>
              </w:rPr>
              <w:t>ČETVRTO TROMJESEČJE</w:t>
            </w:r>
          </w:p>
        </w:tc>
        <w:tc>
          <w:tcPr>
            <w:tcW w:w="820" w:type="dxa"/>
            <w:shd w:val="clear" w:color="auto" w:fill="C6EFCE"/>
            <w:noWrap/>
          </w:tcPr>
          <w:p w14:paraId="7CC8D44A" w14:textId="77777777" w:rsidR="003F46B9" w:rsidRDefault="0065662E">
            <w:pPr>
              <w:pStyle w:val="P68B1DB1-Normal5"/>
              <w:spacing w:after="0" w:line="240" w:lineRule="auto"/>
              <w:jc w:val="center"/>
              <w:rPr>
                <w:rFonts w:cs="Times New Roman"/>
                <w:noProof/>
              </w:rPr>
            </w:pPr>
            <w:r>
              <w:rPr>
                <w:noProof/>
              </w:rPr>
              <w:t>2021</w:t>
            </w:r>
          </w:p>
        </w:tc>
        <w:tc>
          <w:tcPr>
            <w:tcW w:w="3168" w:type="dxa"/>
            <w:shd w:val="clear" w:color="auto" w:fill="C6EFCE"/>
            <w:noWrap/>
          </w:tcPr>
          <w:p w14:paraId="3F85055B" w14:textId="77777777" w:rsidR="003F46B9" w:rsidRDefault="0065662E">
            <w:pPr>
              <w:pStyle w:val="P68B1DB1-Normal5"/>
              <w:spacing w:after="0" w:line="240" w:lineRule="auto"/>
              <w:jc w:val="both"/>
              <w:rPr>
                <w:rFonts w:cs="Times New Roman"/>
                <w:noProof/>
              </w:rPr>
            </w:pPr>
            <w:r>
              <w:rPr>
                <w:noProof/>
              </w:rPr>
              <w:t>Stupanje na snagu vladinog pravilnika kojim se utvrđuje i</w:t>
            </w:r>
            <w:r>
              <w:rPr>
                <w:noProof/>
              </w:rPr>
              <w:t xml:space="preserve">nstitucionalni okvir za nacionalni plan za oporavak i otpornost i aktivnosti koje provode konstituirajuće institucije kojima se MIPE-u povjerava ovlast i mandat za izvršavanje svih zadaća praćenja, provjere, kontrole i povrata, sastavljanja i potpisivanja </w:t>
            </w:r>
            <w:r>
              <w:rPr>
                <w:noProof/>
              </w:rPr>
              <w:t>zahtjeva za plaćanje podnesenih Europskoj komisiji, izjave o upravljanju i sažetka revizije. Tim se okvirom MF-u povjeravaju i dužnosti povezane s potpisivanjem sporazuma o zajmu i sporazuma o financiranju zajedno s MIPE-om te se utvrđuju aktivnosti koje t</w:t>
            </w:r>
            <w:r>
              <w:rPr>
                <w:noProof/>
              </w:rPr>
              <w:t>ijelo za reviziju obavlja u okviru svojeg mandata za nacionalni plan za oporavak i otpornost.</w:t>
            </w:r>
          </w:p>
        </w:tc>
      </w:tr>
    </w:tbl>
    <w:p w14:paraId="24079D62" w14:textId="32E6D6D2" w:rsidR="003F46B9" w:rsidRDefault="0065662E">
      <w:pPr>
        <w:pStyle w:val="P68B1DB1-Normal21"/>
        <w:spacing w:before="120" w:after="120" w:line="240" w:lineRule="auto"/>
        <w:ind w:left="850"/>
        <w:jc w:val="both"/>
        <w:rPr>
          <w:noProof/>
        </w:rPr>
        <w:sectPr w:rsidR="003F46B9">
          <w:headerReference w:type="even" r:id="rId295"/>
          <w:headerReference w:type="default" r:id="rId296"/>
          <w:footerReference w:type="even" r:id="rId297"/>
          <w:footerReference w:type="default" r:id="rId298"/>
          <w:headerReference w:type="first" r:id="rId299"/>
          <w:footerReference w:type="first" r:id="rId300"/>
          <w:pgSz w:w="16839" w:h="11907" w:orient="landscape"/>
          <w:pgMar w:top="1417" w:right="1134" w:bottom="1417" w:left="1134" w:header="709" w:footer="709" w:gutter="0"/>
          <w:cols w:space="720"/>
          <w:docGrid w:linePitch="360"/>
        </w:sectPr>
      </w:pPr>
      <w:r>
        <w:rPr>
          <w:noProof/>
        </w:rPr>
        <w:br/>
      </w:r>
    </w:p>
    <w:p w14:paraId="34258CFE" w14:textId="77777777" w:rsidR="003F46B9" w:rsidRDefault="0065662E">
      <w:pPr>
        <w:pStyle w:val="P68B1DB1-Normal4"/>
        <w:keepNext/>
        <w:numPr>
          <w:ilvl w:val="0"/>
          <w:numId w:val="1"/>
        </w:numPr>
        <w:tabs>
          <w:tab w:val="left" w:pos="850"/>
        </w:tabs>
        <w:spacing w:before="360" w:after="120" w:line="240" w:lineRule="auto"/>
        <w:ind w:left="1271"/>
        <w:jc w:val="both"/>
        <w:outlineLvl w:val="0"/>
        <w:rPr>
          <w:rFonts w:cs="Times New Roman"/>
          <w:noProof/>
        </w:rPr>
      </w:pPr>
      <w:r>
        <w:rPr>
          <w:noProof/>
        </w:rPr>
        <w:t>SASTAVNI DIO 15.: Obrazovanje</w:t>
      </w:r>
    </w:p>
    <w:p w14:paraId="1F9EBDA6" w14:textId="77777777" w:rsidR="003F46B9" w:rsidRDefault="0065662E">
      <w:pPr>
        <w:pStyle w:val="P68B1DB1-Normal5"/>
        <w:spacing w:before="120" w:after="120" w:line="240" w:lineRule="auto"/>
        <w:jc w:val="both"/>
        <w:rPr>
          <w:rFonts w:cs="Times New Roman"/>
          <w:noProof/>
        </w:rPr>
      </w:pPr>
      <w:r>
        <w:rPr>
          <w:noProof/>
        </w:rPr>
        <w:t>Ta sastavnica rumunjskog plana za oporavak i otpornost sastoji se od šest</w:t>
      </w:r>
      <w:r>
        <w:rPr>
          <w:noProof/>
        </w:rPr>
        <w:t xml:space="preserve"> potkomponenti za rješavanje ključnih izazova u obrazovnom sustavu. Potkomponente proizlaze iz projekta „Obrazovanje Rumunjske”, koji je sveobuhvatna strategija za reformu obrazovnog sustava u Rumunjskoj. Podsastavnice su sljedeće:</w:t>
      </w:r>
    </w:p>
    <w:p w14:paraId="27DE46D3"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Rani i predškolski odgoj i obrazovanje: razvoj jedinstvenog, uključivog i kvalitetnog sustava ranog i predškolskog odgoja i obrazovanja, poboljšanje pristupa i sudjelovanja osoba u dobi od 0 do 6 godina, na temelju učinkovite međuinstitucijske suradnje i m</w:t>
      </w:r>
      <w:r>
        <w:rPr>
          <w:noProof/>
        </w:rPr>
        <w:t xml:space="preserve">eđusektorskog mehanizma koordinacije; </w:t>
      </w:r>
    </w:p>
    <w:p w14:paraId="154FC500"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 xml:space="preserve">Rano napuštanje školovanja: reforma obveznog obrazovanja povećanjem autonomije škola kako bi se spriječilo i smanjilo rano napuštanje školovanja putem programa socijalne uključenosti i pružanja jednakih mogućnosti; </w:t>
      </w:r>
    </w:p>
    <w:p w14:paraId="30455B41"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S</w:t>
      </w:r>
      <w:r>
        <w:rPr>
          <w:noProof/>
        </w:rPr>
        <w:t xml:space="preserve">trukovno obrazovanje i osposobljavanje te dvojno obrazovanje: stvaranje potpune profesionalne rute za visoko tehničko obrazovanje; </w:t>
      </w:r>
    </w:p>
    <w:p w14:paraId="6FCAA6AD"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 xml:space="preserve">Digitalizacija obrazovanja: digitalizacija obrazovnog procesa, među ostalim promjenama pravnog okvira, kako bi se omogućili </w:t>
      </w:r>
      <w:r>
        <w:rPr>
          <w:noProof/>
        </w:rPr>
        <w:t xml:space="preserve">integrirani pristupi i poboljšale digitalne vještine učenika i nastavnika; </w:t>
      </w:r>
    </w:p>
    <w:p w14:paraId="4C69216D"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Infrastruktura: unapređenjem infrastrukture škola i sveučilišta u urbanim i ruralnim područjima, među ostalim izmjenom i pojednostavnjenjem regulatornog okvira kako bi se osigurali</w:t>
      </w:r>
      <w:r>
        <w:rPr>
          <w:noProof/>
        </w:rPr>
        <w:t xml:space="preserve"> ekološki prihvatljivi standardi sigurnosti i kvalitete; </w:t>
      </w:r>
    </w:p>
    <w:p w14:paraId="78341FB2" w14:textId="77777777" w:rsidR="003F46B9" w:rsidRDefault="0065662E">
      <w:pPr>
        <w:pStyle w:val="P68B1DB1-Normal5"/>
        <w:numPr>
          <w:ilvl w:val="5"/>
          <w:numId w:val="104"/>
        </w:numPr>
        <w:spacing w:before="120" w:after="120" w:line="240" w:lineRule="auto"/>
        <w:ind w:left="425"/>
        <w:jc w:val="both"/>
        <w:rPr>
          <w:rFonts w:cs="Times New Roman"/>
          <w:noProof/>
        </w:rPr>
      </w:pPr>
      <w:r>
        <w:rPr>
          <w:noProof/>
        </w:rPr>
        <w:t>Upravljanje školama: reforma upravljanja predsveučilišnim obrazovanjem i profesionalizacija njegova upravljanja, uz povećanu autonomiju škola, kako bi se osigurala stabilnost, dosljednost i stručnos</w:t>
      </w:r>
      <w:r>
        <w:rPr>
          <w:noProof/>
        </w:rPr>
        <w:t>t.</w:t>
      </w:r>
    </w:p>
    <w:p w14:paraId="02B0EC59" w14:textId="77777777" w:rsidR="003F46B9" w:rsidRDefault="0065662E">
      <w:pPr>
        <w:pStyle w:val="P68B1DB1-Normal5"/>
        <w:spacing w:before="120" w:after="120" w:line="240" w:lineRule="auto"/>
        <w:jc w:val="both"/>
        <w:rPr>
          <w:rFonts w:cs="Times New Roman"/>
          <w:noProof/>
        </w:rPr>
      </w:pPr>
      <w:r>
        <w:rPr>
          <w:noProof/>
        </w:rPr>
        <w:t>Komponenta uključuje šest reformi i 18 ulaganja te sveobuhvatnu reformu za donošenje zakonodavstva o provedbi projekta „Obrazovljena Rumunjska”.</w:t>
      </w:r>
    </w:p>
    <w:p w14:paraId="5867CF66" w14:textId="77777777" w:rsidR="003F46B9" w:rsidRDefault="0065662E">
      <w:pPr>
        <w:pStyle w:val="P68B1DB1-Normal5"/>
        <w:spacing w:before="120" w:after="120" w:line="240" w:lineRule="auto"/>
        <w:jc w:val="both"/>
        <w:rPr>
          <w:rFonts w:cs="Times New Roman"/>
          <w:noProof/>
        </w:rPr>
      </w:pPr>
      <w:r>
        <w:rPr>
          <w:noProof/>
        </w:rPr>
        <w:t>Komponenta doprinosi ispunjavanju preporuke za Rumunjsku o poboljšanju kvalitete i uključivosti obrazovanja,</w:t>
      </w:r>
      <w:r>
        <w:rPr>
          <w:noProof/>
        </w:rPr>
        <w:t xml:space="preserve"> posebno za Rome i druge skupine u nepovoljnom položaju, te poboljšanju vještina, uključujući digitalne vještine, posebno povećanjem relevantnosti strukovnog obrazovanja i osposobljavanja te visokog obrazovanja za tržište rada (preporuka za pojedinu zemlju</w:t>
      </w:r>
      <w:r>
        <w:rPr>
          <w:noProof/>
        </w:rPr>
        <w:t xml:space="preserve"> 3, 2019.). U njemu se uzima u obzir i preporuka o jačanju vještina i digitalnog učenja te osiguravanju jednakog pristupa obrazovanju (2. preporuka za pojedinu zemlju iz 2020.).</w:t>
      </w:r>
    </w:p>
    <w:p w14:paraId="218C5752" w14:textId="77777777" w:rsidR="003F46B9" w:rsidRDefault="0065662E">
      <w:pPr>
        <w:pStyle w:val="P68B1DB1-Normal5"/>
        <w:spacing w:before="120" w:after="120" w:line="240" w:lineRule="auto"/>
        <w:jc w:val="both"/>
        <w:rPr>
          <w:rFonts w:cs="Times New Roman"/>
          <w:noProof/>
        </w:rPr>
      </w:pPr>
      <w:r>
        <w:rPr>
          <w:noProof/>
        </w:rPr>
        <w:t>Očekuje se da se nijednom mjerom u ovoj komponenti ne nanosi znatna šteta okol</w:t>
      </w:r>
      <w:r>
        <w:rPr>
          <w:noProof/>
        </w:rPr>
        <w:t xml:space="preserve">išnim ciljevima u smislu članka 17. Uredbe (EU) 2020/852, uzimajući u obzir opis mjera i korake ublažavanja utvrđene u planu za oporavak i otpornost u skladu s Tehničkim smjernicama DNSH-a (2021/C58/01). </w:t>
      </w:r>
    </w:p>
    <w:p w14:paraId="1FFEB869"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O.1. </w:t>
      </w:r>
      <w:r>
        <w:rPr>
          <w:noProof/>
        </w:rPr>
        <w:tab/>
      </w:r>
      <w:r>
        <w:rPr>
          <w:rFonts w:ascii="Times New Roman" w:hAnsi="Times New Roman"/>
          <w:b/>
          <w:noProof/>
          <w:sz w:val="24"/>
        </w:rPr>
        <w:t>Opis reformi i ulaganja za programe bespovrat</w:t>
      </w:r>
      <w:r>
        <w:rPr>
          <w:rFonts w:ascii="Times New Roman" w:hAnsi="Times New Roman"/>
          <w:b/>
          <w:noProof/>
          <w:sz w:val="24"/>
        </w:rPr>
        <w:t>ne financijske potpore</w:t>
      </w:r>
    </w:p>
    <w:p w14:paraId="09F562E6" w14:textId="77777777" w:rsidR="003F46B9" w:rsidRDefault="0065662E">
      <w:pPr>
        <w:pStyle w:val="P68B1DB1-Standard6"/>
        <w:spacing w:before="240"/>
        <w:jc w:val="both"/>
        <w:rPr>
          <w:rFonts w:ascii="Times New Roman" w:eastAsiaTheme="majorEastAsia" w:hAnsi="Times New Roman" w:cs="Times New Roman"/>
          <w:noProof/>
        </w:rPr>
      </w:pPr>
      <w:r>
        <w:rPr>
          <w:noProof/>
        </w:rPr>
        <w:t>Reforma 1. Izrada i donošenje zakonodavnog paketa za provedbu projekta „Obrazovanje Rumunjske”</w:t>
      </w:r>
    </w:p>
    <w:p w14:paraId="25DFC15C" w14:textId="77777777" w:rsidR="003F46B9" w:rsidRDefault="0065662E">
      <w:pPr>
        <w:pStyle w:val="P68B1DB1-Normal5"/>
        <w:spacing w:before="120" w:after="120" w:line="240" w:lineRule="auto"/>
        <w:jc w:val="both"/>
        <w:rPr>
          <w:rFonts w:cs="Times New Roman"/>
          <w:noProof/>
        </w:rPr>
      </w:pPr>
      <w:r>
        <w:rPr>
          <w:noProof/>
        </w:rPr>
        <w:t>Cilj je te reforme donošenje i stupanje na snagu zakonodavnog paketa za provedbu projekta „Obrazovljena Rumunjska”, koji je sveobuhvatna s</w:t>
      </w:r>
      <w:r>
        <w:rPr>
          <w:noProof/>
        </w:rPr>
        <w:t>trategija za reformu obrazovnog sustava Rumunjske. Sve naknadne reforme i ulaganja sastavni su dijelovi te strategije.</w:t>
      </w:r>
    </w:p>
    <w:p w14:paraId="1409BBEB" w14:textId="4576C28D" w:rsidR="003F46B9" w:rsidRDefault="0065662E">
      <w:pPr>
        <w:pStyle w:val="P68B1DB1-Normal5"/>
        <w:spacing w:before="120" w:after="120" w:line="240" w:lineRule="auto"/>
        <w:jc w:val="both"/>
        <w:rPr>
          <w:rFonts w:cs="Times New Roman"/>
          <w:noProof/>
        </w:rPr>
      </w:pPr>
      <w:r>
        <w:rPr>
          <w:noProof/>
        </w:rPr>
        <w:t>Reforma se sastoji od sljedećih koraka koji vode do donošenja i stupanja na snagu zakonodavnog paketa za provedbu „obrazovane Rumunjske”:</w:t>
      </w:r>
      <w:r>
        <w:rPr>
          <w:noProof/>
        </w:rPr>
        <w:t xml:space="preserve"> osnivanje međuministarske radne skupine koju koordinira premijer, a koja će pratiti provedbu projekta; ministarska odluka kojom se odobrava akcijski plan za provedbu; i pripremu zakonodavnog paketa uz blisko savjetovanje s ključnim dionicima.</w:t>
      </w:r>
    </w:p>
    <w:p w14:paraId="547AE383" w14:textId="77777777" w:rsidR="003F46B9" w:rsidRDefault="0065662E">
      <w:pPr>
        <w:pStyle w:val="P68B1DB1-Normal5"/>
        <w:spacing w:before="120" w:after="120" w:line="240" w:lineRule="auto"/>
        <w:jc w:val="both"/>
        <w:rPr>
          <w:rFonts w:cs="Times New Roman"/>
          <w:noProof/>
        </w:rPr>
      </w:pPr>
      <w:r>
        <w:rPr>
          <w:noProof/>
        </w:rPr>
        <w:t>Provedba ref</w:t>
      </w:r>
      <w:r>
        <w:rPr>
          <w:noProof/>
        </w:rPr>
        <w:t>orme mora biti dovršena do 30. rujna 2023.</w:t>
      </w:r>
    </w:p>
    <w:p w14:paraId="0976FAD3" w14:textId="77777777" w:rsidR="003F46B9" w:rsidRDefault="0065662E">
      <w:pPr>
        <w:pStyle w:val="P68B1DB1-Normal5"/>
        <w:numPr>
          <w:ilvl w:val="0"/>
          <w:numId w:val="105"/>
        </w:numPr>
        <w:spacing w:before="120" w:after="120" w:line="240" w:lineRule="auto"/>
        <w:ind w:left="567"/>
        <w:jc w:val="both"/>
        <w:rPr>
          <w:rFonts w:cs="Times New Roman"/>
          <w:noProof/>
        </w:rPr>
      </w:pPr>
      <w:r>
        <w:rPr>
          <w:noProof/>
        </w:rPr>
        <w:t xml:space="preserve">Rani i predškolski odgoj i obrazovanje: </w:t>
      </w:r>
    </w:p>
    <w:p w14:paraId="34812926"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2. Jedinstveni, uključiv i kvalitetan sustav ranog i predškolskog odgoja i obrazovanja </w:t>
      </w:r>
    </w:p>
    <w:p w14:paraId="5A146EFE" w14:textId="77777777" w:rsidR="003F46B9" w:rsidRDefault="0065662E">
      <w:pPr>
        <w:pStyle w:val="P68B1DB1-Normal5"/>
        <w:spacing w:before="120" w:after="120" w:line="240" w:lineRule="auto"/>
        <w:jc w:val="both"/>
        <w:rPr>
          <w:rFonts w:cs="Times New Roman"/>
          <w:noProof/>
        </w:rPr>
      </w:pPr>
      <w:r>
        <w:rPr>
          <w:noProof/>
        </w:rPr>
        <w:t>Cilj je reforme poboljšati pristup ranom i predškolskom odgoju i obrazovanju</w:t>
      </w:r>
      <w:r>
        <w:rPr>
          <w:noProof/>
        </w:rPr>
        <w:t xml:space="preserve"> za djecu od rođenja do početka osnovnog obrazovanja, s posebnim naglaskom na djeci iz skupina u nepovoljnom socioekonomskom položaju. </w:t>
      </w:r>
    </w:p>
    <w:p w14:paraId="5CF2FE75" w14:textId="77777777" w:rsidR="003F46B9" w:rsidRDefault="0065662E">
      <w:pPr>
        <w:pStyle w:val="P68B1DB1-Normal5"/>
        <w:spacing w:before="120" w:after="120" w:line="240" w:lineRule="auto"/>
        <w:jc w:val="both"/>
        <w:rPr>
          <w:rFonts w:cs="Times New Roman"/>
          <w:noProof/>
        </w:rPr>
      </w:pPr>
      <w:r>
        <w:rPr>
          <w:noProof/>
        </w:rPr>
        <w:t>Reforma uključuje donošenje međusektorskog okvirnog programa za razvoj jedinstvenih, uključivih i kvalitetnih usluga ran</w:t>
      </w:r>
      <w:r>
        <w:rPr>
          <w:noProof/>
        </w:rPr>
        <w:t>og i predškolskog odgoja, s jasnim odgovornostima uključenih ministarstava (Ministarstvo obrazovanja, Ministarstvo rada i socijalne zaštite, Ministarstvo zdravstva i Ministarstvo razvoja, javnih radova i uprave), kao i godišnje operativne planove provedbe.</w:t>
      </w:r>
      <w:r>
        <w:rPr>
          <w:noProof/>
        </w:rPr>
        <w:t xml:space="preserve"> Međusektorski okvirni program donosi se ministarskom uredbom i stupa na snagu do 31. prosinca 2022.</w:t>
      </w:r>
    </w:p>
    <w:p w14:paraId="7118B5D4" w14:textId="77777777" w:rsidR="003F46B9" w:rsidRDefault="0065662E">
      <w:pPr>
        <w:pStyle w:val="P68B1DB1-Normal5"/>
        <w:spacing w:before="120" w:after="120" w:line="240" w:lineRule="auto"/>
        <w:jc w:val="both"/>
        <w:rPr>
          <w:rFonts w:cs="Times New Roman"/>
          <w:noProof/>
        </w:rPr>
      </w:pPr>
      <w:r>
        <w:rPr>
          <w:noProof/>
        </w:rPr>
        <w:t xml:space="preserve">Reforma uključuje i donošenje ažuriranog zakonodavnog okvira za uspostavu, organizaciju i rad dopunskih usluga ranog i predškolskog odgoja i obrazovanja. </w:t>
      </w:r>
    </w:p>
    <w:p w14:paraId="5C04725C" w14:textId="77777777" w:rsidR="003F46B9" w:rsidRDefault="0065662E">
      <w:pPr>
        <w:pStyle w:val="P68B1DB1-Normal5"/>
        <w:spacing w:before="120" w:after="120" w:line="240" w:lineRule="auto"/>
        <w:jc w:val="both"/>
        <w:rPr>
          <w:rFonts w:cs="Times New Roman"/>
          <w:noProof/>
        </w:rPr>
      </w:pPr>
      <w:r>
        <w:rPr>
          <w:noProof/>
        </w:rPr>
        <w:t xml:space="preserve">Očekuje se da će se tom reformom stopa sudjelovanja osoba u ranom i predškolskom odgoju i obrazovanju povećati na 19 % do 31. prosinca 2025. Osim toga, očekuje se da će stopa sudjelovanja osoba u dobi od 3 do 6 godina u obrazovnim uslugama do 31. prosinca </w:t>
      </w:r>
      <w:r>
        <w:rPr>
          <w:noProof/>
        </w:rPr>
        <w:t>2025. porasti na 91 %.</w:t>
      </w:r>
    </w:p>
    <w:p w14:paraId="31A42670" w14:textId="77777777" w:rsidR="003F46B9" w:rsidRDefault="0065662E">
      <w:pPr>
        <w:pStyle w:val="P68B1DB1-Normal5"/>
        <w:spacing w:before="120" w:after="120" w:line="240" w:lineRule="auto"/>
        <w:jc w:val="both"/>
        <w:rPr>
          <w:rFonts w:cs="Times New Roman"/>
          <w:noProof/>
        </w:rPr>
      </w:pPr>
      <w:r>
        <w:rPr>
          <w:noProof/>
        </w:rPr>
        <w:t>Provedba reforme mora biti dovršena do 31. prosinca 2025.</w:t>
      </w:r>
    </w:p>
    <w:p w14:paraId="01636990" w14:textId="77777777" w:rsidR="003F46B9" w:rsidRDefault="0065662E">
      <w:pPr>
        <w:pStyle w:val="P68B1DB1-Normal5"/>
        <w:spacing w:before="120" w:after="120" w:line="240" w:lineRule="auto"/>
        <w:jc w:val="both"/>
        <w:rPr>
          <w:rFonts w:cs="Times New Roman"/>
          <w:noProof/>
        </w:rPr>
      </w:pPr>
      <w:r>
        <w:rPr>
          <w:noProof/>
        </w:rPr>
        <w:t>Ta se reforma dopunjuje trima povezanim ulaganjima:</w:t>
      </w:r>
    </w:p>
    <w:p w14:paraId="5DD568BE"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 Izgradnja, opremanje i operacionalizacija 110 jaslica</w:t>
      </w:r>
    </w:p>
    <w:p w14:paraId="5F201A0A" w14:textId="77777777" w:rsidR="003F46B9" w:rsidRDefault="0065662E">
      <w:pPr>
        <w:pStyle w:val="P68B1DB1-Normal5"/>
        <w:spacing w:before="120" w:after="120" w:line="240" w:lineRule="auto"/>
        <w:jc w:val="both"/>
        <w:rPr>
          <w:rFonts w:cs="Times New Roman"/>
          <w:noProof/>
        </w:rPr>
      </w:pPr>
      <w:r>
        <w:rPr>
          <w:noProof/>
        </w:rPr>
        <w:t xml:space="preserve">Cilj je tog ulaganja povećati kapacitet sustava ranog i </w:t>
      </w:r>
      <w:r>
        <w:rPr>
          <w:noProof/>
        </w:rPr>
        <w:t>predškolskog odgoja i obrazovanja osiguravanjem jaslica kako bi se poboljšao pristup i sudjelovanje u standardnim uslugama ranog i predškolskog odgoja i obrazovanja. Ulaganja uključuju izgradnju, opremanje i operacionalizaciju 110 energetski učinkovitih ja</w:t>
      </w:r>
      <w:r>
        <w:rPr>
          <w:noProof/>
        </w:rPr>
        <w:t>slica na nacionalnoj razini, pružajući standardnu uslugu ranog i predškolskog odgoja i obrazovanja na svakih 5000 do 10000 stanovnika, za do 4500 djece.</w:t>
      </w:r>
    </w:p>
    <w:p w14:paraId="6D93CED7" w14:textId="5DB89C19" w:rsidR="003F46B9" w:rsidRDefault="0065662E">
      <w:pPr>
        <w:pStyle w:val="P68B1DB1-Normal5"/>
        <w:spacing w:before="120" w:after="120" w:line="240" w:lineRule="auto"/>
        <w:jc w:val="both"/>
        <w:rPr>
          <w:rFonts w:cs="Times New Roman"/>
          <w:noProof/>
        </w:rPr>
      </w:pPr>
      <w:r>
        <w:rPr>
          <w:noProof/>
        </w:rPr>
        <w:t>Jaslice kapaciteta između 40 i 110 mjesta u malim, srednjim i velikim jaslicama izgradit će lokalna jav</w:t>
      </w:r>
      <w:r>
        <w:rPr>
          <w:noProof/>
        </w:rPr>
        <w:t>na tijela. Novoizgrađene zgrade moraju biti usklađene s ciljem postizanja potražnje za primarnom energijom koja je najmanje 20 % niža od zahtjeva za zgrade gotovo nulte energije u skladu s nacionalnim smjernicama, što se osigurava energetskim certifikatima</w:t>
      </w:r>
      <w:r>
        <w:rPr>
          <w:noProof/>
        </w:rPr>
        <w:t xml:space="preserve">. </w:t>
      </w:r>
    </w:p>
    <w:p w14:paraId="5A730CCF" w14:textId="211FDF57" w:rsidR="003F46B9" w:rsidRDefault="0065662E">
      <w:pPr>
        <w:pStyle w:val="P68B1DB1-Normal5"/>
        <w:spacing w:before="120" w:after="120" w:line="240" w:lineRule="auto"/>
        <w:jc w:val="both"/>
        <w:rPr>
          <w:rFonts w:cs="Times New Roman"/>
          <w:noProof/>
        </w:rPr>
      </w:pPr>
      <w:r>
        <w:rPr>
          <w:noProof/>
        </w:rPr>
        <w:t xml:space="preserve">To se ulaganje ostvaruje dodjelom bespovratnih sredstava lokalnim javnim tijelima, uz teritorijalnu raspodjelu, za jaslice, rani i predškolski odgoj i obrazovanje. </w:t>
      </w:r>
    </w:p>
    <w:p w14:paraId="0ABF4109"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662EB5F5" w14:textId="77777777" w:rsidR="003F46B9" w:rsidRDefault="003F46B9">
      <w:pPr>
        <w:spacing w:before="120" w:after="120" w:line="240" w:lineRule="auto"/>
        <w:jc w:val="both"/>
        <w:rPr>
          <w:rFonts w:ascii="Times New Roman" w:hAnsi="Times New Roman" w:cs="Times New Roman"/>
          <w:noProof/>
          <w:sz w:val="24"/>
        </w:rPr>
      </w:pPr>
    </w:p>
    <w:p w14:paraId="290760FB" w14:textId="05704572" w:rsidR="003F46B9" w:rsidRDefault="0065662E">
      <w:pPr>
        <w:pStyle w:val="P68B1DB1-Standard6"/>
        <w:spacing w:before="240"/>
        <w:jc w:val="both"/>
        <w:rPr>
          <w:rFonts w:ascii="Times New Roman" w:eastAsiaTheme="majorEastAsia" w:hAnsi="Times New Roman" w:cs="Times New Roman"/>
          <w:noProof/>
        </w:rPr>
      </w:pPr>
      <w:r>
        <w:rPr>
          <w:noProof/>
        </w:rPr>
        <w:t>Ulaganje 2. Uspostava, oprem</w:t>
      </w:r>
      <w:r>
        <w:rPr>
          <w:noProof/>
        </w:rPr>
        <w:t>anje i operacionalizacija 90 dopunskih usluga za skupine u nepovoljnom položaju</w:t>
      </w:r>
      <w:r>
        <w:rPr>
          <w:rFonts w:ascii="Times New Roman" w:hAnsi="Times New Roman"/>
          <w:noProof/>
        </w:rPr>
        <w:t xml:space="preserve"> </w:t>
      </w:r>
    </w:p>
    <w:p w14:paraId="1B204305" w14:textId="31DB6363" w:rsidR="003F46B9" w:rsidRDefault="0065662E">
      <w:pPr>
        <w:pStyle w:val="P68B1DB1-Normal5"/>
        <w:spacing w:before="120" w:after="120" w:line="240" w:lineRule="auto"/>
        <w:jc w:val="both"/>
        <w:rPr>
          <w:rFonts w:cs="Times New Roman"/>
          <w:noProof/>
        </w:rPr>
      </w:pPr>
      <w:r>
        <w:rPr>
          <w:noProof/>
        </w:rPr>
        <w:t xml:space="preserve">Cilj je tog ulaganja povećati kapacitet i kvalitetu sustava ranog i predškolskog odgoja i obrazovanja kako bi se poboljšale stope sudjelovanja, kako na predškolskoj tako i na </w:t>
      </w:r>
      <w:r>
        <w:rPr>
          <w:noProof/>
        </w:rPr>
        <w:t>predškolskoj razini, angažiranjem oko 4500 djece u nepovoljnom položaju.</w:t>
      </w:r>
    </w:p>
    <w:p w14:paraId="3FB7D562" w14:textId="77777777" w:rsidR="003F46B9" w:rsidRDefault="0065662E">
      <w:pPr>
        <w:pStyle w:val="P68B1DB1-Normal5"/>
        <w:spacing w:before="120" w:after="120" w:line="240" w:lineRule="auto"/>
        <w:jc w:val="both"/>
        <w:rPr>
          <w:rFonts w:eastAsia="Times New Roman" w:cs="Times New Roman"/>
          <w:noProof/>
        </w:rPr>
      </w:pPr>
      <w:r>
        <w:rPr>
          <w:noProof/>
        </w:rPr>
        <w:t>Ulaganje uključuje sljedeće mjere:</w:t>
      </w:r>
    </w:p>
    <w:p w14:paraId="0A81DDC8" w14:textId="48809186" w:rsidR="003F46B9" w:rsidRDefault="0065662E">
      <w:pPr>
        <w:pStyle w:val="P68B1DB1-Normal5"/>
        <w:numPr>
          <w:ilvl w:val="0"/>
          <w:numId w:val="106"/>
        </w:numPr>
        <w:spacing w:before="120" w:after="120" w:line="240" w:lineRule="auto"/>
        <w:ind w:left="425"/>
        <w:contextualSpacing/>
        <w:jc w:val="both"/>
        <w:rPr>
          <w:rFonts w:cs="Times New Roman"/>
          <w:noProof/>
        </w:rPr>
      </w:pPr>
      <w:r>
        <w:rPr>
          <w:noProof/>
        </w:rPr>
        <w:t>Razvoj metodologije za dodjelu bespovratnih sredstava javnim i privatnim subjektima za uspostavu i opremanje 90 dopunskih usluga;</w:t>
      </w:r>
    </w:p>
    <w:p w14:paraId="3325F894" w14:textId="1F939825" w:rsidR="003F46B9" w:rsidRDefault="0065662E">
      <w:pPr>
        <w:pStyle w:val="P68B1DB1-Normal5"/>
        <w:numPr>
          <w:ilvl w:val="0"/>
          <w:numId w:val="106"/>
        </w:numPr>
        <w:spacing w:before="120" w:after="120" w:line="240" w:lineRule="auto"/>
        <w:ind w:left="425"/>
        <w:contextualSpacing/>
        <w:jc w:val="both"/>
        <w:rPr>
          <w:rFonts w:cs="Times New Roman"/>
          <w:noProof/>
        </w:rPr>
      </w:pPr>
      <w:r>
        <w:rPr>
          <w:noProof/>
        </w:rPr>
        <w:t>Dodjela bespovratn</w:t>
      </w:r>
      <w:r>
        <w:rPr>
          <w:noProof/>
        </w:rPr>
        <w:t xml:space="preserve">ih sredstava javnim i privatnim subjektima za uspostavu, opremanje i operacionalizaciju 90 dopunskih usluga; </w:t>
      </w:r>
    </w:p>
    <w:p w14:paraId="52BE2513" w14:textId="7C408D64" w:rsidR="003F46B9" w:rsidRDefault="0065662E">
      <w:pPr>
        <w:pStyle w:val="P68B1DB1-Normal5"/>
        <w:numPr>
          <w:ilvl w:val="0"/>
          <w:numId w:val="106"/>
        </w:numPr>
        <w:spacing w:before="120" w:after="120" w:line="240" w:lineRule="auto"/>
        <w:ind w:left="425"/>
        <w:contextualSpacing/>
        <w:jc w:val="both"/>
        <w:rPr>
          <w:rFonts w:cs="Times New Roman"/>
          <w:noProof/>
        </w:rPr>
      </w:pPr>
      <w:r>
        <w:rPr>
          <w:noProof/>
        </w:rPr>
        <w:t>Dovršetak uspostave, opremanja i operacionalizacije 90 komplementarnih usluga.</w:t>
      </w:r>
    </w:p>
    <w:p w14:paraId="63A1258A" w14:textId="77777777" w:rsidR="003F46B9" w:rsidRDefault="0065662E">
      <w:pPr>
        <w:pStyle w:val="P68B1DB1-Normal5"/>
        <w:spacing w:before="120" w:after="120" w:line="240" w:lineRule="auto"/>
        <w:jc w:val="both"/>
        <w:rPr>
          <w:rFonts w:eastAsia="Times New Roman" w:cs="Times New Roman"/>
          <w:noProof/>
        </w:rPr>
      </w:pPr>
      <w:r>
        <w:rPr>
          <w:noProof/>
        </w:rPr>
        <w:t>Provedba ulaganja mora biti dovršena do 31. ožujka 2024.</w:t>
      </w:r>
    </w:p>
    <w:p w14:paraId="3829FE98"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3</w:t>
      </w:r>
      <w:r>
        <w:rPr>
          <w:noProof/>
        </w:rPr>
        <w:t>. Razvoj okvirnog programa za trajno osposobljavanje stručnjaka u području usluga ranog i predškolskog odgoja i obrazovanja</w:t>
      </w:r>
    </w:p>
    <w:p w14:paraId="3E18D06E" w14:textId="537D403F" w:rsidR="003F46B9" w:rsidRDefault="0065662E">
      <w:pPr>
        <w:pStyle w:val="P68B1DB1-Normal5"/>
        <w:spacing w:before="120" w:after="120" w:line="240" w:lineRule="auto"/>
        <w:jc w:val="both"/>
        <w:rPr>
          <w:rFonts w:cs="Times New Roman"/>
          <w:noProof/>
        </w:rPr>
      </w:pPr>
      <w:r>
        <w:rPr>
          <w:noProof/>
        </w:rPr>
        <w:t>Cilj je tog ulaganja profesionalizacija osoblja koje radi u uslugama ranog i predškolskog odgoja i obrazovanja u skladu s pristupima</w:t>
      </w:r>
      <w:r>
        <w:rPr>
          <w:noProof/>
        </w:rPr>
        <w:t xml:space="preserve"> koji se promiču kurikulumom za rani i predškolski odgoj i obrazovanje donesenim 2019. te profesionalizacija osoblja u službi za praćenje kvalitete usluga ranog i predškolskog odgoja i obrazovanja za djecu mlađu od 3.</w:t>
      </w:r>
    </w:p>
    <w:p w14:paraId="5900E32D" w14:textId="77777777" w:rsidR="003F46B9" w:rsidRDefault="0065662E">
      <w:pPr>
        <w:pStyle w:val="P68B1DB1-Normal5"/>
        <w:spacing w:before="120" w:after="120" w:line="240" w:lineRule="auto"/>
        <w:jc w:val="both"/>
        <w:rPr>
          <w:rFonts w:cs="Times New Roman"/>
          <w:noProof/>
        </w:rPr>
      </w:pPr>
      <w:r>
        <w:rPr>
          <w:noProof/>
        </w:rPr>
        <w:t>Ulaganje se sastoji od:</w:t>
      </w:r>
    </w:p>
    <w:p w14:paraId="12181FAD" w14:textId="77777777" w:rsidR="003F46B9" w:rsidRDefault="0065662E">
      <w:pPr>
        <w:pStyle w:val="P68B1DB1-Normal5"/>
        <w:numPr>
          <w:ilvl w:val="0"/>
          <w:numId w:val="107"/>
        </w:numPr>
        <w:spacing w:before="120" w:after="120" w:line="240" w:lineRule="auto"/>
        <w:ind w:left="425"/>
        <w:contextualSpacing/>
        <w:jc w:val="both"/>
        <w:rPr>
          <w:rFonts w:cs="Times New Roman"/>
          <w:noProof/>
        </w:rPr>
      </w:pPr>
      <w:r>
        <w:rPr>
          <w:noProof/>
        </w:rPr>
        <w:t>Izrada, dodjel</w:t>
      </w:r>
      <w:r>
        <w:rPr>
          <w:noProof/>
        </w:rPr>
        <w:t>a i provedba ugovora o tehničkoj pomoći za pripremu, akreditaciju, provođenje i praćenje dvaju programa kontinuirane izobrazbe, i to:</w:t>
      </w:r>
    </w:p>
    <w:p w14:paraId="4283D9A8" w14:textId="77777777" w:rsidR="003F46B9" w:rsidRDefault="0065662E">
      <w:pPr>
        <w:pStyle w:val="P68B1DB1-Normal5"/>
        <w:numPr>
          <w:ilvl w:val="0"/>
          <w:numId w:val="108"/>
        </w:numPr>
        <w:spacing w:before="120" w:after="120" w:line="240" w:lineRule="auto"/>
        <w:ind w:left="851"/>
        <w:contextualSpacing/>
        <w:jc w:val="both"/>
        <w:rPr>
          <w:rFonts w:cs="Times New Roman"/>
          <w:noProof/>
        </w:rPr>
      </w:pPr>
      <w:r>
        <w:rPr>
          <w:noProof/>
        </w:rPr>
        <w:t xml:space="preserve">jedan program osposobljavanja za predavače u ranom i predškolskom obrazovanju: provedba posebnog kurikuluma s modulima za </w:t>
      </w:r>
      <w:r>
        <w:rPr>
          <w:noProof/>
        </w:rPr>
        <w:t>nastavno i nenastavno osoblje, uključujući modul za digitalno obrazovanje;</w:t>
      </w:r>
    </w:p>
    <w:p w14:paraId="5741E982" w14:textId="77777777" w:rsidR="003F46B9" w:rsidRDefault="0065662E">
      <w:pPr>
        <w:pStyle w:val="P68B1DB1-Normal5"/>
        <w:numPr>
          <w:ilvl w:val="0"/>
          <w:numId w:val="108"/>
        </w:numPr>
        <w:spacing w:before="120" w:after="120" w:line="240" w:lineRule="auto"/>
        <w:ind w:left="851"/>
        <w:contextualSpacing/>
        <w:jc w:val="both"/>
        <w:rPr>
          <w:rFonts w:cs="Times New Roman"/>
          <w:noProof/>
        </w:rPr>
      </w:pPr>
      <w:r>
        <w:rPr>
          <w:noProof/>
        </w:rPr>
        <w:t>jedan program osposobljavanja za predavače (iz tri sektora: socijalna, obrazovna i zdravstvena pitanja) radi praćenja kvalitete usluga ranog i predškolskog odgoja i obrazovanja;</w:t>
      </w:r>
    </w:p>
    <w:p w14:paraId="16A7F426" w14:textId="77777777" w:rsidR="003F46B9" w:rsidRDefault="0065662E">
      <w:pPr>
        <w:pStyle w:val="P68B1DB1-Normal5"/>
        <w:numPr>
          <w:ilvl w:val="0"/>
          <w:numId w:val="107"/>
        </w:numPr>
        <w:spacing w:before="120" w:after="120" w:line="240" w:lineRule="auto"/>
        <w:ind w:left="425"/>
        <w:contextualSpacing/>
        <w:jc w:val="both"/>
        <w:rPr>
          <w:rFonts w:cs="Times New Roman"/>
          <w:noProof/>
        </w:rPr>
      </w:pPr>
      <w:r>
        <w:rPr>
          <w:noProof/>
        </w:rPr>
        <w:t>Raz</w:t>
      </w:r>
      <w:r>
        <w:rPr>
          <w:noProof/>
        </w:rPr>
        <w:t xml:space="preserve">voj metodologije za dodjelu 42 bespovratnih sredstava pružateljima usluga osposobljavanja za provedbu programa osposobljavanja, koristeći se predavačima koji su osposobljeni u okviru ugovora o tehničkoj pomoći; </w:t>
      </w:r>
    </w:p>
    <w:p w14:paraId="444E1A10" w14:textId="77777777" w:rsidR="003F46B9" w:rsidRDefault="0065662E">
      <w:pPr>
        <w:pStyle w:val="P68B1DB1-Normal5"/>
        <w:numPr>
          <w:ilvl w:val="0"/>
          <w:numId w:val="107"/>
        </w:numPr>
        <w:spacing w:before="120" w:after="120" w:line="240" w:lineRule="auto"/>
        <w:ind w:left="425"/>
        <w:contextualSpacing/>
        <w:jc w:val="both"/>
        <w:rPr>
          <w:rFonts w:cs="Times New Roman"/>
          <w:noProof/>
        </w:rPr>
      </w:pPr>
      <w:r>
        <w:rPr>
          <w:noProof/>
        </w:rPr>
        <w:t>Dodjela 42 bespovratnih sredstava za osposob</w:t>
      </w:r>
      <w:r>
        <w:rPr>
          <w:noProof/>
        </w:rPr>
        <w:t>ljavanje 19950 članova osoblja (nastavno i nenastavno osoblje, 475 po županiji) koji rade na standardnim i dopunskim uslugama ranog i predškolskog odgoja, pri čemu se prednost daje onima u novoosnovanim službama.</w:t>
      </w:r>
    </w:p>
    <w:p w14:paraId="034AC3DD" w14:textId="77777777" w:rsidR="003F46B9" w:rsidRDefault="0065662E">
      <w:pPr>
        <w:pStyle w:val="P68B1DB1-Normal5"/>
        <w:spacing w:before="120" w:after="120" w:line="240" w:lineRule="auto"/>
        <w:jc w:val="both"/>
        <w:rPr>
          <w:rFonts w:cs="Times New Roman"/>
          <w:noProof/>
        </w:rPr>
      </w:pPr>
      <w:r>
        <w:rPr>
          <w:noProof/>
        </w:rPr>
        <w:t>Provedba ulaganja mora biti dovršena do 31.</w:t>
      </w:r>
      <w:r>
        <w:rPr>
          <w:noProof/>
        </w:rPr>
        <w:t xml:space="preserve"> prosinca 2025.</w:t>
      </w:r>
    </w:p>
    <w:p w14:paraId="6648A5E9" w14:textId="77777777" w:rsidR="003F46B9" w:rsidRDefault="0065662E">
      <w:pPr>
        <w:pStyle w:val="P68B1DB1-Normal5"/>
        <w:numPr>
          <w:ilvl w:val="0"/>
          <w:numId w:val="105"/>
        </w:numPr>
        <w:spacing w:before="120" w:after="120" w:line="240" w:lineRule="auto"/>
        <w:ind w:left="567"/>
        <w:jc w:val="both"/>
        <w:rPr>
          <w:rFonts w:cs="Times New Roman"/>
          <w:noProof/>
        </w:rPr>
      </w:pPr>
      <w:r>
        <w:rPr>
          <w:noProof/>
        </w:rPr>
        <w:t xml:space="preserve">Rano napuštanje školovanja: </w:t>
      </w:r>
    </w:p>
    <w:p w14:paraId="0C11D76F"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3. Reforma obveznog obrazovnog sustava radi sprečavanja </w:t>
      </w:r>
      <w:r>
        <w:rPr>
          <w:rFonts w:ascii="Times New Roman" w:hAnsi="Times New Roman"/>
          <w:noProof/>
        </w:rPr>
        <w:t>i smanjenja ranog napuštanja školovanja</w:t>
      </w:r>
    </w:p>
    <w:p w14:paraId="23826424" w14:textId="77777777" w:rsidR="003F46B9" w:rsidRDefault="0065662E">
      <w:pPr>
        <w:pStyle w:val="P68B1DB1-Normal5"/>
        <w:spacing w:before="120" w:after="120" w:line="240" w:lineRule="auto"/>
        <w:jc w:val="both"/>
        <w:rPr>
          <w:rFonts w:cs="Times New Roman"/>
          <w:noProof/>
        </w:rPr>
      </w:pPr>
      <w:r>
        <w:rPr>
          <w:noProof/>
        </w:rPr>
        <w:t xml:space="preserve">Ciljevi su te reforme (a) provedba mehanizma ranog upozoravanja u obrazovanju kako bi se smanjio izostanak </w:t>
      </w:r>
      <w:r>
        <w:rPr>
          <w:noProof/>
        </w:rPr>
        <w:t>s posla, poboljšali rezultati evaluacije, postigla viša stopa sudjelovanja u nacionalnim ispitima i veći postotak učenika koji završavaju obvezno obrazovanje primjenom decentraliziranog pristupa i povećanjem autonomije škola u korištenju resursa; i (b) pra</w:t>
      </w:r>
      <w:r>
        <w:rPr>
          <w:noProof/>
        </w:rPr>
        <w:t xml:space="preserve">titi, putem IT alata za mehanizam ranog upozoravanja u obrazovanju, učenike kojima prijeti rizik od ranog napuštanja školovanja i podupirati škole u prikupljanju relevantnih podataka, provedbi individualiziranih planova rada i osposobljavanja. </w:t>
      </w:r>
    </w:p>
    <w:p w14:paraId="5C487000" w14:textId="77777777" w:rsidR="003F46B9" w:rsidRDefault="0065662E">
      <w:pPr>
        <w:pStyle w:val="P68B1DB1-Normal5"/>
        <w:spacing w:before="120" w:after="120" w:line="240" w:lineRule="auto"/>
        <w:jc w:val="both"/>
        <w:rPr>
          <w:rFonts w:cs="Times New Roman"/>
          <w:noProof/>
        </w:rPr>
      </w:pPr>
      <w:r>
        <w:rPr>
          <w:noProof/>
        </w:rPr>
        <w:t>Ti će se ci</w:t>
      </w:r>
      <w:r>
        <w:rPr>
          <w:noProof/>
        </w:rPr>
        <w:t>ljevi postići stupanjem na snagu Odluke Vlade o provedbi Nacionalnog programa ranog napuštanja školovanja do 31. prosinca 2021. i proširenjem informatičkog alata mehanizma ranog upozoravanja u obrazovanju na nacionalnoj razini, ministarskom odlukom koja st</w:t>
      </w:r>
      <w:r>
        <w:rPr>
          <w:noProof/>
        </w:rPr>
        <w:t>upa na snagu 31. prosinca 2022.</w:t>
      </w:r>
    </w:p>
    <w:p w14:paraId="61FD8F4F" w14:textId="77777777" w:rsidR="003F46B9" w:rsidRDefault="0065662E">
      <w:pPr>
        <w:pStyle w:val="P68B1DB1-Normal5"/>
        <w:spacing w:before="120" w:after="120" w:line="240" w:lineRule="auto"/>
        <w:jc w:val="both"/>
        <w:rPr>
          <w:rFonts w:cs="Times New Roman"/>
          <w:noProof/>
        </w:rPr>
      </w:pPr>
      <w:r>
        <w:rPr>
          <w:noProof/>
        </w:rPr>
        <w:t>Provedba reforme mora biti dovršena do 31. prosinca 2022.</w:t>
      </w:r>
    </w:p>
    <w:p w14:paraId="576FA556" w14:textId="77777777" w:rsidR="003F46B9" w:rsidRDefault="0065662E">
      <w:pPr>
        <w:pStyle w:val="P68B1DB1-Normal5"/>
        <w:spacing w:before="120" w:after="120" w:line="240" w:lineRule="auto"/>
        <w:jc w:val="both"/>
        <w:rPr>
          <w:rFonts w:cs="Times New Roman"/>
          <w:noProof/>
        </w:rPr>
      </w:pPr>
      <w:r>
        <w:rPr>
          <w:noProof/>
        </w:rPr>
        <w:t>Ta se reforma dopunjuje dvama povezanim ulaganjima:</w:t>
      </w:r>
    </w:p>
    <w:p w14:paraId="7126B3B3"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4. Potpora obrazovnim ustanovama sa srednjim i visokim rizikom od napuštanja školovanja</w:t>
      </w:r>
    </w:p>
    <w:p w14:paraId="74C8C399" w14:textId="77777777" w:rsidR="003F46B9" w:rsidRDefault="0065662E">
      <w:pPr>
        <w:pStyle w:val="P68B1DB1-Normal5"/>
        <w:spacing w:before="120" w:after="120" w:line="240" w:lineRule="auto"/>
        <w:jc w:val="both"/>
        <w:rPr>
          <w:rFonts w:eastAsia="Times New Roman" w:cs="Times New Roman"/>
          <w:noProof/>
        </w:rPr>
      </w:pPr>
      <w:r>
        <w:rPr>
          <w:noProof/>
        </w:rPr>
        <w:t>Cilj je tog ulaga</w:t>
      </w:r>
      <w:r>
        <w:rPr>
          <w:noProof/>
        </w:rPr>
        <w:t>nja smanjiti rano napuštanje školovanja primjenom metodologije mehanizma ranog upozoravanja u obrazovanju i informatičkog alata za dodjelu financijskih sredstava školama za potporu učenicima za prijelaz iz nižeg u srednjoškolsko obrazovanje. Krajnji je cil</w:t>
      </w:r>
      <w:r>
        <w:rPr>
          <w:noProof/>
        </w:rPr>
        <w:t>j smanjenje ranog napuštanja školovanja.</w:t>
      </w:r>
    </w:p>
    <w:p w14:paraId="5504C23C" w14:textId="77777777" w:rsidR="003F46B9" w:rsidRDefault="0065662E">
      <w:pPr>
        <w:pStyle w:val="P68B1DB1-Normal5"/>
        <w:spacing w:before="120" w:after="120" w:line="240" w:lineRule="auto"/>
        <w:jc w:val="both"/>
        <w:rPr>
          <w:rFonts w:cs="Times New Roman"/>
          <w:noProof/>
        </w:rPr>
      </w:pPr>
      <w:r>
        <w:rPr>
          <w:noProof/>
        </w:rPr>
        <w:t>Ulaganje se provodi sljedećim koracima:</w:t>
      </w:r>
    </w:p>
    <w:p w14:paraId="329C692A" w14:textId="705721CC" w:rsidR="003F46B9" w:rsidRDefault="0065662E">
      <w:pPr>
        <w:pStyle w:val="P68B1DB1-Normal5"/>
        <w:numPr>
          <w:ilvl w:val="0"/>
          <w:numId w:val="109"/>
        </w:numPr>
        <w:spacing w:before="120" w:after="120" w:line="240" w:lineRule="auto"/>
        <w:ind w:left="425"/>
        <w:contextualSpacing/>
        <w:jc w:val="both"/>
        <w:rPr>
          <w:rFonts w:cs="Times New Roman"/>
          <w:noProof/>
        </w:rPr>
      </w:pPr>
      <w:r>
        <w:rPr>
          <w:noProof/>
        </w:rPr>
        <w:t>Dodjela 2 do 3 godine bespovratnih sredstava u dvije grupe tijekom 2022. i 2024. za najmanje 2500 škola. Dodjela se temelji na užem popisu ustanova za koje postoji rizik od na</w:t>
      </w:r>
      <w:r>
        <w:rPr>
          <w:noProof/>
        </w:rPr>
        <w:t>puštanja školovanja koje je izradilo Ministarstvo obrazovanja i završavaju do 31. ožujka 2024.</w:t>
      </w:r>
    </w:p>
    <w:p w14:paraId="357B4348" w14:textId="1987A8E7" w:rsidR="003F46B9" w:rsidRDefault="0065662E">
      <w:pPr>
        <w:pStyle w:val="P68B1DB1-Normal5"/>
        <w:numPr>
          <w:ilvl w:val="0"/>
          <w:numId w:val="109"/>
        </w:numPr>
        <w:spacing w:before="120" w:after="120" w:line="240" w:lineRule="auto"/>
        <w:ind w:left="425"/>
        <w:contextualSpacing/>
        <w:jc w:val="both"/>
        <w:rPr>
          <w:rFonts w:cs="Times New Roman"/>
          <w:noProof/>
        </w:rPr>
      </w:pPr>
      <w:r>
        <w:rPr>
          <w:noProof/>
        </w:rPr>
        <w:t>Praćenje provedbe s pomoću dvaju konačnih ciljeva kojima se predviđa smanjenje od 25 % na nacionalnoj razini škola s visokim prioritetom na temelju kompozitnog i</w:t>
      </w:r>
      <w:r>
        <w:rPr>
          <w:noProof/>
        </w:rPr>
        <w:t>ndeksa ranjivosti za rano napuštanje školovanja na kraju razdoblja od 2 do 3 godine bespovratnih sredstava (30. lipnja 2026.) i digitalizacije 2500 škola uključenih u program prijevremenog napuštanja školovanja (30. rujna 2024.).</w:t>
      </w:r>
    </w:p>
    <w:p w14:paraId="54D0DE86" w14:textId="77777777" w:rsidR="003F46B9" w:rsidRDefault="0065662E">
      <w:pPr>
        <w:pStyle w:val="P68B1DB1-Normal5"/>
        <w:spacing w:before="120" w:after="120" w:line="240" w:lineRule="auto"/>
        <w:jc w:val="both"/>
        <w:rPr>
          <w:rFonts w:cs="Times New Roman"/>
          <w:noProof/>
        </w:rPr>
      </w:pPr>
      <w:r>
        <w:rPr>
          <w:noProof/>
        </w:rPr>
        <w:t>Provedba ulaganja mora bit</w:t>
      </w:r>
      <w:r>
        <w:rPr>
          <w:noProof/>
        </w:rPr>
        <w:t>i dovršena do 30. lipnja 2026.</w:t>
      </w:r>
    </w:p>
    <w:p w14:paraId="6BF58B73"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5. Osposobljavanja za korisnike rumunjskog integriranog obrazovnog informacijskog sustava (SIIR) i informatičkog alata mehanizma ranog upozoravanja (MATE) i sustavne intervencije za smanjenje ranog napuštanja </w:t>
      </w:r>
      <w:r>
        <w:rPr>
          <w:noProof/>
        </w:rPr>
        <w:t>školovanja</w:t>
      </w:r>
    </w:p>
    <w:p w14:paraId="45F3B3A3" w14:textId="77777777" w:rsidR="003F46B9" w:rsidRDefault="0065662E">
      <w:pPr>
        <w:pStyle w:val="P68B1DB1-Standard14"/>
        <w:spacing w:before="240"/>
        <w:jc w:val="both"/>
        <w:rPr>
          <w:rFonts w:cs="Times New Roman"/>
          <w:noProof/>
        </w:rPr>
      </w:pPr>
      <w:r>
        <w:rPr>
          <w:noProof/>
        </w:rPr>
        <w:t>Cilj je tog ulaganja razviti i provesti osposobljavanje za korisnike u školama rumunjskog integriranog obrazovnog informacijskog sustava (SIIR) i informatičkog alata mehanizma ranog upozoravanja (IT alat MATE). Moduli osposobljavanja prilagođava</w:t>
      </w:r>
      <w:r>
        <w:rPr>
          <w:noProof/>
        </w:rPr>
        <w:t>ju se potrebama i vještinama učenika (uključivo obrazovanje), pristupima poučavanja usmjerenima na učenika, poboljšanju uvjeta poučavanja; pružanje osposobljavanja za upotrebu računalnog modula MATE; razvoj i provedba kampanja za podizanje razine osviješte</w:t>
      </w:r>
      <w:r>
        <w:rPr>
          <w:noProof/>
        </w:rPr>
        <w:t>nosti za učenike i nastavnike; poboljšanje socio-emocionalnih vještina učenika za završetak obveznog obrazovanja.</w:t>
      </w:r>
    </w:p>
    <w:p w14:paraId="313F4D9B" w14:textId="77777777" w:rsidR="003F46B9" w:rsidRDefault="0065662E">
      <w:pPr>
        <w:pStyle w:val="P68B1DB1-Normal5"/>
        <w:spacing w:before="120" w:after="120" w:line="240" w:lineRule="auto"/>
        <w:jc w:val="both"/>
        <w:rPr>
          <w:rFonts w:cs="Times New Roman"/>
          <w:noProof/>
        </w:rPr>
      </w:pPr>
      <w:r>
        <w:rPr>
          <w:noProof/>
        </w:rPr>
        <w:t xml:space="preserve">Posebno osposobljavanje mora završiti 45000 nastavnika do ožujka 2023. </w:t>
      </w:r>
    </w:p>
    <w:p w14:paraId="64910188" w14:textId="77777777" w:rsidR="003F46B9" w:rsidRDefault="0065662E">
      <w:pPr>
        <w:pStyle w:val="P68B1DB1-Normal5"/>
        <w:spacing w:before="120" w:after="120" w:line="240" w:lineRule="auto"/>
        <w:jc w:val="both"/>
        <w:rPr>
          <w:rFonts w:cs="Times New Roman"/>
          <w:noProof/>
        </w:rPr>
      </w:pPr>
      <w:r>
        <w:rPr>
          <w:noProof/>
        </w:rPr>
        <w:t>Provedba ulaganja mora biti dovršena do 31. ožujka 2023.</w:t>
      </w:r>
    </w:p>
    <w:p w14:paraId="29F4B086" w14:textId="77777777" w:rsidR="003F46B9" w:rsidRDefault="0065662E">
      <w:pPr>
        <w:pStyle w:val="P68B1DB1-Normal5"/>
        <w:numPr>
          <w:ilvl w:val="0"/>
          <w:numId w:val="105"/>
        </w:numPr>
        <w:spacing w:before="120" w:after="120" w:line="240" w:lineRule="auto"/>
        <w:ind w:left="709"/>
        <w:jc w:val="both"/>
        <w:rPr>
          <w:rFonts w:cs="Times New Roman"/>
          <w:noProof/>
        </w:rPr>
      </w:pPr>
      <w:r>
        <w:rPr>
          <w:noProof/>
        </w:rPr>
        <w:t>Strukovno obr</w:t>
      </w:r>
      <w:r>
        <w:rPr>
          <w:noProof/>
        </w:rPr>
        <w:t xml:space="preserve">azovanje i osposobljavanje (Dualni sustav): </w:t>
      </w:r>
    </w:p>
    <w:p w14:paraId="2B24D0A9" w14:textId="77777777" w:rsidR="003F46B9" w:rsidRDefault="0065662E">
      <w:pPr>
        <w:pStyle w:val="P68B1DB1-Standard6"/>
        <w:spacing w:before="240"/>
        <w:jc w:val="both"/>
        <w:rPr>
          <w:rFonts w:ascii="Times New Roman" w:eastAsiaTheme="majorEastAsia" w:hAnsi="Times New Roman" w:cs="Times New Roman"/>
          <w:noProof/>
        </w:rPr>
      </w:pPr>
      <w:r>
        <w:rPr>
          <w:noProof/>
        </w:rPr>
        <w:t>Reforma 4. Stvaranje potpune profesionalne rute za visoko tehničko obrazovanje</w:t>
      </w:r>
    </w:p>
    <w:p w14:paraId="3E659DEA" w14:textId="77777777" w:rsidR="003F46B9" w:rsidRDefault="0065662E">
      <w:pPr>
        <w:pStyle w:val="P68B1DB1-Normal5"/>
        <w:spacing w:before="120" w:after="120" w:line="240" w:lineRule="auto"/>
        <w:jc w:val="both"/>
        <w:rPr>
          <w:rFonts w:cs="Times New Roman"/>
          <w:noProof/>
        </w:rPr>
      </w:pPr>
      <w:r>
        <w:rPr>
          <w:noProof/>
        </w:rPr>
        <w:t>Cilj je te reforme razviti dvojno obrazovanje usmjereno na potrebe učenika i usklađeno s potrebama tržišta rada, povećanjem broja po</w:t>
      </w:r>
      <w:r>
        <w:rPr>
          <w:noProof/>
        </w:rPr>
        <w:t>dručja, kvalifikacija i osoba s diplomom te osiguravanjem cjelovitog obrazovnog puta za studente registrirane u dvojnom srednjoškolskom obrazovanju kako bi mogli doprijeti do obrazovnih programa treće razine (kvalifikacija 3 – 7).</w:t>
      </w:r>
    </w:p>
    <w:p w14:paraId="5B67EE87" w14:textId="77777777" w:rsidR="003F46B9" w:rsidRDefault="0065662E">
      <w:pPr>
        <w:pStyle w:val="P68B1DB1-Normal5"/>
        <w:spacing w:before="120" w:after="120" w:line="240" w:lineRule="auto"/>
        <w:jc w:val="both"/>
        <w:rPr>
          <w:rFonts w:cs="Times New Roman"/>
          <w:noProof/>
        </w:rPr>
      </w:pPr>
      <w:r>
        <w:rPr>
          <w:noProof/>
        </w:rPr>
        <w:t>Reforma se sastoji od:</w:t>
      </w:r>
    </w:p>
    <w:p w14:paraId="3D3686B0" w14:textId="77777777" w:rsidR="003F46B9" w:rsidRDefault="0065662E">
      <w:pPr>
        <w:pStyle w:val="P68B1DB1-Normal5"/>
        <w:numPr>
          <w:ilvl w:val="0"/>
          <w:numId w:val="2"/>
        </w:numPr>
        <w:spacing w:before="120" w:after="120" w:line="240" w:lineRule="auto"/>
        <w:ind w:left="360"/>
        <w:jc w:val="both"/>
        <w:rPr>
          <w:rFonts w:cs="Times New Roman"/>
          <w:noProof/>
          <w:bdr w:val="none" w:sz="0" w:space="0" w:color="auto" w:frame="1"/>
        </w:rPr>
      </w:pPr>
      <w:r>
        <w:rPr>
          <w:noProof/>
          <w:bdr w:val="none" w:sz="0" w:space="0" w:color="auto" w:frame="1"/>
        </w:rPr>
        <w:t>St</w:t>
      </w:r>
      <w:r>
        <w:rPr>
          <w:noProof/>
          <w:bdr w:val="none" w:sz="0" w:space="0" w:color="auto" w:frame="1"/>
        </w:rPr>
        <w:t xml:space="preserve">upanje na snagu zakonodavnog okvira s metodologijom za organizaciju cjelovite dvostruke rute u trajanju od četiri godine, s pristupom tercijarnom </w:t>
      </w:r>
      <w:r>
        <w:rPr>
          <w:noProof/>
        </w:rPr>
        <w:t xml:space="preserve">obrazovanju počevši od školske godine </w:t>
      </w:r>
      <w:r>
        <w:rPr>
          <w:noProof/>
          <w:bdr w:val="none" w:sz="0" w:space="0" w:color="auto" w:frame="1"/>
        </w:rPr>
        <w:t>2023. 2024.</w:t>
      </w:r>
    </w:p>
    <w:p w14:paraId="6FD9D903" w14:textId="77777777" w:rsidR="003F46B9" w:rsidRDefault="0065662E">
      <w:pPr>
        <w:pStyle w:val="P68B1DB1-Normal12"/>
        <w:numPr>
          <w:ilvl w:val="0"/>
          <w:numId w:val="2"/>
        </w:numPr>
        <w:spacing w:before="120" w:after="120" w:line="240" w:lineRule="auto"/>
        <w:ind w:left="360"/>
        <w:jc w:val="both"/>
        <w:rPr>
          <w:rFonts w:cs="Times New Roman"/>
          <w:noProof/>
        </w:rPr>
      </w:pPr>
      <w:r>
        <w:rPr>
          <w:noProof/>
        </w:rPr>
        <w:t>Izrada propisa za novu maturu, uključujući osobe s dvojnim o</w:t>
      </w:r>
      <w:r>
        <w:rPr>
          <w:noProof/>
        </w:rPr>
        <w:t>brazovanjem. Nakon promaknuća osobe koje su diplomirale mogu pristupiti sveučilišnim studijskim programima. Jedinstvena matura primjenjuje se u Rumunjskoj počevši od zasjedanja u lipnju 2027.</w:t>
      </w:r>
    </w:p>
    <w:p w14:paraId="13674872" w14:textId="77777777" w:rsidR="003F46B9" w:rsidRDefault="0065662E">
      <w:pPr>
        <w:pStyle w:val="P68B1DB1-Normal5"/>
        <w:spacing w:before="120" w:after="120" w:line="240" w:lineRule="auto"/>
        <w:jc w:val="both"/>
        <w:rPr>
          <w:rFonts w:cs="Times New Roman"/>
          <w:noProof/>
        </w:rPr>
      </w:pPr>
      <w:r>
        <w:rPr>
          <w:noProof/>
        </w:rPr>
        <w:t>Zakonodavni okvir za organizaciju potpunog dvojnog obrazovanja s</w:t>
      </w:r>
      <w:r>
        <w:rPr>
          <w:noProof/>
        </w:rPr>
        <w:t>tupa na snagu do 30. rujna 2022. Provedba reforme prati se povećanjem udjela učenika upisanih na profesionalnu rutu u odnosu na ukupan broj učenika srednjih škola sa 17 % na 40 % do 30. lipnja 2026.</w:t>
      </w:r>
    </w:p>
    <w:p w14:paraId="7C52F6BB"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2026.</w:t>
      </w:r>
    </w:p>
    <w:p w14:paraId="15D0626A" w14:textId="77777777" w:rsidR="003F46B9" w:rsidRDefault="0065662E">
      <w:pPr>
        <w:pStyle w:val="P68B1DB1-Normal5"/>
        <w:spacing w:before="120" w:after="120" w:line="240" w:lineRule="auto"/>
        <w:jc w:val="both"/>
        <w:rPr>
          <w:rFonts w:cs="Times New Roman"/>
          <w:noProof/>
        </w:rPr>
      </w:pPr>
      <w:r>
        <w:rPr>
          <w:noProof/>
        </w:rPr>
        <w:t>Ta se reforma dopunjuje s četiri povezana ulaganja</w:t>
      </w:r>
      <w:r>
        <w:rPr>
          <w:noProof/>
        </w:rPr>
        <w:footnoteReference w:id="50"/>
      </w:r>
      <w:r>
        <w:rPr>
          <w:noProof/>
        </w:rPr>
        <w:t>:</w:t>
      </w:r>
    </w:p>
    <w:p w14:paraId="765C475C"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6. Razvoj 10 regionalnih konzorcija te razvoj i opremanje 10 strukovnih kampusa</w:t>
      </w:r>
    </w:p>
    <w:p w14:paraId="4D2A7FDE" w14:textId="77777777" w:rsidR="003F46B9" w:rsidRDefault="0065662E">
      <w:pPr>
        <w:pStyle w:val="P68B1DB1-Normal5"/>
        <w:spacing w:before="120" w:after="120" w:line="240" w:lineRule="auto"/>
        <w:jc w:val="both"/>
        <w:rPr>
          <w:rFonts w:cs="Times New Roman"/>
          <w:noProof/>
        </w:rPr>
      </w:pPr>
      <w:r>
        <w:rPr>
          <w:noProof/>
        </w:rPr>
        <w:t>Cilj je ovog ulaganja osigurati jednak pristup kvalitetnom početnom strukovnom obrazovanju i osposobljavanju razvi</w:t>
      </w:r>
      <w:r>
        <w:rPr>
          <w:noProof/>
        </w:rPr>
        <w:t>janjem partnerstava s gospodarskim subjektima ili drugim relevantnim partnerima kako bi se strukovno obrazovanje i osposobljavanje prilagodilo potrebama tržišta rada.</w:t>
      </w:r>
    </w:p>
    <w:p w14:paraId="727853C4" w14:textId="77777777" w:rsidR="003F46B9" w:rsidRDefault="0065662E">
      <w:pPr>
        <w:pStyle w:val="P68B1DB1-Normal5"/>
        <w:spacing w:before="120" w:after="120" w:line="240" w:lineRule="auto"/>
        <w:jc w:val="both"/>
        <w:rPr>
          <w:rFonts w:cs="Times New Roman"/>
          <w:noProof/>
        </w:rPr>
      </w:pPr>
      <w:r>
        <w:rPr>
          <w:noProof/>
        </w:rPr>
        <w:t xml:space="preserve">Ulaganje se sastoji od osnivanja 10 regionalnih konzorcija, od kojih se svaki sastoji od </w:t>
      </w:r>
      <w:r>
        <w:rPr>
          <w:noProof/>
        </w:rPr>
        <w:t>najmanje sljedećih vrsta subjekata: lokalna javna tijela, lokalna poduzeća, stručne i tehničke škole, tehnička sveučilišta kako bi poslodavci imali aktivnu ulogu u strukovnom osposobljavanju učenika i studenata; te izgradnja 10 integriranih, viših srednjih</w:t>
      </w:r>
      <w:r>
        <w:rPr>
          <w:noProof/>
        </w:rPr>
        <w:t xml:space="preserve"> i sveučilišnih strukovnih kampusa za strukovno obrazovanje i osposobljavanje unutar navedenih regionalnih konzorcija.</w:t>
      </w:r>
    </w:p>
    <w:p w14:paraId="0D328A88" w14:textId="77777777" w:rsidR="003F46B9" w:rsidRDefault="0065662E">
      <w:pPr>
        <w:pStyle w:val="P68B1DB1-Normal5"/>
        <w:spacing w:before="120" w:after="120" w:line="240" w:lineRule="auto"/>
        <w:jc w:val="both"/>
        <w:rPr>
          <w:rFonts w:cs="Times New Roman"/>
          <w:noProof/>
        </w:rPr>
      </w:pPr>
      <w:r>
        <w:rPr>
          <w:noProof/>
        </w:rPr>
        <w:t>Rezultati ulaganja su:</w:t>
      </w:r>
    </w:p>
    <w:p w14:paraId="66F92E7D" w14:textId="77777777" w:rsidR="003F46B9" w:rsidRDefault="0065662E">
      <w:pPr>
        <w:pStyle w:val="P68B1DB1-Normal5"/>
        <w:numPr>
          <w:ilvl w:val="0"/>
          <w:numId w:val="110"/>
        </w:numPr>
        <w:spacing w:before="120" w:after="0" w:line="240" w:lineRule="auto"/>
        <w:ind w:left="284" w:hanging="284"/>
        <w:contextualSpacing/>
        <w:jc w:val="both"/>
        <w:rPr>
          <w:rFonts w:cs="Times New Roman"/>
          <w:noProof/>
        </w:rPr>
      </w:pPr>
      <w:r>
        <w:rPr>
          <w:noProof/>
          <w:u w:val="single"/>
        </w:rPr>
        <w:t>10 integriranih i operativnih dvojnih obrazovnih konzorcija</w:t>
      </w:r>
      <w:r>
        <w:rPr>
          <w:noProof/>
        </w:rPr>
        <w:t xml:space="preserve"> povezanih sa zahtjevima gospodarskih subjekata u predmetnom području. Postupak odabira temelji se na jedinstvenoj metodologiji koju je razvilo Ministarstvo obrazovanja i koja se primjenjuje na nacionalnoj razini kako bi se utvrdile najprikladnije i najdje</w:t>
      </w:r>
      <w:r>
        <w:rPr>
          <w:noProof/>
        </w:rPr>
        <w:t>lotvornije regionalne partnerske strukture. Po mogućnosti, svaka partnerska struktura smještena je u jednoj zasebnoj razvojnoj regiji kako bi se osigurala jednaka geografska raspodjela na nacionalnoj razini. Deset odabranih regionalnih strukovnih konzorcij</w:t>
      </w:r>
      <w:r>
        <w:rPr>
          <w:noProof/>
        </w:rPr>
        <w:t>a podupire se u okviru programa bespovratnih sredstava kako bi se osigurali optimalni uvjeti osposobljavanja za studente i pružila financijska potpora u trajanju od četiri godine. Prednost se daje učenicima srednjih škola u nepovoljnom položaju, uključujuć</w:t>
      </w:r>
      <w:r>
        <w:rPr>
          <w:noProof/>
        </w:rPr>
        <w:t>i Rome.</w:t>
      </w:r>
    </w:p>
    <w:p w14:paraId="00795C43" w14:textId="77777777" w:rsidR="003F46B9" w:rsidRDefault="0065662E">
      <w:pPr>
        <w:pStyle w:val="P68B1DB1-Normal5"/>
        <w:numPr>
          <w:ilvl w:val="0"/>
          <w:numId w:val="110"/>
        </w:numPr>
        <w:spacing w:before="120" w:after="0" w:line="240" w:lineRule="auto"/>
        <w:ind w:left="284" w:hanging="284"/>
        <w:contextualSpacing/>
        <w:jc w:val="both"/>
        <w:rPr>
          <w:rFonts w:cs="Times New Roman"/>
          <w:noProof/>
        </w:rPr>
      </w:pPr>
      <w:r>
        <w:rPr>
          <w:noProof/>
          <w:u w:val="single"/>
        </w:rPr>
        <w:t>10 mješovitih integriranih strukovnih kampusa</w:t>
      </w:r>
      <w:r>
        <w:rPr>
          <w:noProof/>
        </w:rPr>
        <w:t xml:space="preserve"> (visoke škole i tehnička sveučilišta) s ciljem osiguravanja moderne fizičke infrastrukture za mješovitu integriranu strukovnu stambenu strukturu/konzorciju regionalnih partnerskih struktura/konzorcija. </w:t>
      </w:r>
      <w:r>
        <w:rPr>
          <w:noProof/>
        </w:rPr>
        <w:t xml:space="preserve">Provedba se odvija na lokalnoj razini, a očekuje se da će gradovi i općine sudjelovati u pozivima na realizaciju infrastrukturnih projekata na svojem području. </w:t>
      </w:r>
    </w:p>
    <w:p w14:paraId="4AD52A91" w14:textId="77777777" w:rsidR="003F46B9" w:rsidRDefault="0065662E">
      <w:pPr>
        <w:pStyle w:val="P68B1DB1-Normal5"/>
        <w:spacing w:before="120" w:after="120" w:line="240" w:lineRule="auto"/>
        <w:jc w:val="both"/>
        <w:rPr>
          <w:rFonts w:cs="Times New Roman"/>
          <w:noProof/>
        </w:rPr>
      </w:pPr>
      <w:r>
        <w:rPr>
          <w:noProof/>
        </w:rPr>
        <w:t>Novoizgrađene zgrade moraju biti usklađene s ciljem postizanja potražnje za primarnom energijom</w:t>
      </w:r>
      <w:r>
        <w:rPr>
          <w:noProof/>
        </w:rPr>
        <w:t xml:space="preserve"> (PED) koja je najmanje 20 % niža od zahtjeva za zgrade gotovo nulte energije, što se osigurava energetskim certifikatima.</w:t>
      </w:r>
    </w:p>
    <w:p w14:paraId="6ECEC74E" w14:textId="77777777" w:rsidR="003F46B9" w:rsidRDefault="0065662E">
      <w:pPr>
        <w:pStyle w:val="P68B1DB1-Normal5"/>
        <w:spacing w:before="120" w:after="120" w:line="240" w:lineRule="auto"/>
        <w:jc w:val="both"/>
        <w:rPr>
          <w:rFonts w:cs="Times New Roman"/>
          <w:noProof/>
        </w:rPr>
      </w:pPr>
      <w:r>
        <w:rPr>
          <w:noProof/>
        </w:rPr>
        <w:t xml:space="preserve">Kako bi se osiguralo da je mjera u skladu s Tehničkim smjernicama o nenanošenju bitne štete (2021/C58/01), kriteriji prihvatljivosti </w:t>
      </w:r>
      <w:r>
        <w:rPr>
          <w:noProof/>
        </w:rPr>
        <w:t>sadržani u opisu budućih poziva na podnošenje prijedloga za projekte isključuju sljedeći popis aktivnosti: i. djelatnosti povezane s fosilnim gorivima, uključujući uporabu na kraju proizvodnog lanca</w:t>
      </w:r>
      <w:r>
        <w:rPr>
          <w:noProof/>
        </w:rPr>
        <w:footnoteReference w:id="51"/>
      </w:r>
      <w:r>
        <w:rPr>
          <w:noProof/>
        </w:rPr>
        <w:t>; ii. aktivnosti u okviru sustava EU-a za trgovanje emisi</w:t>
      </w:r>
      <w:r>
        <w:rPr>
          <w:noProof/>
        </w:rPr>
        <w:t>jama (ETS) kojima se postižu predviđene emisije stakleničkih plinova koje nisu niže od relevantnih referentnih vrijednosti</w:t>
      </w:r>
      <w:r>
        <w:rPr>
          <w:noProof/>
        </w:rPr>
        <w:footnoteReference w:id="52"/>
      </w:r>
      <w:r>
        <w:rPr>
          <w:noProof/>
        </w:rPr>
        <w:t>; iii. aktivnosti povezane s odlagalištima otpada, spalionicama</w:t>
      </w:r>
      <w:r>
        <w:rPr>
          <w:noProof/>
        </w:rPr>
        <w:footnoteReference w:id="53"/>
      </w:r>
      <w:r>
        <w:rPr>
          <w:noProof/>
        </w:rPr>
        <w:t xml:space="preserve"> i postrojenjima za mehaničko-biološku obradu</w:t>
      </w:r>
      <w:r>
        <w:rPr>
          <w:noProof/>
        </w:rPr>
        <w:footnoteReference w:id="54"/>
      </w:r>
      <w:r>
        <w:rPr>
          <w:noProof/>
        </w:rPr>
        <w:t>; i iv. djelatnosti u k</w:t>
      </w:r>
      <w:r>
        <w:rPr>
          <w:noProof/>
        </w:rPr>
        <w:t>ojima dugoročno odlaganje otpada može naštetiti okolišu. U opisu poslova dodatno se zahtijeva da se mogu odabrati samo djelatnosti koje su u skladu s relevantnim zakonodavstvom EU-a i nacionalnim zakonodavstvom u području okoliša.</w:t>
      </w:r>
    </w:p>
    <w:p w14:paraId="0DC0DD58" w14:textId="77777777" w:rsidR="003F46B9" w:rsidRDefault="0065662E">
      <w:pPr>
        <w:pStyle w:val="P68B1DB1-Normal5"/>
        <w:spacing w:before="120" w:after="120" w:line="240" w:lineRule="auto"/>
        <w:jc w:val="both"/>
        <w:rPr>
          <w:rFonts w:cs="Times New Roman"/>
          <w:noProof/>
        </w:rPr>
      </w:pPr>
      <w:r>
        <w:rPr>
          <w:noProof/>
        </w:rPr>
        <w:t xml:space="preserve">Strukovni kampusi moraju </w:t>
      </w:r>
      <w:r>
        <w:rPr>
          <w:noProof/>
        </w:rPr>
        <w:t>biti izgrađeni do 30. rujna 2025., a konzorciji dvojnog obrazovanja moraju djelovati u punom svojstvu do 31. ožujka 2026. Praćenje provedbe osiguravaju učenici koji su upisani na cijelu dvojnu rutu, uz povećanje s osnovnog broja 1847 u 2020. na 3000 učenik</w:t>
      </w:r>
      <w:r>
        <w:rPr>
          <w:noProof/>
        </w:rPr>
        <w:t xml:space="preserve">a u lipnju 2026. Održivost programa financiranja nakon 2026. osigurava se putem državnog proračuna. </w:t>
      </w:r>
    </w:p>
    <w:p w14:paraId="3AF842EC"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2026.</w:t>
      </w:r>
    </w:p>
    <w:p w14:paraId="612C3C49"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7. Preobrazba poljoprivrednih srednjih škola u centre za profesionalizaciju</w:t>
      </w:r>
    </w:p>
    <w:p w14:paraId="7911B394" w14:textId="77777777" w:rsidR="003F46B9" w:rsidRDefault="0065662E">
      <w:pPr>
        <w:pStyle w:val="P68B1DB1-Normal5"/>
        <w:spacing w:before="120" w:after="120" w:line="240" w:lineRule="auto"/>
        <w:jc w:val="both"/>
        <w:rPr>
          <w:rFonts w:cs="Times New Roman"/>
          <w:noProof/>
        </w:rPr>
      </w:pPr>
      <w:r>
        <w:rPr>
          <w:noProof/>
        </w:rPr>
        <w:t>Cilj je tog u</w:t>
      </w:r>
      <w:r>
        <w:rPr>
          <w:noProof/>
        </w:rPr>
        <w:t>laganja poduprijeti 57 poljoprivrednih fakulteta koji se organiziraju u pet regionalnih centara koji odgovaraju pet poljoprivrednih sveučilišta s poslovnim nastanom u Rumunjskoj. Program financiranja poljoprivrednih koledža, s gornjom granicom od najviše p</w:t>
      </w:r>
      <w:r>
        <w:rPr>
          <w:noProof/>
        </w:rPr>
        <w:t>et godina, obuhvaća barem sljedeće vrste djelatnosti:</w:t>
      </w:r>
    </w:p>
    <w:p w14:paraId="372326A8" w14:textId="77777777" w:rsidR="003F46B9" w:rsidRDefault="0065662E">
      <w:pPr>
        <w:pStyle w:val="P68B1DB1-Normal5"/>
        <w:numPr>
          <w:ilvl w:val="0"/>
          <w:numId w:val="110"/>
        </w:numPr>
        <w:spacing w:before="120" w:after="0" w:line="240" w:lineRule="auto"/>
        <w:ind w:left="284" w:hanging="284"/>
        <w:contextualSpacing/>
        <w:jc w:val="both"/>
        <w:rPr>
          <w:rFonts w:cs="Times New Roman"/>
          <w:noProof/>
        </w:rPr>
      </w:pPr>
      <w:r>
        <w:rPr>
          <w:noProof/>
        </w:rPr>
        <w:t xml:space="preserve">Modernizirati, obnoviti i proširiti školske laboratorije, radionice i informatičke laboratorije, kantine i smještaj učenika. </w:t>
      </w:r>
    </w:p>
    <w:p w14:paraId="5A8ED877" w14:textId="77777777" w:rsidR="003F46B9" w:rsidRDefault="0065662E">
      <w:pPr>
        <w:pStyle w:val="P68B1DB1-Normal5"/>
        <w:numPr>
          <w:ilvl w:val="0"/>
          <w:numId w:val="110"/>
        </w:numPr>
        <w:spacing w:before="120" w:after="0" w:line="240" w:lineRule="auto"/>
        <w:ind w:left="284" w:hanging="284"/>
        <w:contextualSpacing/>
        <w:jc w:val="both"/>
        <w:rPr>
          <w:rFonts w:cs="Times New Roman"/>
          <w:noProof/>
        </w:rPr>
      </w:pPr>
      <w:r>
        <w:rPr>
          <w:noProof/>
        </w:rPr>
        <w:t xml:space="preserve">Kupovati biološki materijal, poljoprivrednu opremu i strojeve za obavljanje </w:t>
      </w:r>
      <w:r>
        <w:rPr>
          <w:noProof/>
        </w:rPr>
        <w:t>poljoprivrednih radova.</w:t>
      </w:r>
    </w:p>
    <w:p w14:paraId="35133A7A" w14:textId="77777777" w:rsidR="003F46B9" w:rsidRDefault="0065662E">
      <w:pPr>
        <w:pStyle w:val="P68B1DB1-Normal5"/>
        <w:numPr>
          <w:ilvl w:val="0"/>
          <w:numId w:val="110"/>
        </w:numPr>
        <w:spacing w:before="120" w:after="0" w:line="240" w:lineRule="auto"/>
        <w:ind w:left="284" w:hanging="284"/>
        <w:contextualSpacing/>
        <w:jc w:val="both"/>
        <w:rPr>
          <w:rFonts w:cs="Times New Roman"/>
          <w:noProof/>
        </w:rPr>
      </w:pPr>
      <w:r>
        <w:rPr>
          <w:noProof/>
        </w:rPr>
        <w:t>Osposobljavanje nastavnika na temelju posebnih kurikuluma povezanih s poljoprivredom koje su izradili Ministarstvo poljoprivrede i Ministarstvo obrazovanja.</w:t>
      </w:r>
    </w:p>
    <w:p w14:paraId="3DB72DB7" w14:textId="77777777" w:rsidR="003F46B9" w:rsidRDefault="0065662E">
      <w:pPr>
        <w:pStyle w:val="P68B1DB1-Normal5"/>
        <w:spacing w:before="120" w:after="120" w:line="240" w:lineRule="auto"/>
        <w:jc w:val="both"/>
        <w:rPr>
          <w:rFonts w:cs="Times New Roman"/>
          <w:noProof/>
        </w:rPr>
      </w:pPr>
      <w:r>
        <w:rPr>
          <w:noProof/>
        </w:rPr>
        <w:t>Svaka poljoprivredna škola mora biti opremljena informatičkim laboratorijem</w:t>
      </w:r>
      <w:r>
        <w:rPr>
          <w:noProof/>
        </w:rPr>
        <w:t xml:space="preserve"> koji uključuje simulatore i softver potrebne za teorijske i praktične aktivnosti poučavanja/učenja.</w:t>
      </w:r>
    </w:p>
    <w:p w14:paraId="3761A5B0" w14:textId="77777777" w:rsidR="003F46B9" w:rsidRDefault="0065662E">
      <w:pPr>
        <w:pStyle w:val="P68B1DB1-Normal5"/>
        <w:spacing w:before="120" w:after="120" w:line="240" w:lineRule="auto"/>
        <w:jc w:val="both"/>
        <w:rPr>
          <w:rFonts w:cs="Times New Roman"/>
          <w:noProof/>
        </w:rPr>
      </w:pPr>
      <w:r>
        <w:rPr>
          <w:noProof/>
        </w:rPr>
        <w:t xml:space="preserve">Kad je riječ o obnovi, ugovori uključuju minimalni zahtjev za smanjenje potrošnje energije za grijanje za najmanje 50 % u usporedbi s godišnjom potrošnjom </w:t>
      </w:r>
      <w:r>
        <w:rPr>
          <w:noProof/>
        </w:rPr>
        <w:t xml:space="preserve">energije za grijanje prije obnove zgrade, čime se ostvaruje povećanje od 30 % uštede primarne energije u odnosu na stanje prije obnove. U tom kontekstu najmanje 90 % troškova povezanih s obnovom odnosi se na poboljšanja energetske učinkovitosti. </w:t>
      </w:r>
    </w:p>
    <w:p w14:paraId="381E3378" w14:textId="2DEE2C00" w:rsidR="003F46B9" w:rsidRDefault="0065662E">
      <w:pPr>
        <w:pStyle w:val="P68B1DB1-Normal5"/>
        <w:spacing w:before="120" w:after="120" w:line="240" w:lineRule="auto"/>
        <w:jc w:val="both"/>
        <w:rPr>
          <w:rFonts w:cs="Times New Roman"/>
          <w:noProof/>
        </w:rPr>
      </w:pPr>
      <w:r>
        <w:rPr>
          <w:noProof/>
        </w:rPr>
        <w:t>Ugovorima</w:t>
      </w:r>
      <w:r>
        <w:rPr>
          <w:noProof/>
        </w:rPr>
        <w:t xml:space="preserve"> se zahtijeva i da novoizgrađene zgrade budu u skladu s ciljem postizanja potražnje za primarnom energijom (PED) koja je najmanje 20 % niža od zahtjeva za zgrade gotovo nulte energije u skladu s nacionalnim smjernicama, što se osigurava energetskim certifi</w:t>
      </w:r>
      <w:r>
        <w:rPr>
          <w:noProof/>
        </w:rPr>
        <w:t xml:space="preserve">katima. </w:t>
      </w:r>
    </w:p>
    <w:p w14:paraId="79A956F6" w14:textId="77777777" w:rsidR="003F46B9" w:rsidRDefault="0065662E">
      <w:pPr>
        <w:pStyle w:val="P68B1DB1-Normal5"/>
        <w:spacing w:before="120" w:after="120" w:line="240" w:lineRule="auto"/>
        <w:jc w:val="both"/>
        <w:rPr>
          <w:rFonts w:cs="Times New Roman"/>
          <w:noProof/>
        </w:rPr>
      </w:pPr>
      <w:r>
        <w:rPr>
          <w:noProof/>
        </w:rPr>
        <w:t>Provedba ulaganja mora biti dovršena do 30. rujna 2025.</w:t>
      </w:r>
    </w:p>
    <w:p w14:paraId="707A096F" w14:textId="77777777" w:rsidR="003F46B9" w:rsidRDefault="0065662E">
      <w:pPr>
        <w:pStyle w:val="P68B1DB1-Normal5"/>
        <w:numPr>
          <w:ilvl w:val="0"/>
          <w:numId w:val="105"/>
        </w:numPr>
        <w:spacing w:before="120" w:after="120" w:line="240" w:lineRule="auto"/>
        <w:ind w:left="709"/>
        <w:jc w:val="both"/>
        <w:rPr>
          <w:rFonts w:cs="Times New Roman"/>
          <w:noProof/>
        </w:rPr>
      </w:pPr>
      <w:r>
        <w:rPr>
          <w:noProof/>
        </w:rPr>
        <w:t xml:space="preserve">Digitalizacija obrazovanja: </w:t>
      </w:r>
    </w:p>
    <w:p w14:paraId="14C8E116" w14:textId="77777777" w:rsidR="003F46B9" w:rsidRDefault="0065662E">
      <w:pPr>
        <w:pStyle w:val="P68B1DB1-Standard6"/>
        <w:spacing w:before="240"/>
        <w:jc w:val="both"/>
        <w:rPr>
          <w:rFonts w:ascii="Times New Roman" w:eastAsiaTheme="majorEastAsia" w:hAnsi="Times New Roman" w:cs="Times New Roman"/>
          <w:noProof/>
        </w:rPr>
      </w:pPr>
      <w:r>
        <w:rPr>
          <w:noProof/>
        </w:rPr>
        <w:t>Reforma 5. Donošenje zakonodavnog okvira za digitalizaciju obrazovanja</w:t>
      </w:r>
    </w:p>
    <w:p w14:paraId="796FC2E9" w14:textId="77777777" w:rsidR="003F46B9" w:rsidRDefault="0065662E">
      <w:pPr>
        <w:pStyle w:val="P68B1DB1-Normal5"/>
        <w:spacing w:before="120" w:after="120" w:line="240" w:lineRule="auto"/>
        <w:jc w:val="both"/>
        <w:rPr>
          <w:rFonts w:cs="Times New Roman"/>
          <w:noProof/>
        </w:rPr>
      </w:pPr>
      <w:r>
        <w:rPr>
          <w:noProof/>
        </w:rPr>
        <w:t>Reformom se nastoji osigurati potreban pravni okvir za razvoj digitalnih kompetencija učeni</w:t>
      </w:r>
      <w:r>
        <w:rPr>
          <w:noProof/>
        </w:rPr>
        <w:t xml:space="preserve">ka utvrđivanjem profila kompetencija obrazovnih djelatnika, revizijom obveznog školskog kurikuluma i okvirnog plana za IKT discipline za sve razine škola. </w:t>
      </w:r>
    </w:p>
    <w:p w14:paraId="4F954E25" w14:textId="0F1A20DD" w:rsidR="003F46B9" w:rsidRDefault="0065662E">
      <w:pPr>
        <w:pStyle w:val="P68B1DB1-Normal5"/>
        <w:spacing w:before="120" w:after="120" w:line="240" w:lineRule="auto"/>
        <w:jc w:val="both"/>
        <w:rPr>
          <w:rFonts w:cs="Times New Roman"/>
          <w:noProof/>
        </w:rPr>
      </w:pPr>
      <w:r>
        <w:rPr>
          <w:noProof/>
        </w:rPr>
        <w:t>Reforma se provodi stupanjem na snagu zakonodavnog okvira za digitalizaciju obrazovnih procesa i sad</w:t>
      </w:r>
      <w:r>
        <w:rPr>
          <w:noProof/>
        </w:rPr>
        <w:t xml:space="preserve">ržaja te za provedbu internetskih procjena. Nadalje, tom se reformom utvrđuju minimalni i optimalni standardi za osiguravanje kvalitete obrazovnih aktivnosti na internetu. Očekuje se da će se reformom obrazovni sustav uskladiti s DigComp europskim okvirom </w:t>
      </w:r>
      <w:r>
        <w:rPr>
          <w:noProof/>
        </w:rPr>
        <w:t>za digitalne kompetencije učenika, među ostalim ažuriranjem kurikuluma i izradom digitalnih nastavnih materijala. Naposljetku, reformom će se operacionalizirati poveznice između profila kompetencija nastavnika i kurikuluma za početno strukovno osposobljava</w:t>
      </w:r>
      <w:r>
        <w:rPr>
          <w:noProof/>
        </w:rPr>
        <w:t>nje, trajno strukovno osposobljavanje i programa osposobljavanja za vještine.</w:t>
      </w:r>
    </w:p>
    <w:p w14:paraId="2DE3B1B1" w14:textId="77777777" w:rsidR="003F46B9" w:rsidRDefault="0065662E">
      <w:pPr>
        <w:pStyle w:val="P68B1DB1-Normal5"/>
        <w:spacing w:before="120" w:after="120" w:line="240" w:lineRule="auto"/>
        <w:jc w:val="both"/>
        <w:rPr>
          <w:rFonts w:cs="Times New Roman"/>
          <w:noProof/>
        </w:rPr>
      </w:pPr>
      <w:r>
        <w:rPr>
          <w:noProof/>
        </w:rPr>
        <w:t>Provedba reforme mora biti dovršena do 30. lipnja 2024.</w:t>
      </w:r>
    </w:p>
    <w:p w14:paraId="13249B63" w14:textId="77777777" w:rsidR="003F46B9" w:rsidRDefault="0065662E">
      <w:pPr>
        <w:pStyle w:val="P68B1DB1-Normal5"/>
        <w:spacing w:before="120" w:after="120" w:line="240" w:lineRule="auto"/>
        <w:jc w:val="both"/>
        <w:rPr>
          <w:rFonts w:cs="Times New Roman"/>
          <w:noProof/>
          <w:u w:val="single"/>
        </w:rPr>
      </w:pPr>
      <w:r>
        <w:rPr>
          <w:noProof/>
        </w:rPr>
        <w:t>Ta se reforma dopunjuje s četiri povezana ulaganja</w:t>
      </w:r>
      <w:r>
        <w:rPr>
          <w:noProof/>
        </w:rPr>
        <w:footnoteReference w:id="55"/>
      </w:r>
      <w:r>
        <w:rPr>
          <w:noProof/>
        </w:rPr>
        <w:t>:</w:t>
      </w:r>
    </w:p>
    <w:p w14:paraId="7E69CE66"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8. Program osposobljavanja nastavnog osoblja na radnom mjest</w:t>
      </w:r>
      <w:r>
        <w:rPr>
          <w:noProof/>
        </w:rPr>
        <w:t>u</w:t>
      </w:r>
    </w:p>
    <w:p w14:paraId="3C200A0E" w14:textId="77777777" w:rsidR="003F46B9" w:rsidRDefault="0065662E">
      <w:pPr>
        <w:pStyle w:val="P68B1DB1-Normal5"/>
        <w:spacing w:before="120" w:after="120" w:line="240" w:lineRule="auto"/>
        <w:jc w:val="both"/>
        <w:rPr>
          <w:rFonts w:cs="Times New Roman"/>
          <w:noProof/>
        </w:rPr>
      </w:pPr>
      <w:r>
        <w:rPr>
          <w:noProof/>
        </w:rPr>
        <w:t xml:space="preserve">Cilj je tog ulaganja razviti digitalne pedagoške vještine za nastavnike, uključujući vještine povezane s prikupljanjem i učinkovitom upotrebom dostupnih alata i resursa. Ulaganja su usmjerena na sve posebne aktivnosti, od poučavanja, ocjenjivanja, </w:t>
      </w:r>
      <w:r>
        <w:rPr>
          <w:noProof/>
        </w:rPr>
        <w:t>komunikacije s roditeljima, stvaranja i razmjene digitalnog sadržaja i resursa.</w:t>
      </w:r>
    </w:p>
    <w:p w14:paraId="342E7D40" w14:textId="77777777" w:rsidR="003F46B9" w:rsidRDefault="0065662E">
      <w:pPr>
        <w:pStyle w:val="P68B1DB1-Normal5"/>
        <w:spacing w:before="120" w:after="120" w:line="240" w:lineRule="auto"/>
        <w:jc w:val="both"/>
        <w:rPr>
          <w:rFonts w:eastAsia="Times New Roman" w:cs="Times New Roman"/>
          <w:noProof/>
        </w:rPr>
      </w:pPr>
      <w:r>
        <w:rPr>
          <w:noProof/>
        </w:rPr>
        <w:t>Ulaganje se provodi razvojem tematskih tečajeva osposobljavanja za razvoj digitalne pismenosti i digitalnih pedagoških kompetencija, posebno za nastavnike u ruralnim područjima</w:t>
      </w:r>
      <w:r>
        <w:rPr>
          <w:noProof/>
        </w:rPr>
        <w:t xml:space="preserve"> i drugim okruženjima u nepovoljnom položaju. Pri osmišljavanju programa osposobljavanja uzimaju se u obzir europski okvir za digitalne kompetencije i međunarodno priznati standardi digitalnih vještina (ECDL). Očekuje se da će 100000 nastavnika sudjelovati</w:t>
      </w:r>
      <w:r>
        <w:rPr>
          <w:noProof/>
        </w:rPr>
        <w:t xml:space="preserve"> u programima osposobljavanja. Osposobljavanje u području digitalnih vještina dopunjuje se platformom za prikupljanje multimedijskih nastavnih jedinica koje će služiti kao modeli dobre prakse za svako područje kurikuluma/disciplina učenja za različite razi</w:t>
      </w:r>
      <w:r>
        <w:rPr>
          <w:noProof/>
        </w:rPr>
        <w:t>ne obrazovanja. 50000 nastavnika ima koristi od razmjene putem namjenske platforme. Uspostavlja se okvir za praćenje i ocjenjivanje praktične primjene stečenih vještina, osiguravanje procjene digitalnih vještina i pokretanje korektivnih mjera kako bi se os</w:t>
      </w:r>
      <w:r>
        <w:rPr>
          <w:noProof/>
        </w:rPr>
        <w:t xml:space="preserve">igurao dugotrajan učinak programa osposobljavanja. </w:t>
      </w:r>
    </w:p>
    <w:p w14:paraId="7687C2A2"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rujna 2025. </w:t>
      </w:r>
    </w:p>
    <w:p w14:paraId="5142BE81"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9. Osiguravanje digitalne tehnološke opreme i resursa za škole</w:t>
      </w:r>
    </w:p>
    <w:p w14:paraId="08934C3C" w14:textId="77777777" w:rsidR="003F46B9" w:rsidRDefault="0065662E">
      <w:pPr>
        <w:pStyle w:val="P68B1DB1-Normal5"/>
        <w:spacing w:before="120" w:after="120" w:line="240" w:lineRule="auto"/>
        <w:jc w:val="both"/>
        <w:rPr>
          <w:rFonts w:cs="Times New Roman"/>
          <w:noProof/>
        </w:rPr>
      </w:pPr>
      <w:r>
        <w:rPr>
          <w:noProof/>
        </w:rPr>
        <w:t>Cilj je tog ulaganja osigurati potrebnu infrastrukturu i tehnološke resurse</w:t>
      </w:r>
      <w:r>
        <w:rPr>
          <w:noProof/>
        </w:rPr>
        <w:t xml:space="preserve"> za predsveučilišne škole s naglaskom na područja u nepovoljnom položaju (posebno ruralna područja), čime se učenicima omogućuje pristup tehnologiji putem informatičkih laboratorija i namjenske opreme.</w:t>
      </w:r>
    </w:p>
    <w:p w14:paraId="15E04675" w14:textId="543E545F" w:rsidR="003F46B9" w:rsidRDefault="0065662E">
      <w:pPr>
        <w:pStyle w:val="P68B1DB1-Normal5"/>
        <w:spacing w:before="120" w:after="120" w:line="240" w:lineRule="auto"/>
        <w:jc w:val="both"/>
        <w:rPr>
          <w:rFonts w:cs="Times New Roman"/>
          <w:noProof/>
        </w:rPr>
      </w:pPr>
      <w:r>
        <w:rPr>
          <w:noProof/>
        </w:rPr>
        <w:t>Ulaganje se sastoji od bespovratnih sredstava za moder</w:t>
      </w:r>
      <w:r>
        <w:rPr>
          <w:noProof/>
        </w:rPr>
        <w:t>nizaciju najmanje 4300 laboratorija za informatiku, razvoj više od 1100 tehnoloških centara (kao što su pametni laboratoriji) i osiguravanje infrastrukture i digitalne opreme za više od 3600 škola koje nisu obuhvaćene drugim programima financiranja. Pametn</w:t>
      </w:r>
      <w:r>
        <w:rPr>
          <w:noProof/>
        </w:rPr>
        <w:t>i laboratoriji omogućuju digitalnu i tehnološku pismenost učenika, obrazovanje učitelja i nastavnika za osnovne i napredne digitalne vještine i kompetencije potrebne na tržištu rada, uz primjenu novih tehnologija 4.0 i razvoj primijenjene kreativnosti s po</w:t>
      </w:r>
      <w:r>
        <w:rPr>
          <w:noProof/>
        </w:rPr>
        <w:t>moću 3D ispisa i 3D dizajna.</w:t>
      </w:r>
    </w:p>
    <w:p w14:paraId="57FBB3DE" w14:textId="77777777" w:rsidR="003F46B9" w:rsidRDefault="0065662E">
      <w:pPr>
        <w:pStyle w:val="P68B1DB1-Normal5"/>
        <w:spacing w:before="120" w:after="120" w:line="240" w:lineRule="auto"/>
        <w:jc w:val="both"/>
        <w:rPr>
          <w:rFonts w:eastAsia="Times New Roman" w:cs="Times New Roman"/>
          <w:noProof/>
        </w:rPr>
      </w:pPr>
      <w:r>
        <w:rPr>
          <w:noProof/>
        </w:rPr>
        <w:t>Provedba ulaganja mora biti dovršena do 31. ožujka 2025.</w:t>
      </w:r>
    </w:p>
    <w:p w14:paraId="6E3042C8" w14:textId="77777777" w:rsidR="003F46B9" w:rsidRDefault="0065662E">
      <w:pPr>
        <w:pStyle w:val="P68B1DB1-Normal5"/>
        <w:numPr>
          <w:ilvl w:val="0"/>
          <w:numId w:val="105"/>
        </w:numPr>
        <w:spacing w:before="120" w:after="120" w:line="240" w:lineRule="auto"/>
        <w:ind w:left="567"/>
        <w:jc w:val="both"/>
        <w:rPr>
          <w:rFonts w:cs="Times New Roman"/>
          <w:noProof/>
        </w:rPr>
      </w:pPr>
      <w:r>
        <w:rPr>
          <w:noProof/>
        </w:rPr>
        <w:t>Infrastruktura</w:t>
      </w:r>
      <w:r>
        <w:rPr>
          <w:noProof/>
        </w:rPr>
        <w:footnoteReference w:id="56"/>
      </w:r>
      <w:r>
        <w:rPr>
          <w:noProof/>
        </w:rPr>
        <w:t xml:space="preserve">: </w:t>
      </w:r>
    </w:p>
    <w:p w14:paraId="4C7EEB84"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Reforma 6. Ažurirani regulatorni okvir kako bi se osigurali ekološki prihvatljivi standardi projektiranja, gradnje i dotacije u sustavu predsveučilišnog obrazovanja </w:t>
      </w:r>
    </w:p>
    <w:p w14:paraId="3C1E0058" w14:textId="77777777" w:rsidR="003F46B9" w:rsidRDefault="0065662E">
      <w:pPr>
        <w:pStyle w:val="P68B1DB1-Normal5"/>
        <w:spacing w:before="120" w:after="120" w:line="240" w:lineRule="auto"/>
        <w:jc w:val="both"/>
        <w:rPr>
          <w:rFonts w:cs="Times New Roman"/>
          <w:noProof/>
        </w:rPr>
      </w:pPr>
      <w:r>
        <w:rPr>
          <w:noProof/>
        </w:rPr>
        <w:t xml:space="preserve">Ciljevi su te reforme (a) povećati kvalitetu i sigurnost okruženja za učenje, uključujući </w:t>
      </w:r>
      <w:r>
        <w:rPr>
          <w:noProof/>
        </w:rPr>
        <w:t xml:space="preserve">propise o nastavnim materijalima, namještaju i opremi laboratorijske opreme i tehnološkim radionicama; i (b) razviti i donijeti pravni okvir za poticanje prijelaza na zelene zgrade u školama. </w:t>
      </w:r>
    </w:p>
    <w:p w14:paraId="65FFFE31" w14:textId="77777777" w:rsidR="003F46B9" w:rsidRDefault="0065662E">
      <w:pPr>
        <w:pStyle w:val="P68B1DB1-Normal5"/>
        <w:spacing w:before="120" w:after="120" w:line="240" w:lineRule="auto"/>
        <w:jc w:val="both"/>
        <w:rPr>
          <w:rFonts w:cs="Times New Roman"/>
          <w:noProof/>
        </w:rPr>
      </w:pPr>
      <w:r>
        <w:rPr>
          <w:noProof/>
        </w:rPr>
        <w:t>U kontekstu prelaska na zelene i pametne zgrade rumunjska tijel</w:t>
      </w:r>
      <w:r>
        <w:rPr>
          <w:noProof/>
        </w:rPr>
        <w:t xml:space="preserve">a ažuriraju zakonodavstvo o projektiranju, dodjeli i radu škola, uključujući propise o nastavnim materijalima, namještaju i opremi laboratorijskih i znanstvenih laboratorija te razvijaju metodologiju za rad i organizaciju zelenih škola. </w:t>
      </w:r>
    </w:p>
    <w:p w14:paraId="28C78FEB" w14:textId="77777777" w:rsidR="003F46B9" w:rsidRDefault="0065662E">
      <w:pPr>
        <w:pStyle w:val="P68B1DB1-Normal5"/>
        <w:spacing w:before="120" w:after="120" w:line="240" w:lineRule="auto"/>
        <w:jc w:val="both"/>
        <w:rPr>
          <w:rFonts w:cs="Times New Roman"/>
          <w:noProof/>
        </w:rPr>
      </w:pPr>
      <w:r>
        <w:rPr>
          <w:noProof/>
        </w:rPr>
        <w:t>Provedba reforme m</w:t>
      </w:r>
      <w:r>
        <w:rPr>
          <w:noProof/>
        </w:rPr>
        <w:t>ora biti dovršena do 30. lipnja 2022.</w:t>
      </w:r>
    </w:p>
    <w:p w14:paraId="0AE8F65A" w14:textId="77777777" w:rsidR="003F46B9" w:rsidRDefault="0065662E">
      <w:pPr>
        <w:pStyle w:val="P68B1DB1-Normal5"/>
        <w:spacing w:before="120" w:after="120" w:line="240" w:lineRule="auto"/>
        <w:jc w:val="both"/>
        <w:rPr>
          <w:rFonts w:cs="Times New Roman"/>
          <w:noProof/>
        </w:rPr>
      </w:pPr>
      <w:r>
        <w:rPr>
          <w:noProof/>
        </w:rPr>
        <w:t>Ta će reforma biti popraćena trima ulaganjima u školsku infrastrukturu:</w:t>
      </w:r>
    </w:p>
    <w:p w14:paraId="263F9537"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10. Razvoj mreže zelenih škola i kupnja zelenih minibusa</w:t>
      </w:r>
    </w:p>
    <w:p w14:paraId="704C337F" w14:textId="4E408CBA" w:rsidR="003F46B9" w:rsidRDefault="0065662E">
      <w:pPr>
        <w:pStyle w:val="P68B1DB1-Normal5"/>
        <w:spacing w:before="120" w:after="120" w:line="240" w:lineRule="auto"/>
        <w:jc w:val="both"/>
        <w:rPr>
          <w:rFonts w:cs="Times New Roman"/>
          <w:noProof/>
        </w:rPr>
      </w:pPr>
      <w:r>
        <w:rPr>
          <w:noProof/>
        </w:rPr>
        <w:t>Cilj je tog ulaganja osigurati održivost predsveučilišnih škola prijelazom na ze</w:t>
      </w:r>
      <w:r>
        <w:rPr>
          <w:noProof/>
        </w:rPr>
        <w:t>lene škole i zelenu mobilnost (električni minibusi). Kako bi se osigurao prijelaz na održiv obrazovni sustav, Ministarstvo obrazovanja počinje razvijati mrežu održivih i ekološki prihvatljivih škola. Oko 238 905 m 2</w:t>
      </w:r>
      <w:r>
        <w:rPr>
          <w:noProof/>
          <w:vertAlign w:val="superscript"/>
        </w:rPr>
        <w:t>školskog</w:t>
      </w:r>
      <w:r>
        <w:rPr>
          <w:noProof/>
        </w:rPr>
        <w:t xml:space="preserve"> prostora koristit će se struktur</w:t>
      </w:r>
      <w:r>
        <w:rPr>
          <w:noProof/>
        </w:rPr>
        <w:t>nim promjenama kako bi se osigurala održivost (toplinska izolacija, solarni paneli, planiranje zelenih površina, selektivno prikupljanje) i izgradnja 36 951 m 2</w:t>
      </w:r>
      <w:r>
        <w:rPr>
          <w:noProof/>
          <w:vertAlign w:val="superscript"/>
        </w:rPr>
        <w:t>zelene</w:t>
      </w:r>
      <w:r>
        <w:rPr>
          <w:noProof/>
        </w:rPr>
        <w:t xml:space="preserve"> nove predsveučilišne školske površine. U metodologiji za odabir zelenih škola mogu se uze</w:t>
      </w:r>
      <w:r>
        <w:rPr>
          <w:noProof/>
        </w:rPr>
        <w:t>ti u obzir kriteriji kao što su: dostupnost škole; broj učenika; ravnopravnu zemljopisnu raspodjelu nagrada; pravedna raspodjela nagrada između ruralnih i urbanih područja; razina onečišćenja područja; prethodno iskustvo u provedbi projekta i provedbi proj</w:t>
      </w:r>
      <w:r>
        <w:rPr>
          <w:noProof/>
        </w:rPr>
        <w:t>ekata/aktivnosti u području okoliša.</w:t>
      </w:r>
    </w:p>
    <w:p w14:paraId="36608B25" w14:textId="77777777" w:rsidR="003F46B9" w:rsidRDefault="0065662E">
      <w:pPr>
        <w:pStyle w:val="P68B1DB1-Normal5"/>
        <w:spacing w:before="120" w:after="120" w:line="240" w:lineRule="auto"/>
        <w:jc w:val="both"/>
        <w:rPr>
          <w:rFonts w:cs="Times New Roman"/>
          <w:noProof/>
        </w:rPr>
      </w:pPr>
      <w:r>
        <w:rPr>
          <w:noProof/>
        </w:rPr>
        <w:t>Novoizgrađene zgrade moraju biti usklađene s ciljem postizanja potražnje za primarnom energijom (PED) koja je najmanje 20 % niža od zahtjeva za zgrade gotovo nulte energije u skladu s nacionalnim smjernicama, što se osi</w:t>
      </w:r>
      <w:r>
        <w:rPr>
          <w:noProof/>
        </w:rPr>
        <w:t xml:space="preserve">gurava energetskim certifikatima. </w:t>
      </w:r>
    </w:p>
    <w:p w14:paraId="30C6D599" w14:textId="77777777" w:rsidR="003F46B9" w:rsidRDefault="0065662E">
      <w:pPr>
        <w:pStyle w:val="P68B1DB1-Normal5"/>
        <w:spacing w:before="120" w:after="120" w:line="240" w:lineRule="auto"/>
        <w:jc w:val="both"/>
        <w:rPr>
          <w:rFonts w:cs="Times New Roman"/>
          <w:noProof/>
        </w:rPr>
      </w:pPr>
      <w:r>
        <w:rPr>
          <w:noProof/>
        </w:rPr>
        <w:t>Kad je riječ o obnovi, ugovori uključuju minimalni zahtjev za smanjenje potrošnje energije za grijanje za najmanje 50 % u usporedbi s godišnjom potrošnjom energije za grijanje prije obnove zgrade, čime se ostvaruje poveća</w:t>
      </w:r>
      <w:r>
        <w:rPr>
          <w:noProof/>
        </w:rPr>
        <w:t>nje od 30 % primarne energije u odnosu na stanje prije obnove. U tom kontekstu najmanje 90 % troškova odnosi se na poboljšanja energetske učinkovitosti.</w:t>
      </w:r>
    </w:p>
    <w:p w14:paraId="56FD092D" w14:textId="12CD20D5" w:rsidR="003F46B9" w:rsidRDefault="0065662E">
      <w:pPr>
        <w:pStyle w:val="P68B1DB1-Normal5"/>
        <w:spacing w:before="120" w:after="120" w:line="240" w:lineRule="auto"/>
        <w:jc w:val="both"/>
        <w:rPr>
          <w:rFonts w:cs="Times New Roman"/>
          <w:noProof/>
        </w:rPr>
      </w:pPr>
      <w:r>
        <w:rPr>
          <w:noProof/>
        </w:rPr>
        <w:t>1218 školskih minibusa namijenjeno je prijevozu učenika iz izoliranih mjesta u ruralnim područjima. Min</w:t>
      </w:r>
      <w:r>
        <w:rPr>
          <w:noProof/>
        </w:rPr>
        <w:t>istarstvo obrazovanja provodi analizu na nacionalnoj razini, uz sudjelovanje lokalnih javnih tijela, kako bi utvrdilo u kojim je situacijama potreban prijevoz učenika u škole na drugim mjestima. Tim se ulaganjem dopunjuje i reforma 2 o sprečavanju ranog na</w:t>
      </w:r>
      <w:r>
        <w:rPr>
          <w:noProof/>
        </w:rPr>
        <w:t>puštanja školovanja osiguravanjem sredstava za mobilnost učenika u područjima s niskim brojem stanovnika, čime im se olakšava pristup kvalitetnom obrazovanju</w:t>
      </w:r>
      <w:r>
        <w:rPr>
          <w:noProof/>
          <w:shd w:val="clear" w:color="auto" w:fill="FFFFFF"/>
        </w:rPr>
        <w:t>.</w:t>
      </w:r>
    </w:p>
    <w:p w14:paraId="4455DED6" w14:textId="0EECA8EA" w:rsidR="003F46B9" w:rsidRDefault="0065662E">
      <w:pPr>
        <w:pStyle w:val="P68B1DB1-Normal5"/>
        <w:spacing w:before="120" w:after="120" w:line="240" w:lineRule="auto"/>
        <w:jc w:val="both"/>
        <w:rPr>
          <w:rFonts w:cs="Times New Roman"/>
          <w:noProof/>
        </w:rPr>
      </w:pPr>
      <w:r>
        <w:rPr>
          <w:noProof/>
        </w:rPr>
        <w:t>Električni minibusi kupuju se i upotrebljavaju do 31. prosinca 2024., a zelene zgrade moraju biti</w:t>
      </w:r>
      <w:r>
        <w:rPr>
          <w:noProof/>
        </w:rPr>
        <w:t xml:space="preserve"> dovršene do 31. prosinca 2025. </w:t>
      </w:r>
    </w:p>
    <w:p w14:paraId="2D528944" w14:textId="77777777" w:rsidR="003F46B9" w:rsidRDefault="0065662E">
      <w:pPr>
        <w:pStyle w:val="P68B1DB1-Normal5"/>
        <w:spacing w:before="120" w:after="120" w:line="240" w:lineRule="auto"/>
        <w:jc w:val="both"/>
        <w:rPr>
          <w:rFonts w:cs="Times New Roman"/>
          <w:noProof/>
        </w:rPr>
      </w:pPr>
      <w:r>
        <w:rPr>
          <w:noProof/>
        </w:rPr>
        <w:t>Provedba ulaganja mora biti dovršena do 31. prosinca 2025.</w:t>
      </w:r>
    </w:p>
    <w:p w14:paraId="5268C128" w14:textId="2E096348" w:rsidR="003F46B9" w:rsidRDefault="0065662E">
      <w:pPr>
        <w:pStyle w:val="P68B1DB1-Standard6"/>
        <w:spacing w:before="240"/>
        <w:jc w:val="both"/>
        <w:rPr>
          <w:rFonts w:ascii="Times New Roman" w:eastAsiaTheme="majorEastAsia" w:hAnsi="Times New Roman" w:cs="Times New Roman"/>
          <w:noProof/>
        </w:rPr>
      </w:pPr>
      <w:r>
        <w:rPr>
          <w:noProof/>
        </w:rPr>
        <w:t>Ulaganje 11. Osiguravanje objekata za predsveučilišne učionice i školske znanstvene laboratorije/školske kabinete</w:t>
      </w:r>
    </w:p>
    <w:p w14:paraId="17C6F200" w14:textId="39329CCB" w:rsidR="003F46B9" w:rsidRDefault="0065662E">
      <w:pPr>
        <w:pStyle w:val="P68B1DB1-Normal5"/>
        <w:spacing w:before="120" w:after="120" w:line="240" w:lineRule="auto"/>
        <w:jc w:val="both"/>
        <w:rPr>
          <w:rFonts w:eastAsia="Times New Roman" w:cs="Times New Roman"/>
          <w:noProof/>
        </w:rPr>
      </w:pPr>
      <w:r>
        <w:rPr>
          <w:noProof/>
        </w:rPr>
        <w:t>Cilj je ovog ulaganja osigurati potrebne objekte z</w:t>
      </w:r>
      <w:r>
        <w:rPr>
          <w:noProof/>
        </w:rPr>
        <w:t>a ispunjavanje standarda kvalitete u učionicama i školskim znanstvenim laboratorijima/školskim ormarićima, uključujući osiguravanje specijaliziranih nastavnih objekata i opreme za učenike i studente s posebnim obrazovnim potrebama u nepovoljnom položaju.</w:t>
      </w:r>
    </w:p>
    <w:p w14:paraId="463EB501" w14:textId="77777777" w:rsidR="003F46B9" w:rsidRDefault="0065662E">
      <w:pPr>
        <w:pStyle w:val="P68B1DB1-Normal5"/>
        <w:spacing w:before="120" w:after="120" w:line="240" w:lineRule="auto"/>
        <w:jc w:val="both"/>
        <w:rPr>
          <w:rFonts w:cs="Times New Roman"/>
          <w:noProof/>
        </w:rPr>
      </w:pPr>
      <w:r>
        <w:rPr>
          <w:noProof/>
        </w:rPr>
        <w:t>O</w:t>
      </w:r>
      <w:r>
        <w:rPr>
          <w:noProof/>
        </w:rPr>
        <w:t>siguravanje potrebnih objekata za učionice i školske znanstvene laboratorije/školske kabinete obavlja se na decentraliziranoj osnovi na razini škole, županijskim školskim inspektoratima i lokalnim javnim tijelima. Potrebno je opremiti 75000 učionica i 1000</w:t>
      </w:r>
      <w:r>
        <w:rPr>
          <w:noProof/>
        </w:rPr>
        <w:t xml:space="preserve">0 školskih znanstvenih laboratorija/školskih ormara. </w:t>
      </w:r>
    </w:p>
    <w:p w14:paraId="6EB2BA62" w14:textId="65B5F734" w:rsidR="003F46B9" w:rsidRDefault="0065662E">
      <w:pPr>
        <w:pStyle w:val="P68B1DB1-Normal5"/>
        <w:spacing w:before="120" w:after="120" w:line="240" w:lineRule="auto"/>
        <w:jc w:val="both"/>
        <w:rPr>
          <w:rFonts w:cs="Times New Roman"/>
          <w:noProof/>
        </w:rPr>
      </w:pPr>
      <w:r>
        <w:rPr>
          <w:noProof/>
        </w:rPr>
        <w:t>Prednost se daje ulaganjima za one obrazovne ustanove bez ulaganja u učionicu i laboratorijsku opremu u posljednjih pet godina.</w:t>
      </w:r>
    </w:p>
    <w:p w14:paraId="59A52554" w14:textId="77777777" w:rsidR="003F46B9" w:rsidRDefault="0065662E">
      <w:pPr>
        <w:pStyle w:val="P68B1DB1-Normal5"/>
        <w:spacing w:before="120" w:after="120" w:line="240" w:lineRule="auto"/>
        <w:jc w:val="both"/>
        <w:rPr>
          <w:rFonts w:cs="Times New Roman"/>
          <w:noProof/>
        </w:rPr>
      </w:pPr>
      <w:r>
        <w:rPr>
          <w:noProof/>
        </w:rPr>
        <w:t>Provedba ulaganja mora biti dovršena do 30. lipnja 2024.</w:t>
      </w:r>
    </w:p>
    <w:p w14:paraId="2F95FEBA"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12. Potpora konzorcijima ruralnih škola </w:t>
      </w:r>
    </w:p>
    <w:p w14:paraId="2859FF09" w14:textId="77777777" w:rsidR="003F46B9" w:rsidRDefault="0065662E">
      <w:pPr>
        <w:pStyle w:val="P68B1DB1-Normal5"/>
        <w:spacing w:before="120" w:after="120" w:line="240" w:lineRule="auto"/>
        <w:jc w:val="both"/>
        <w:rPr>
          <w:rFonts w:cs="Times New Roman"/>
          <w:noProof/>
        </w:rPr>
      </w:pPr>
      <w:r>
        <w:rPr>
          <w:noProof/>
        </w:rPr>
        <w:t>Ta su ulaganja namijenjena učenicima iz sela i malih općina kako bi se poboljšao njihov pristup kvalitetnom obrazovanju u modernim kampusima ruralnih škola.</w:t>
      </w:r>
    </w:p>
    <w:p w14:paraId="1F99D177" w14:textId="77777777" w:rsidR="003F46B9" w:rsidRDefault="0065662E">
      <w:pPr>
        <w:pStyle w:val="P68B1DB1-Normal5"/>
        <w:spacing w:before="120" w:after="120" w:line="240" w:lineRule="auto"/>
        <w:jc w:val="both"/>
        <w:rPr>
          <w:rFonts w:cs="Times New Roman"/>
          <w:noProof/>
        </w:rPr>
      </w:pPr>
      <w:r>
        <w:rPr>
          <w:noProof/>
        </w:rPr>
        <w:t xml:space="preserve">Osnovat će se tri konzorcija ruralnih škola kako </w:t>
      </w:r>
      <w:r>
        <w:rPr>
          <w:noProof/>
        </w:rPr>
        <w:t xml:space="preserve">bi se ojačalo obrazovno okruženje u ruralnim područjima osiguravanjem optimalnih uvjeta poučavanja i poštovanjem načela socijalne pravednosti. </w:t>
      </w:r>
    </w:p>
    <w:p w14:paraId="6B0589DC" w14:textId="77777777" w:rsidR="003F46B9" w:rsidRDefault="0065662E">
      <w:pPr>
        <w:pStyle w:val="P68B1DB1-Normal5"/>
        <w:spacing w:before="120" w:after="120" w:line="240" w:lineRule="auto"/>
        <w:jc w:val="both"/>
        <w:rPr>
          <w:rFonts w:cs="Times New Roman"/>
          <w:noProof/>
        </w:rPr>
      </w:pPr>
      <w:r>
        <w:rPr>
          <w:noProof/>
        </w:rPr>
        <w:t>Tri konzorcija financiraju se iz programa bespovratnih sredstava kojim upravlja Ministarstvo ulaganja i europski</w:t>
      </w:r>
      <w:r>
        <w:rPr>
          <w:noProof/>
        </w:rPr>
        <w:t>h projekata, koje odabire tri lokalne akcijske skupine ili udruženja lokalnih akcijskih skupina koje ispunjavaju najmanje dva kriterija: (a) pokazuju demografski pad mikroregije tijekom razdoblja od najmanje sedam godina; (b) može podnijeti čvrstu suglasno</w:t>
      </w:r>
      <w:r>
        <w:rPr>
          <w:noProof/>
        </w:rPr>
        <w:t>st lokalnih javnih tijela za projekt ruralnog školskog kampusa.</w:t>
      </w:r>
    </w:p>
    <w:p w14:paraId="4E86AFA3" w14:textId="77777777" w:rsidR="003F46B9" w:rsidRDefault="0065662E">
      <w:pPr>
        <w:pStyle w:val="P68B1DB1-Normal5"/>
        <w:spacing w:before="120" w:after="120" w:line="240" w:lineRule="auto"/>
        <w:jc w:val="both"/>
        <w:rPr>
          <w:rFonts w:cs="Times New Roman"/>
          <w:noProof/>
        </w:rPr>
      </w:pPr>
      <w:r>
        <w:rPr>
          <w:noProof/>
        </w:rPr>
        <w:t>Nakon toga moraju se razviti tri moderna kampusa kapaciteta 300 – 500 mjesta. Kampusi moraju imati suvremene obrazovne ustanove, radionice i laboratorije, izvanškolske prostorije, sportske dvo</w:t>
      </w:r>
      <w:r>
        <w:rPr>
          <w:noProof/>
        </w:rPr>
        <w:t>rane i terene, objekte za neformalne aktivnosti, kuhinjske i smještajne objekte za učenike i nastavnike te ustanove za učitelje i nastavnike. Kampusi također moraju imati flotu koja učenicima osigurava dnevni prijevoz i školska putovanja.</w:t>
      </w:r>
    </w:p>
    <w:p w14:paraId="200CDDA7" w14:textId="77777777" w:rsidR="003F46B9" w:rsidRDefault="0065662E">
      <w:pPr>
        <w:pStyle w:val="P68B1DB1-Normal5"/>
        <w:spacing w:before="120" w:after="120" w:line="240" w:lineRule="auto"/>
        <w:jc w:val="both"/>
        <w:rPr>
          <w:rFonts w:cs="Times New Roman"/>
          <w:noProof/>
        </w:rPr>
      </w:pPr>
      <w:r>
        <w:rPr>
          <w:noProof/>
        </w:rPr>
        <w:t>Novoizgrađene zgr</w:t>
      </w:r>
      <w:r>
        <w:rPr>
          <w:noProof/>
        </w:rPr>
        <w:t>ade moraju biti usklađene s ciljem postizanja potražnje za primarnom energijom (PED) koja je najmanje 20 % niža od zahtjeva za zgrade gotovo nulte energije u skladu s nacionalnim smjernicama, što se osigurava energetskim certifikatima.</w:t>
      </w:r>
    </w:p>
    <w:p w14:paraId="28A0168D" w14:textId="77777777" w:rsidR="003F46B9" w:rsidRDefault="0065662E">
      <w:pPr>
        <w:pStyle w:val="P68B1DB1-Normal5"/>
        <w:spacing w:before="120" w:after="120" w:line="240" w:lineRule="auto"/>
        <w:jc w:val="both"/>
        <w:rPr>
          <w:rFonts w:cs="Times New Roman"/>
          <w:noProof/>
        </w:rPr>
      </w:pPr>
      <w:r>
        <w:rPr>
          <w:noProof/>
        </w:rPr>
        <w:t>Provedba ulaganja mo</w:t>
      </w:r>
      <w:r>
        <w:rPr>
          <w:noProof/>
        </w:rPr>
        <w:t>ra biti dovršena do 30. lipnja 2026.</w:t>
      </w:r>
      <w:r>
        <w:rPr>
          <w:noProof/>
        </w:rPr>
        <w:br w:type="page"/>
      </w:r>
    </w:p>
    <w:p w14:paraId="208DF29F" w14:textId="77777777" w:rsidR="003F46B9" w:rsidRDefault="0065662E">
      <w:pPr>
        <w:pStyle w:val="P68B1DB1-Normal5"/>
        <w:numPr>
          <w:ilvl w:val="0"/>
          <w:numId w:val="105"/>
        </w:numPr>
        <w:spacing w:before="120" w:after="120" w:line="240" w:lineRule="auto"/>
        <w:ind w:left="1276"/>
        <w:jc w:val="both"/>
        <w:rPr>
          <w:rFonts w:cs="Times New Roman"/>
          <w:noProof/>
        </w:rPr>
      </w:pPr>
      <w:r>
        <w:rPr>
          <w:noProof/>
        </w:rPr>
        <w:t>Upravljanje školama:</w:t>
      </w:r>
    </w:p>
    <w:p w14:paraId="00A1779C" w14:textId="5A83618E" w:rsidR="003F46B9" w:rsidRDefault="0065662E">
      <w:pPr>
        <w:pStyle w:val="P68B1DB1-Standard6"/>
        <w:spacing w:before="240"/>
        <w:jc w:val="both"/>
        <w:rPr>
          <w:rFonts w:ascii="Times New Roman" w:eastAsiaTheme="majorEastAsia" w:hAnsi="Times New Roman" w:cs="Times New Roman"/>
          <w:noProof/>
        </w:rPr>
      </w:pPr>
      <w:r>
        <w:rPr>
          <w:noProof/>
        </w:rPr>
        <w:t xml:space="preserve">Reforma 7. Reforma upravljanja sustavom predsveučilišnog obrazovanja i profesionalizacija uprave </w:t>
      </w:r>
    </w:p>
    <w:p w14:paraId="4D7657D7" w14:textId="77777777" w:rsidR="003F46B9" w:rsidRDefault="0065662E">
      <w:pPr>
        <w:pStyle w:val="P68B1DB1-Normal5"/>
        <w:spacing w:before="120" w:after="120" w:line="240" w:lineRule="auto"/>
        <w:jc w:val="both"/>
        <w:rPr>
          <w:rFonts w:cs="Times New Roman"/>
          <w:noProof/>
        </w:rPr>
      </w:pPr>
      <w:r>
        <w:rPr>
          <w:noProof/>
        </w:rPr>
        <w:t xml:space="preserve">Cilj je te reforme da škole imaju koristi od učinkovitijeg upravljanja i veće autonomije. Reformom </w:t>
      </w:r>
      <w:r>
        <w:rPr>
          <w:noProof/>
        </w:rPr>
        <w:t xml:space="preserve">upravljanja povećava se kapacitet na školskoj razini za provedbu svih reformi predloženih za obrazovanje. </w:t>
      </w:r>
    </w:p>
    <w:p w14:paraId="5014A77A" w14:textId="77777777" w:rsidR="003F46B9" w:rsidRDefault="0065662E">
      <w:pPr>
        <w:pStyle w:val="P68B1DB1-Normal5"/>
        <w:spacing w:before="120" w:after="120" w:line="240" w:lineRule="auto"/>
        <w:jc w:val="both"/>
        <w:rPr>
          <w:rFonts w:cs="Times New Roman"/>
          <w:noProof/>
        </w:rPr>
      </w:pPr>
      <w:r>
        <w:rPr>
          <w:noProof/>
        </w:rPr>
        <w:t>Ministarstvo obrazovanja potpisuje ugovor o tehničkoj pomoći radi provedbe analize upravljanja u sustavu predsveučilišnog obrazovanja, uključujući pr</w:t>
      </w:r>
      <w:r>
        <w:rPr>
          <w:noProof/>
        </w:rPr>
        <w:t>eporuke i plan restrukturiranja upravljanja sustavom, u okviru povećane autonomije škola.</w:t>
      </w:r>
    </w:p>
    <w:p w14:paraId="4369C67E" w14:textId="77777777" w:rsidR="003F46B9" w:rsidRDefault="0065662E">
      <w:pPr>
        <w:pStyle w:val="P68B1DB1-Normal5"/>
        <w:spacing w:before="120" w:after="120" w:line="240" w:lineRule="auto"/>
        <w:jc w:val="both"/>
        <w:rPr>
          <w:rFonts w:cs="Times New Roman"/>
          <w:noProof/>
        </w:rPr>
      </w:pPr>
      <w:r>
        <w:rPr>
          <w:noProof/>
        </w:rPr>
        <w:t>Planom se utvrđuje i pilot-plan usmjeren na okvire arhitekture kurikuluma u 60 škola kako bi se testirao učinak sustavnih promjena kako bi se prilagodile, ispravile i</w:t>
      </w:r>
      <w:r>
        <w:rPr>
          <w:noProof/>
        </w:rPr>
        <w:t xml:space="preserve"> prilagodile potrebama prije nego što ih se proširi.</w:t>
      </w:r>
    </w:p>
    <w:p w14:paraId="4BF09B13" w14:textId="10D96F78" w:rsidR="003F46B9" w:rsidRDefault="0065662E">
      <w:pPr>
        <w:pStyle w:val="P68B1DB1-Normal5"/>
        <w:spacing w:before="120" w:after="120" w:line="240" w:lineRule="auto"/>
        <w:jc w:val="both"/>
        <w:rPr>
          <w:rFonts w:cs="Times New Roman"/>
          <w:b/>
          <w:noProof/>
        </w:rPr>
      </w:pPr>
      <w:r>
        <w:rPr>
          <w:noProof/>
        </w:rPr>
        <w:t>Provedba reforme mora biti dovršena do 30. rujna 2024.</w:t>
      </w:r>
    </w:p>
    <w:p w14:paraId="687A16CB" w14:textId="77777777" w:rsidR="003F46B9" w:rsidRDefault="0065662E">
      <w:pPr>
        <w:pStyle w:val="P68B1DB1-Normal5"/>
        <w:spacing w:before="120" w:after="120" w:line="240" w:lineRule="auto"/>
        <w:jc w:val="both"/>
        <w:rPr>
          <w:rFonts w:cs="Times New Roman"/>
          <w:noProof/>
        </w:rPr>
      </w:pPr>
      <w:r>
        <w:rPr>
          <w:noProof/>
        </w:rPr>
        <w:t>Ta se reforma dopunjuje jednim ulaganjem</w:t>
      </w:r>
      <w:r>
        <w:rPr>
          <w:noProof/>
        </w:rPr>
        <w:footnoteReference w:id="57"/>
      </w:r>
      <w:r>
        <w:rPr>
          <w:noProof/>
        </w:rPr>
        <w:t>.</w:t>
      </w:r>
    </w:p>
    <w:p w14:paraId="2EC9635B" w14:textId="77777777" w:rsidR="003F46B9" w:rsidRDefault="003F46B9">
      <w:pPr>
        <w:spacing w:before="120" w:after="120" w:line="240" w:lineRule="auto"/>
        <w:ind w:left="850"/>
        <w:jc w:val="both"/>
        <w:rPr>
          <w:rFonts w:ascii="Times New Roman" w:hAnsi="Times New Roman" w:cs="Times New Roman"/>
          <w:noProof/>
          <w:sz w:val="24"/>
        </w:rPr>
        <w:sectPr w:rsidR="003F46B9" w:rsidSect="00ED6412">
          <w:headerReference w:type="even" r:id="rId301"/>
          <w:headerReference w:type="default" r:id="rId302"/>
          <w:footerReference w:type="even" r:id="rId303"/>
          <w:footerReference w:type="default" r:id="rId304"/>
          <w:headerReference w:type="first" r:id="rId305"/>
          <w:footerReference w:type="first" r:id="rId306"/>
          <w:pgSz w:w="11906" w:h="16838"/>
          <w:pgMar w:top="1440" w:right="1440" w:bottom="1440" w:left="1440" w:header="708" w:footer="708" w:gutter="0"/>
          <w:cols w:space="708"/>
          <w:docGrid w:linePitch="360"/>
        </w:sectPr>
      </w:pPr>
    </w:p>
    <w:p w14:paraId="7EF56C54"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O.2. </w:t>
      </w:r>
      <w:r>
        <w:rPr>
          <w:noProof/>
        </w:rPr>
        <w:tab/>
      </w:r>
      <w:r>
        <w:rPr>
          <w:rFonts w:ascii="Times New Roman" w:hAnsi="Times New Roman"/>
          <w:b/>
          <w:noProof/>
          <w:sz w:val="24"/>
        </w:rPr>
        <w:t xml:space="preserve">Ključne etape, ciljne vrijednosti i vremenski </w:t>
      </w:r>
      <w:r>
        <w:rPr>
          <w:rFonts w:ascii="Times New Roman" w:hAnsi="Times New Roman"/>
          <w:b/>
          <w:noProof/>
          <w:sz w:val="24"/>
        </w:rPr>
        <w:t>raspored za praćenje i provedbu programa bespovratne financijske potpore</w:t>
      </w:r>
    </w:p>
    <w:p w14:paraId="2849BD4A" w14:textId="77777777" w:rsidR="003F46B9" w:rsidRDefault="003F46B9">
      <w:pPr>
        <w:spacing w:before="120" w:after="120" w:line="240" w:lineRule="auto"/>
        <w:ind w:left="709"/>
        <w:jc w:val="both"/>
        <w:rPr>
          <w:rFonts w:ascii="Times New Roman" w:hAnsi="Times New Roman" w:cs="Times New Roman"/>
          <w:noProof/>
          <w:sz w:val="24"/>
        </w:rPr>
      </w:pPr>
    </w:p>
    <w:tbl>
      <w:tblPr>
        <w:tblW w:w="5186" w:type="pct"/>
        <w:tblInd w:w="-572" w:type="dxa"/>
        <w:tblLayout w:type="fixed"/>
        <w:tblCellMar>
          <w:left w:w="28" w:type="dxa"/>
          <w:right w:w="28" w:type="dxa"/>
        </w:tblCellMar>
        <w:tblLook w:val="04A0" w:firstRow="1" w:lastRow="0" w:firstColumn="1" w:lastColumn="0" w:noHBand="0" w:noVBand="1"/>
      </w:tblPr>
      <w:tblGrid>
        <w:gridCol w:w="1276"/>
        <w:gridCol w:w="1795"/>
        <w:gridCol w:w="56"/>
        <w:gridCol w:w="1126"/>
        <w:gridCol w:w="1559"/>
        <w:gridCol w:w="1843"/>
        <w:gridCol w:w="1134"/>
        <w:gridCol w:w="1276"/>
        <w:gridCol w:w="1134"/>
        <w:gridCol w:w="1417"/>
        <w:gridCol w:w="941"/>
        <w:gridCol w:w="2404"/>
      </w:tblGrid>
      <w:tr w:rsidR="003F46B9" w14:paraId="4800CE38" w14:textId="77777777">
        <w:trPr>
          <w:trHeight w:val="861"/>
          <w:tblHeader/>
        </w:trPr>
        <w:tc>
          <w:tcPr>
            <w:tcW w:w="127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FEF9394" w14:textId="5206D85A" w:rsidR="003F46B9" w:rsidRDefault="0065662E">
            <w:pPr>
              <w:pStyle w:val="P68B1DB1-Normal1"/>
              <w:spacing w:after="0" w:line="240" w:lineRule="auto"/>
              <w:jc w:val="center"/>
              <w:rPr>
                <w:rFonts w:eastAsia="Times New Roman" w:cs="Times New Roman"/>
                <w:noProof/>
              </w:rPr>
            </w:pPr>
            <w:r>
              <w:rPr>
                <w:noProof/>
              </w:rPr>
              <w:t>Redni broj</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FD6A7D"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182" w:type="dxa"/>
            <w:gridSpan w:val="2"/>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EAE918"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6FD1396" w14:textId="77777777" w:rsidR="003F46B9" w:rsidRDefault="0065662E">
            <w:pPr>
              <w:pStyle w:val="P68B1DB1-Normal1"/>
              <w:spacing w:after="0" w:line="240" w:lineRule="auto"/>
              <w:jc w:val="center"/>
              <w:rPr>
                <w:rFonts w:eastAsia="Times New Roman" w:cs="Times New Roman"/>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E54179" w14:textId="764CEBD8"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Kvalitativni pokazatelji</w:t>
            </w:r>
            <w:r>
              <w:rPr>
                <w:noProof/>
              </w:rPr>
              <w:br/>
            </w:r>
            <w:r>
              <w:rPr>
                <w:rFonts w:ascii="Times New Roman" w:hAnsi="Times New Roman"/>
                <w:b/>
                <w:noProof/>
                <w:sz w:val="24"/>
              </w:rPr>
              <w:t>(za ključne etape)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70DB2F1" w14:textId="365F8DE8"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Kvantitativni pokazatelji</w:t>
            </w:r>
            <w:r>
              <w:rPr>
                <w:noProof/>
              </w:rPr>
              <w:br/>
            </w:r>
            <w:r>
              <w:rPr>
                <w:rFonts w:ascii="Times New Roman" w:hAnsi="Times New Roman"/>
                <w:b/>
                <w:noProof/>
                <w:sz w:val="24"/>
              </w:rPr>
              <w:t>(za ciljeve)</w:t>
            </w:r>
          </w:p>
        </w:tc>
        <w:tc>
          <w:tcPr>
            <w:tcW w:w="2358"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396CEA5" w14:textId="77777777" w:rsidR="003F46B9" w:rsidRDefault="0065662E">
            <w:pPr>
              <w:pStyle w:val="P68B1DB1-Normal1"/>
              <w:spacing w:after="0" w:line="240" w:lineRule="auto"/>
              <w:jc w:val="center"/>
              <w:rPr>
                <w:rFonts w:eastAsia="Times New Roman" w:cs="Times New Roman"/>
                <w:noProof/>
              </w:rPr>
            </w:pPr>
            <w:r>
              <w:rPr>
                <w:noProof/>
              </w:rPr>
              <w:t xml:space="preserve">Okvirni </w:t>
            </w:r>
            <w:r>
              <w:rPr>
                <w:noProof/>
              </w:rPr>
              <w:t>vremenski okvir za dovršetak</w:t>
            </w:r>
          </w:p>
        </w:tc>
        <w:tc>
          <w:tcPr>
            <w:tcW w:w="2404"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B827CF7"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789A490A" w14:textId="77777777">
        <w:trPr>
          <w:trHeight w:val="480"/>
          <w:tblHeader/>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1F426EA" w14:textId="77777777" w:rsidR="003F46B9" w:rsidRDefault="003F46B9">
            <w:pPr>
              <w:spacing w:after="0" w:line="240" w:lineRule="auto"/>
              <w:jc w:val="center"/>
              <w:rPr>
                <w:rFonts w:ascii="Times New Roman" w:eastAsia="Times New Roman" w:hAnsi="Times New Roman" w:cs="Times New Roman"/>
                <w:b/>
                <w:noProof/>
                <w:sz w:val="24"/>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6E85C069" w14:textId="77777777" w:rsidR="003F46B9" w:rsidRDefault="003F46B9">
            <w:pPr>
              <w:spacing w:after="0" w:line="240" w:lineRule="auto"/>
              <w:jc w:val="center"/>
              <w:rPr>
                <w:rFonts w:ascii="Times New Roman" w:eastAsia="Times New Roman" w:hAnsi="Times New Roman" w:cs="Times New Roman"/>
                <w:b/>
                <w:noProof/>
                <w:sz w:val="24"/>
              </w:rPr>
            </w:pPr>
          </w:p>
        </w:tc>
        <w:tc>
          <w:tcPr>
            <w:tcW w:w="1182" w:type="dxa"/>
            <w:gridSpan w:val="2"/>
            <w:vMerge/>
            <w:tcBorders>
              <w:top w:val="single" w:sz="4" w:space="0" w:color="auto"/>
              <w:left w:val="single" w:sz="4" w:space="0" w:color="auto"/>
              <w:bottom w:val="single" w:sz="4" w:space="0" w:color="auto"/>
              <w:right w:val="single" w:sz="4" w:space="0" w:color="auto"/>
            </w:tcBorders>
            <w:noWrap/>
            <w:vAlign w:val="center"/>
          </w:tcPr>
          <w:p w14:paraId="1C338172" w14:textId="77777777" w:rsidR="003F46B9" w:rsidRDefault="003F46B9">
            <w:pPr>
              <w:spacing w:after="0" w:line="240" w:lineRule="auto"/>
              <w:jc w:val="center"/>
              <w:rPr>
                <w:rFonts w:ascii="Times New Roman" w:eastAsia="Times New Roman" w:hAnsi="Times New Roman" w:cs="Times New Roman"/>
                <w:b/>
                <w:noProof/>
                <w:sz w:val="24"/>
              </w:rPr>
            </w:pPr>
          </w:p>
        </w:tc>
        <w:tc>
          <w:tcPr>
            <w:tcW w:w="1559" w:type="dxa"/>
            <w:vMerge/>
            <w:tcBorders>
              <w:top w:val="single" w:sz="4" w:space="0" w:color="auto"/>
              <w:left w:val="single" w:sz="4" w:space="0" w:color="auto"/>
              <w:bottom w:val="single" w:sz="4" w:space="0" w:color="auto"/>
              <w:right w:val="single" w:sz="4" w:space="0" w:color="auto"/>
            </w:tcBorders>
            <w:noWrap/>
            <w:vAlign w:val="center"/>
          </w:tcPr>
          <w:p w14:paraId="7EF9AB48" w14:textId="77777777" w:rsidR="003F46B9" w:rsidRDefault="003F46B9">
            <w:pPr>
              <w:spacing w:after="0" w:line="240" w:lineRule="auto"/>
              <w:jc w:val="center"/>
              <w:rPr>
                <w:rFonts w:ascii="Times New Roman" w:eastAsia="Times New Roman" w:hAnsi="Times New Roman" w:cs="Times New Roman"/>
                <w:b/>
                <w:noProof/>
                <w:sz w:val="24"/>
              </w:rPr>
            </w:pPr>
          </w:p>
        </w:tc>
        <w:tc>
          <w:tcPr>
            <w:tcW w:w="1843" w:type="dxa"/>
            <w:vMerge/>
            <w:tcBorders>
              <w:top w:val="single" w:sz="4" w:space="0" w:color="auto"/>
              <w:left w:val="single" w:sz="4" w:space="0" w:color="auto"/>
              <w:bottom w:val="single" w:sz="4" w:space="0" w:color="auto"/>
              <w:right w:val="single" w:sz="4" w:space="0" w:color="auto"/>
            </w:tcBorders>
            <w:noWrap/>
            <w:vAlign w:val="center"/>
          </w:tcPr>
          <w:p w14:paraId="4B2CE430" w14:textId="77777777" w:rsidR="003F46B9" w:rsidRDefault="003F46B9">
            <w:pPr>
              <w:spacing w:after="0" w:line="240" w:lineRule="auto"/>
              <w:jc w:val="center"/>
              <w:rPr>
                <w:rFonts w:ascii="Times New Roman" w:eastAsia="Times New Roman" w:hAnsi="Times New Roman" w:cs="Times New Roman"/>
                <w:b/>
                <w:noProof/>
                <w:sz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3AE92C" w14:textId="77777777" w:rsidR="003F46B9" w:rsidRDefault="0065662E">
            <w:pPr>
              <w:pStyle w:val="P68B1DB1-Normal1"/>
              <w:spacing w:after="0" w:line="240" w:lineRule="auto"/>
              <w:jc w:val="center"/>
              <w:rPr>
                <w:rFonts w:eastAsia="Times New Roman" w:cs="Times New Roman"/>
                <w:noProof/>
              </w:rPr>
            </w:pPr>
            <w:r>
              <w:rPr>
                <w:noProof/>
              </w:rPr>
              <w:t>Odjel</w:t>
            </w:r>
          </w:p>
          <w:p w14:paraId="042CE031" w14:textId="557E700F" w:rsidR="003F46B9" w:rsidRDefault="0065662E">
            <w:pPr>
              <w:pStyle w:val="P68B1DB1-Normal1"/>
              <w:spacing w:after="0" w:line="240" w:lineRule="auto"/>
              <w:jc w:val="center"/>
              <w:rPr>
                <w:rFonts w:eastAsia="Times New Roman" w:cs="Times New Roman"/>
                <w:noProof/>
              </w:rPr>
            </w:pPr>
            <w:r>
              <w:rPr>
                <w:noProof/>
              </w:rPr>
              <w:t>mjere</w:t>
            </w:r>
          </w:p>
        </w:tc>
        <w:tc>
          <w:tcPr>
            <w:tcW w:w="1276"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48A16AC0" w14:textId="77777777" w:rsidR="003F46B9" w:rsidRDefault="0065662E">
            <w:pPr>
              <w:pStyle w:val="P68B1DB1-Normal1"/>
              <w:spacing w:after="0" w:line="240" w:lineRule="auto"/>
              <w:jc w:val="center"/>
              <w:rPr>
                <w:rFonts w:eastAsia="Times New Roman" w:cs="Times New Roman"/>
                <w:noProof/>
              </w:rPr>
            </w:pPr>
            <w:r>
              <w:rPr>
                <w:noProof/>
              </w:rPr>
              <w:t>Osnovna vrijednost</w:t>
            </w:r>
          </w:p>
        </w:tc>
        <w:tc>
          <w:tcPr>
            <w:tcW w:w="1134"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7389355E" w14:textId="77777777" w:rsidR="003F46B9" w:rsidRDefault="0065662E">
            <w:pPr>
              <w:pStyle w:val="P68B1DB1-Normal1"/>
              <w:spacing w:after="0" w:line="240" w:lineRule="auto"/>
              <w:jc w:val="center"/>
              <w:rPr>
                <w:rFonts w:eastAsia="Times New Roman" w:cs="Times New Roman"/>
                <w:noProof/>
              </w:rPr>
            </w:pPr>
            <w:r>
              <w:rPr>
                <w:noProof/>
              </w:rPr>
              <w:t>Cilj</w:t>
            </w:r>
          </w:p>
        </w:tc>
        <w:tc>
          <w:tcPr>
            <w:tcW w:w="1417"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1D14D62"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5929AB9"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2404" w:type="dxa"/>
            <w:vMerge/>
            <w:tcBorders>
              <w:top w:val="single" w:sz="4" w:space="0" w:color="auto"/>
              <w:bottom w:val="single" w:sz="4" w:space="0" w:color="auto"/>
              <w:right w:val="single" w:sz="4" w:space="0" w:color="auto"/>
            </w:tcBorders>
            <w:noWrap/>
            <w:vAlign w:val="center"/>
          </w:tcPr>
          <w:p w14:paraId="644650E5" w14:textId="77777777" w:rsidR="003F46B9" w:rsidRDefault="003F46B9">
            <w:pPr>
              <w:spacing w:after="0" w:line="240" w:lineRule="auto"/>
              <w:jc w:val="center"/>
              <w:rPr>
                <w:rFonts w:ascii="Times New Roman" w:eastAsia="Times New Roman" w:hAnsi="Times New Roman" w:cs="Times New Roman"/>
                <w:b/>
                <w:noProof/>
                <w:sz w:val="24"/>
              </w:rPr>
            </w:pPr>
          </w:p>
        </w:tc>
      </w:tr>
      <w:tr w:rsidR="003F46B9" w14:paraId="26B8C143"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1F0FB65" w14:textId="77777777" w:rsidR="003F46B9" w:rsidRDefault="0065662E">
            <w:pPr>
              <w:pStyle w:val="P68B1DB1-Normal5"/>
              <w:spacing w:after="0" w:line="240" w:lineRule="auto"/>
              <w:jc w:val="center"/>
              <w:rPr>
                <w:rFonts w:cs="Times New Roman"/>
                <w:noProof/>
              </w:rPr>
            </w:pPr>
            <w:r>
              <w:rPr>
                <w:noProof/>
              </w:rPr>
              <w:t>452</w:t>
            </w:r>
          </w:p>
        </w:tc>
        <w:tc>
          <w:tcPr>
            <w:tcW w:w="1795" w:type="dxa"/>
            <w:tcBorders>
              <w:top w:val="single" w:sz="4" w:space="0" w:color="auto"/>
              <w:left w:val="nil"/>
              <w:bottom w:val="single" w:sz="4" w:space="0" w:color="auto"/>
              <w:right w:val="single" w:sz="4" w:space="0" w:color="auto"/>
            </w:tcBorders>
            <w:shd w:val="clear" w:color="auto" w:fill="C6EFCE"/>
            <w:noWrap/>
          </w:tcPr>
          <w:p w14:paraId="24E927C9" w14:textId="77777777" w:rsidR="003F46B9" w:rsidRDefault="0065662E">
            <w:pPr>
              <w:pStyle w:val="P68B1DB1-Normal5"/>
              <w:spacing w:after="0" w:line="240" w:lineRule="auto"/>
              <w:jc w:val="both"/>
              <w:rPr>
                <w:rFonts w:cs="Times New Roman"/>
                <w:noProof/>
              </w:rPr>
            </w:pPr>
            <w:r>
              <w:rPr>
                <w:noProof/>
              </w:rPr>
              <w:t>Reforma 1. Izrada i donošenje zakonodavnog paketa za provedbu projekta „Obrazovanje Rumunjske”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FA8188C"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0EC27420" w14:textId="77777777" w:rsidR="003F46B9" w:rsidRDefault="0065662E">
            <w:pPr>
              <w:pStyle w:val="P68B1DB1-Normal5"/>
              <w:spacing w:after="0" w:line="240" w:lineRule="auto"/>
              <w:jc w:val="both"/>
              <w:rPr>
                <w:rFonts w:cs="Times New Roman"/>
                <w:noProof/>
              </w:rPr>
            </w:pPr>
            <w:r>
              <w:rPr>
                <w:noProof/>
              </w:rPr>
              <w:t>Stupanje na snagu zakonodavnog paketa za provedbu projekta „Obrazovljena Rumunjska”</w:t>
            </w:r>
          </w:p>
        </w:tc>
        <w:tc>
          <w:tcPr>
            <w:tcW w:w="1843" w:type="dxa"/>
            <w:tcBorders>
              <w:top w:val="single" w:sz="4" w:space="0" w:color="auto"/>
              <w:left w:val="nil"/>
              <w:bottom w:val="single" w:sz="4" w:space="0" w:color="auto"/>
              <w:right w:val="single" w:sz="4" w:space="0" w:color="auto"/>
            </w:tcBorders>
            <w:shd w:val="clear" w:color="auto" w:fill="C6EFCE"/>
            <w:noWrap/>
          </w:tcPr>
          <w:p w14:paraId="54EDAB1E" w14:textId="77777777" w:rsidR="003F46B9" w:rsidRDefault="0065662E">
            <w:pPr>
              <w:pStyle w:val="P68B1DB1-Normal5"/>
              <w:spacing w:after="0" w:line="240" w:lineRule="auto"/>
              <w:jc w:val="both"/>
              <w:rPr>
                <w:rFonts w:cs="Times New Roman"/>
                <w:noProof/>
              </w:rPr>
            </w:pPr>
            <w:r>
              <w:rPr>
                <w:noProof/>
              </w:rPr>
              <w:t>Odredba u zakonodavnom paketu o stupanju na snagu projekta „Obrazovljena Rumunjska”</w:t>
            </w:r>
          </w:p>
        </w:tc>
        <w:tc>
          <w:tcPr>
            <w:tcW w:w="1134" w:type="dxa"/>
            <w:tcBorders>
              <w:top w:val="single" w:sz="4" w:space="0" w:color="auto"/>
              <w:left w:val="nil"/>
              <w:bottom w:val="single" w:sz="4" w:space="0" w:color="auto"/>
              <w:right w:val="single" w:sz="4" w:space="0" w:color="auto"/>
            </w:tcBorders>
            <w:shd w:val="clear" w:color="auto" w:fill="C6EFCE"/>
            <w:noWrap/>
          </w:tcPr>
          <w:p w14:paraId="3CCA8048"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3FA81097"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D9140CE"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386FF168"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98D0311" w14:textId="77777777" w:rsidR="003F46B9" w:rsidRDefault="0065662E">
            <w:pPr>
              <w:pStyle w:val="P68B1DB1-Normal5"/>
              <w:spacing w:after="0" w:line="240" w:lineRule="auto"/>
              <w:jc w:val="both"/>
              <w:rPr>
                <w:rFonts w:cs="Times New Roman"/>
                <w:noProof/>
              </w:rPr>
            </w:pPr>
            <w:r>
              <w:rPr>
                <w:noProof/>
              </w:rPr>
              <w:t>2023</w:t>
            </w:r>
          </w:p>
        </w:tc>
        <w:tc>
          <w:tcPr>
            <w:tcW w:w="2404" w:type="dxa"/>
            <w:tcBorders>
              <w:top w:val="single" w:sz="4" w:space="0" w:color="auto"/>
              <w:left w:val="nil"/>
              <w:bottom w:val="single" w:sz="4" w:space="0" w:color="auto"/>
              <w:right w:val="single" w:sz="4" w:space="0" w:color="auto"/>
            </w:tcBorders>
            <w:shd w:val="clear" w:color="auto" w:fill="C6EFCE"/>
            <w:noWrap/>
          </w:tcPr>
          <w:p w14:paraId="71BB664F" w14:textId="7A3313C3" w:rsidR="003F46B9" w:rsidRDefault="0065662E">
            <w:pPr>
              <w:pStyle w:val="P68B1DB1-Normal5"/>
              <w:spacing w:after="0" w:line="240" w:lineRule="auto"/>
              <w:jc w:val="both"/>
              <w:rPr>
                <w:rFonts w:cs="Times New Roman"/>
                <w:noProof/>
              </w:rPr>
            </w:pPr>
            <w:r>
              <w:rPr>
                <w:noProof/>
              </w:rPr>
              <w:t>Zakonodavni paket uključuje:</w:t>
            </w:r>
          </w:p>
          <w:p w14:paraId="3D50DB50" w14:textId="5CF0FCD5" w:rsidR="003F46B9" w:rsidRDefault="0065662E">
            <w:pPr>
              <w:pStyle w:val="P68B1DB1-Normal5"/>
              <w:numPr>
                <w:ilvl w:val="0"/>
                <w:numId w:val="100"/>
              </w:numPr>
              <w:spacing w:after="0" w:line="240" w:lineRule="auto"/>
              <w:ind w:left="189" w:hanging="128"/>
              <w:jc w:val="both"/>
              <w:rPr>
                <w:rFonts w:cs="Times New Roman"/>
                <w:noProof/>
              </w:rPr>
            </w:pPr>
            <w:r>
              <w:rPr>
                <w:noProof/>
              </w:rPr>
              <w:t>Osnivanje međuministarske radne skupine</w:t>
            </w:r>
            <w:r>
              <w:rPr>
                <w:noProof/>
              </w:rPr>
              <w:t xml:space="preserve"> koju koordinira premijer, a koja će pratiti projekt „Obrazovanje Rumunjske”. Objavljuju se izvješća o naknadnom praćenju.</w:t>
            </w:r>
          </w:p>
          <w:p w14:paraId="61FA5437" w14:textId="24206A5C" w:rsidR="003F46B9" w:rsidRDefault="0065662E">
            <w:pPr>
              <w:pStyle w:val="P68B1DB1-Normal5"/>
              <w:numPr>
                <w:ilvl w:val="0"/>
                <w:numId w:val="100"/>
              </w:numPr>
              <w:spacing w:after="0" w:line="240" w:lineRule="auto"/>
              <w:ind w:left="189" w:hanging="128"/>
              <w:jc w:val="both"/>
              <w:rPr>
                <w:rFonts w:cs="Times New Roman"/>
                <w:noProof/>
              </w:rPr>
            </w:pPr>
            <w:r>
              <w:rPr>
                <w:noProof/>
              </w:rPr>
              <w:t>Donošenje ministarske odluke kojom se utvrđuju rokovi i odgovornosti za provedbu projekta „Obrazovanje Rumunjske”;</w:t>
            </w:r>
          </w:p>
          <w:p w14:paraId="5B7DBF1C" w14:textId="77777777" w:rsidR="003F46B9" w:rsidRDefault="0065662E">
            <w:pPr>
              <w:pStyle w:val="P68B1DB1-Normal5"/>
              <w:numPr>
                <w:ilvl w:val="0"/>
                <w:numId w:val="100"/>
              </w:numPr>
              <w:spacing w:after="0" w:line="240" w:lineRule="auto"/>
              <w:ind w:left="189" w:hanging="128"/>
              <w:jc w:val="both"/>
              <w:rPr>
                <w:rFonts w:eastAsia="Times New Roman" w:cs="Times New Roman"/>
                <w:noProof/>
              </w:rPr>
            </w:pPr>
            <w:r>
              <w:rPr>
                <w:noProof/>
              </w:rPr>
              <w:t xml:space="preserve">Zakonodavne mjere </w:t>
            </w:r>
            <w:r>
              <w:rPr>
                <w:noProof/>
              </w:rPr>
              <w:t>za osiguravanje provedbe projekta „Obrazovanje Rumunjske”.</w:t>
            </w:r>
          </w:p>
          <w:p w14:paraId="02197C0D" w14:textId="77777777" w:rsidR="003F46B9" w:rsidRDefault="0065662E">
            <w:pPr>
              <w:pStyle w:val="P68B1DB1-Normal5"/>
              <w:spacing w:after="0" w:line="240" w:lineRule="auto"/>
              <w:ind w:left="61"/>
              <w:jc w:val="both"/>
              <w:rPr>
                <w:rFonts w:eastAsia="Times New Roman" w:cs="Times New Roman"/>
                <w:noProof/>
              </w:rPr>
            </w:pPr>
            <w:r>
              <w:rPr>
                <w:noProof/>
              </w:rPr>
              <w:t>Za pripremu zakonodavnog paketa organiziraju se savjetovanja sa socijalnim partnerima, predstavnicima udruženja roditelja, poslovnim i nevladinim organizacijama, lokalnim zajednicama, drugim javnim</w:t>
            </w:r>
            <w:r>
              <w:rPr>
                <w:noProof/>
              </w:rPr>
              <w:t xml:space="preserve"> tijelima/subjektima, učenicima, studentima, nastavnicima i stručnjacima.</w:t>
            </w:r>
          </w:p>
        </w:tc>
      </w:tr>
      <w:tr w:rsidR="003F46B9" w14:paraId="6B4C9C5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8DAE636" w14:textId="77777777" w:rsidR="003F46B9" w:rsidRDefault="0065662E">
            <w:pPr>
              <w:pStyle w:val="P68B1DB1-Normal5"/>
              <w:spacing w:after="0" w:line="240" w:lineRule="auto"/>
              <w:jc w:val="center"/>
              <w:rPr>
                <w:rFonts w:cs="Times New Roman"/>
                <w:noProof/>
              </w:rPr>
            </w:pPr>
            <w:r>
              <w:rPr>
                <w:noProof/>
              </w:rPr>
              <w:t>453</w:t>
            </w:r>
          </w:p>
        </w:tc>
        <w:tc>
          <w:tcPr>
            <w:tcW w:w="1795" w:type="dxa"/>
            <w:tcBorders>
              <w:top w:val="single" w:sz="4" w:space="0" w:color="auto"/>
              <w:left w:val="nil"/>
              <w:bottom w:val="single" w:sz="4" w:space="0" w:color="auto"/>
              <w:right w:val="single" w:sz="4" w:space="0" w:color="auto"/>
            </w:tcBorders>
            <w:shd w:val="clear" w:color="auto" w:fill="C6EFCE"/>
            <w:noWrap/>
          </w:tcPr>
          <w:p w14:paraId="20BE58F2" w14:textId="77777777" w:rsidR="003F46B9" w:rsidRDefault="0065662E">
            <w:pPr>
              <w:pStyle w:val="P68B1DB1-Normal5"/>
              <w:spacing w:after="0" w:line="240" w:lineRule="auto"/>
              <w:jc w:val="both"/>
              <w:rPr>
                <w:rFonts w:cs="Times New Roman"/>
                <w:noProof/>
              </w:rPr>
            </w:pPr>
            <w:r>
              <w:rPr>
                <w:noProof/>
              </w:rPr>
              <w:t>Reforma 2. Jedinstveni, uključiv i kvalitetan sustav ranog i predškolskog odgoja i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166FFA6"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276A64F0" w14:textId="77777777" w:rsidR="003F46B9" w:rsidRDefault="0065662E">
            <w:pPr>
              <w:pStyle w:val="P68B1DB1-Normal5"/>
              <w:spacing w:after="120" w:line="240" w:lineRule="auto"/>
              <w:jc w:val="both"/>
              <w:rPr>
                <w:rFonts w:cs="Times New Roman"/>
                <w:noProof/>
              </w:rPr>
            </w:pPr>
            <w:r>
              <w:rPr>
                <w:noProof/>
              </w:rPr>
              <w:t xml:space="preserve">Stupanje na snagu Ministarske odluke o donošenju Međusektorskog okvirnog programa </w:t>
            </w:r>
          </w:p>
          <w:p w14:paraId="37AF18AA" w14:textId="77777777" w:rsidR="003F46B9" w:rsidRDefault="0065662E">
            <w:pPr>
              <w:pStyle w:val="P68B1DB1-Normal5"/>
              <w:spacing w:after="0" w:line="240" w:lineRule="auto"/>
              <w:jc w:val="both"/>
              <w:rPr>
                <w:rFonts w:cs="Times New Roman"/>
                <w:noProof/>
              </w:rPr>
            </w:pPr>
            <w:r>
              <w:rPr>
                <w:noProof/>
              </w:rPr>
              <w:t>Stupanje na snagu MO-a kojim se uređuje uspostava, organizacija i rad dopunskih usluga ranog i predškolskog odgoja i obrazovanja</w:t>
            </w:r>
          </w:p>
          <w:p w14:paraId="5352048D" w14:textId="77777777" w:rsidR="003F46B9" w:rsidRDefault="003F46B9">
            <w:pPr>
              <w:spacing w:after="0" w:line="240" w:lineRule="auto"/>
              <w:jc w:val="both"/>
              <w:rPr>
                <w:rFonts w:ascii="Times New Roman" w:hAnsi="Times New Roman" w:cs="Times New Roman"/>
                <w:noProof/>
                <w:sz w:val="24"/>
              </w:rPr>
            </w:pPr>
          </w:p>
          <w:p w14:paraId="0C858A6A" w14:textId="77777777" w:rsidR="003F46B9" w:rsidRDefault="003F46B9">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7A1BBB47" w14:textId="77777777" w:rsidR="003F46B9" w:rsidRDefault="0065662E">
            <w:pPr>
              <w:pStyle w:val="P68B1DB1-Normal5"/>
              <w:spacing w:after="120" w:line="240" w:lineRule="auto"/>
              <w:jc w:val="both"/>
              <w:rPr>
                <w:rFonts w:cs="Times New Roman"/>
                <w:noProof/>
              </w:rPr>
            </w:pPr>
            <w:r>
              <w:rPr>
                <w:noProof/>
              </w:rPr>
              <w:t>Odredba u MO-u o stupanju na snagu Međusek</w:t>
            </w:r>
            <w:r>
              <w:rPr>
                <w:noProof/>
              </w:rPr>
              <w:t xml:space="preserve">torskog okvirnog programa </w:t>
            </w:r>
          </w:p>
          <w:p w14:paraId="14EC8A88" w14:textId="77777777" w:rsidR="003F46B9" w:rsidRDefault="0065662E">
            <w:pPr>
              <w:pStyle w:val="P68B1DB1-Normal5"/>
              <w:spacing w:after="0" w:line="240" w:lineRule="auto"/>
              <w:jc w:val="both"/>
              <w:rPr>
                <w:rFonts w:cs="Times New Roman"/>
                <w:noProof/>
              </w:rPr>
            </w:pPr>
            <w:r>
              <w:rPr>
                <w:noProof/>
              </w:rPr>
              <w:t>Odredba u MO-u o stupanju na snagu uredbe o uspostavi, organizaciji i radu dopunskih usluga ranog i predškolskog odgoja i obrazovanja</w:t>
            </w:r>
          </w:p>
        </w:tc>
        <w:tc>
          <w:tcPr>
            <w:tcW w:w="1134" w:type="dxa"/>
            <w:tcBorders>
              <w:top w:val="single" w:sz="4" w:space="0" w:color="auto"/>
              <w:left w:val="nil"/>
              <w:bottom w:val="single" w:sz="4" w:space="0" w:color="auto"/>
              <w:right w:val="single" w:sz="4" w:space="0" w:color="auto"/>
            </w:tcBorders>
            <w:shd w:val="clear" w:color="auto" w:fill="C6EFCE"/>
            <w:noWrap/>
          </w:tcPr>
          <w:p w14:paraId="518B4112"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64C3C2F"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5ADBF74"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5967997"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8C37564"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D7B4782" w14:textId="77777777" w:rsidR="003F46B9" w:rsidRDefault="0065662E">
            <w:pPr>
              <w:pStyle w:val="P68B1DB1-Normal5"/>
              <w:spacing w:after="0" w:line="240" w:lineRule="auto"/>
              <w:jc w:val="both"/>
              <w:rPr>
                <w:rFonts w:cs="Times New Roman"/>
                <w:noProof/>
              </w:rPr>
            </w:pPr>
            <w:r>
              <w:rPr>
                <w:noProof/>
              </w:rPr>
              <w:t>Ministarskom odlukom, koju su potpisali ministar obrazovanja, mini</w:t>
            </w:r>
            <w:r>
              <w:rPr>
                <w:noProof/>
              </w:rPr>
              <w:t>star rada i socijalne zaštite, ministar zdravstva i ministar razvoja, javnih radova i uprave, tijekom prve godine programa Međusektorski okvirni program donosi i operacionalizira razvoj jedinstvenih, uključivih i kvalitetnih usluga ranog i predškolskog odg</w:t>
            </w:r>
            <w:r>
              <w:rPr>
                <w:noProof/>
              </w:rPr>
              <w:t>oja i obrazovanja.</w:t>
            </w:r>
          </w:p>
          <w:p w14:paraId="3D731953" w14:textId="77777777" w:rsidR="003F46B9" w:rsidRDefault="0065662E">
            <w:pPr>
              <w:pStyle w:val="P68B1DB1-Normal5"/>
              <w:spacing w:after="0" w:line="240" w:lineRule="auto"/>
              <w:jc w:val="both"/>
              <w:rPr>
                <w:rFonts w:cs="Times New Roman"/>
                <w:noProof/>
              </w:rPr>
            </w:pPr>
            <w:r>
              <w:rPr>
                <w:noProof/>
              </w:rPr>
              <w:t>Odluka ministarskog naloga sadržava:</w:t>
            </w:r>
          </w:p>
          <w:p w14:paraId="039F497E" w14:textId="77777777" w:rsidR="003F46B9" w:rsidRDefault="0065662E">
            <w:pPr>
              <w:pStyle w:val="P68B1DB1-Normal5"/>
              <w:numPr>
                <w:ilvl w:val="0"/>
                <w:numId w:val="123"/>
              </w:numPr>
              <w:spacing w:before="120" w:after="0" w:line="240" w:lineRule="auto"/>
              <w:ind w:left="189" w:hanging="142"/>
              <w:contextualSpacing/>
              <w:jc w:val="both"/>
              <w:rPr>
                <w:rFonts w:cs="Times New Roman"/>
                <w:noProof/>
              </w:rPr>
            </w:pPr>
            <w:r>
              <w:rPr>
                <w:noProof/>
              </w:rPr>
              <w:t>Međusektorski okvirni program (ISFP) u nadležnosti svakog ministarstva.</w:t>
            </w:r>
          </w:p>
          <w:p w14:paraId="10D30D11" w14:textId="77777777" w:rsidR="003F46B9" w:rsidRDefault="0065662E">
            <w:pPr>
              <w:pStyle w:val="P68B1DB1-Normal5"/>
              <w:numPr>
                <w:ilvl w:val="0"/>
                <w:numId w:val="123"/>
              </w:numPr>
              <w:spacing w:before="120" w:after="0" w:line="240" w:lineRule="auto"/>
              <w:ind w:left="189" w:hanging="142"/>
              <w:contextualSpacing/>
              <w:jc w:val="both"/>
              <w:rPr>
                <w:rFonts w:cs="Times New Roman"/>
                <w:noProof/>
              </w:rPr>
            </w:pPr>
            <w:r>
              <w:rPr>
                <w:noProof/>
              </w:rPr>
              <w:t>Godišnji operativni provedbeni planovi (AOIP) za provedbu ISFP-a. U tim godišnjim planovima utvrđuju se rokovi i odgovornosti te</w:t>
            </w:r>
            <w:r>
              <w:rPr>
                <w:noProof/>
              </w:rPr>
              <w:t xml:space="preserve"> pojašnjavaju aspekti suradnje u praćenju provedbe tih mjera. </w:t>
            </w:r>
          </w:p>
          <w:p w14:paraId="0BA8F1B0" w14:textId="77777777" w:rsidR="003F46B9" w:rsidRDefault="0065662E">
            <w:pPr>
              <w:pStyle w:val="P68B1DB1-Normal5"/>
              <w:spacing w:after="0" w:line="240" w:lineRule="auto"/>
              <w:jc w:val="both"/>
              <w:rPr>
                <w:rFonts w:eastAsia="Times New Roman" w:cs="Times New Roman"/>
                <w:noProof/>
              </w:rPr>
            </w:pPr>
            <w:r>
              <w:rPr>
                <w:noProof/>
              </w:rPr>
              <w:t>Daljnji je korak donošenje ministarske odluke kojom se uređuje uspostava, organizacija i djelovanje dopunskih usluga ranog i predškolskog odgoja do 31. prosinca 2022. kako bi se pripremilo pokr</w:t>
            </w:r>
            <w:r>
              <w:rPr>
                <w:noProof/>
              </w:rPr>
              <w:t>etanje programa dodjele bespovratnih sredstava.</w:t>
            </w:r>
          </w:p>
        </w:tc>
      </w:tr>
      <w:tr w:rsidR="003F46B9" w14:paraId="40D69AA9"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75179B29" w14:textId="77777777" w:rsidR="003F46B9" w:rsidRDefault="0065662E">
            <w:pPr>
              <w:pStyle w:val="P68B1DB1-Normal5"/>
              <w:spacing w:after="0" w:line="240" w:lineRule="auto"/>
              <w:jc w:val="center"/>
              <w:rPr>
                <w:rFonts w:cs="Times New Roman"/>
                <w:noProof/>
              </w:rPr>
            </w:pPr>
            <w:r>
              <w:rPr>
                <w:noProof/>
              </w:rPr>
              <w:t>454</w:t>
            </w:r>
          </w:p>
        </w:tc>
        <w:tc>
          <w:tcPr>
            <w:tcW w:w="1795" w:type="dxa"/>
            <w:tcBorders>
              <w:top w:val="nil"/>
              <w:left w:val="nil"/>
              <w:bottom w:val="single" w:sz="4" w:space="0" w:color="auto"/>
              <w:right w:val="single" w:sz="4" w:space="0" w:color="auto"/>
            </w:tcBorders>
            <w:shd w:val="clear" w:color="auto" w:fill="C6EFCE"/>
            <w:noWrap/>
          </w:tcPr>
          <w:p w14:paraId="25A86C02" w14:textId="77777777" w:rsidR="003F46B9" w:rsidRDefault="0065662E">
            <w:pPr>
              <w:pStyle w:val="P68B1DB1-Normal5"/>
              <w:spacing w:after="0" w:line="240" w:lineRule="auto"/>
              <w:jc w:val="both"/>
              <w:rPr>
                <w:rFonts w:cs="Times New Roman"/>
                <w:noProof/>
              </w:rPr>
            </w:pPr>
            <w:r>
              <w:rPr>
                <w:noProof/>
              </w:rPr>
              <w:t>Reforma 2. Jedinstveni, uključiv i kvalitetan sustav ranog i predškolskog odgoja i obrazovanja za djecu</w:t>
            </w:r>
          </w:p>
        </w:tc>
        <w:tc>
          <w:tcPr>
            <w:tcW w:w="1182" w:type="dxa"/>
            <w:gridSpan w:val="2"/>
            <w:tcBorders>
              <w:top w:val="nil"/>
              <w:left w:val="nil"/>
              <w:bottom w:val="single" w:sz="4" w:space="0" w:color="auto"/>
              <w:right w:val="single" w:sz="4" w:space="0" w:color="auto"/>
            </w:tcBorders>
            <w:shd w:val="clear" w:color="auto" w:fill="C6EFCE"/>
            <w:noWrap/>
          </w:tcPr>
          <w:p w14:paraId="494442CC"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tcPr>
          <w:p w14:paraId="5AC35D2E" w14:textId="77777777" w:rsidR="003F46B9" w:rsidRDefault="0065662E">
            <w:pPr>
              <w:pStyle w:val="P68B1DB1-Normal5"/>
              <w:spacing w:after="0" w:line="240" w:lineRule="auto"/>
              <w:jc w:val="both"/>
              <w:rPr>
                <w:rFonts w:cs="Times New Roman"/>
                <w:noProof/>
              </w:rPr>
            </w:pPr>
            <w:r>
              <w:rPr>
                <w:noProof/>
              </w:rPr>
              <w:t xml:space="preserve">Stopa sudjelovanja osoba u dobi od 0 do 3 godine u uslugama ranog i predškolskog odgoja i </w:t>
            </w:r>
            <w:r>
              <w:rPr>
                <w:noProof/>
              </w:rPr>
              <w:t>obrazovanja</w:t>
            </w:r>
          </w:p>
        </w:tc>
        <w:tc>
          <w:tcPr>
            <w:tcW w:w="1843" w:type="dxa"/>
            <w:tcBorders>
              <w:top w:val="nil"/>
              <w:left w:val="nil"/>
              <w:bottom w:val="single" w:sz="4" w:space="0" w:color="auto"/>
              <w:right w:val="single" w:sz="4" w:space="0" w:color="auto"/>
            </w:tcBorders>
            <w:shd w:val="clear" w:color="auto" w:fill="C6EFCE"/>
            <w:noWrap/>
          </w:tcPr>
          <w:p w14:paraId="13DA9C15"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44A29A76" w14:textId="77777777" w:rsidR="003F46B9" w:rsidRDefault="0065662E">
            <w:pPr>
              <w:pStyle w:val="P68B1DB1-Normal5"/>
              <w:spacing w:after="0" w:line="240" w:lineRule="auto"/>
              <w:rPr>
                <w:rFonts w:eastAsia="Times New Roman" w:cs="Times New Roman"/>
                <w:noProof/>
              </w:rPr>
            </w:pPr>
            <w:r>
              <w:rPr>
                <w:noProof/>
              </w:rPr>
              <w:t>Postotak (%)</w:t>
            </w:r>
          </w:p>
          <w:p w14:paraId="2D0C69A0" w14:textId="77777777" w:rsidR="003F46B9" w:rsidRDefault="003F46B9">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03CE0E9" w14:textId="77777777" w:rsidR="003F46B9" w:rsidRDefault="0065662E">
            <w:pPr>
              <w:pStyle w:val="P68B1DB1-Normal5"/>
              <w:spacing w:after="0" w:line="240" w:lineRule="auto"/>
              <w:jc w:val="both"/>
              <w:rPr>
                <w:rFonts w:cs="Times New Roman"/>
                <w:noProof/>
              </w:rPr>
            </w:pPr>
            <w:r>
              <w:rPr>
                <w:noProof/>
              </w:rPr>
              <w:t>14,1</w:t>
            </w:r>
          </w:p>
        </w:tc>
        <w:tc>
          <w:tcPr>
            <w:tcW w:w="1134" w:type="dxa"/>
            <w:tcBorders>
              <w:top w:val="nil"/>
              <w:left w:val="nil"/>
              <w:bottom w:val="single" w:sz="4" w:space="0" w:color="auto"/>
              <w:right w:val="single" w:sz="4" w:space="0" w:color="auto"/>
            </w:tcBorders>
            <w:shd w:val="clear" w:color="auto" w:fill="C6EFCE"/>
            <w:noWrap/>
          </w:tcPr>
          <w:p w14:paraId="4A8D36EA" w14:textId="77777777" w:rsidR="003F46B9" w:rsidRDefault="0065662E">
            <w:pPr>
              <w:pStyle w:val="P68B1DB1-Normal5"/>
              <w:spacing w:after="0" w:line="240" w:lineRule="auto"/>
              <w:jc w:val="both"/>
              <w:rPr>
                <w:rFonts w:cs="Times New Roman"/>
                <w:noProof/>
              </w:rPr>
            </w:pPr>
            <w:r>
              <w:rPr>
                <w:noProof/>
              </w:rPr>
              <w:t>19</w:t>
            </w:r>
          </w:p>
          <w:p w14:paraId="26809AE8" w14:textId="77777777" w:rsidR="003F46B9" w:rsidRDefault="003F46B9">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2EC37F56"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nil"/>
              <w:left w:val="nil"/>
              <w:bottom w:val="single" w:sz="4" w:space="0" w:color="auto"/>
              <w:right w:val="single" w:sz="4" w:space="0" w:color="auto"/>
            </w:tcBorders>
            <w:shd w:val="clear" w:color="auto" w:fill="C6EFCE"/>
            <w:noWrap/>
          </w:tcPr>
          <w:p w14:paraId="1CF8E3E8"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nil"/>
              <w:left w:val="nil"/>
              <w:bottom w:val="single" w:sz="4" w:space="0" w:color="auto"/>
              <w:right w:val="single" w:sz="4" w:space="0" w:color="auto"/>
            </w:tcBorders>
            <w:shd w:val="clear" w:color="auto" w:fill="C6EFCE"/>
            <w:noWrap/>
          </w:tcPr>
          <w:p w14:paraId="134BF0B5" w14:textId="77777777" w:rsidR="003F46B9" w:rsidRDefault="0065662E">
            <w:pPr>
              <w:pStyle w:val="P68B1DB1-Normal5"/>
              <w:spacing w:after="0" w:line="240" w:lineRule="auto"/>
              <w:jc w:val="both"/>
              <w:rPr>
                <w:rFonts w:cs="Times New Roman"/>
                <w:noProof/>
              </w:rPr>
            </w:pPr>
            <w:r>
              <w:rPr>
                <w:noProof/>
              </w:rPr>
              <w:t>Stopa sudjelovanja od 0 do 3 godine u uslugama ranog i predškolskog odgoja i obrazovanja povećava se za 4,9 postotnih bodova.</w:t>
            </w:r>
          </w:p>
          <w:p w14:paraId="635E16C9" w14:textId="77777777" w:rsidR="003F46B9" w:rsidRDefault="0065662E">
            <w:pPr>
              <w:pStyle w:val="P68B1DB1-Normal5"/>
              <w:spacing w:after="0" w:line="240" w:lineRule="auto"/>
              <w:jc w:val="both"/>
              <w:rPr>
                <w:rFonts w:cs="Times New Roman"/>
                <w:noProof/>
              </w:rPr>
            </w:pPr>
            <w:r>
              <w:rPr>
                <w:noProof/>
              </w:rPr>
              <w:t>Pokazatelj „sudjelovanje u formalnoj skrbi za djecu 0 – 3” temelji s</w:t>
            </w:r>
            <w:r>
              <w:rPr>
                <w:noProof/>
              </w:rPr>
              <w:t>e na istraživanju EU-SILC.</w:t>
            </w:r>
          </w:p>
          <w:p w14:paraId="2B9CFE5A" w14:textId="77777777" w:rsidR="003F46B9" w:rsidRDefault="0065662E">
            <w:pPr>
              <w:pStyle w:val="P68B1DB1-Normal5"/>
              <w:spacing w:after="0" w:line="240" w:lineRule="auto"/>
              <w:jc w:val="both"/>
              <w:rPr>
                <w:rFonts w:cs="Times New Roman"/>
                <w:noProof/>
              </w:rPr>
            </w:pPr>
            <w:r>
              <w:rPr>
                <w:noProof/>
              </w:rPr>
              <w:t>Mogući broj mjesta za novoizgrađene/uspostavljene standardne i komplementarne usluge do 31. prosinca 2025. iznosi otprilike 15000.</w:t>
            </w:r>
          </w:p>
        </w:tc>
      </w:tr>
      <w:tr w:rsidR="003F46B9" w14:paraId="004C7941"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03F828AE" w14:textId="77777777" w:rsidR="003F46B9" w:rsidRDefault="0065662E">
            <w:pPr>
              <w:pStyle w:val="P68B1DB1-Normal5"/>
              <w:spacing w:after="0" w:line="240" w:lineRule="auto"/>
              <w:jc w:val="center"/>
              <w:rPr>
                <w:rFonts w:cs="Times New Roman"/>
                <w:noProof/>
              </w:rPr>
            </w:pPr>
            <w:r>
              <w:rPr>
                <w:noProof/>
              </w:rPr>
              <w:t>455</w:t>
            </w:r>
          </w:p>
        </w:tc>
        <w:tc>
          <w:tcPr>
            <w:tcW w:w="1795" w:type="dxa"/>
            <w:tcBorders>
              <w:top w:val="nil"/>
              <w:left w:val="nil"/>
              <w:bottom w:val="single" w:sz="4" w:space="0" w:color="auto"/>
              <w:right w:val="single" w:sz="4" w:space="0" w:color="auto"/>
            </w:tcBorders>
            <w:shd w:val="clear" w:color="auto" w:fill="C6EFCE"/>
            <w:noWrap/>
          </w:tcPr>
          <w:p w14:paraId="623D422C" w14:textId="77777777" w:rsidR="003F46B9" w:rsidRDefault="0065662E">
            <w:pPr>
              <w:pStyle w:val="P68B1DB1-Normal5"/>
              <w:spacing w:after="0" w:line="240" w:lineRule="auto"/>
              <w:jc w:val="both"/>
              <w:rPr>
                <w:rFonts w:cs="Times New Roman"/>
                <w:noProof/>
              </w:rPr>
            </w:pPr>
            <w:r>
              <w:rPr>
                <w:noProof/>
              </w:rPr>
              <w:t xml:space="preserve">Reforma 2. Jedinstveni, uključiv i kvalitetan sustav ranog i predškolskog odgoja i </w:t>
            </w:r>
            <w:r>
              <w:rPr>
                <w:noProof/>
              </w:rPr>
              <w:t>obrazovanja za djecu</w:t>
            </w:r>
          </w:p>
        </w:tc>
        <w:tc>
          <w:tcPr>
            <w:tcW w:w="1182" w:type="dxa"/>
            <w:gridSpan w:val="2"/>
            <w:tcBorders>
              <w:top w:val="nil"/>
              <w:left w:val="nil"/>
              <w:bottom w:val="single" w:sz="4" w:space="0" w:color="auto"/>
              <w:right w:val="single" w:sz="4" w:space="0" w:color="auto"/>
            </w:tcBorders>
            <w:shd w:val="clear" w:color="auto" w:fill="C6EFCE"/>
            <w:noWrap/>
          </w:tcPr>
          <w:p w14:paraId="63207D34"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tcPr>
          <w:p w14:paraId="70703151" w14:textId="125533D0" w:rsidR="003F46B9" w:rsidRDefault="0065662E">
            <w:pPr>
              <w:pStyle w:val="P68B1DB1-Normal5"/>
              <w:spacing w:after="0" w:line="240" w:lineRule="auto"/>
              <w:jc w:val="both"/>
              <w:rPr>
                <w:rFonts w:cs="Times New Roman"/>
                <w:noProof/>
              </w:rPr>
            </w:pPr>
            <w:r>
              <w:rPr>
                <w:noProof/>
              </w:rPr>
              <w:t>Stopa sudjelovanja osoba u dobi od 3 do 6 godina u uslugama ranog i predškolskog odgoja i obrazovanja</w:t>
            </w:r>
          </w:p>
        </w:tc>
        <w:tc>
          <w:tcPr>
            <w:tcW w:w="1843" w:type="dxa"/>
            <w:tcBorders>
              <w:top w:val="nil"/>
              <w:left w:val="nil"/>
              <w:bottom w:val="single" w:sz="4" w:space="0" w:color="auto"/>
              <w:right w:val="single" w:sz="4" w:space="0" w:color="auto"/>
            </w:tcBorders>
            <w:shd w:val="clear" w:color="auto" w:fill="C6EFCE"/>
            <w:noWrap/>
          </w:tcPr>
          <w:p w14:paraId="1B20F32E"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5A1DDDD6" w14:textId="77777777" w:rsidR="003F46B9" w:rsidRDefault="0065662E">
            <w:pPr>
              <w:pStyle w:val="P68B1DB1-Normal5"/>
              <w:spacing w:after="0" w:line="240" w:lineRule="auto"/>
              <w:rPr>
                <w:rFonts w:eastAsia="Times New Roman" w:cs="Times New Roman"/>
                <w:noProof/>
              </w:rPr>
            </w:pPr>
            <w:r>
              <w:rPr>
                <w:noProof/>
              </w:rPr>
              <w:t>Postotak (%)</w:t>
            </w:r>
          </w:p>
          <w:p w14:paraId="46D44870" w14:textId="77777777" w:rsidR="003F46B9" w:rsidRDefault="003F46B9">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58EBC787" w14:textId="77777777" w:rsidR="003F46B9" w:rsidRDefault="0065662E">
            <w:pPr>
              <w:pStyle w:val="P68B1DB1-Normal5"/>
              <w:spacing w:after="0" w:line="240" w:lineRule="auto"/>
              <w:jc w:val="both"/>
              <w:rPr>
                <w:rFonts w:cs="Times New Roman"/>
                <w:noProof/>
              </w:rPr>
            </w:pPr>
            <w:r>
              <w:rPr>
                <w:noProof/>
              </w:rPr>
              <w:t>88</w:t>
            </w:r>
          </w:p>
        </w:tc>
        <w:tc>
          <w:tcPr>
            <w:tcW w:w="1134" w:type="dxa"/>
            <w:tcBorders>
              <w:top w:val="nil"/>
              <w:left w:val="nil"/>
              <w:bottom w:val="single" w:sz="4" w:space="0" w:color="auto"/>
              <w:right w:val="single" w:sz="4" w:space="0" w:color="auto"/>
            </w:tcBorders>
            <w:shd w:val="clear" w:color="auto" w:fill="C6EFCE"/>
            <w:noWrap/>
          </w:tcPr>
          <w:p w14:paraId="685273E3" w14:textId="77777777" w:rsidR="003F46B9" w:rsidRDefault="0065662E">
            <w:pPr>
              <w:pStyle w:val="P68B1DB1-Normal5"/>
              <w:spacing w:after="0" w:line="240" w:lineRule="auto"/>
              <w:jc w:val="both"/>
              <w:rPr>
                <w:rFonts w:cs="Times New Roman"/>
                <w:noProof/>
              </w:rPr>
            </w:pPr>
            <w:r>
              <w:rPr>
                <w:noProof/>
              </w:rPr>
              <w:t>91</w:t>
            </w:r>
          </w:p>
        </w:tc>
        <w:tc>
          <w:tcPr>
            <w:tcW w:w="1417" w:type="dxa"/>
            <w:tcBorders>
              <w:top w:val="nil"/>
              <w:left w:val="nil"/>
              <w:bottom w:val="single" w:sz="4" w:space="0" w:color="auto"/>
              <w:right w:val="single" w:sz="4" w:space="0" w:color="auto"/>
            </w:tcBorders>
            <w:shd w:val="clear" w:color="auto" w:fill="C6EFCE"/>
            <w:noWrap/>
          </w:tcPr>
          <w:p w14:paraId="3E34B03E"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nil"/>
              <w:left w:val="nil"/>
              <w:bottom w:val="single" w:sz="4" w:space="0" w:color="auto"/>
              <w:right w:val="single" w:sz="4" w:space="0" w:color="auto"/>
            </w:tcBorders>
            <w:shd w:val="clear" w:color="auto" w:fill="C6EFCE"/>
            <w:noWrap/>
          </w:tcPr>
          <w:p w14:paraId="065A2021"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nil"/>
              <w:left w:val="nil"/>
              <w:bottom w:val="single" w:sz="4" w:space="0" w:color="auto"/>
              <w:right w:val="single" w:sz="4" w:space="0" w:color="auto"/>
            </w:tcBorders>
            <w:shd w:val="clear" w:color="auto" w:fill="C6EFCE"/>
            <w:noWrap/>
          </w:tcPr>
          <w:p w14:paraId="4A8F5127" w14:textId="77777777" w:rsidR="003F46B9" w:rsidRDefault="0065662E">
            <w:pPr>
              <w:pStyle w:val="P68B1DB1-Normal5"/>
              <w:spacing w:after="0" w:line="240" w:lineRule="auto"/>
              <w:jc w:val="both"/>
              <w:rPr>
                <w:rFonts w:cs="Times New Roman"/>
                <w:noProof/>
              </w:rPr>
            </w:pPr>
            <w:r>
              <w:rPr>
                <w:noProof/>
              </w:rPr>
              <w:t>Stopa sudjelovanja 3 – 6 osoba u ranom i predškolskom odgoju i obrazovanju poveć</w:t>
            </w:r>
            <w:r>
              <w:rPr>
                <w:noProof/>
              </w:rPr>
              <w:t>ava se za 3 postotna boda.</w:t>
            </w:r>
          </w:p>
          <w:p w14:paraId="772923B9" w14:textId="77777777" w:rsidR="003F46B9" w:rsidRDefault="0065662E">
            <w:pPr>
              <w:pStyle w:val="P68B1DB1-Normal5"/>
              <w:spacing w:after="0" w:line="240" w:lineRule="auto"/>
              <w:jc w:val="both"/>
              <w:rPr>
                <w:rFonts w:cs="Times New Roman"/>
                <w:noProof/>
              </w:rPr>
            </w:pPr>
            <w:r>
              <w:rPr>
                <w:noProof/>
              </w:rPr>
              <w:t>Izračun stope sudjelovanja svake godine izrađuje Nacionalni zavod za statistiku (INS) na temelju informacija koje dostavljaju obrazovne ustanove za rano i predškolsko obrazovanje.</w:t>
            </w:r>
          </w:p>
        </w:tc>
      </w:tr>
      <w:tr w:rsidR="003F46B9" w14:paraId="253006CF"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10D46EA2" w14:textId="77777777" w:rsidR="003F46B9" w:rsidRDefault="0065662E">
            <w:pPr>
              <w:pStyle w:val="P68B1DB1-Normal5"/>
              <w:spacing w:after="0" w:line="240" w:lineRule="auto"/>
              <w:jc w:val="center"/>
              <w:rPr>
                <w:rFonts w:cs="Times New Roman"/>
                <w:noProof/>
              </w:rPr>
            </w:pPr>
            <w:r>
              <w:rPr>
                <w:noProof/>
              </w:rPr>
              <w:t>456</w:t>
            </w:r>
          </w:p>
        </w:tc>
        <w:tc>
          <w:tcPr>
            <w:tcW w:w="1795" w:type="dxa"/>
            <w:tcBorders>
              <w:top w:val="nil"/>
              <w:left w:val="nil"/>
              <w:bottom w:val="single" w:sz="4" w:space="0" w:color="auto"/>
              <w:right w:val="single" w:sz="4" w:space="0" w:color="auto"/>
            </w:tcBorders>
            <w:shd w:val="clear" w:color="auto" w:fill="C6EFCE"/>
            <w:noWrap/>
          </w:tcPr>
          <w:p w14:paraId="40A50349" w14:textId="77777777" w:rsidR="003F46B9" w:rsidRDefault="0065662E">
            <w:pPr>
              <w:pStyle w:val="P68B1DB1-Normal5"/>
              <w:spacing w:after="0" w:line="240" w:lineRule="auto"/>
              <w:jc w:val="both"/>
              <w:rPr>
                <w:rFonts w:cs="Times New Roman"/>
                <w:noProof/>
              </w:rPr>
            </w:pPr>
            <w:r>
              <w:rPr>
                <w:noProof/>
              </w:rPr>
              <w:t xml:space="preserve">Ulaganje 1. Izgradnja, opremanje i </w:t>
            </w:r>
            <w:r>
              <w:rPr>
                <w:noProof/>
              </w:rPr>
              <w:t>operacionalizacija 110 jaslica</w:t>
            </w:r>
          </w:p>
        </w:tc>
        <w:tc>
          <w:tcPr>
            <w:tcW w:w="1182" w:type="dxa"/>
            <w:gridSpan w:val="2"/>
            <w:tcBorders>
              <w:top w:val="nil"/>
              <w:left w:val="nil"/>
              <w:bottom w:val="single" w:sz="4" w:space="0" w:color="auto"/>
              <w:right w:val="single" w:sz="4" w:space="0" w:color="auto"/>
            </w:tcBorders>
            <w:shd w:val="clear" w:color="auto" w:fill="C6EFCE"/>
            <w:noWrap/>
          </w:tcPr>
          <w:p w14:paraId="157BE5D7"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nil"/>
              <w:left w:val="nil"/>
              <w:bottom w:val="single" w:sz="4" w:space="0" w:color="auto"/>
              <w:right w:val="single" w:sz="4" w:space="0" w:color="auto"/>
            </w:tcBorders>
            <w:shd w:val="clear" w:color="auto" w:fill="C6EFCE"/>
            <w:noWrap/>
          </w:tcPr>
          <w:p w14:paraId="4D2D1862" w14:textId="77777777" w:rsidR="003F46B9" w:rsidRDefault="0065662E">
            <w:pPr>
              <w:pStyle w:val="P68B1DB1-Normal5"/>
              <w:spacing w:after="0" w:line="240" w:lineRule="auto"/>
              <w:jc w:val="both"/>
              <w:rPr>
                <w:rFonts w:cs="Times New Roman"/>
                <w:noProof/>
              </w:rPr>
            </w:pPr>
            <w:r>
              <w:rPr>
                <w:noProof/>
              </w:rPr>
              <w:t>Potpisivanje ugovora s javnim subjektima (općinama) o izgradnji, opremi i operacionalizaciji 110 jaslica</w:t>
            </w:r>
          </w:p>
        </w:tc>
        <w:tc>
          <w:tcPr>
            <w:tcW w:w="1843" w:type="dxa"/>
            <w:tcBorders>
              <w:top w:val="nil"/>
              <w:left w:val="nil"/>
              <w:bottom w:val="single" w:sz="4" w:space="0" w:color="auto"/>
              <w:right w:val="single" w:sz="4" w:space="0" w:color="auto"/>
            </w:tcBorders>
            <w:shd w:val="clear" w:color="auto" w:fill="C6EFCE"/>
            <w:noWrap/>
          </w:tcPr>
          <w:p w14:paraId="560D590B" w14:textId="77777777" w:rsidR="003F46B9" w:rsidRDefault="0065662E">
            <w:pPr>
              <w:pStyle w:val="P68B1DB1-Normal5"/>
              <w:spacing w:after="0" w:line="240" w:lineRule="auto"/>
              <w:jc w:val="both"/>
              <w:rPr>
                <w:rFonts w:cs="Times New Roman"/>
                <w:noProof/>
              </w:rPr>
            </w:pPr>
            <w:r>
              <w:rPr>
                <w:noProof/>
              </w:rPr>
              <w:t>Potpisivanje ugovora</w:t>
            </w:r>
          </w:p>
        </w:tc>
        <w:tc>
          <w:tcPr>
            <w:tcW w:w="1134" w:type="dxa"/>
            <w:tcBorders>
              <w:top w:val="nil"/>
              <w:left w:val="nil"/>
              <w:bottom w:val="single" w:sz="4" w:space="0" w:color="auto"/>
              <w:right w:val="single" w:sz="4" w:space="0" w:color="auto"/>
            </w:tcBorders>
            <w:shd w:val="clear" w:color="auto" w:fill="C6EFCE"/>
            <w:noWrap/>
          </w:tcPr>
          <w:p w14:paraId="591DD4FC"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nil"/>
              <w:left w:val="nil"/>
              <w:bottom w:val="single" w:sz="4" w:space="0" w:color="auto"/>
              <w:right w:val="single" w:sz="4" w:space="0" w:color="auto"/>
            </w:tcBorders>
            <w:shd w:val="clear" w:color="auto" w:fill="C6EFCE"/>
            <w:noWrap/>
          </w:tcPr>
          <w:p w14:paraId="6880A727"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nil"/>
              <w:left w:val="nil"/>
              <w:bottom w:val="single" w:sz="4" w:space="0" w:color="auto"/>
              <w:right w:val="single" w:sz="4" w:space="0" w:color="auto"/>
            </w:tcBorders>
            <w:shd w:val="clear" w:color="auto" w:fill="C6EFCE"/>
            <w:noWrap/>
          </w:tcPr>
          <w:p w14:paraId="2A997AAE" w14:textId="77777777" w:rsidR="003F46B9" w:rsidRDefault="003F46B9">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5D04342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nil"/>
              <w:left w:val="nil"/>
              <w:bottom w:val="single" w:sz="4" w:space="0" w:color="auto"/>
              <w:right w:val="single" w:sz="4" w:space="0" w:color="auto"/>
            </w:tcBorders>
            <w:shd w:val="clear" w:color="auto" w:fill="C6EFCE"/>
            <w:noWrap/>
          </w:tcPr>
          <w:p w14:paraId="0552DA27"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nil"/>
              <w:left w:val="nil"/>
              <w:bottom w:val="single" w:sz="4" w:space="0" w:color="auto"/>
              <w:right w:val="single" w:sz="4" w:space="0" w:color="auto"/>
            </w:tcBorders>
            <w:shd w:val="clear" w:color="auto" w:fill="C6EFCE"/>
            <w:noWrap/>
          </w:tcPr>
          <w:p w14:paraId="5687ACEF" w14:textId="77777777" w:rsidR="003F46B9" w:rsidRDefault="0065662E">
            <w:pPr>
              <w:pStyle w:val="P68B1DB1-Normal5"/>
              <w:spacing w:after="0" w:line="240" w:lineRule="auto"/>
              <w:jc w:val="both"/>
              <w:rPr>
                <w:rFonts w:cs="Times New Roman"/>
                <w:noProof/>
              </w:rPr>
            </w:pPr>
            <w:r>
              <w:rPr>
                <w:noProof/>
              </w:rPr>
              <w:t>Potpisivanje ugovora, s teritorijalnom raspodjelom, za usluge dje</w:t>
            </w:r>
            <w:r>
              <w:rPr>
                <w:noProof/>
              </w:rPr>
              <w:t xml:space="preserve">čjeg vrtića, predškolskog odgoja i obrazovanja te ranog i predškolskog odgoja i obrazovanja. </w:t>
            </w:r>
          </w:p>
          <w:p w14:paraId="2E023174" w14:textId="55C3FDE2" w:rsidR="003F46B9" w:rsidRDefault="0065662E">
            <w:pPr>
              <w:pStyle w:val="P68B1DB1-Normal5"/>
              <w:spacing w:after="0" w:line="240" w:lineRule="auto"/>
              <w:jc w:val="both"/>
              <w:rPr>
                <w:rFonts w:cs="Times New Roman"/>
                <w:noProof/>
              </w:rPr>
            </w:pPr>
            <w:r>
              <w:rPr>
                <w:noProof/>
              </w:rPr>
              <w:t>Program bespovratnih sredstava temelji se na sljedećim kriterijima: i. postojanje lokalne strategije za razvoj tih usluga; ii. broj djece do tri godine starosti u</w:t>
            </w:r>
            <w:r>
              <w:rPr>
                <w:noProof/>
              </w:rPr>
              <w:t xml:space="preserve"> odnosu na kapacitet pokrivenosti postojećih usluga u krugu od najviše 2/3 km; iii. broj neriješenih zahtjeva roditelja za te usluge (najmanje 50); iv. analizu potreba, uzimajući u obzir posebne potrebe marginaliziranih zajednica; (v) novoizgrađene zgrade </w:t>
            </w:r>
            <w:r>
              <w:rPr>
                <w:noProof/>
              </w:rPr>
              <w:t xml:space="preserve">moraju biti u skladu s ciljem postizanja potražnje za primarnom energijom (PED) koja je najmanje 20 % niža od zahtjeva za zgradu gotovo nulte energije (NZEB) u skladu s nacionalnim smjernicama, što se osigurava energetskim certifikatima. </w:t>
            </w:r>
          </w:p>
        </w:tc>
      </w:tr>
      <w:tr w:rsidR="003F46B9" w14:paraId="6DDC5A9C"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E81FA9B" w14:textId="77777777" w:rsidR="003F46B9" w:rsidRDefault="0065662E">
            <w:pPr>
              <w:pStyle w:val="P68B1DB1-Normal5"/>
              <w:spacing w:after="0" w:line="240" w:lineRule="auto"/>
              <w:jc w:val="center"/>
              <w:rPr>
                <w:rFonts w:cs="Times New Roman"/>
                <w:noProof/>
              </w:rPr>
            </w:pPr>
            <w:r>
              <w:rPr>
                <w:noProof/>
              </w:rPr>
              <w:t>457</w:t>
            </w:r>
          </w:p>
        </w:tc>
        <w:tc>
          <w:tcPr>
            <w:tcW w:w="1795" w:type="dxa"/>
            <w:tcBorders>
              <w:top w:val="nil"/>
              <w:left w:val="nil"/>
              <w:bottom w:val="single" w:sz="4" w:space="0" w:color="auto"/>
              <w:right w:val="single" w:sz="4" w:space="0" w:color="auto"/>
            </w:tcBorders>
            <w:shd w:val="clear" w:color="auto" w:fill="C6EFCE"/>
            <w:noWrap/>
          </w:tcPr>
          <w:p w14:paraId="1B77EA1F" w14:textId="77777777" w:rsidR="003F46B9" w:rsidRDefault="0065662E">
            <w:pPr>
              <w:pStyle w:val="P68B1DB1-Normal5"/>
              <w:spacing w:after="0" w:line="240" w:lineRule="auto"/>
              <w:jc w:val="both"/>
              <w:rPr>
                <w:rFonts w:cs="Times New Roman"/>
                <w:noProof/>
              </w:rPr>
            </w:pPr>
            <w:r>
              <w:rPr>
                <w:noProof/>
              </w:rPr>
              <w:t xml:space="preserve">Ulaganje 1. </w:t>
            </w:r>
            <w:r>
              <w:rPr>
                <w:noProof/>
              </w:rPr>
              <w:t>Izgradnja, opremanje i operacionalizacija 110 jaslica</w:t>
            </w:r>
          </w:p>
        </w:tc>
        <w:tc>
          <w:tcPr>
            <w:tcW w:w="1182" w:type="dxa"/>
            <w:gridSpan w:val="2"/>
            <w:tcBorders>
              <w:top w:val="nil"/>
              <w:left w:val="nil"/>
              <w:bottom w:val="single" w:sz="4" w:space="0" w:color="auto"/>
              <w:right w:val="single" w:sz="4" w:space="0" w:color="auto"/>
            </w:tcBorders>
            <w:shd w:val="clear" w:color="auto" w:fill="C6EFCE"/>
            <w:noWrap/>
          </w:tcPr>
          <w:p w14:paraId="625D6A9F"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tcPr>
          <w:p w14:paraId="34D03AEA" w14:textId="77777777" w:rsidR="003F46B9" w:rsidRDefault="0065662E">
            <w:pPr>
              <w:pStyle w:val="P68B1DB1-Normal5"/>
              <w:spacing w:after="0" w:line="240" w:lineRule="auto"/>
              <w:jc w:val="both"/>
              <w:rPr>
                <w:rFonts w:cs="Times New Roman"/>
                <w:noProof/>
              </w:rPr>
            </w:pPr>
            <w:r>
              <w:rPr>
                <w:noProof/>
              </w:rPr>
              <w:t>Novoizgrađene, opremljene i operacionalizirane jaslice</w:t>
            </w:r>
          </w:p>
        </w:tc>
        <w:tc>
          <w:tcPr>
            <w:tcW w:w="1843" w:type="dxa"/>
            <w:tcBorders>
              <w:top w:val="nil"/>
              <w:left w:val="nil"/>
              <w:bottom w:val="single" w:sz="4" w:space="0" w:color="auto"/>
              <w:right w:val="single" w:sz="4" w:space="0" w:color="auto"/>
            </w:tcBorders>
            <w:shd w:val="clear" w:color="auto" w:fill="C6EFCE"/>
            <w:noWrap/>
          </w:tcPr>
          <w:p w14:paraId="33710517"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1DD1448"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695FC83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nil"/>
              <w:left w:val="nil"/>
              <w:bottom w:val="single" w:sz="4" w:space="0" w:color="auto"/>
              <w:right w:val="single" w:sz="4" w:space="0" w:color="auto"/>
            </w:tcBorders>
            <w:shd w:val="clear" w:color="auto" w:fill="C6EFCE"/>
            <w:noWrap/>
          </w:tcPr>
          <w:p w14:paraId="1A912A25" w14:textId="77777777" w:rsidR="003F46B9" w:rsidRDefault="0065662E">
            <w:pPr>
              <w:pStyle w:val="P68B1DB1-Normal5"/>
              <w:spacing w:after="0" w:line="240" w:lineRule="auto"/>
              <w:jc w:val="both"/>
              <w:rPr>
                <w:rFonts w:cs="Times New Roman"/>
                <w:noProof/>
              </w:rPr>
            </w:pPr>
            <w:r>
              <w:rPr>
                <w:noProof/>
              </w:rPr>
              <w:t>110</w:t>
            </w:r>
          </w:p>
        </w:tc>
        <w:tc>
          <w:tcPr>
            <w:tcW w:w="1417" w:type="dxa"/>
            <w:tcBorders>
              <w:top w:val="nil"/>
              <w:left w:val="nil"/>
              <w:bottom w:val="single" w:sz="4" w:space="0" w:color="auto"/>
              <w:right w:val="single" w:sz="4" w:space="0" w:color="auto"/>
            </w:tcBorders>
            <w:shd w:val="clear" w:color="auto" w:fill="C6EFCE"/>
            <w:noWrap/>
          </w:tcPr>
          <w:p w14:paraId="4E0A9572"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nil"/>
              <w:left w:val="nil"/>
              <w:bottom w:val="single" w:sz="4" w:space="0" w:color="auto"/>
              <w:right w:val="single" w:sz="4" w:space="0" w:color="auto"/>
            </w:tcBorders>
            <w:shd w:val="clear" w:color="auto" w:fill="C6EFCE"/>
            <w:noWrap/>
          </w:tcPr>
          <w:p w14:paraId="0714259D"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nil"/>
              <w:left w:val="nil"/>
              <w:bottom w:val="single" w:sz="4" w:space="0" w:color="auto"/>
              <w:right w:val="single" w:sz="4" w:space="0" w:color="auto"/>
            </w:tcBorders>
            <w:shd w:val="clear" w:color="auto" w:fill="C6EFCE"/>
            <w:noWrap/>
          </w:tcPr>
          <w:p w14:paraId="2AF39A6E" w14:textId="77777777" w:rsidR="003F46B9" w:rsidRDefault="0065662E">
            <w:pPr>
              <w:pStyle w:val="P68B1DB1-Normal5"/>
              <w:spacing w:after="0" w:line="240" w:lineRule="auto"/>
              <w:jc w:val="both"/>
              <w:rPr>
                <w:rFonts w:cs="Times New Roman"/>
                <w:noProof/>
              </w:rPr>
            </w:pPr>
            <w:r>
              <w:rPr>
                <w:noProof/>
              </w:rPr>
              <w:t>Nakon pokretanja programa dodjele bespovratnih sredstava za njihovu izgradnju (i opremu) gradi se 110 j</w:t>
            </w:r>
            <w:r>
              <w:rPr>
                <w:noProof/>
              </w:rPr>
              <w:t xml:space="preserve">aslica u skladu sa zahtjevima u ključnoj etapi 453. </w:t>
            </w:r>
          </w:p>
          <w:p w14:paraId="5E782FBF" w14:textId="34E17C07" w:rsidR="003F46B9" w:rsidRDefault="0065662E">
            <w:pPr>
              <w:pStyle w:val="P68B1DB1-Normal5"/>
              <w:spacing w:after="0" w:line="240" w:lineRule="auto"/>
              <w:jc w:val="both"/>
              <w:rPr>
                <w:rFonts w:cs="Times New Roman"/>
                <w:noProof/>
              </w:rPr>
            </w:pPr>
            <w:r>
              <w:rPr>
                <w:noProof/>
              </w:rPr>
              <w:t xml:space="preserve">Javna tijela lokalne vlasti grade 110 jaslica kapaciteta od 40 do 110 mjesta. </w:t>
            </w:r>
          </w:p>
          <w:p w14:paraId="43CC9EA8" w14:textId="77777777" w:rsidR="003F46B9" w:rsidRDefault="0065662E">
            <w:pPr>
              <w:pStyle w:val="P68B1DB1-Normal5"/>
              <w:spacing w:after="0" w:line="240" w:lineRule="auto"/>
              <w:jc w:val="both"/>
              <w:rPr>
                <w:rFonts w:cs="Times New Roman"/>
                <w:noProof/>
              </w:rPr>
            </w:pPr>
            <w:r>
              <w:rPr>
                <w:noProof/>
              </w:rPr>
              <w:t xml:space="preserve">Novoizgrađene zgrade moraju biti usklađene s ciljem postizanja potražnje za primarnom energijom (PED) koja je najmanje 20 % </w:t>
            </w:r>
            <w:r>
              <w:rPr>
                <w:noProof/>
              </w:rPr>
              <w:t xml:space="preserve">niža od zahtjeva za zgrade gotovo nulte energije u skladu s nacionalnim smjernicama, što se osigurava energetskim certifikatima. </w:t>
            </w:r>
          </w:p>
          <w:p w14:paraId="1BEF7EEE" w14:textId="7EB7A43B" w:rsidR="003F46B9" w:rsidRDefault="0065662E">
            <w:pPr>
              <w:pStyle w:val="P68B1DB1-Normal5"/>
              <w:spacing w:after="0" w:line="240" w:lineRule="auto"/>
              <w:jc w:val="both"/>
              <w:rPr>
                <w:rFonts w:cs="Times New Roman"/>
                <w:noProof/>
              </w:rPr>
            </w:pPr>
            <w:r>
              <w:rPr>
                <w:noProof/>
              </w:rPr>
              <w:t xml:space="preserve">Novoizgrađene jaslice moraju moći pružiti obrazovnu potporu za najviše 4500 djece. </w:t>
            </w:r>
          </w:p>
          <w:p w14:paraId="4DE53984" w14:textId="24F70015" w:rsidR="003F46B9" w:rsidRDefault="0065662E">
            <w:pPr>
              <w:pStyle w:val="P68B1DB1-Normal5"/>
              <w:spacing w:after="0" w:line="240" w:lineRule="auto"/>
              <w:jc w:val="both"/>
              <w:rPr>
                <w:rFonts w:cs="Times New Roman"/>
                <w:noProof/>
              </w:rPr>
            </w:pPr>
            <w:r>
              <w:rPr>
                <w:noProof/>
              </w:rPr>
              <w:t xml:space="preserve">Predviđena je izgradnja velikih, srednjih </w:t>
            </w:r>
            <w:r>
              <w:rPr>
                <w:noProof/>
              </w:rPr>
              <w:t>i malih jaslica</w:t>
            </w:r>
          </w:p>
        </w:tc>
      </w:tr>
      <w:tr w:rsidR="003F46B9" w14:paraId="11650915"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398D14D3" w14:textId="77777777" w:rsidR="003F46B9" w:rsidRDefault="0065662E">
            <w:pPr>
              <w:pStyle w:val="P68B1DB1-Normal5"/>
              <w:spacing w:after="0" w:line="240" w:lineRule="auto"/>
              <w:jc w:val="center"/>
              <w:rPr>
                <w:rFonts w:cs="Times New Roman"/>
                <w:noProof/>
              </w:rPr>
            </w:pPr>
            <w:r>
              <w:rPr>
                <w:noProof/>
              </w:rPr>
              <w:t>458</w:t>
            </w:r>
          </w:p>
        </w:tc>
        <w:tc>
          <w:tcPr>
            <w:tcW w:w="1795" w:type="dxa"/>
            <w:tcBorders>
              <w:top w:val="nil"/>
              <w:left w:val="nil"/>
              <w:bottom w:val="single" w:sz="4" w:space="0" w:color="auto"/>
              <w:right w:val="single" w:sz="4" w:space="0" w:color="auto"/>
            </w:tcBorders>
            <w:shd w:val="clear" w:color="auto" w:fill="C6EFCE"/>
            <w:noWrap/>
          </w:tcPr>
          <w:p w14:paraId="7464A9C2" w14:textId="42A41847" w:rsidR="003F46B9" w:rsidRDefault="0065662E">
            <w:pPr>
              <w:pStyle w:val="P68B1DB1-Normal5"/>
              <w:spacing w:after="0" w:line="240" w:lineRule="auto"/>
              <w:jc w:val="both"/>
              <w:rPr>
                <w:rFonts w:cs="Times New Roman"/>
                <w:noProof/>
              </w:rPr>
            </w:pPr>
            <w:r>
              <w:rPr>
                <w:noProof/>
              </w:rPr>
              <w:t>Ulaganje 2. Uspostava, opremanje i operacionalizacija 90 dopunskih usluga za skupine u nepovoljnom položaju</w:t>
            </w:r>
          </w:p>
        </w:tc>
        <w:tc>
          <w:tcPr>
            <w:tcW w:w="1182" w:type="dxa"/>
            <w:gridSpan w:val="2"/>
            <w:tcBorders>
              <w:top w:val="nil"/>
              <w:left w:val="nil"/>
              <w:bottom w:val="single" w:sz="4" w:space="0" w:color="auto"/>
              <w:right w:val="single" w:sz="4" w:space="0" w:color="auto"/>
            </w:tcBorders>
            <w:shd w:val="clear" w:color="auto" w:fill="C6EFCE"/>
            <w:noWrap/>
          </w:tcPr>
          <w:p w14:paraId="54D15FC7"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nil"/>
              <w:left w:val="nil"/>
              <w:bottom w:val="single" w:sz="4" w:space="0" w:color="auto"/>
              <w:right w:val="single" w:sz="4" w:space="0" w:color="auto"/>
            </w:tcBorders>
            <w:shd w:val="clear" w:color="auto" w:fill="C6EFCE"/>
            <w:noWrap/>
          </w:tcPr>
          <w:p w14:paraId="7F542922" w14:textId="77777777" w:rsidR="003F46B9" w:rsidRDefault="0065662E">
            <w:pPr>
              <w:pStyle w:val="P68B1DB1-Normal5"/>
              <w:spacing w:after="0" w:line="240" w:lineRule="auto"/>
              <w:jc w:val="both"/>
              <w:rPr>
                <w:rFonts w:cs="Times New Roman"/>
                <w:noProof/>
              </w:rPr>
            </w:pPr>
            <w:r>
              <w:rPr>
                <w:noProof/>
              </w:rPr>
              <w:t xml:space="preserve">Potpisivanje ugovora za uspostavu, opremanje i operacionalizaciju dopunskih usluga za skupine u nepovoljnom </w:t>
            </w:r>
            <w:r>
              <w:rPr>
                <w:noProof/>
              </w:rPr>
              <w:t>položaju</w:t>
            </w:r>
          </w:p>
        </w:tc>
        <w:tc>
          <w:tcPr>
            <w:tcW w:w="1843" w:type="dxa"/>
            <w:tcBorders>
              <w:top w:val="nil"/>
              <w:left w:val="nil"/>
              <w:bottom w:val="single" w:sz="4" w:space="0" w:color="auto"/>
              <w:right w:val="single" w:sz="4" w:space="0" w:color="auto"/>
            </w:tcBorders>
            <w:shd w:val="clear" w:color="auto" w:fill="C6EFCE"/>
            <w:noWrap/>
          </w:tcPr>
          <w:p w14:paraId="5ABB075E" w14:textId="77777777" w:rsidR="003F46B9" w:rsidRDefault="0065662E">
            <w:pPr>
              <w:pStyle w:val="P68B1DB1-Normal5"/>
              <w:spacing w:after="0" w:line="240" w:lineRule="auto"/>
              <w:jc w:val="both"/>
              <w:rPr>
                <w:rFonts w:cs="Times New Roman"/>
                <w:noProof/>
              </w:rPr>
            </w:pPr>
            <w:r>
              <w:rPr>
                <w:noProof/>
              </w:rPr>
              <w:t>Potpisivanje ugovora</w:t>
            </w:r>
          </w:p>
        </w:tc>
        <w:tc>
          <w:tcPr>
            <w:tcW w:w="1134" w:type="dxa"/>
            <w:tcBorders>
              <w:top w:val="nil"/>
              <w:left w:val="nil"/>
              <w:bottom w:val="single" w:sz="4" w:space="0" w:color="auto"/>
              <w:right w:val="single" w:sz="4" w:space="0" w:color="auto"/>
            </w:tcBorders>
            <w:shd w:val="clear" w:color="auto" w:fill="C6EFCE"/>
            <w:noWrap/>
          </w:tcPr>
          <w:p w14:paraId="54169177" w14:textId="77777777" w:rsidR="003F46B9" w:rsidRDefault="003F46B9">
            <w:pPr>
              <w:spacing w:after="0" w:line="240" w:lineRule="auto"/>
              <w:jc w:val="both"/>
              <w:rPr>
                <w:rFonts w:ascii="Times New Roman" w:hAnsi="Times New Roman" w:cs="Times New Roman"/>
                <w:noProof/>
                <w:sz w:val="24"/>
              </w:rPr>
            </w:pPr>
          </w:p>
        </w:tc>
        <w:tc>
          <w:tcPr>
            <w:tcW w:w="1276" w:type="dxa"/>
            <w:tcBorders>
              <w:top w:val="nil"/>
              <w:left w:val="nil"/>
              <w:bottom w:val="single" w:sz="4" w:space="0" w:color="auto"/>
              <w:right w:val="single" w:sz="4" w:space="0" w:color="auto"/>
            </w:tcBorders>
            <w:shd w:val="clear" w:color="auto" w:fill="C6EFCE"/>
            <w:noWrap/>
          </w:tcPr>
          <w:p w14:paraId="00D766CA"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628EFDB7" w14:textId="77777777" w:rsidR="003F46B9" w:rsidRDefault="003F46B9">
            <w:pPr>
              <w:spacing w:after="0" w:line="240" w:lineRule="auto"/>
              <w:jc w:val="both"/>
              <w:rPr>
                <w:rFonts w:ascii="Times New Roman" w:hAnsi="Times New Roman" w:cs="Times New Roman"/>
                <w:noProof/>
                <w:sz w:val="24"/>
              </w:rPr>
            </w:pPr>
          </w:p>
        </w:tc>
        <w:tc>
          <w:tcPr>
            <w:tcW w:w="1417" w:type="dxa"/>
            <w:tcBorders>
              <w:top w:val="nil"/>
              <w:left w:val="nil"/>
              <w:bottom w:val="single" w:sz="4" w:space="0" w:color="auto"/>
              <w:right w:val="single" w:sz="4" w:space="0" w:color="auto"/>
            </w:tcBorders>
            <w:shd w:val="clear" w:color="auto" w:fill="C6EFCE"/>
            <w:noWrap/>
          </w:tcPr>
          <w:p w14:paraId="22A84760"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nil"/>
              <w:left w:val="nil"/>
              <w:bottom w:val="single" w:sz="4" w:space="0" w:color="auto"/>
              <w:right w:val="single" w:sz="4" w:space="0" w:color="auto"/>
            </w:tcBorders>
            <w:shd w:val="clear" w:color="auto" w:fill="C6EFCE"/>
            <w:noWrap/>
          </w:tcPr>
          <w:p w14:paraId="2CC6F06A" w14:textId="77777777" w:rsidR="003F46B9" w:rsidRDefault="0065662E">
            <w:pPr>
              <w:pStyle w:val="P68B1DB1-Normal5"/>
              <w:spacing w:after="0" w:line="240" w:lineRule="auto"/>
              <w:jc w:val="both"/>
              <w:rPr>
                <w:rFonts w:cs="Times New Roman"/>
                <w:noProof/>
              </w:rPr>
            </w:pPr>
            <w:r>
              <w:rPr>
                <w:noProof/>
              </w:rPr>
              <w:t>2023</w:t>
            </w:r>
          </w:p>
        </w:tc>
        <w:tc>
          <w:tcPr>
            <w:tcW w:w="2404" w:type="dxa"/>
            <w:tcBorders>
              <w:top w:val="nil"/>
              <w:left w:val="nil"/>
              <w:bottom w:val="single" w:sz="4" w:space="0" w:color="auto"/>
              <w:right w:val="single" w:sz="4" w:space="0" w:color="auto"/>
            </w:tcBorders>
            <w:shd w:val="clear" w:color="auto" w:fill="C6EFCE"/>
            <w:noWrap/>
          </w:tcPr>
          <w:p w14:paraId="6701D15F" w14:textId="77777777" w:rsidR="003F46B9" w:rsidRDefault="0065662E">
            <w:pPr>
              <w:pStyle w:val="P68B1DB1-Normal5"/>
              <w:spacing w:after="0" w:line="240" w:lineRule="auto"/>
              <w:jc w:val="both"/>
              <w:rPr>
                <w:rFonts w:cs="Times New Roman"/>
                <w:noProof/>
              </w:rPr>
            </w:pPr>
            <w:r>
              <w:rPr>
                <w:noProof/>
              </w:rPr>
              <w:t>Ministarstvo obrazovanja odgovorno je za pripremu i pokretanje zahtjeva za program dodjele bespovratnih sredstava te za savjetovanje i praćenje korisnika radi uspostave, opremanja i operacionalizacije dopun</w:t>
            </w:r>
            <w:r>
              <w:rPr>
                <w:noProof/>
              </w:rPr>
              <w:t>skih usluga za skupine u nepovoljnom položaju.</w:t>
            </w:r>
          </w:p>
          <w:p w14:paraId="4BCA1290" w14:textId="4DF5CE9A" w:rsidR="003F46B9" w:rsidRDefault="0065662E">
            <w:pPr>
              <w:pStyle w:val="P68B1DB1-Normal5"/>
              <w:spacing w:after="0" w:line="240" w:lineRule="auto"/>
              <w:jc w:val="both"/>
              <w:rPr>
                <w:rFonts w:cs="Times New Roman"/>
                <w:noProof/>
              </w:rPr>
            </w:pPr>
            <w:r>
              <w:rPr>
                <w:noProof/>
              </w:rPr>
              <w:t>Dodatne usluge uspostavljaju se, opremaju i operacionaliziraju kao rezultat postupne provedbe programa dodjele bespovratnih sredstava.</w:t>
            </w:r>
          </w:p>
          <w:p w14:paraId="2236EB1E" w14:textId="1CA71062" w:rsidR="003F46B9" w:rsidRDefault="0065662E">
            <w:pPr>
              <w:pStyle w:val="P68B1DB1-Normal5"/>
              <w:spacing w:after="0" w:line="240" w:lineRule="auto"/>
              <w:jc w:val="both"/>
              <w:rPr>
                <w:rFonts w:cs="Times New Roman"/>
                <w:noProof/>
              </w:rPr>
            </w:pPr>
            <w:r>
              <w:rPr>
                <w:noProof/>
              </w:rPr>
              <w:t>Očekuje se da će se te usluge uspostaviti u prostorima koje pružaju zajedn</w:t>
            </w:r>
            <w:r>
              <w:rPr>
                <w:noProof/>
              </w:rPr>
              <w:t xml:space="preserve">ica/razni javni i privatni obrazovni kombiji, iz udaljenih/nepovoljnih mjesta u kojima je obrazovna ustanova previše udaljena od djetetova domicila, a broj djece od 0 do 6 godina vrlo je nizak, zbog čega nije opravdano izgraditi dječji vrtić/vrtnjak, kako </w:t>
            </w:r>
            <w:r>
              <w:rPr>
                <w:noProof/>
              </w:rPr>
              <w:t xml:space="preserve">bi se osiguralo pravo na obrazovanje djece od rođenja do šest godina što bliže njihovu domu. </w:t>
            </w:r>
          </w:p>
          <w:p w14:paraId="2FE69858" w14:textId="77777777" w:rsidR="003F46B9" w:rsidRDefault="0065662E">
            <w:pPr>
              <w:pStyle w:val="P68B1DB1-Normal5"/>
              <w:spacing w:after="0" w:line="240" w:lineRule="auto"/>
              <w:jc w:val="both"/>
              <w:rPr>
                <w:rFonts w:cs="Times New Roman"/>
                <w:noProof/>
              </w:rPr>
            </w:pPr>
            <w:r>
              <w:rPr>
                <w:noProof/>
              </w:rPr>
              <w:t>Komplementarne usluge mogu biti ludoteque, centar za igru, višenamjenski centar itd. te moraju biti opremljene stolovima i stolicama za djecu; madraci za djecu; o</w:t>
            </w:r>
            <w:r>
              <w:rPr>
                <w:noProof/>
              </w:rPr>
              <w:t>brazovne materijale i opremu, uključujući digitalnu opremu (prijenosno računalo, pametne tablete, digitalne kamere i videozapise, digitalne tepise za obrazovne aktivnosti, digitalne setove za pisanje i crtanje itd.); ormarići za materijal i igračke te poli</w:t>
            </w:r>
            <w:r>
              <w:rPr>
                <w:noProof/>
              </w:rPr>
              <w:t>ce za knjižnice; namještaj za kupanje, uključujući namještaj za mijenjanje pelena; namještaj za administrativne prostore (uredi, sjedala, ormarići); kuhinjski namještaj i oprema.</w:t>
            </w:r>
          </w:p>
          <w:p w14:paraId="3C6F3585" w14:textId="7BDC7132" w:rsidR="003F46B9" w:rsidRDefault="0065662E">
            <w:pPr>
              <w:pStyle w:val="P68B1DB1-Normal5"/>
              <w:spacing w:after="0" w:line="240" w:lineRule="auto"/>
              <w:jc w:val="both"/>
              <w:rPr>
                <w:rFonts w:eastAsia="Times New Roman" w:cs="Times New Roman"/>
                <w:noProof/>
              </w:rPr>
            </w:pPr>
            <w:r>
              <w:rPr>
                <w:noProof/>
              </w:rPr>
              <w:t>Svaka dodatna usluga mora imati dvije učionice/skupine koje treba uspostaviti</w:t>
            </w:r>
            <w:r>
              <w:rPr>
                <w:noProof/>
              </w:rPr>
              <w:t xml:space="preserve"> i opremiti. Stoga će se dopunskim uslugama moći pružiti obrazovna potpora za najviše 50 djece od rođenja do 6 godina po službi, za najviše 4500 djece.</w:t>
            </w:r>
          </w:p>
        </w:tc>
      </w:tr>
      <w:tr w:rsidR="003F46B9" w14:paraId="6A510A8A" w14:textId="77777777">
        <w:trPr>
          <w:trHeight w:val="309"/>
        </w:trPr>
        <w:tc>
          <w:tcPr>
            <w:tcW w:w="1276" w:type="dxa"/>
            <w:tcBorders>
              <w:top w:val="nil"/>
              <w:left w:val="single" w:sz="4" w:space="0" w:color="auto"/>
              <w:bottom w:val="single" w:sz="4" w:space="0" w:color="auto"/>
              <w:right w:val="single" w:sz="4" w:space="0" w:color="auto"/>
            </w:tcBorders>
            <w:shd w:val="clear" w:color="auto" w:fill="C6EFCE"/>
            <w:noWrap/>
          </w:tcPr>
          <w:p w14:paraId="6C1A3554" w14:textId="77777777" w:rsidR="003F46B9" w:rsidRDefault="0065662E">
            <w:pPr>
              <w:pStyle w:val="P68B1DB1-Normal5"/>
              <w:spacing w:after="0" w:line="240" w:lineRule="auto"/>
              <w:jc w:val="center"/>
              <w:rPr>
                <w:rFonts w:cs="Times New Roman"/>
                <w:noProof/>
              </w:rPr>
            </w:pPr>
            <w:r>
              <w:rPr>
                <w:noProof/>
              </w:rPr>
              <w:t>459</w:t>
            </w:r>
          </w:p>
        </w:tc>
        <w:tc>
          <w:tcPr>
            <w:tcW w:w="1795" w:type="dxa"/>
            <w:tcBorders>
              <w:top w:val="nil"/>
              <w:left w:val="nil"/>
              <w:bottom w:val="single" w:sz="4" w:space="0" w:color="auto"/>
              <w:right w:val="single" w:sz="4" w:space="0" w:color="auto"/>
            </w:tcBorders>
            <w:shd w:val="clear" w:color="auto" w:fill="C6EFCE"/>
            <w:noWrap/>
          </w:tcPr>
          <w:p w14:paraId="447CDB64" w14:textId="6CE3FA3B" w:rsidR="003F46B9" w:rsidRDefault="0065662E">
            <w:pPr>
              <w:pStyle w:val="P68B1DB1-Normal5"/>
              <w:spacing w:after="0" w:line="240" w:lineRule="auto"/>
              <w:jc w:val="both"/>
              <w:rPr>
                <w:rFonts w:cs="Times New Roman"/>
                <w:noProof/>
              </w:rPr>
            </w:pPr>
            <w:r>
              <w:rPr>
                <w:noProof/>
              </w:rPr>
              <w:t xml:space="preserve">Ulaganje 2. Uspostava, opremanje i operacionalizacija 90 dopunskih usluga za skupine u nepovoljnom </w:t>
            </w:r>
            <w:r>
              <w:rPr>
                <w:noProof/>
              </w:rPr>
              <w:t>položaju</w:t>
            </w:r>
          </w:p>
        </w:tc>
        <w:tc>
          <w:tcPr>
            <w:tcW w:w="1182" w:type="dxa"/>
            <w:gridSpan w:val="2"/>
            <w:tcBorders>
              <w:top w:val="nil"/>
              <w:left w:val="nil"/>
              <w:bottom w:val="single" w:sz="4" w:space="0" w:color="auto"/>
              <w:right w:val="single" w:sz="4" w:space="0" w:color="auto"/>
            </w:tcBorders>
            <w:shd w:val="clear" w:color="auto" w:fill="C6EFCE"/>
            <w:noWrap/>
          </w:tcPr>
          <w:p w14:paraId="04F9592F"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nil"/>
              <w:left w:val="nil"/>
              <w:bottom w:val="single" w:sz="4" w:space="0" w:color="auto"/>
              <w:right w:val="single" w:sz="4" w:space="0" w:color="auto"/>
            </w:tcBorders>
            <w:shd w:val="clear" w:color="auto" w:fill="C6EFCE"/>
            <w:noWrap/>
          </w:tcPr>
          <w:p w14:paraId="6CDF08FC" w14:textId="77777777" w:rsidR="003F46B9" w:rsidRDefault="0065662E">
            <w:pPr>
              <w:pStyle w:val="P68B1DB1-Normal5"/>
              <w:spacing w:after="0" w:line="240" w:lineRule="auto"/>
              <w:jc w:val="both"/>
              <w:rPr>
                <w:rFonts w:cs="Times New Roman"/>
                <w:noProof/>
              </w:rPr>
            </w:pPr>
            <w:r>
              <w:rPr>
                <w:noProof/>
              </w:rPr>
              <w:t>Uspostava, opremanje i djelovanje dodatnih usluga</w:t>
            </w:r>
          </w:p>
        </w:tc>
        <w:tc>
          <w:tcPr>
            <w:tcW w:w="1843" w:type="dxa"/>
            <w:tcBorders>
              <w:top w:val="nil"/>
              <w:left w:val="nil"/>
              <w:bottom w:val="single" w:sz="4" w:space="0" w:color="auto"/>
              <w:right w:val="single" w:sz="4" w:space="0" w:color="auto"/>
            </w:tcBorders>
            <w:shd w:val="clear" w:color="auto" w:fill="C6EFCE"/>
            <w:noWrap/>
          </w:tcPr>
          <w:p w14:paraId="43688C21" w14:textId="77777777" w:rsidR="003F46B9" w:rsidRDefault="003F46B9">
            <w:pPr>
              <w:spacing w:after="0" w:line="240" w:lineRule="auto"/>
              <w:jc w:val="both"/>
              <w:rPr>
                <w:rFonts w:ascii="Times New Roman" w:hAnsi="Times New Roman" w:cs="Times New Roman"/>
                <w:noProof/>
                <w:sz w:val="24"/>
              </w:rPr>
            </w:pPr>
          </w:p>
        </w:tc>
        <w:tc>
          <w:tcPr>
            <w:tcW w:w="1134" w:type="dxa"/>
            <w:tcBorders>
              <w:top w:val="nil"/>
              <w:left w:val="nil"/>
              <w:bottom w:val="single" w:sz="4" w:space="0" w:color="auto"/>
              <w:right w:val="single" w:sz="4" w:space="0" w:color="auto"/>
            </w:tcBorders>
            <w:shd w:val="clear" w:color="auto" w:fill="C6EFCE"/>
            <w:noWrap/>
          </w:tcPr>
          <w:p w14:paraId="1CD4AD13"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nil"/>
              <w:left w:val="nil"/>
              <w:bottom w:val="single" w:sz="4" w:space="0" w:color="auto"/>
              <w:right w:val="single" w:sz="4" w:space="0" w:color="auto"/>
            </w:tcBorders>
            <w:shd w:val="clear" w:color="auto" w:fill="C6EFCE"/>
            <w:noWrap/>
          </w:tcPr>
          <w:p w14:paraId="260078A3"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nil"/>
              <w:left w:val="nil"/>
              <w:bottom w:val="single" w:sz="4" w:space="0" w:color="auto"/>
              <w:right w:val="single" w:sz="4" w:space="0" w:color="auto"/>
            </w:tcBorders>
            <w:shd w:val="clear" w:color="auto" w:fill="C6EFCE"/>
            <w:noWrap/>
          </w:tcPr>
          <w:p w14:paraId="7B20CAAC" w14:textId="01038BE5" w:rsidR="003F46B9" w:rsidRDefault="0065662E">
            <w:pPr>
              <w:pStyle w:val="P68B1DB1-Normal5"/>
              <w:spacing w:after="0" w:line="240" w:lineRule="auto"/>
              <w:jc w:val="both"/>
              <w:rPr>
                <w:rFonts w:cs="Times New Roman"/>
                <w:noProof/>
              </w:rPr>
            </w:pPr>
            <w:r>
              <w:rPr>
                <w:noProof/>
              </w:rPr>
              <w:t>90</w:t>
            </w:r>
          </w:p>
        </w:tc>
        <w:tc>
          <w:tcPr>
            <w:tcW w:w="1417" w:type="dxa"/>
            <w:tcBorders>
              <w:top w:val="nil"/>
              <w:left w:val="nil"/>
              <w:bottom w:val="single" w:sz="4" w:space="0" w:color="auto"/>
              <w:right w:val="single" w:sz="4" w:space="0" w:color="auto"/>
            </w:tcBorders>
            <w:shd w:val="clear" w:color="auto" w:fill="C6EFCE"/>
            <w:noWrap/>
          </w:tcPr>
          <w:p w14:paraId="340C10E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nil"/>
              <w:left w:val="nil"/>
              <w:bottom w:val="single" w:sz="4" w:space="0" w:color="auto"/>
              <w:right w:val="single" w:sz="4" w:space="0" w:color="auto"/>
            </w:tcBorders>
            <w:shd w:val="clear" w:color="auto" w:fill="C6EFCE"/>
            <w:noWrap/>
          </w:tcPr>
          <w:p w14:paraId="4DF282C1"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nil"/>
              <w:left w:val="nil"/>
              <w:bottom w:val="single" w:sz="4" w:space="0" w:color="auto"/>
              <w:right w:val="single" w:sz="4" w:space="0" w:color="auto"/>
            </w:tcBorders>
            <w:shd w:val="clear" w:color="auto" w:fill="C6EFCE"/>
            <w:noWrap/>
          </w:tcPr>
          <w:p w14:paraId="6B8F0F76" w14:textId="001A7762" w:rsidR="003F46B9" w:rsidRDefault="0065662E">
            <w:pPr>
              <w:pStyle w:val="P68B1DB1-Normal5"/>
              <w:spacing w:after="0" w:line="240" w:lineRule="auto"/>
              <w:jc w:val="both"/>
              <w:rPr>
                <w:rFonts w:eastAsia="Times New Roman" w:cs="Times New Roman"/>
                <w:noProof/>
              </w:rPr>
            </w:pPr>
            <w:r>
              <w:rPr>
                <w:noProof/>
              </w:rPr>
              <w:t xml:space="preserve">Najmanje 90 dopunskih usluga uspostavljenih, opremljenih i operacionaliziranih u skladu s odredbama ključne etape 458. </w:t>
            </w:r>
          </w:p>
        </w:tc>
      </w:tr>
      <w:tr w:rsidR="003F46B9" w14:paraId="2D433C43"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0E46E5" w14:textId="77777777" w:rsidR="003F46B9" w:rsidRDefault="0065662E">
            <w:pPr>
              <w:pStyle w:val="P68B1DB1-Normal5"/>
              <w:spacing w:after="0" w:line="240" w:lineRule="auto"/>
              <w:jc w:val="center"/>
              <w:rPr>
                <w:rFonts w:cs="Times New Roman"/>
                <w:noProof/>
              </w:rPr>
            </w:pPr>
            <w:r>
              <w:rPr>
                <w:noProof/>
              </w:rPr>
              <w:t>460</w:t>
            </w:r>
          </w:p>
        </w:tc>
        <w:tc>
          <w:tcPr>
            <w:tcW w:w="1795" w:type="dxa"/>
            <w:tcBorders>
              <w:top w:val="single" w:sz="4" w:space="0" w:color="auto"/>
              <w:left w:val="nil"/>
              <w:bottom w:val="single" w:sz="4" w:space="0" w:color="auto"/>
              <w:right w:val="single" w:sz="4" w:space="0" w:color="auto"/>
            </w:tcBorders>
            <w:shd w:val="clear" w:color="auto" w:fill="C6EFCE"/>
            <w:noWrap/>
          </w:tcPr>
          <w:p w14:paraId="38C29536" w14:textId="77777777" w:rsidR="003F46B9" w:rsidRDefault="0065662E">
            <w:pPr>
              <w:pStyle w:val="P68B1DB1-Normal5"/>
              <w:spacing w:after="0" w:line="240" w:lineRule="auto"/>
              <w:jc w:val="both"/>
              <w:rPr>
                <w:rFonts w:cs="Times New Roman"/>
                <w:noProof/>
              </w:rPr>
            </w:pPr>
            <w:r>
              <w:rPr>
                <w:noProof/>
              </w:rPr>
              <w:t>Ulaganje 3. Razvoj okvirnog programa za trajno osposobljavanje stručnjaka u području usluga ranog i predškolskog odgoja i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BE3002D"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6E8A83BB" w14:textId="77777777" w:rsidR="003F46B9" w:rsidRDefault="0065662E">
            <w:pPr>
              <w:pStyle w:val="P68B1DB1-Normal5"/>
              <w:spacing w:after="0" w:line="240" w:lineRule="auto"/>
              <w:jc w:val="both"/>
              <w:rPr>
                <w:rFonts w:cs="Times New Roman"/>
                <w:noProof/>
              </w:rPr>
            </w:pPr>
            <w:r>
              <w:rPr>
                <w:noProof/>
              </w:rPr>
              <w:t>Predavači u kurikulumu i obučeni u područjima praćenja</w:t>
            </w:r>
          </w:p>
        </w:tc>
        <w:tc>
          <w:tcPr>
            <w:tcW w:w="1843" w:type="dxa"/>
            <w:tcBorders>
              <w:top w:val="single" w:sz="4" w:space="0" w:color="auto"/>
              <w:left w:val="nil"/>
              <w:bottom w:val="single" w:sz="4" w:space="0" w:color="auto"/>
              <w:right w:val="single" w:sz="4" w:space="0" w:color="auto"/>
            </w:tcBorders>
            <w:shd w:val="clear" w:color="auto" w:fill="C6EFCE"/>
            <w:noWrap/>
          </w:tcPr>
          <w:p w14:paraId="52EC7E6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5BA8E7C"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70F90D0D"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D769C0B" w14:textId="77777777" w:rsidR="003F46B9" w:rsidRDefault="0065662E">
            <w:pPr>
              <w:pStyle w:val="P68B1DB1-Normal5"/>
              <w:spacing w:after="0" w:line="240" w:lineRule="auto"/>
              <w:jc w:val="both"/>
              <w:rPr>
                <w:rFonts w:cs="Times New Roman"/>
                <w:noProof/>
              </w:rPr>
            </w:pPr>
            <w:r>
              <w:rPr>
                <w:noProof/>
              </w:rPr>
              <w:t>420</w:t>
            </w:r>
          </w:p>
        </w:tc>
        <w:tc>
          <w:tcPr>
            <w:tcW w:w="1417" w:type="dxa"/>
            <w:tcBorders>
              <w:top w:val="single" w:sz="4" w:space="0" w:color="auto"/>
              <w:left w:val="nil"/>
              <w:bottom w:val="single" w:sz="4" w:space="0" w:color="auto"/>
              <w:right w:val="single" w:sz="4" w:space="0" w:color="auto"/>
            </w:tcBorders>
            <w:shd w:val="clear" w:color="auto" w:fill="C6EFCE"/>
            <w:noWrap/>
          </w:tcPr>
          <w:p w14:paraId="6A4D1042"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2975B202"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233ABE23" w14:textId="77777777" w:rsidR="003F46B9" w:rsidRDefault="0065662E">
            <w:pPr>
              <w:pStyle w:val="P68B1DB1-Normal5"/>
              <w:spacing w:after="0" w:line="240" w:lineRule="auto"/>
              <w:jc w:val="both"/>
              <w:rPr>
                <w:rFonts w:cs="Times New Roman"/>
                <w:noProof/>
              </w:rPr>
            </w:pPr>
            <w:r>
              <w:rPr>
                <w:noProof/>
              </w:rPr>
              <w:t xml:space="preserve"> 420 voditelja osposobljavanja </w:t>
            </w:r>
            <w:r>
              <w:rPr>
                <w:noProof/>
              </w:rPr>
              <w:t>(168 kurikuluma i 252 voditelja osposobljavanja u području praćenja usluga ranog i predškolskog odgoja) obučavaju se i ocjenjuju u okviru dvaju programa te dobivaju posebne certifikate.</w:t>
            </w:r>
          </w:p>
          <w:p w14:paraId="1F9CFC2A" w14:textId="77777777" w:rsidR="003F46B9" w:rsidRDefault="0065662E">
            <w:pPr>
              <w:pStyle w:val="P68B1DB1-Normal5"/>
              <w:spacing w:after="0" w:line="240" w:lineRule="auto"/>
              <w:jc w:val="both"/>
              <w:rPr>
                <w:rFonts w:cs="Times New Roman"/>
                <w:noProof/>
              </w:rPr>
            </w:pPr>
            <w:r>
              <w:rPr>
                <w:noProof/>
              </w:rPr>
              <w:t>Provode se dva programa trajnog osposobljavanja:</w:t>
            </w:r>
          </w:p>
          <w:p w14:paraId="64829A9E" w14:textId="77777777" w:rsidR="003F46B9" w:rsidRDefault="0065662E">
            <w:pPr>
              <w:pStyle w:val="P68B1DB1-Normal5"/>
              <w:numPr>
                <w:ilvl w:val="0"/>
                <w:numId w:val="114"/>
              </w:numPr>
              <w:spacing w:before="120" w:after="0" w:line="240" w:lineRule="auto"/>
              <w:ind w:left="189" w:hanging="142"/>
              <w:contextualSpacing/>
              <w:jc w:val="both"/>
              <w:rPr>
                <w:rFonts w:cs="Times New Roman"/>
                <w:noProof/>
              </w:rPr>
            </w:pPr>
            <w:r>
              <w:rPr>
                <w:noProof/>
              </w:rPr>
              <w:t>jedan program osposob</w:t>
            </w:r>
            <w:r>
              <w:rPr>
                <w:noProof/>
              </w:rPr>
              <w:t>ljavanja za predavače u ranom i predškolskom obrazovanju: provedba posebnog kurikuluma s modulima za nastavno i nenastavno osoblje, uključujući modul za digitalno obrazovanje;</w:t>
            </w:r>
          </w:p>
          <w:p w14:paraId="0172848E" w14:textId="77777777" w:rsidR="003F46B9" w:rsidRDefault="0065662E">
            <w:pPr>
              <w:pStyle w:val="P68B1DB1-Normal5"/>
              <w:numPr>
                <w:ilvl w:val="0"/>
                <w:numId w:val="114"/>
              </w:numPr>
              <w:spacing w:before="120" w:after="0" w:line="240" w:lineRule="auto"/>
              <w:ind w:left="189" w:hanging="142"/>
              <w:contextualSpacing/>
              <w:jc w:val="both"/>
              <w:rPr>
                <w:rFonts w:cs="Times New Roman"/>
                <w:noProof/>
              </w:rPr>
            </w:pPr>
            <w:r>
              <w:rPr>
                <w:noProof/>
              </w:rPr>
              <w:t>jedan program osposobljavanja za predavače (iz tri sektora: socijalna, obrazovna</w:t>
            </w:r>
            <w:r>
              <w:rPr>
                <w:noProof/>
              </w:rPr>
              <w:t xml:space="preserve"> i zdravstvena pitanja) radi praćenja kvalitete usluga ranog i predškolskog odgoja i obrazovanja.</w:t>
            </w:r>
          </w:p>
          <w:p w14:paraId="2153F74E" w14:textId="77777777" w:rsidR="003F46B9" w:rsidRDefault="0065662E">
            <w:pPr>
              <w:pStyle w:val="P68B1DB1-Normal5"/>
              <w:spacing w:after="0" w:line="240" w:lineRule="auto"/>
              <w:jc w:val="both"/>
              <w:rPr>
                <w:rFonts w:cs="Times New Roman"/>
                <w:noProof/>
              </w:rPr>
            </w:pPr>
            <w:r>
              <w:rPr>
                <w:noProof/>
              </w:rPr>
              <w:t>Prednost imaju osobe koje rade u novoosnovanim službama.</w:t>
            </w:r>
          </w:p>
        </w:tc>
      </w:tr>
      <w:tr w:rsidR="003F46B9" w14:paraId="0EC2CF4F"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76B9BEA" w14:textId="77777777" w:rsidR="003F46B9" w:rsidRDefault="0065662E">
            <w:pPr>
              <w:pStyle w:val="P68B1DB1-Normal5"/>
              <w:spacing w:after="0" w:line="240" w:lineRule="auto"/>
              <w:jc w:val="center"/>
              <w:rPr>
                <w:rFonts w:cs="Times New Roman"/>
                <w:noProof/>
              </w:rPr>
            </w:pPr>
            <w:r>
              <w:rPr>
                <w:noProof/>
              </w:rPr>
              <w:t>461</w:t>
            </w:r>
          </w:p>
        </w:tc>
        <w:tc>
          <w:tcPr>
            <w:tcW w:w="1795" w:type="dxa"/>
            <w:tcBorders>
              <w:top w:val="single" w:sz="4" w:space="0" w:color="auto"/>
              <w:left w:val="nil"/>
              <w:bottom w:val="single" w:sz="4" w:space="0" w:color="auto"/>
              <w:right w:val="single" w:sz="4" w:space="0" w:color="auto"/>
            </w:tcBorders>
            <w:shd w:val="clear" w:color="auto" w:fill="C6EFCE"/>
            <w:noWrap/>
          </w:tcPr>
          <w:p w14:paraId="4649195E" w14:textId="77777777" w:rsidR="003F46B9" w:rsidRDefault="0065662E">
            <w:pPr>
              <w:pStyle w:val="P68B1DB1-Normal5"/>
              <w:spacing w:after="0" w:line="240" w:lineRule="auto"/>
              <w:jc w:val="both"/>
              <w:rPr>
                <w:rFonts w:cs="Times New Roman"/>
                <w:noProof/>
              </w:rPr>
            </w:pPr>
            <w:r>
              <w:rPr>
                <w:noProof/>
              </w:rPr>
              <w:t xml:space="preserve">Ulaganje 3. Razvoj okvirnog programa za trajno osposobljavanje stručnjaka u uslugama ranog i </w:t>
            </w:r>
            <w:r>
              <w:rPr>
                <w:noProof/>
              </w:rPr>
              <w:t>predškolskog odgoja i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D5EF390"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3EB2DDB0" w14:textId="77777777" w:rsidR="003F46B9" w:rsidRDefault="0065662E">
            <w:pPr>
              <w:pStyle w:val="P68B1DB1-Normal5"/>
              <w:spacing w:after="0" w:line="240" w:lineRule="auto"/>
              <w:jc w:val="both"/>
              <w:rPr>
                <w:rFonts w:cs="Times New Roman"/>
                <w:noProof/>
              </w:rPr>
            </w:pPr>
            <w:r>
              <w:rPr>
                <w:noProof/>
              </w:rPr>
              <w:t>Osposobljeno osoblje koje radi na standardnim i komplementarnim uslugama ranog i predškolskog odgoja i obrazovanja, pri čemu se prednost daje novoosnovanom osoblju</w:t>
            </w:r>
          </w:p>
        </w:tc>
        <w:tc>
          <w:tcPr>
            <w:tcW w:w="1843" w:type="dxa"/>
            <w:tcBorders>
              <w:top w:val="single" w:sz="4" w:space="0" w:color="auto"/>
              <w:left w:val="nil"/>
              <w:bottom w:val="single" w:sz="4" w:space="0" w:color="auto"/>
              <w:right w:val="single" w:sz="4" w:space="0" w:color="auto"/>
            </w:tcBorders>
            <w:shd w:val="clear" w:color="auto" w:fill="C6EFCE"/>
            <w:noWrap/>
          </w:tcPr>
          <w:p w14:paraId="6EEF84DF"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5C95A57"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489BBB35"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969C6FC" w14:textId="77777777" w:rsidR="003F46B9" w:rsidRDefault="0065662E">
            <w:pPr>
              <w:pStyle w:val="P68B1DB1-Normal5"/>
              <w:spacing w:after="0" w:line="240" w:lineRule="auto"/>
              <w:jc w:val="both"/>
              <w:rPr>
                <w:rFonts w:cs="Times New Roman"/>
                <w:noProof/>
              </w:rPr>
            </w:pPr>
            <w:r>
              <w:rPr>
                <w:noProof/>
              </w:rPr>
              <w:t>19 950</w:t>
            </w:r>
          </w:p>
        </w:tc>
        <w:tc>
          <w:tcPr>
            <w:tcW w:w="1417" w:type="dxa"/>
            <w:tcBorders>
              <w:top w:val="single" w:sz="4" w:space="0" w:color="auto"/>
              <w:left w:val="nil"/>
              <w:bottom w:val="single" w:sz="4" w:space="0" w:color="auto"/>
              <w:right w:val="single" w:sz="4" w:space="0" w:color="auto"/>
            </w:tcBorders>
            <w:shd w:val="clear" w:color="auto" w:fill="C6EFCE"/>
            <w:noWrap/>
          </w:tcPr>
          <w:p w14:paraId="0A036626"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F7286E9"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27AE80F2" w14:textId="77777777" w:rsidR="003F46B9" w:rsidRDefault="0065662E">
            <w:pPr>
              <w:pStyle w:val="P68B1DB1-Normal5"/>
              <w:spacing w:after="0" w:line="240" w:lineRule="auto"/>
              <w:jc w:val="both"/>
              <w:rPr>
                <w:rFonts w:cs="Times New Roman"/>
                <w:noProof/>
              </w:rPr>
            </w:pPr>
            <w:r>
              <w:rPr>
                <w:noProof/>
              </w:rPr>
              <w:t xml:space="preserve">Osposobit će se 19950 osoba koje rade u okviru standardnih i komplementarnih usluga ranog i predškolskog odgoja i obrazovanja (nastavno i nenastavno osoblje), pri čemu se prednost daje onima u novouspostavljenim službama. </w:t>
            </w:r>
          </w:p>
          <w:p w14:paraId="6C9597C2" w14:textId="77777777" w:rsidR="003F46B9" w:rsidRDefault="0065662E">
            <w:pPr>
              <w:pStyle w:val="P68B1DB1-Normal5"/>
              <w:spacing w:after="0" w:line="240" w:lineRule="auto"/>
              <w:jc w:val="both"/>
              <w:rPr>
                <w:rFonts w:cs="Times New Roman"/>
                <w:noProof/>
              </w:rPr>
            </w:pPr>
            <w:r>
              <w:rPr>
                <w:noProof/>
              </w:rPr>
              <w:t>Prednost se daje osobama koje rad</w:t>
            </w:r>
            <w:r>
              <w:rPr>
                <w:noProof/>
              </w:rPr>
              <w:t>e u novoosnovanim službama (ako su operacionalizirane). Isto tako, završetak 1. programa osposobljavanja mogao bi biti prednost za one koji će biti zaposleni u tim novim službama.</w:t>
            </w:r>
          </w:p>
          <w:p w14:paraId="41EBD122" w14:textId="77777777" w:rsidR="003F46B9" w:rsidRDefault="0065662E">
            <w:pPr>
              <w:pStyle w:val="P68B1DB1-Normal5"/>
              <w:spacing w:after="0" w:line="240" w:lineRule="auto"/>
              <w:jc w:val="both"/>
              <w:rPr>
                <w:rFonts w:cs="Times New Roman"/>
                <w:noProof/>
              </w:rPr>
            </w:pPr>
            <w:r>
              <w:rPr>
                <w:noProof/>
              </w:rPr>
              <w:t>Korisnici tih edukacija (475 nastavnog i nenastavnog osoblja po stipendiji p</w:t>
            </w:r>
            <w:r>
              <w:rPr>
                <w:noProof/>
              </w:rPr>
              <w:t>o županiji) moraju završiti programe osposobljavanja koji su unaprijed definirani tehničkom pomoći, koji će se prethodno pružati, te će se ocijeniti i dobiti posebne potvrde.</w:t>
            </w:r>
          </w:p>
        </w:tc>
      </w:tr>
      <w:tr w:rsidR="003F46B9" w14:paraId="2282FEA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297C7E3" w14:textId="77777777" w:rsidR="003F46B9" w:rsidRDefault="0065662E">
            <w:pPr>
              <w:pStyle w:val="P68B1DB1-Normal5"/>
              <w:spacing w:after="0" w:line="240" w:lineRule="auto"/>
              <w:jc w:val="center"/>
              <w:rPr>
                <w:rFonts w:cs="Times New Roman"/>
                <w:noProof/>
              </w:rPr>
            </w:pPr>
            <w:r>
              <w:rPr>
                <w:noProof/>
              </w:rPr>
              <w:t>462</w:t>
            </w:r>
          </w:p>
        </w:tc>
        <w:tc>
          <w:tcPr>
            <w:tcW w:w="1795" w:type="dxa"/>
            <w:tcBorders>
              <w:top w:val="single" w:sz="4" w:space="0" w:color="auto"/>
              <w:left w:val="nil"/>
              <w:bottom w:val="single" w:sz="4" w:space="0" w:color="auto"/>
              <w:right w:val="single" w:sz="4" w:space="0" w:color="auto"/>
            </w:tcBorders>
            <w:shd w:val="clear" w:color="auto" w:fill="C6EFCE"/>
            <w:noWrap/>
          </w:tcPr>
          <w:p w14:paraId="73DC4686" w14:textId="77777777" w:rsidR="003F46B9" w:rsidRDefault="0065662E">
            <w:pPr>
              <w:pStyle w:val="P68B1DB1-Normal5"/>
              <w:spacing w:after="0" w:line="240" w:lineRule="auto"/>
              <w:jc w:val="both"/>
              <w:rPr>
                <w:rFonts w:cs="Times New Roman"/>
                <w:noProof/>
              </w:rPr>
            </w:pPr>
            <w:r>
              <w:rPr>
                <w:noProof/>
              </w:rPr>
              <w:t xml:space="preserve">Reforma 3. Reforma obveznog obrazovnog sustava radi sprečavanja i smanjenja </w:t>
            </w:r>
            <w:r>
              <w:rPr>
                <w:noProof/>
              </w:rPr>
              <w:t>ranog 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48A7492"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2EA6E27A" w14:textId="4CB2E0CA" w:rsidR="003F46B9" w:rsidRDefault="0065662E">
            <w:pPr>
              <w:pStyle w:val="P68B1DB1-Normal5"/>
              <w:spacing w:after="0" w:line="240" w:lineRule="auto"/>
              <w:jc w:val="both"/>
              <w:rPr>
                <w:rFonts w:cs="Times New Roman"/>
                <w:noProof/>
              </w:rPr>
            </w:pPr>
            <w:r>
              <w:rPr>
                <w:noProof/>
              </w:rPr>
              <w:t xml:space="preserve">Stupanje na snagu Odluke Vlade o provedbi Nacionalnog programa za smanjenje ranog napuštanja školovanja </w:t>
            </w:r>
          </w:p>
        </w:tc>
        <w:tc>
          <w:tcPr>
            <w:tcW w:w="1843" w:type="dxa"/>
            <w:tcBorders>
              <w:top w:val="single" w:sz="4" w:space="0" w:color="auto"/>
              <w:left w:val="nil"/>
              <w:bottom w:val="single" w:sz="4" w:space="0" w:color="auto"/>
              <w:right w:val="single" w:sz="4" w:space="0" w:color="auto"/>
            </w:tcBorders>
            <w:shd w:val="clear" w:color="auto" w:fill="C6EFCE"/>
            <w:noWrap/>
          </w:tcPr>
          <w:p w14:paraId="534B2934" w14:textId="76E2B6C5" w:rsidR="003F46B9" w:rsidRDefault="0065662E">
            <w:pPr>
              <w:pStyle w:val="P68B1DB1-Normal5"/>
              <w:spacing w:after="0" w:line="240" w:lineRule="auto"/>
              <w:jc w:val="both"/>
              <w:rPr>
                <w:rFonts w:cs="Times New Roman"/>
                <w:noProof/>
              </w:rPr>
            </w:pPr>
            <w:r>
              <w:rPr>
                <w:noProof/>
              </w:rPr>
              <w:t xml:space="preserve">Odredba Odluke Vlade o stupanju na snagu Nacionalnog programa za smanjenje ranog napuštanja školovanja  </w:t>
            </w:r>
          </w:p>
        </w:tc>
        <w:tc>
          <w:tcPr>
            <w:tcW w:w="1134" w:type="dxa"/>
            <w:tcBorders>
              <w:top w:val="single" w:sz="4" w:space="0" w:color="auto"/>
              <w:left w:val="nil"/>
              <w:bottom w:val="single" w:sz="4" w:space="0" w:color="auto"/>
              <w:right w:val="single" w:sz="4" w:space="0" w:color="auto"/>
            </w:tcBorders>
            <w:shd w:val="clear" w:color="auto" w:fill="C6EFCE"/>
            <w:noWrap/>
          </w:tcPr>
          <w:p w14:paraId="0578834A"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7B5167B9"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D052D19"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AA012E4"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7A018393" w14:textId="77777777" w:rsidR="003F46B9" w:rsidRDefault="0065662E">
            <w:pPr>
              <w:pStyle w:val="P68B1DB1-Normal5"/>
              <w:spacing w:after="0" w:line="240" w:lineRule="auto"/>
              <w:jc w:val="both"/>
              <w:rPr>
                <w:rFonts w:cs="Times New Roman"/>
                <w:noProof/>
              </w:rPr>
            </w:pPr>
            <w:r>
              <w:rPr>
                <w:noProof/>
              </w:rPr>
              <w:t>2021</w:t>
            </w:r>
          </w:p>
        </w:tc>
        <w:tc>
          <w:tcPr>
            <w:tcW w:w="2404" w:type="dxa"/>
            <w:tcBorders>
              <w:top w:val="single" w:sz="4" w:space="0" w:color="auto"/>
              <w:left w:val="nil"/>
              <w:bottom w:val="single" w:sz="4" w:space="0" w:color="auto"/>
              <w:right w:val="single" w:sz="4" w:space="0" w:color="auto"/>
            </w:tcBorders>
            <w:shd w:val="clear" w:color="auto" w:fill="C6EFCE"/>
            <w:noWrap/>
          </w:tcPr>
          <w:p w14:paraId="27219AEF" w14:textId="77777777" w:rsidR="003F46B9" w:rsidRDefault="0065662E">
            <w:pPr>
              <w:pStyle w:val="P68B1DB1-Normal5"/>
              <w:spacing w:after="0" w:line="240" w:lineRule="auto"/>
              <w:jc w:val="both"/>
              <w:rPr>
                <w:rFonts w:cs="Times New Roman"/>
                <w:noProof/>
              </w:rPr>
            </w:pPr>
            <w:r>
              <w:rPr>
                <w:noProof/>
              </w:rPr>
              <w:t>Odluka Vlade stupa na snagu o provedbi Nacionalnog programa za smanjenje ranog napuštanja školovanja, uključujući provedbu mehanizma ranog upozoravanja u obrazovanju u školama uključenima u program, s vremenski ograničenim, dokazanim i isplativim ciljevima</w:t>
            </w:r>
            <w:r>
              <w:rPr>
                <w:noProof/>
              </w:rPr>
              <w:t xml:space="preserve">. </w:t>
            </w:r>
          </w:p>
          <w:p w14:paraId="4F419877" w14:textId="77777777" w:rsidR="003F46B9" w:rsidRDefault="0065662E">
            <w:pPr>
              <w:pStyle w:val="P68B1DB1-Normal5"/>
              <w:spacing w:after="0" w:line="240" w:lineRule="auto"/>
              <w:jc w:val="both"/>
              <w:rPr>
                <w:rFonts w:eastAsia="Times New Roman" w:cs="Times New Roman"/>
                <w:noProof/>
              </w:rPr>
            </w:pPr>
            <w:r>
              <w:rPr>
                <w:noProof/>
              </w:rPr>
              <w:t>Nacionalni program za provedbu mehanizma ranog upozoravanja u obrazovanju omogućuje integriran i sustavan pristup na lokalnoj, regionalnoj i nacionalnoj razini.</w:t>
            </w:r>
          </w:p>
        </w:tc>
      </w:tr>
      <w:tr w:rsidR="003F46B9" w14:paraId="01F038FC"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670E67A" w14:textId="77777777" w:rsidR="003F46B9" w:rsidRDefault="0065662E">
            <w:pPr>
              <w:pStyle w:val="P68B1DB1-Normal5"/>
              <w:spacing w:after="0" w:line="240" w:lineRule="auto"/>
              <w:jc w:val="center"/>
              <w:rPr>
                <w:rFonts w:cs="Times New Roman"/>
                <w:noProof/>
              </w:rPr>
            </w:pPr>
            <w:r>
              <w:rPr>
                <w:noProof/>
              </w:rPr>
              <w:t>463</w:t>
            </w:r>
          </w:p>
        </w:tc>
        <w:tc>
          <w:tcPr>
            <w:tcW w:w="1795" w:type="dxa"/>
            <w:tcBorders>
              <w:top w:val="single" w:sz="4" w:space="0" w:color="auto"/>
              <w:left w:val="nil"/>
              <w:bottom w:val="single" w:sz="4" w:space="0" w:color="auto"/>
              <w:right w:val="single" w:sz="4" w:space="0" w:color="auto"/>
            </w:tcBorders>
            <w:shd w:val="clear" w:color="auto" w:fill="C6EFCE"/>
            <w:noWrap/>
          </w:tcPr>
          <w:p w14:paraId="04468F92" w14:textId="77777777" w:rsidR="003F46B9" w:rsidRDefault="0065662E">
            <w:pPr>
              <w:pStyle w:val="P68B1DB1-Normal5"/>
              <w:spacing w:after="0" w:line="240" w:lineRule="auto"/>
              <w:jc w:val="both"/>
              <w:rPr>
                <w:rFonts w:cs="Times New Roman"/>
                <w:noProof/>
              </w:rPr>
            </w:pPr>
            <w:r>
              <w:rPr>
                <w:noProof/>
              </w:rPr>
              <w:t xml:space="preserve">Reforma 3. Reforma obveznog obrazovnog sustava radi sprečavanja i smanjenja ranog </w:t>
            </w:r>
            <w:r>
              <w:rPr>
                <w:noProof/>
              </w:rPr>
              <w:t>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1FE7ED3"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3B5433A1" w14:textId="77777777" w:rsidR="003F46B9" w:rsidRDefault="0065662E">
            <w:pPr>
              <w:pStyle w:val="P68B1DB1-Normal5"/>
              <w:spacing w:after="0" w:line="240" w:lineRule="auto"/>
              <w:jc w:val="both"/>
              <w:rPr>
                <w:rFonts w:cs="Times New Roman"/>
                <w:noProof/>
              </w:rPr>
            </w:pPr>
            <w:r>
              <w:rPr>
                <w:noProof/>
              </w:rPr>
              <w:t>Stupanje na snagu ministarske odluke (MO) za upotrebu alata MATE na nacionalnoj razini</w:t>
            </w:r>
          </w:p>
        </w:tc>
        <w:tc>
          <w:tcPr>
            <w:tcW w:w="1843" w:type="dxa"/>
            <w:tcBorders>
              <w:top w:val="single" w:sz="4" w:space="0" w:color="auto"/>
              <w:left w:val="nil"/>
              <w:bottom w:val="single" w:sz="4" w:space="0" w:color="auto"/>
              <w:right w:val="single" w:sz="4" w:space="0" w:color="auto"/>
            </w:tcBorders>
            <w:shd w:val="clear" w:color="auto" w:fill="C6EFCE"/>
            <w:noWrap/>
          </w:tcPr>
          <w:p w14:paraId="284D6C33" w14:textId="77777777" w:rsidR="003F46B9" w:rsidRDefault="0065662E">
            <w:pPr>
              <w:pStyle w:val="P68B1DB1-Normal5"/>
              <w:spacing w:after="0" w:line="240" w:lineRule="auto"/>
              <w:jc w:val="both"/>
              <w:rPr>
                <w:rFonts w:cs="Times New Roman"/>
                <w:noProof/>
              </w:rPr>
            </w:pPr>
            <w:r>
              <w:rPr>
                <w:noProof/>
              </w:rPr>
              <w:t xml:space="preserve">Odredba u MO-u o stupanju na snagu alata MATE na nacionalnoj razini u svim školama u osnovnoškolskom i nižem srednjoškolskom </w:t>
            </w:r>
            <w:r>
              <w:rPr>
                <w:noProof/>
              </w:rPr>
              <w:t>obrazovanju</w:t>
            </w:r>
          </w:p>
        </w:tc>
        <w:tc>
          <w:tcPr>
            <w:tcW w:w="1134" w:type="dxa"/>
            <w:tcBorders>
              <w:top w:val="single" w:sz="4" w:space="0" w:color="auto"/>
              <w:left w:val="nil"/>
              <w:bottom w:val="single" w:sz="4" w:space="0" w:color="auto"/>
              <w:right w:val="single" w:sz="4" w:space="0" w:color="auto"/>
            </w:tcBorders>
            <w:shd w:val="clear" w:color="auto" w:fill="C6EFCE"/>
            <w:noWrap/>
          </w:tcPr>
          <w:p w14:paraId="3D3CA9A8"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B4576A9"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2E60910"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1DF67239"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1288AC28"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0413DE5" w14:textId="77777777" w:rsidR="003F46B9" w:rsidRDefault="0065662E">
            <w:pPr>
              <w:pStyle w:val="P68B1DB1-Normal5"/>
              <w:spacing w:after="0" w:line="240" w:lineRule="auto"/>
              <w:jc w:val="both"/>
              <w:rPr>
                <w:rFonts w:eastAsia="Times New Roman" w:cs="Times New Roman"/>
                <w:noProof/>
              </w:rPr>
            </w:pPr>
            <w:r>
              <w:rPr>
                <w:noProof/>
              </w:rPr>
              <w:t>Ministarskom uredbom predviđa se upotreba IT modula MATE na nacionalnoj razini. Informatičkim modulom utvrđuju se rizici, dok Nacionalni program uključuje obrazovne jedinice s visokim stupnjem rizika od napuštanja</w:t>
            </w:r>
            <w:r>
              <w:rPr>
                <w:noProof/>
              </w:rPr>
              <w:t xml:space="preserve"> školovanja (stopa mladih koji nisu završili ni ni školuju se niti se obrazuju niti osposobljavaju), jedinice koje primaju bespovratna sredstva.</w:t>
            </w:r>
          </w:p>
        </w:tc>
      </w:tr>
      <w:tr w:rsidR="003F46B9" w14:paraId="1F59FBC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7C6D743" w14:textId="77777777" w:rsidR="003F46B9" w:rsidRDefault="0065662E">
            <w:pPr>
              <w:pStyle w:val="P68B1DB1-Normal5"/>
              <w:spacing w:after="0" w:line="240" w:lineRule="auto"/>
              <w:jc w:val="center"/>
              <w:rPr>
                <w:rFonts w:cs="Times New Roman"/>
                <w:noProof/>
              </w:rPr>
            </w:pPr>
            <w:r>
              <w:rPr>
                <w:noProof/>
              </w:rPr>
              <w:t>464</w:t>
            </w:r>
          </w:p>
        </w:tc>
        <w:tc>
          <w:tcPr>
            <w:tcW w:w="1795" w:type="dxa"/>
            <w:tcBorders>
              <w:top w:val="single" w:sz="4" w:space="0" w:color="auto"/>
              <w:left w:val="nil"/>
              <w:bottom w:val="single" w:sz="4" w:space="0" w:color="auto"/>
              <w:right w:val="single" w:sz="4" w:space="0" w:color="auto"/>
            </w:tcBorders>
            <w:shd w:val="clear" w:color="auto" w:fill="C6EFCE"/>
            <w:noWrap/>
          </w:tcPr>
          <w:p w14:paraId="223D1CA1" w14:textId="77777777" w:rsidR="003F46B9" w:rsidRDefault="0065662E">
            <w:pPr>
              <w:pStyle w:val="P68B1DB1-Normal5"/>
              <w:spacing w:after="0" w:line="240" w:lineRule="auto"/>
              <w:jc w:val="both"/>
              <w:rPr>
                <w:rFonts w:cs="Times New Roman"/>
                <w:noProof/>
              </w:rPr>
            </w:pPr>
            <w:r>
              <w:rPr>
                <w:noProof/>
              </w:rPr>
              <w:t>Ulaganje 4. Potpora obrazovnim ustanovama sa srednjim i visokim rizikom od 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D801DA3"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56FDC530" w14:textId="77777777" w:rsidR="003F46B9" w:rsidRDefault="0065662E">
            <w:pPr>
              <w:pStyle w:val="P68B1DB1-Normal5"/>
              <w:spacing w:after="0" w:line="240" w:lineRule="auto"/>
              <w:jc w:val="both"/>
              <w:rPr>
                <w:rFonts w:cs="Times New Roman"/>
                <w:noProof/>
              </w:rPr>
            </w:pPr>
            <w:r>
              <w:rPr>
                <w:noProof/>
              </w:rPr>
              <w:t>Otvoreni poziv na podnošenje projekata za potporu studentima za prijelaz iz nižeg u više sekundarno obrazovanje na temelju pet pokazatelja definiranih u mehanizmu ranog upozoravanja u obrazovanju</w:t>
            </w:r>
          </w:p>
        </w:tc>
        <w:tc>
          <w:tcPr>
            <w:tcW w:w="1843" w:type="dxa"/>
            <w:tcBorders>
              <w:top w:val="single" w:sz="4" w:space="0" w:color="auto"/>
              <w:left w:val="nil"/>
              <w:bottom w:val="single" w:sz="4" w:space="0" w:color="auto"/>
              <w:right w:val="single" w:sz="4" w:space="0" w:color="auto"/>
            </w:tcBorders>
            <w:shd w:val="clear" w:color="auto" w:fill="C6EFCE"/>
            <w:noWrap/>
          </w:tcPr>
          <w:p w14:paraId="6082AD82" w14:textId="77777777" w:rsidR="003F46B9" w:rsidRDefault="0065662E">
            <w:pPr>
              <w:pStyle w:val="P68B1DB1-Normal5"/>
              <w:spacing w:after="0" w:line="240" w:lineRule="auto"/>
              <w:jc w:val="both"/>
              <w:rPr>
                <w:rFonts w:cs="Times New Roman"/>
                <w:noProof/>
              </w:rPr>
            </w:pPr>
            <w:r>
              <w:rPr>
                <w:noProof/>
              </w:rPr>
              <w:t xml:space="preserve">Objava poziva </w:t>
            </w:r>
          </w:p>
        </w:tc>
        <w:tc>
          <w:tcPr>
            <w:tcW w:w="1134" w:type="dxa"/>
            <w:tcBorders>
              <w:top w:val="single" w:sz="4" w:space="0" w:color="auto"/>
              <w:left w:val="nil"/>
              <w:bottom w:val="single" w:sz="4" w:space="0" w:color="auto"/>
              <w:right w:val="single" w:sz="4" w:space="0" w:color="auto"/>
            </w:tcBorders>
            <w:shd w:val="clear" w:color="auto" w:fill="C6EFCE"/>
            <w:noWrap/>
          </w:tcPr>
          <w:p w14:paraId="104743B9"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18FDCE7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BE6CF9F"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0B7F488"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C2CE337" w14:textId="77777777" w:rsidR="003F46B9" w:rsidRDefault="0065662E">
            <w:pPr>
              <w:pStyle w:val="P68B1DB1-Normal5"/>
              <w:spacing w:after="0" w:line="240" w:lineRule="auto"/>
              <w:jc w:val="both"/>
              <w:rPr>
                <w:rFonts w:cs="Times New Roman"/>
                <w:noProof/>
              </w:rPr>
            </w:pPr>
            <w:r>
              <w:rPr>
                <w:noProof/>
              </w:rPr>
              <w:t>2021</w:t>
            </w:r>
          </w:p>
        </w:tc>
        <w:tc>
          <w:tcPr>
            <w:tcW w:w="2404" w:type="dxa"/>
            <w:tcBorders>
              <w:top w:val="single" w:sz="4" w:space="0" w:color="auto"/>
              <w:left w:val="nil"/>
              <w:bottom w:val="single" w:sz="4" w:space="0" w:color="auto"/>
              <w:right w:val="single" w:sz="4" w:space="0" w:color="auto"/>
            </w:tcBorders>
            <w:shd w:val="clear" w:color="auto" w:fill="C6EFCE"/>
            <w:noWrap/>
          </w:tcPr>
          <w:p w14:paraId="11159EB5" w14:textId="77777777" w:rsidR="003F46B9" w:rsidRDefault="0065662E">
            <w:pPr>
              <w:pStyle w:val="P68B1DB1-Normal5"/>
              <w:spacing w:after="0" w:line="240" w:lineRule="auto"/>
              <w:jc w:val="both"/>
              <w:rPr>
                <w:rFonts w:cs="Times New Roman"/>
                <w:noProof/>
              </w:rPr>
            </w:pPr>
            <w:r>
              <w:rPr>
                <w:noProof/>
              </w:rPr>
              <w:t>Poziv</w:t>
            </w:r>
            <w:r>
              <w:rPr>
                <w:noProof/>
              </w:rPr>
              <w:t xml:space="preserve"> na podnošenje projekata za dodjelu bespovratnih sredstava obrazovnim ustanovama za potporu studentima za prijelaz iz nižeg u više sekundarno obrazovanje na temelju pet pokazatelja utvrđenih u mehanizmu ranog upozoravanja u obrazovanju. Svi pokazatelji izr</w:t>
            </w:r>
            <w:r>
              <w:rPr>
                <w:noProof/>
              </w:rPr>
              <w:t xml:space="preserve">ačunavaju se na temelju pondera kojim se analizira količina, tj. broj učenika i nastavnika ili kvaliteta, tj. ocjene dobivene u nacionalnoj procjeni. </w:t>
            </w:r>
          </w:p>
          <w:p w14:paraId="0576449F" w14:textId="77777777" w:rsidR="003F46B9" w:rsidRDefault="0065662E">
            <w:pPr>
              <w:pStyle w:val="P68B1DB1-Normal5"/>
              <w:spacing w:after="0" w:line="240" w:lineRule="auto"/>
              <w:jc w:val="both"/>
              <w:rPr>
                <w:rFonts w:cs="Times New Roman"/>
                <w:noProof/>
              </w:rPr>
            </w:pPr>
            <w:r>
              <w:rPr>
                <w:noProof/>
              </w:rPr>
              <w:t>Na temelju indeksa ranjivosti ranog napuštanja školovanja škole MATE razvrstane su u tri kategorije, ovis</w:t>
            </w:r>
            <w:r>
              <w:rPr>
                <w:noProof/>
              </w:rPr>
              <w:t>no o prioritetu intervencije: visoka, srednja i niska. Jedinice visokog prioriteta, za koje je potrebna neposredna intervencija, smatraju se jedinicama s ukupnom ocjenom od 3,5 do 5 i koje imaju nekoliko elemenata ranjivosti, kao što su velik broj zamjensk</w:t>
            </w:r>
            <w:r>
              <w:rPr>
                <w:noProof/>
              </w:rPr>
              <w:t>ih nastavnika, visoka stopa napuštanja školovanja, niska stopa sudjelovanja i loši rezultati nacionalnih procjena. Te škole imaju prioritet za financiranje.</w:t>
            </w:r>
          </w:p>
          <w:p w14:paraId="25334A73" w14:textId="77777777" w:rsidR="003F46B9" w:rsidRDefault="0065662E">
            <w:pPr>
              <w:pStyle w:val="P68B1DB1-Normal5"/>
              <w:spacing w:after="0" w:line="240" w:lineRule="auto"/>
              <w:jc w:val="both"/>
              <w:rPr>
                <w:rFonts w:cs="Times New Roman"/>
                <w:noProof/>
              </w:rPr>
            </w:pPr>
            <w:r>
              <w:rPr>
                <w:noProof/>
              </w:rPr>
              <w:t xml:space="preserve">Prihvatljive aktivnosti uključuju: </w:t>
            </w:r>
          </w:p>
          <w:p w14:paraId="3BBBEA94"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pedagoške i pomoćne aktivnosti </w:t>
            </w:r>
          </w:p>
          <w:p w14:paraId="33231093"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izvannastavne aktivnosti </w:t>
            </w:r>
          </w:p>
          <w:p w14:paraId="633FA4F4"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manje</w:t>
            </w:r>
            <w:r>
              <w:rPr>
                <w:noProof/>
              </w:rPr>
              <w:t xml:space="preserve"> radove i kupnju robe, </w:t>
            </w:r>
          </w:p>
          <w:p w14:paraId="1BA7FE68"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stipendije za učenike iz ranjivih skupina kako bi se osigurao prijelaz iz nižeg sekundarnog obrazovanja u srednjoškolsko obrazovanje u završeno obvezno obrazovanje, </w:t>
            </w:r>
          </w:p>
          <w:p w14:paraId="16D7A67D"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partnerstva s nevladinim organizacijama za potporu i/ili izvannast</w:t>
            </w:r>
            <w:r>
              <w:rPr>
                <w:noProof/>
              </w:rPr>
              <w:t>avne aktivnosti.</w:t>
            </w:r>
          </w:p>
          <w:p w14:paraId="6A1AC08E" w14:textId="77777777" w:rsidR="003F46B9" w:rsidRDefault="0065662E">
            <w:pPr>
              <w:pStyle w:val="P68B1DB1-Normal5"/>
              <w:spacing w:after="0" w:line="240" w:lineRule="auto"/>
              <w:jc w:val="both"/>
              <w:rPr>
                <w:rFonts w:cs="Times New Roman"/>
                <w:noProof/>
              </w:rPr>
            </w:pPr>
            <w:r>
              <w:rPr>
                <w:noProof/>
              </w:rPr>
              <w:t>Škole postaju odgovorne za ishode učenika i redovito obavještavanje o postignutom napretku prenošenjem tih informacija u sustav prikupljanja podataka MATE.</w:t>
            </w:r>
          </w:p>
        </w:tc>
      </w:tr>
      <w:tr w:rsidR="003F46B9" w14:paraId="3F7495C9"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1DB6BF" w14:textId="77777777" w:rsidR="003F46B9" w:rsidRDefault="0065662E">
            <w:pPr>
              <w:pStyle w:val="P68B1DB1-Normal5"/>
              <w:spacing w:after="0" w:line="240" w:lineRule="auto"/>
              <w:jc w:val="center"/>
              <w:rPr>
                <w:rFonts w:cs="Times New Roman"/>
                <w:noProof/>
              </w:rPr>
            </w:pPr>
            <w:r>
              <w:rPr>
                <w:noProof/>
              </w:rPr>
              <w:t>465</w:t>
            </w:r>
          </w:p>
        </w:tc>
        <w:tc>
          <w:tcPr>
            <w:tcW w:w="1795" w:type="dxa"/>
            <w:tcBorders>
              <w:top w:val="single" w:sz="4" w:space="0" w:color="auto"/>
              <w:left w:val="nil"/>
              <w:bottom w:val="single" w:sz="4" w:space="0" w:color="auto"/>
              <w:right w:val="single" w:sz="4" w:space="0" w:color="auto"/>
            </w:tcBorders>
            <w:shd w:val="clear" w:color="auto" w:fill="C6EFCE"/>
            <w:noWrap/>
          </w:tcPr>
          <w:p w14:paraId="40F89DF8" w14:textId="77777777" w:rsidR="003F46B9" w:rsidRDefault="0065662E">
            <w:pPr>
              <w:pStyle w:val="P68B1DB1-Normal5"/>
              <w:spacing w:after="0" w:line="240" w:lineRule="auto"/>
              <w:jc w:val="both"/>
              <w:rPr>
                <w:rFonts w:cs="Times New Roman"/>
                <w:noProof/>
              </w:rPr>
            </w:pPr>
            <w:r>
              <w:rPr>
                <w:noProof/>
              </w:rPr>
              <w:t xml:space="preserve">Ulaganje 4. Potpora obrazovnim ustanovama sa srednjim i visokim rizikom od </w:t>
            </w:r>
            <w:r>
              <w:rPr>
                <w:noProof/>
              </w:rPr>
              <w:t>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CD1121B"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1BB05593" w14:textId="77777777" w:rsidR="003F46B9" w:rsidRDefault="0065662E">
            <w:pPr>
              <w:pStyle w:val="P68B1DB1-Normal5"/>
              <w:spacing w:after="0" w:line="240" w:lineRule="auto"/>
              <w:jc w:val="both"/>
              <w:rPr>
                <w:rFonts w:cs="Times New Roman"/>
                <w:noProof/>
              </w:rPr>
            </w:pPr>
            <w:r>
              <w:rPr>
                <w:noProof/>
              </w:rPr>
              <w:t>Obrazovne ustanove kojima je dodijeljen program bespovratnih sredstava (grupa 1)</w:t>
            </w:r>
          </w:p>
        </w:tc>
        <w:tc>
          <w:tcPr>
            <w:tcW w:w="1843" w:type="dxa"/>
            <w:tcBorders>
              <w:top w:val="single" w:sz="4" w:space="0" w:color="auto"/>
              <w:left w:val="nil"/>
              <w:bottom w:val="single" w:sz="4" w:space="0" w:color="auto"/>
              <w:right w:val="single" w:sz="4" w:space="0" w:color="auto"/>
            </w:tcBorders>
            <w:shd w:val="clear" w:color="auto" w:fill="C6EFCE"/>
            <w:noWrap/>
          </w:tcPr>
          <w:p w14:paraId="56CFB1FB"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8EBD241"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09EE134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0D667AD0" w14:textId="77777777" w:rsidR="003F46B9" w:rsidRDefault="0065662E">
            <w:pPr>
              <w:pStyle w:val="P68B1DB1-Normal5"/>
              <w:spacing w:after="0" w:line="240" w:lineRule="auto"/>
              <w:jc w:val="both"/>
              <w:rPr>
                <w:rFonts w:cs="Times New Roman"/>
                <w:noProof/>
              </w:rPr>
            </w:pPr>
            <w:r>
              <w:rPr>
                <w:noProof/>
              </w:rPr>
              <w:t>750</w:t>
            </w:r>
          </w:p>
        </w:tc>
        <w:tc>
          <w:tcPr>
            <w:tcW w:w="1417" w:type="dxa"/>
            <w:tcBorders>
              <w:top w:val="single" w:sz="4" w:space="0" w:color="auto"/>
              <w:left w:val="nil"/>
              <w:bottom w:val="single" w:sz="4" w:space="0" w:color="auto"/>
              <w:right w:val="single" w:sz="4" w:space="0" w:color="auto"/>
            </w:tcBorders>
            <w:shd w:val="clear" w:color="auto" w:fill="C6EFCE"/>
            <w:noWrap/>
          </w:tcPr>
          <w:p w14:paraId="2F82463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3CD99B5"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718E7EC8" w14:textId="77777777" w:rsidR="003F46B9" w:rsidRDefault="0065662E">
            <w:pPr>
              <w:pStyle w:val="P68B1DB1-Normal5"/>
              <w:spacing w:after="0" w:line="240" w:lineRule="auto"/>
              <w:jc w:val="both"/>
              <w:rPr>
                <w:rFonts w:cs="Times New Roman"/>
                <w:noProof/>
              </w:rPr>
            </w:pPr>
            <w:r>
              <w:rPr>
                <w:noProof/>
              </w:rPr>
              <w:t>750 obrazovnih ustanova prima bespovratna sredstva za potporu učenicima za prijelaz iz nižeg u više sekundarno obrazovanje na temelju pet pokazatelja definiranih u mehanizmu ranog upozoravanja u obrazovanju. Svi pokazatelji izračunavaju se na temelju ponde</w:t>
            </w:r>
            <w:r>
              <w:rPr>
                <w:noProof/>
              </w:rPr>
              <w:t xml:space="preserve">ra kojim se analizira količina, tj. broj učenika i nastavnika ili kvaliteta, tj. ocjene dobivene u nacionalnoj procjeni. </w:t>
            </w:r>
          </w:p>
          <w:p w14:paraId="02A2AA2F" w14:textId="77777777" w:rsidR="003F46B9" w:rsidRDefault="0065662E">
            <w:pPr>
              <w:pStyle w:val="P68B1DB1-Normal5"/>
              <w:spacing w:after="0" w:line="240" w:lineRule="auto"/>
              <w:jc w:val="both"/>
              <w:rPr>
                <w:rFonts w:cs="Times New Roman"/>
                <w:noProof/>
              </w:rPr>
            </w:pPr>
            <w:r>
              <w:rPr>
                <w:noProof/>
              </w:rPr>
              <w:t>Na temelju indeksa ranjivosti ranog napuštanja školovanja škole MATE razvrstane su u tri kategorije, ovisno o prioritetu intervencije:</w:t>
            </w:r>
            <w:r>
              <w:rPr>
                <w:noProof/>
              </w:rPr>
              <w:t xml:space="preserve"> visoka, srednja i niska. Jedinice visokog prioriteta, za koje je potrebna neposredna intervencija, smatraju se jedinicama s ukupnom ocjenom od 3,5 do 5 i koje imaju nekoliko elemenata ranjivosti, kao što su velik broj zamjenskih nastavnika, visoka stopa n</w:t>
            </w:r>
            <w:r>
              <w:rPr>
                <w:noProof/>
              </w:rPr>
              <w:t>apuštanja školovanja, niska stopa sudjelovanja i loši rezultati nacionalnih procjena. Te škole imaju prioritet za financiranje.</w:t>
            </w:r>
          </w:p>
          <w:p w14:paraId="3567735D" w14:textId="77777777" w:rsidR="003F46B9" w:rsidRDefault="0065662E">
            <w:pPr>
              <w:pStyle w:val="P68B1DB1-Normal5"/>
              <w:spacing w:after="0" w:line="240" w:lineRule="auto"/>
              <w:jc w:val="both"/>
              <w:rPr>
                <w:rFonts w:cs="Times New Roman"/>
                <w:noProof/>
              </w:rPr>
            </w:pPr>
            <w:r>
              <w:rPr>
                <w:noProof/>
              </w:rPr>
              <w:t xml:space="preserve">Prihvatljive aktivnosti uključuju: </w:t>
            </w:r>
          </w:p>
          <w:p w14:paraId="5CC189A8"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pedagoške i pomoćne aktivnosti </w:t>
            </w:r>
          </w:p>
          <w:p w14:paraId="07CADED5"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izvannastavne aktivnosti </w:t>
            </w:r>
          </w:p>
          <w:p w14:paraId="0CD33AF8"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manje radove i kupnju robe, </w:t>
            </w:r>
          </w:p>
          <w:p w14:paraId="1E89E84E"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 xml:space="preserve">stipendije za učenike iz ranjivih skupina kako bi se osigurao prijelaz iz nižeg sekundarnog obrazovanja u srednjoškolsko obrazovanje u završeno obvezno obrazovanje, </w:t>
            </w:r>
          </w:p>
          <w:p w14:paraId="2BA1B242" w14:textId="77777777" w:rsidR="003F46B9" w:rsidRDefault="0065662E">
            <w:pPr>
              <w:pStyle w:val="P68B1DB1-Normal5"/>
              <w:numPr>
                <w:ilvl w:val="0"/>
                <w:numId w:val="115"/>
              </w:numPr>
              <w:spacing w:before="120" w:after="0" w:line="240" w:lineRule="auto"/>
              <w:ind w:left="189" w:hanging="142"/>
              <w:contextualSpacing/>
              <w:jc w:val="both"/>
              <w:rPr>
                <w:rFonts w:cs="Times New Roman"/>
                <w:noProof/>
              </w:rPr>
            </w:pPr>
            <w:r>
              <w:rPr>
                <w:noProof/>
              </w:rPr>
              <w:t>partnerstva s nevladinim organizacijama za potporu i/ili izvannastavne aktivnosti.</w:t>
            </w:r>
          </w:p>
          <w:p w14:paraId="7540511C" w14:textId="77777777" w:rsidR="003F46B9" w:rsidRDefault="0065662E">
            <w:pPr>
              <w:pStyle w:val="P68B1DB1-Normal5"/>
              <w:spacing w:after="0" w:line="240" w:lineRule="auto"/>
              <w:jc w:val="both"/>
              <w:rPr>
                <w:rFonts w:eastAsia="Times New Roman" w:cs="Times New Roman"/>
                <w:noProof/>
              </w:rPr>
            </w:pPr>
            <w:r>
              <w:rPr>
                <w:noProof/>
              </w:rPr>
              <w:t>Škole p</w:t>
            </w:r>
            <w:r>
              <w:rPr>
                <w:noProof/>
              </w:rPr>
              <w:t>ostaju odgovorne za ishode učenika i redovito obavještavanje o postignutom napretku prenošenjem tih informacija u sustav prikupljanja podataka MATE.</w:t>
            </w:r>
          </w:p>
        </w:tc>
      </w:tr>
      <w:tr w:rsidR="003F46B9" w14:paraId="66D38CD6"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6A3082C" w14:textId="77777777" w:rsidR="003F46B9" w:rsidRDefault="0065662E">
            <w:pPr>
              <w:pStyle w:val="P68B1DB1-Normal5"/>
              <w:spacing w:after="0" w:line="240" w:lineRule="auto"/>
              <w:jc w:val="center"/>
              <w:rPr>
                <w:rFonts w:cs="Times New Roman"/>
                <w:noProof/>
              </w:rPr>
            </w:pPr>
            <w:r>
              <w:rPr>
                <w:noProof/>
              </w:rPr>
              <w:t>466</w:t>
            </w:r>
          </w:p>
        </w:tc>
        <w:tc>
          <w:tcPr>
            <w:tcW w:w="1795" w:type="dxa"/>
            <w:tcBorders>
              <w:top w:val="single" w:sz="4" w:space="0" w:color="auto"/>
              <w:left w:val="nil"/>
              <w:bottom w:val="single" w:sz="4" w:space="0" w:color="auto"/>
              <w:right w:val="single" w:sz="4" w:space="0" w:color="auto"/>
            </w:tcBorders>
            <w:shd w:val="clear" w:color="auto" w:fill="C6EFCE"/>
            <w:noWrap/>
          </w:tcPr>
          <w:p w14:paraId="677D7D1D" w14:textId="77777777" w:rsidR="003F46B9" w:rsidRDefault="0065662E">
            <w:pPr>
              <w:pStyle w:val="P68B1DB1-Normal5"/>
              <w:spacing w:after="0" w:line="240" w:lineRule="auto"/>
              <w:jc w:val="both"/>
              <w:rPr>
                <w:rFonts w:cs="Times New Roman"/>
                <w:noProof/>
              </w:rPr>
            </w:pPr>
            <w:r>
              <w:rPr>
                <w:noProof/>
              </w:rPr>
              <w:t>Ulaganje 4. Potpora obrazovnim ustanovama sa srednjim i visokim rizikom od 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435A890"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29906CCA" w14:textId="77777777" w:rsidR="003F46B9" w:rsidRDefault="0065662E">
            <w:pPr>
              <w:pStyle w:val="P68B1DB1-Normal5"/>
              <w:spacing w:after="0" w:line="240" w:lineRule="auto"/>
              <w:jc w:val="both"/>
              <w:rPr>
                <w:rFonts w:cs="Times New Roman"/>
                <w:noProof/>
              </w:rPr>
            </w:pPr>
            <w:r>
              <w:rPr>
                <w:noProof/>
              </w:rPr>
              <w:t>Obrazovne ustanove kojima je dodijeljen program bespovratnih sredstava (2. grupa)</w:t>
            </w:r>
          </w:p>
        </w:tc>
        <w:tc>
          <w:tcPr>
            <w:tcW w:w="1843" w:type="dxa"/>
            <w:tcBorders>
              <w:top w:val="single" w:sz="4" w:space="0" w:color="auto"/>
              <w:left w:val="nil"/>
              <w:bottom w:val="single" w:sz="4" w:space="0" w:color="auto"/>
              <w:right w:val="single" w:sz="4" w:space="0" w:color="auto"/>
            </w:tcBorders>
            <w:shd w:val="clear" w:color="auto" w:fill="C6EFCE"/>
            <w:noWrap/>
          </w:tcPr>
          <w:p w14:paraId="24AA3802"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133682A"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1C2FD905" w14:textId="77777777" w:rsidR="003F46B9" w:rsidRDefault="0065662E">
            <w:pPr>
              <w:pStyle w:val="P68B1DB1-Normal5"/>
              <w:spacing w:after="0" w:line="240" w:lineRule="auto"/>
              <w:jc w:val="both"/>
              <w:rPr>
                <w:rFonts w:cs="Times New Roman"/>
                <w:noProof/>
              </w:rPr>
            </w:pPr>
            <w:r>
              <w:rPr>
                <w:noProof/>
              </w:rPr>
              <w:t>750</w:t>
            </w:r>
          </w:p>
        </w:tc>
        <w:tc>
          <w:tcPr>
            <w:tcW w:w="1134" w:type="dxa"/>
            <w:tcBorders>
              <w:top w:val="single" w:sz="4" w:space="0" w:color="auto"/>
              <w:left w:val="nil"/>
              <w:bottom w:val="single" w:sz="4" w:space="0" w:color="auto"/>
              <w:right w:val="single" w:sz="4" w:space="0" w:color="auto"/>
            </w:tcBorders>
            <w:shd w:val="clear" w:color="auto" w:fill="C6EFCE"/>
            <w:noWrap/>
          </w:tcPr>
          <w:p w14:paraId="72A54C69" w14:textId="77777777" w:rsidR="003F46B9" w:rsidRDefault="0065662E">
            <w:pPr>
              <w:pStyle w:val="P68B1DB1-Normal5"/>
              <w:spacing w:after="0" w:line="240" w:lineRule="auto"/>
              <w:jc w:val="both"/>
              <w:rPr>
                <w:rFonts w:cs="Times New Roman"/>
                <w:noProof/>
              </w:rPr>
            </w:pPr>
            <w:r>
              <w:rPr>
                <w:noProof/>
              </w:rPr>
              <w:t>1 750</w:t>
            </w:r>
          </w:p>
        </w:tc>
        <w:tc>
          <w:tcPr>
            <w:tcW w:w="1417" w:type="dxa"/>
            <w:tcBorders>
              <w:top w:val="single" w:sz="4" w:space="0" w:color="auto"/>
              <w:left w:val="nil"/>
              <w:bottom w:val="single" w:sz="4" w:space="0" w:color="auto"/>
              <w:right w:val="single" w:sz="4" w:space="0" w:color="auto"/>
            </w:tcBorders>
            <w:shd w:val="clear" w:color="auto" w:fill="C6EFCE"/>
            <w:noWrap/>
          </w:tcPr>
          <w:p w14:paraId="4A714FCE" w14:textId="12629E02"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780F6ED2" w14:textId="6C546290"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031B5818" w14:textId="576A8038" w:rsidR="003F46B9" w:rsidRDefault="0065662E">
            <w:pPr>
              <w:pStyle w:val="P68B1DB1-Normal5"/>
              <w:spacing w:after="0" w:line="240" w:lineRule="auto"/>
              <w:jc w:val="both"/>
              <w:rPr>
                <w:rFonts w:cs="Times New Roman"/>
                <w:noProof/>
              </w:rPr>
            </w:pPr>
            <w:r>
              <w:rPr>
                <w:noProof/>
              </w:rPr>
              <w:t>1000 dodatnih obrazovnih ustanova prima bespovratna sredstva za potporu učenicima za prijelaz iz nižeg u više sekundarno obrazovanje n</w:t>
            </w:r>
            <w:r>
              <w:rPr>
                <w:noProof/>
              </w:rPr>
              <w:t xml:space="preserve">a temelju pet pokazatelja definiranih u mehanizmu ranog upozoravanja u obrazovanju. Svi pokazatelji izračunavaju se na temelju pondera kojim se analizira količina, tj. broj učenika i nastavnika ili kvaliteta, tj. ocjene dobivene u nacionalnoj procjeni. </w:t>
            </w:r>
          </w:p>
          <w:p w14:paraId="4B0F301D" w14:textId="77777777" w:rsidR="003F46B9" w:rsidRDefault="0065662E">
            <w:pPr>
              <w:pStyle w:val="P68B1DB1-Normal5"/>
              <w:spacing w:after="0" w:line="240" w:lineRule="auto"/>
              <w:jc w:val="both"/>
              <w:rPr>
                <w:rFonts w:cs="Times New Roman"/>
                <w:noProof/>
              </w:rPr>
            </w:pPr>
            <w:r>
              <w:rPr>
                <w:noProof/>
              </w:rPr>
              <w:t>Na</w:t>
            </w:r>
            <w:r>
              <w:rPr>
                <w:noProof/>
              </w:rPr>
              <w:t xml:space="preserve"> temelju indeksa ranjivosti ESL-a škole MATE razvrstane su u tri kategorije, ovisno o prioritetu intervencije: visoka, srednja i niska. Jedinice visokog prioriteta, za koje je potrebna neposredna intervencija, smatraju se jedinicama s ukupnom ocjenom od 3,</w:t>
            </w:r>
            <w:r>
              <w:rPr>
                <w:noProof/>
              </w:rPr>
              <w:t>5 do 5 i koje imaju nekoliko elemenata ranjivosti, kao što su velik broj zamjenskih nastavnika, visoka stopa napuštanja školovanja, niska stopa sudjelovanja i loši rezultati nacionalnih procjena. Te škole imaju prioritet za financiranje.</w:t>
            </w:r>
          </w:p>
          <w:p w14:paraId="20B5A680" w14:textId="77777777" w:rsidR="003F46B9" w:rsidRDefault="0065662E">
            <w:pPr>
              <w:pStyle w:val="P68B1DB1-Normal5"/>
              <w:spacing w:after="0" w:line="240" w:lineRule="auto"/>
              <w:jc w:val="both"/>
              <w:rPr>
                <w:rFonts w:cs="Times New Roman"/>
                <w:noProof/>
              </w:rPr>
            </w:pPr>
            <w:r>
              <w:rPr>
                <w:noProof/>
              </w:rPr>
              <w:t>Prihvatljive aktiv</w:t>
            </w:r>
            <w:r>
              <w:rPr>
                <w:noProof/>
              </w:rPr>
              <w:t xml:space="preserve">nosti uključuju: </w:t>
            </w:r>
          </w:p>
          <w:p w14:paraId="73C13E6F" w14:textId="77777777" w:rsidR="003F46B9" w:rsidRDefault="0065662E">
            <w:pPr>
              <w:pStyle w:val="P68B1DB1-Normal5"/>
              <w:numPr>
                <w:ilvl w:val="0"/>
                <w:numId w:val="116"/>
              </w:numPr>
              <w:spacing w:before="120" w:after="0" w:line="240" w:lineRule="auto"/>
              <w:ind w:left="189" w:hanging="142"/>
              <w:contextualSpacing/>
              <w:jc w:val="both"/>
              <w:rPr>
                <w:rFonts w:cs="Times New Roman"/>
                <w:noProof/>
              </w:rPr>
            </w:pPr>
            <w:r>
              <w:rPr>
                <w:noProof/>
              </w:rPr>
              <w:t xml:space="preserve">pedagoške i pomoćne aktivnosti </w:t>
            </w:r>
          </w:p>
          <w:p w14:paraId="57852288" w14:textId="77777777" w:rsidR="003F46B9" w:rsidRDefault="0065662E">
            <w:pPr>
              <w:pStyle w:val="P68B1DB1-Normal5"/>
              <w:numPr>
                <w:ilvl w:val="0"/>
                <w:numId w:val="116"/>
              </w:numPr>
              <w:spacing w:before="120" w:after="0" w:line="240" w:lineRule="auto"/>
              <w:ind w:left="189" w:hanging="142"/>
              <w:contextualSpacing/>
              <w:jc w:val="both"/>
              <w:rPr>
                <w:rFonts w:cs="Times New Roman"/>
                <w:noProof/>
              </w:rPr>
            </w:pPr>
            <w:r>
              <w:rPr>
                <w:noProof/>
              </w:rPr>
              <w:t xml:space="preserve">izvannastavne aktivnosti </w:t>
            </w:r>
          </w:p>
          <w:p w14:paraId="298A9F23" w14:textId="77777777" w:rsidR="003F46B9" w:rsidRDefault="0065662E">
            <w:pPr>
              <w:pStyle w:val="P68B1DB1-Normal5"/>
              <w:numPr>
                <w:ilvl w:val="0"/>
                <w:numId w:val="116"/>
              </w:numPr>
              <w:spacing w:before="120" w:after="0" w:line="240" w:lineRule="auto"/>
              <w:ind w:left="189" w:hanging="142"/>
              <w:contextualSpacing/>
              <w:jc w:val="both"/>
              <w:rPr>
                <w:rFonts w:cs="Times New Roman"/>
                <w:noProof/>
              </w:rPr>
            </w:pPr>
            <w:r>
              <w:rPr>
                <w:noProof/>
              </w:rPr>
              <w:t xml:space="preserve">manje radove i kupnju robe, </w:t>
            </w:r>
          </w:p>
          <w:p w14:paraId="4607D27D" w14:textId="77777777" w:rsidR="003F46B9" w:rsidRDefault="0065662E">
            <w:pPr>
              <w:pStyle w:val="P68B1DB1-Normal5"/>
              <w:numPr>
                <w:ilvl w:val="0"/>
                <w:numId w:val="116"/>
              </w:numPr>
              <w:spacing w:before="120" w:after="0" w:line="240" w:lineRule="auto"/>
              <w:ind w:left="189" w:hanging="142"/>
              <w:contextualSpacing/>
              <w:jc w:val="both"/>
              <w:rPr>
                <w:rFonts w:cs="Times New Roman"/>
                <w:noProof/>
              </w:rPr>
            </w:pPr>
            <w:r>
              <w:rPr>
                <w:noProof/>
              </w:rPr>
              <w:t>stipendije za učenike iz ranjivih skupina kako bi se osigurao prijelaz iz nižeg sekundarnog obrazovanja u srednjoškolsko obrazovanje u završeno obvezno</w:t>
            </w:r>
            <w:r>
              <w:rPr>
                <w:noProof/>
              </w:rPr>
              <w:t xml:space="preserve"> obrazovanje, </w:t>
            </w:r>
          </w:p>
          <w:p w14:paraId="3522D7E8" w14:textId="77777777" w:rsidR="003F46B9" w:rsidRDefault="0065662E">
            <w:pPr>
              <w:pStyle w:val="P68B1DB1-Normal5"/>
              <w:numPr>
                <w:ilvl w:val="0"/>
                <w:numId w:val="116"/>
              </w:numPr>
              <w:spacing w:before="120" w:after="0" w:line="240" w:lineRule="auto"/>
              <w:ind w:left="189" w:hanging="142"/>
              <w:contextualSpacing/>
              <w:jc w:val="both"/>
              <w:rPr>
                <w:rFonts w:cs="Times New Roman"/>
                <w:noProof/>
              </w:rPr>
            </w:pPr>
            <w:r>
              <w:rPr>
                <w:noProof/>
              </w:rPr>
              <w:t>partnerstva s nevladinim organizacijama za potporu i/ili izvannastavne aktivnosti.</w:t>
            </w:r>
          </w:p>
          <w:p w14:paraId="14C1B899" w14:textId="77777777" w:rsidR="003F46B9" w:rsidRDefault="0065662E">
            <w:pPr>
              <w:pStyle w:val="P68B1DB1-Normal5"/>
              <w:spacing w:after="0" w:line="240" w:lineRule="auto"/>
              <w:jc w:val="both"/>
              <w:rPr>
                <w:rFonts w:eastAsia="Times New Roman" w:cs="Times New Roman"/>
                <w:noProof/>
              </w:rPr>
            </w:pPr>
            <w:r>
              <w:rPr>
                <w:noProof/>
              </w:rPr>
              <w:t>Škole postaju odgovorne za ishode učenika i redovito obavještavanje o postignutom napretku prenošenjem tih informacija u sustav prikupljanja podataka MATE.</w:t>
            </w:r>
          </w:p>
        </w:tc>
      </w:tr>
      <w:tr w:rsidR="003F46B9" w14:paraId="40643B0E"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CCEE3FA" w14:textId="77777777" w:rsidR="003F46B9" w:rsidRDefault="0065662E">
            <w:pPr>
              <w:pStyle w:val="P68B1DB1-Normal5"/>
              <w:spacing w:after="0" w:line="240" w:lineRule="auto"/>
              <w:jc w:val="center"/>
              <w:rPr>
                <w:rFonts w:cs="Times New Roman"/>
                <w:noProof/>
              </w:rPr>
            </w:pPr>
            <w:r>
              <w:rPr>
                <w:noProof/>
              </w:rPr>
              <w:t>467</w:t>
            </w:r>
          </w:p>
        </w:tc>
        <w:tc>
          <w:tcPr>
            <w:tcW w:w="1795" w:type="dxa"/>
            <w:tcBorders>
              <w:top w:val="single" w:sz="4" w:space="0" w:color="auto"/>
              <w:left w:val="nil"/>
              <w:bottom w:val="single" w:sz="4" w:space="0" w:color="auto"/>
              <w:right w:val="single" w:sz="4" w:space="0" w:color="auto"/>
            </w:tcBorders>
            <w:shd w:val="clear" w:color="auto" w:fill="C6EFCE"/>
            <w:noWrap/>
          </w:tcPr>
          <w:p w14:paraId="080CDFCA" w14:textId="77777777" w:rsidR="003F46B9" w:rsidRDefault="0065662E">
            <w:pPr>
              <w:pStyle w:val="P68B1DB1-Normal5"/>
              <w:spacing w:after="0" w:line="240" w:lineRule="auto"/>
              <w:jc w:val="both"/>
              <w:rPr>
                <w:rFonts w:cs="Times New Roman"/>
                <w:noProof/>
              </w:rPr>
            </w:pPr>
            <w:r>
              <w:rPr>
                <w:noProof/>
              </w:rPr>
              <w:t>Ulaganje 4. Potpora obrazovnim ustanovama sa srednjim i visokim rizikom od napuštanja školovanja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0F2066C"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FED465D" w14:textId="77777777" w:rsidR="003F46B9" w:rsidRDefault="0065662E">
            <w:pPr>
              <w:pStyle w:val="P68B1DB1-Normal5"/>
              <w:spacing w:after="0" w:line="240" w:lineRule="auto"/>
              <w:jc w:val="both"/>
              <w:rPr>
                <w:rFonts w:cs="Times New Roman"/>
                <w:noProof/>
              </w:rPr>
            </w:pPr>
            <w:r>
              <w:rPr>
                <w:noProof/>
              </w:rPr>
              <w:t>Obrazovne ustanove uključene u program napuštanja školovanja s digitaliziranim učionicama</w:t>
            </w:r>
          </w:p>
        </w:tc>
        <w:tc>
          <w:tcPr>
            <w:tcW w:w="1843" w:type="dxa"/>
            <w:tcBorders>
              <w:top w:val="single" w:sz="4" w:space="0" w:color="auto"/>
              <w:left w:val="nil"/>
              <w:bottom w:val="single" w:sz="4" w:space="0" w:color="auto"/>
              <w:right w:val="single" w:sz="4" w:space="0" w:color="auto"/>
            </w:tcBorders>
            <w:shd w:val="clear" w:color="auto" w:fill="C6EFCE"/>
            <w:noWrap/>
          </w:tcPr>
          <w:p w14:paraId="1CB10B45"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F0A135B"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50957A3A"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17ED9B1" w14:textId="77777777" w:rsidR="003F46B9" w:rsidRDefault="0065662E">
            <w:pPr>
              <w:pStyle w:val="P68B1DB1-Normal5"/>
              <w:spacing w:after="0" w:line="240" w:lineRule="auto"/>
              <w:jc w:val="both"/>
              <w:rPr>
                <w:rFonts w:cs="Times New Roman"/>
                <w:noProof/>
              </w:rPr>
            </w:pPr>
            <w:r>
              <w:rPr>
                <w:noProof/>
              </w:rPr>
              <w:t>2 500</w:t>
            </w:r>
          </w:p>
        </w:tc>
        <w:tc>
          <w:tcPr>
            <w:tcW w:w="1417" w:type="dxa"/>
            <w:tcBorders>
              <w:top w:val="single" w:sz="4" w:space="0" w:color="auto"/>
              <w:left w:val="nil"/>
              <w:bottom w:val="single" w:sz="4" w:space="0" w:color="auto"/>
              <w:right w:val="single" w:sz="4" w:space="0" w:color="auto"/>
            </w:tcBorders>
            <w:shd w:val="clear" w:color="auto" w:fill="C6EFCE"/>
            <w:noWrap/>
          </w:tcPr>
          <w:p w14:paraId="4A720DE1" w14:textId="7C562CB7" w:rsidR="003F46B9" w:rsidRDefault="0065662E">
            <w:pPr>
              <w:pStyle w:val="P68B1DB1-Normal5"/>
              <w:spacing w:after="0" w:line="240" w:lineRule="auto"/>
              <w:jc w:val="both"/>
              <w:rPr>
                <w:rFonts w:cs="Times New Roman"/>
                <w:noProof/>
              </w:rPr>
            </w:pPr>
            <w:r>
              <w:rPr>
                <w:noProof/>
              </w:rPr>
              <w:t xml:space="preserve">TROMJESEČJE </w:t>
            </w:r>
          </w:p>
        </w:tc>
        <w:tc>
          <w:tcPr>
            <w:tcW w:w="941" w:type="dxa"/>
            <w:tcBorders>
              <w:top w:val="single" w:sz="4" w:space="0" w:color="auto"/>
              <w:left w:val="nil"/>
              <w:bottom w:val="single" w:sz="4" w:space="0" w:color="auto"/>
              <w:right w:val="single" w:sz="4" w:space="0" w:color="auto"/>
            </w:tcBorders>
            <w:shd w:val="clear" w:color="auto" w:fill="C6EFCE"/>
            <w:noWrap/>
          </w:tcPr>
          <w:p w14:paraId="148B3B85" w14:textId="10FE52CF"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3C771B6F" w14:textId="4B497348" w:rsidR="003F46B9" w:rsidRDefault="0065662E">
            <w:pPr>
              <w:pStyle w:val="P68B1DB1-Normal5"/>
              <w:spacing w:after="0" w:line="240" w:lineRule="auto"/>
              <w:jc w:val="both"/>
              <w:rPr>
                <w:rFonts w:cs="Times New Roman"/>
                <w:noProof/>
              </w:rPr>
            </w:pPr>
            <w:r>
              <w:rPr>
                <w:noProof/>
              </w:rPr>
              <w:t>2500 obrazovnih ustanova uključenih u program napuštanja školovanja u potpunosti se digitalizira nabavom potrebne opreme (tableta, pisača, usmjerivača).</w:t>
            </w:r>
          </w:p>
        </w:tc>
      </w:tr>
      <w:tr w:rsidR="003F46B9" w14:paraId="2D49676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3A57BC" w14:textId="77777777" w:rsidR="003F46B9" w:rsidRDefault="0065662E">
            <w:pPr>
              <w:pStyle w:val="P68B1DB1-Normal5"/>
              <w:spacing w:after="0" w:line="240" w:lineRule="auto"/>
              <w:jc w:val="center"/>
              <w:rPr>
                <w:rFonts w:cs="Times New Roman"/>
                <w:noProof/>
              </w:rPr>
            </w:pPr>
            <w:r>
              <w:rPr>
                <w:noProof/>
              </w:rPr>
              <w:t>468</w:t>
            </w:r>
          </w:p>
        </w:tc>
        <w:tc>
          <w:tcPr>
            <w:tcW w:w="1795" w:type="dxa"/>
            <w:tcBorders>
              <w:top w:val="single" w:sz="4" w:space="0" w:color="auto"/>
              <w:left w:val="nil"/>
              <w:bottom w:val="single" w:sz="4" w:space="0" w:color="auto"/>
              <w:right w:val="single" w:sz="4" w:space="0" w:color="auto"/>
            </w:tcBorders>
            <w:shd w:val="clear" w:color="auto" w:fill="C6EFCE"/>
            <w:noWrap/>
          </w:tcPr>
          <w:p w14:paraId="3944A45C" w14:textId="77777777" w:rsidR="003F46B9" w:rsidRDefault="0065662E">
            <w:pPr>
              <w:pStyle w:val="P68B1DB1-Normal5"/>
              <w:spacing w:after="0" w:line="240" w:lineRule="auto"/>
              <w:jc w:val="both"/>
              <w:rPr>
                <w:rFonts w:cs="Times New Roman"/>
                <w:noProof/>
              </w:rPr>
            </w:pPr>
            <w:r>
              <w:rPr>
                <w:noProof/>
              </w:rPr>
              <w:t xml:space="preserve">Ulaganje 4. Potpora obrazovnim ustanovama sa srednjim i visokim rizikom od napuštanja školovanja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96227D4"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659EB1A7" w14:textId="77777777" w:rsidR="003F46B9" w:rsidRDefault="0065662E">
            <w:pPr>
              <w:pStyle w:val="P68B1DB1-Normal5"/>
              <w:spacing w:after="0" w:line="240" w:lineRule="auto"/>
              <w:jc w:val="both"/>
              <w:rPr>
                <w:rFonts w:cs="Times New Roman"/>
                <w:noProof/>
              </w:rPr>
            </w:pPr>
            <w:r>
              <w:rPr>
                <w:noProof/>
              </w:rPr>
              <w:t>Smanjenje broja škola sa srednjim i visokim rizikom od napuštanja školovanja</w:t>
            </w:r>
          </w:p>
        </w:tc>
        <w:tc>
          <w:tcPr>
            <w:tcW w:w="1843" w:type="dxa"/>
            <w:tcBorders>
              <w:top w:val="single" w:sz="4" w:space="0" w:color="auto"/>
              <w:left w:val="nil"/>
              <w:bottom w:val="single" w:sz="4" w:space="0" w:color="auto"/>
              <w:right w:val="single" w:sz="4" w:space="0" w:color="auto"/>
            </w:tcBorders>
            <w:shd w:val="clear" w:color="auto" w:fill="C6EFCE"/>
            <w:noWrap/>
          </w:tcPr>
          <w:p w14:paraId="14123201"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9151E24" w14:textId="77777777" w:rsidR="003F46B9" w:rsidRDefault="0065662E">
            <w:pPr>
              <w:pStyle w:val="P68B1DB1-Normal5"/>
              <w:spacing w:after="0" w:line="240" w:lineRule="auto"/>
              <w:jc w:val="both"/>
              <w:rPr>
                <w:rFonts w:cs="Times New Roman"/>
                <w:noProof/>
              </w:rPr>
            </w:pPr>
            <w:r>
              <w:rPr>
                <w:noProof/>
              </w:rPr>
              <w:t xml:space="preserve">Broj </w:t>
            </w:r>
          </w:p>
        </w:tc>
        <w:tc>
          <w:tcPr>
            <w:tcW w:w="1276" w:type="dxa"/>
            <w:tcBorders>
              <w:top w:val="single" w:sz="4" w:space="0" w:color="auto"/>
              <w:left w:val="nil"/>
              <w:bottom w:val="single" w:sz="4" w:space="0" w:color="auto"/>
              <w:right w:val="single" w:sz="4" w:space="0" w:color="auto"/>
            </w:tcBorders>
            <w:shd w:val="clear" w:color="auto" w:fill="C6EFCE"/>
            <w:noWrap/>
          </w:tcPr>
          <w:p w14:paraId="5A321362" w14:textId="77777777" w:rsidR="003F46B9" w:rsidRDefault="0065662E">
            <w:pPr>
              <w:pStyle w:val="P68B1DB1-Normal5"/>
              <w:spacing w:after="0" w:line="240" w:lineRule="auto"/>
              <w:jc w:val="both"/>
              <w:rPr>
                <w:rFonts w:cs="Times New Roman"/>
                <w:noProof/>
              </w:rPr>
            </w:pPr>
            <w:r>
              <w:rPr>
                <w:noProof/>
              </w:rPr>
              <w:t xml:space="preserve">2 500 </w:t>
            </w:r>
          </w:p>
        </w:tc>
        <w:tc>
          <w:tcPr>
            <w:tcW w:w="1134" w:type="dxa"/>
            <w:tcBorders>
              <w:top w:val="single" w:sz="4" w:space="0" w:color="auto"/>
              <w:left w:val="nil"/>
              <w:bottom w:val="single" w:sz="4" w:space="0" w:color="auto"/>
              <w:right w:val="single" w:sz="4" w:space="0" w:color="auto"/>
            </w:tcBorders>
            <w:shd w:val="clear" w:color="auto" w:fill="C6EFCE"/>
            <w:noWrap/>
          </w:tcPr>
          <w:p w14:paraId="4E1E7B4E" w14:textId="77777777" w:rsidR="003F46B9" w:rsidRDefault="0065662E">
            <w:pPr>
              <w:pStyle w:val="P68B1DB1-Normal5"/>
              <w:spacing w:after="0" w:line="240" w:lineRule="auto"/>
              <w:jc w:val="both"/>
              <w:rPr>
                <w:rFonts w:cs="Times New Roman"/>
                <w:noProof/>
              </w:rPr>
            </w:pPr>
            <w:r>
              <w:rPr>
                <w:noProof/>
              </w:rPr>
              <w:t xml:space="preserve">1 875 </w:t>
            </w:r>
          </w:p>
        </w:tc>
        <w:tc>
          <w:tcPr>
            <w:tcW w:w="1417" w:type="dxa"/>
            <w:tcBorders>
              <w:top w:val="single" w:sz="4" w:space="0" w:color="auto"/>
              <w:left w:val="nil"/>
              <w:bottom w:val="single" w:sz="4" w:space="0" w:color="auto"/>
              <w:right w:val="single" w:sz="4" w:space="0" w:color="auto"/>
            </w:tcBorders>
            <w:shd w:val="clear" w:color="auto" w:fill="C6EFCE"/>
            <w:noWrap/>
          </w:tcPr>
          <w:p w14:paraId="026D3DF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3EF3CBE" w14:textId="77777777" w:rsidR="003F46B9" w:rsidRDefault="0065662E">
            <w:pPr>
              <w:pStyle w:val="P68B1DB1-Normal5"/>
              <w:spacing w:after="0" w:line="240" w:lineRule="auto"/>
              <w:jc w:val="both"/>
              <w:rPr>
                <w:rFonts w:cs="Times New Roman"/>
                <w:noProof/>
              </w:rPr>
            </w:pPr>
            <w:r>
              <w:rPr>
                <w:noProof/>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7BFA2335" w14:textId="77777777" w:rsidR="003F46B9" w:rsidRDefault="0065662E">
            <w:pPr>
              <w:pStyle w:val="P68B1DB1-Normal5"/>
              <w:spacing w:after="0" w:line="240" w:lineRule="auto"/>
              <w:jc w:val="both"/>
              <w:rPr>
                <w:rFonts w:cs="Times New Roman"/>
                <w:noProof/>
              </w:rPr>
            </w:pPr>
            <w:r>
              <w:rPr>
                <w:noProof/>
              </w:rPr>
              <w:t>Broj škola sa srednjim i visokim rizikom od napuštanja školovanja smanjuje se za 625.</w:t>
            </w:r>
          </w:p>
          <w:p w14:paraId="4625A576" w14:textId="77777777" w:rsidR="003F46B9" w:rsidRDefault="0065662E">
            <w:pPr>
              <w:pStyle w:val="P68B1DB1-Normal5"/>
              <w:spacing w:after="0" w:line="240" w:lineRule="auto"/>
              <w:jc w:val="both"/>
              <w:rPr>
                <w:rFonts w:eastAsia="Times New Roman" w:cs="Times New Roman"/>
                <w:noProof/>
              </w:rPr>
            </w:pPr>
            <w:r>
              <w:rPr>
                <w:noProof/>
              </w:rPr>
              <w:t xml:space="preserve">Indeks osjetljivosti upotrebljava se kako bi se potvrdilo smanjenje od 25 % u kohorti visokog prioriteta intervencije, s osnovnim scenarijem u drugom tromjesečju 2022., neposredno prije dodjele prve grupe bespovratnih sredstava. </w:t>
            </w:r>
          </w:p>
        </w:tc>
      </w:tr>
      <w:tr w:rsidR="003F46B9" w14:paraId="51381F73"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41185FA" w14:textId="77777777" w:rsidR="003F46B9" w:rsidRDefault="0065662E">
            <w:pPr>
              <w:pStyle w:val="P68B1DB1-Normal5"/>
              <w:spacing w:after="0" w:line="240" w:lineRule="auto"/>
              <w:jc w:val="center"/>
              <w:rPr>
                <w:rFonts w:cs="Times New Roman"/>
                <w:noProof/>
              </w:rPr>
            </w:pPr>
            <w:r>
              <w:rPr>
                <w:noProof/>
              </w:rPr>
              <w:t>469</w:t>
            </w:r>
          </w:p>
        </w:tc>
        <w:tc>
          <w:tcPr>
            <w:tcW w:w="1851" w:type="dxa"/>
            <w:gridSpan w:val="2"/>
            <w:tcBorders>
              <w:top w:val="single" w:sz="4" w:space="0" w:color="auto"/>
              <w:left w:val="nil"/>
              <w:bottom w:val="single" w:sz="4" w:space="0" w:color="auto"/>
              <w:right w:val="single" w:sz="4" w:space="0" w:color="auto"/>
            </w:tcBorders>
            <w:shd w:val="clear" w:color="auto" w:fill="C6EFCE"/>
            <w:noWrap/>
          </w:tcPr>
          <w:p w14:paraId="5F4DCFAA" w14:textId="77777777" w:rsidR="003F46B9" w:rsidRDefault="0065662E">
            <w:pPr>
              <w:spacing w:after="0" w:line="240" w:lineRule="auto"/>
              <w:jc w:val="both"/>
              <w:rPr>
                <w:rFonts w:ascii="Times New Roman" w:hAnsi="Times New Roman" w:cs="Times New Roman"/>
                <w:noProof/>
                <w:sz w:val="24"/>
              </w:rPr>
            </w:pPr>
            <w:r>
              <w:rPr>
                <w:rFonts w:ascii="Times New Roman" w:hAnsi="Times New Roman"/>
                <w:noProof/>
                <w:sz w:val="24"/>
              </w:rPr>
              <w:t>Ulaganje 5. Osposobljavanja za korisnike rumunjskog integriranog obrazovnog informacijskog sustava (SIIIR) i informatičkog alata mehanizma ranog upozoravanja (MATE)</w:t>
            </w:r>
            <w:r>
              <w:rPr>
                <w:noProof/>
                <w:u w:val="single"/>
              </w:rPr>
              <w:t xml:space="preserve"> </w:t>
            </w:r>
            <w:r>
              <w:rPr>
                <w:rFonts w:ascii="Times New Roman" w:hAnsi="Times New Roman"/>
                <w:noProof/>
                <w:sz w:val="24"/>
              </w:rPr>
              <w:t>i sustavne intervencije za smanjenje ranog napuštanja školovanja</w:t>
            </w:r>
          </w:p>
        </w:tc>
        <w:tc>
          <w:tcPr>
            <w:tcW w:w="1126" w:type="dxa"/>
            <w:tcBorders>
              <w:top w:val="single" w:sz="4" w:space="0" w:color="auto"/>
              <w:left w:val="nil"/>
              <w:bottom w:val="single" w:sz="4" w:space="0" w:color="auto"/>
              <w:right w:val="single" w:sz="4" w:space="0" w:color="auto"/>
            </w:tcBorders>
            <w:shd w:val="clear" w:color="auto" w:fill="C6EFCE"/>
            <w:noWrap/>
          </w:tcPr>
          <w:p w14:paraId="472492BC"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611E184D" w14:textId="77777777" w:rsidR="003F46B9" w:rsidRDefault="0065662E">
            <w:pPr>
              <w:pStyle w:val="P68B1DB1-Normal5"/>
              <w:spacing w:after="0" w:line="240" w:lineRule="auto"/>
              <w:jc w:val="both"/>
              <w:rPr>
                <w:rFonts w:cs="Times New Roman"/>
                <w:noProof/>
              </w:rPr>
            </w:pPr>
            <w:r>
              <w:rPr>
                <w:noProof/>
              </w:rPr>
              <w:t xml:space="preserve">Osposobljeni </w:t>
            </w:r>
            <w:r>
              <w:rPr>
                <w:noProof/>
              </w:rPr>
              <w:t>korisnici rumunjskog integriranog obrazovnog informacijskog sustava (SIIR) i informatičkog alata MATE</w:t>
            </w:r>
          </w:p>
        </w:tc>
        <w:tc>
          <w:tcPr>
            <w:tcW w:w="1843" w:type="dxa"/>
            <w:tcBorders>
              <w:top w:val="single" w:sz="4" w:space="0" w:color="auto"/>
              <w:left w:val="nil"/>
              <w:bottom w:val="single" w:sz="4" w:space="0" w:color="auto"/>
              <w:right w:val="single" w:sz="4" w:space="0" w:color="auto"/>
            </w:tcBorders>
            <w:shd w:val="clear" w:color="auto" w:fill="C6EFCE"/>
            <w:noWrap/>
          </w:tcPr>
          <w:p w14:paraId="5A97324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571256F"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10B60A63"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32B94392" w14:textId="77777777" w:rsidR="003F46B9" w:rsidRDefault="0065662E">
            <w:pPr>
              <w:pStyle w:val="P68B1DB1-Normal5"/>
              <w:spacing w:after="0" w:line="240" w:lineRule="auto"/>
              <w:jc w:val="both"/>
              <w:rPr>
                <w:rFonts w:cs="Times New Roman"/>
                <w:noProof/>
              </w:rPr>
            </w:pPr>
            <w:r>
              <w:rPr>
                <w:noProof/>
              </w:rPr>
              <w:t xml:space="preserve">45 000 </w:t>
            </w:r>
          </w:p>
        </w:tc>
        <w:tc>
          <w:tcPr>
            <w:tcW w:w="1417" w:type="dxa"/>
            <w:tcBorders>
              <w:top w:val="single" w:sz="4" w:space="0" w:color="auto"/>
              <w:left w:val="nil"/>
              <w:bottom w:val="single" w:sz="4" w:space="0" w:color="auto"/>
              <w:right w:val="single" w:sz="4" w:space="0" w:color="auto"/>
            </w:tcBorders>
            <w:shd w:val="clear" w:color="auto" w:fill="C6EFCE"/>
            <w:noWrap/>
          </w:tcPr>
          <w:p w14:paraId="0861F615" w14:textId="77777777" w:rsidR="003F46B9" w:rsidRDefault="0065662E">
            <w:pPr>
              <w:pStyle w:val="P68B1DB1-Normal5"/>
              <w:spacing w:after="120" w:line="240" w:lineRule="auto"/>
              <w:jc w:val="both"/>
              <w:rPr>
                <w:rFonts w:cs="Times New Roman"/>
                <w:noProof/>
              </w:rPr>
            </w:pPr>
            <w:r>
              <w:rPr>
                <w:noProof/>
              </w:rPr>
              <w:t>TROMJESEČJE</w:t>
            </w:r>
          </w:p>
          <w:p w14:paraId="312A4664" w14:textId="77777777" w:rsidR="003F46B9" w:rsidRDefault="003F46B9">
            <w:pPr>
              <w:spacing w:after="0" w:line="240" w:lineRule="auto"/>
              <w:jc w:val="both"/>
              <w:rPr>
                <w:rFonts w:ascii="Times New Roman" w:hAnsi="Times New Roman" w:cs="Times New Roman"/>
                <w:noProof/>
                <w:sz w:val="24"/>
              </w:rPr>
            </w:pPr>
          </w:p>
        </w:tc>
        <w:tc>
          <w:tcPr>
            <w:tcW w:w="941" w:type="dxa"/>
            <w:tcBorders>
              <w:top w:val="single" w:sz="4" w:space="0" w:color="auto"/>
              <w:left w:val="nil"/>
              <w:bottom w:val="single" w:sz="4" w:space="0" w:color="auto"/>
              <w:right w:val="single" w:sz="4" w:space="0" w:color="auto"/>
            </w:tcBorders>
            <w:shd w:val="clear" w:color="auto" w:fill="C6EFCE"/>
            <w:noWrap/>
          </w:tcPr>
          <w:p w14:paraId="3DDB3E19" w14:textId="77777777" w:rsidR="003F46B9" w:rsidRDefault="0065662E">
            <w:pPr>
              <w:pStyle w:val="P68B1DB1-Normal5"/>
              <w:spacing w:after="0" w:line="240" w:lineRule="auto"/>
              <w:jc w:val="both"/>
              <w:rPr>
                <w:rFonts w:cs="Times New Roman"/>
                <w:noProof/>
              </w:rPr>
            </w:pPr>
            <w:r>
              <w:rPr>
                <w:noProof/>
              </w:rPr>
              <w:t>2023</w:t>
            </w:r>
          </w:p>
        </w:tc>
        <w:tc>
          <w:tcPr>
            <w:tcW w:w="2404" w:type="dxa"/>
            <w:tcBorders>
              <w:top w:val="single" w:sz="4" w:space="0" w:color="auto"/>
              <w:left w:val="nil"/>
              <w:bottom w:val="single" w:sz="4" w:space="0" w:color="auto"/>
              <w:right w:val="single" w:sz="4" w:space="0" w:color="auto"/>
            </w:tcBorders>
            <w:shd w:val="clear" w:color="auto" w:fill="C6EFCE"/>
            <w:noWrap/>
          </w:tcPr>
          <w:p w14:paraId="1EEA21C5" w14:textId="77777777" w:rsidR="003F46B9" w:rsidRDefault="0065662E">
            <w:pPr>
              <w:pStyle w:val="P68B1DB1-Normal5"/>
              <w:spacing w:after="0" w:line="240" w:lineRule="auto"/>
              <w:jc w:val="both"/>
              <w:rPr>
                <w:rFonts w:cs="Times New Roman"/>
                <w:noProof/>
              </w:rPr>
            </w:pPr>
            <w:r>
              <w:rPr>
                <w:noProof/>
              </w:rPr>
              <w:t>Najmanje 45000 korisnika mora biti osposobljeno za upotrebu IT alata SIIR i MATE. Moduli tečaja moraju biti prilagođeni:</w:t>
            </w:r>
          </w:p>
          <w:p w14:paraId="171E507F" w14:textId="77777777" w:rsidR="003F46B9" w:rsidRDefault="0065662E">
            <w:pPr>
              <w:pStyle w:val="P68B1DB1-Normal5"/>
              <w:numPr>
                <w:ilvl w:val="0"/>
                <w:numId w:val="116"/>
              </w:numPr>
              <w:spacing w:before="120" w:after="0" w:line="240" w:lineRule="auto"/>
              <w:ind w:left="189" w:hanging="189"/>
              <w:contextualSpacing/>
              <w:jc w:val="both"/>
              <w:rPr>
                <w:rFonts w:cs="Times New Roman"/>
                <w:noProof/>
              </w:rPr>
            </w:pPr>
            <w:r>
              <w:rPr>
                <w:noProof/>
              </w:rPr>
              <w:t xml:space="preserve">potrebe i vještine učenika (uključivo obrazovanje), pristupi poučavanju usmjereni na učenika, međukulturne kompetencije i formativna procjena; </w:t>
            </w:r>
          </w:p>
          <w:p w14:paraId="0102C805" w14:textId="77777777" w:rsidR="003F46B9" w:rsidRDefault="0065662E">
            <w:pPr>
              <w:pStyle w:val="P68B1DB1-Normal5"/>
              <w:numPr>
                <w:ilvl w:val="0"/>
                <w:numId w:val="116"/>
              </w:numPr>
              <w:spacing w:before="120" w:after="0" w:line="240" w:lineRule="auto"/>
              <w:ind w:left="189" w:hanging="189"/>
              <w:contextualSpacing/>
              <w:jc w:val="both"/>
              <w:rPr>
                <w:rFonts w:cs="Times New Roman"/>
                <w:noProof/>
              </w:rPr>
            </w:pPr>
            <w:r>
              <w:rPr>
                <w:noProof/>
              </w:rPr>
              <w:t xml:space="preserve">poboljšanje uvjeta poučavanja; </w:t>
            </w:r>
          </w:p>
          <w:p w14:paraId="62C01DEA" w14:textId="77777777" w:rsidR="003F46B9" w:rsidRDefault="0065662E">
            <w:pPr>
              <w:pStyle w:val="P68B1DB1-Normal5"/>
              <w:numPr>
                <w:ilvl w:val="0"/>
                <w:numId w:val="116"/>
              </w:numPr>
              <w:spacing w:before="120" w:after="0" w:line="240" w:lineRule="auto"/>
              <w:ind w:left="189" w:hanging="189"/>
              <w:contextualSpacing/>
              <w:jc w:val="both"/>
              <w:rPr>
                <w:rFonts w:cs="Times New Roman"/>
                <w:noProof/>
              </w:rPr>
            </w:pPr>
            <w:r>
              <w:rPr>
                <w:noProof/>
              </w:rPr>
              <w:t xml:space="preserve">pružanje osposobljavanja za upotrebu računalnog modula MATE; </w:t>
            </w:r>
          </w:p>
          <w:p w14:paraId="7F487964" w14:textId="77777777" w:rsidR="003F46B9" w:rsidRDefault="0065662E">
            <w:pPr>
              <w:pStyle w:val="P68B1DB1-Normal5"/>
              <w:numPr>
                <w:ilvl w:val="0"/>
                <w:numId w:val="116"/>
              </w:numPr>
              <w:spacing w:before="120" w:after="0" w:line="240" w:lineRule="auto"/>
              <w:ind w:left="189" w:hanging="189"/>
              <w:contextualSpacing/>
              <w:jc w:val="both"/>
              <w:rPr>
                <w:rFonts w:cs="Times New Roman"/>
                <w:noProof/>
              </w:rPr>
            </w:pPr>
            <w:r>
              <w:rPr>
                <w:noProof/>
              </w:rPr>
              <w:t>razvoj i provedba</w:t>
            </w:r>
            <w:r>
              <w:rPr>
                <w:noProof/>
              </w:rPr>
              <w:t xml:space="preserve"> kampanja za podizanje svijesti za učenike i nastavnike, koje bi se mogle prilagoditi učenicima iz skupina u nepovoljnom položaju. </w:t>
            </w:r>
          </w:p>
          <w:p w14:paraId="1A65DF67" w14:textId="77777777" w:rsidR="003F46B9" w:rsidRDefault="0065662E">
            <w:pPr>
              <w:pStyle w:val="P68B1DB1-Normal5"/>
              <w:numPr>
                <w:ilvl w:val="0"/>
                <w:numId w:val="116"/>
              </w:numPr>
              <w:spacing w:before="120" w:after="0" w:line="240" w:lineRule="auto"/>
              <w:ind w:left="189" w:hanging="189"/>
              <w:contextualSpacing/>
              <w:jc w:val="both"/>
              <w:rPr>
                <w:rFonts w:cs="Times New Roman"/>
                <w:noProof/>
              </w:rPr>
            </w:pPr>
            <w:r>
              <w:rPr>
                <w:noProof/>
              </w:rPr>
              <w:t>poboljšanje socio-emocionalnih vještina učenika za završetak obveznog obrazovanja.</w:t>
            </w:r>
          </w:p>
        </w:tc>
      </w:tr>
      <w:tr w:rsidR="003F46B9" w14:paraId="7EFD58FB"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11B5EFC" w14:textId="77777777" w:rsidR="003F46B9" w:rsidRDefault="0065662E">
            <w:pPr>
              <w:pStyle w:val="P68B1DB1-Normal5"/>
              <w:spacing w:after="0" w:line="240" w:lineRule="auto"/>
              <w:jc w:val="center"/>
              <w:rPr>
                <w:rFonts w:cs="Times New Roman"/>
                <w:noProof/>
              </w:rPr>
            </w:pPr>
            <w:r>
              <w:rPr>
                <w:noProof/>
              </w:rPr>
              <w:t>470</w:t>
            </w:r>
          </w:p>
        </w:tc>
        <w:tc>
          <w:tcPr>
            <w:tcW w:w="1795" w:type="dxa"/>
            <w:tcBorders>
              <w:top w:val="single" w:sz="4" w:space="0" w:color="auto"/>
              <w:left w:val="nil"/>
              <w:bottom w:val="single" w:sz="4" w:space="0" w:color="auto"/>
              <w:right w:val="single" w:sz="4" w:space="0" w:color="auto"/>
            </w:tcBorders>
            <w:shd w:val="clear" w:color="auto" w:fill="C6EFCE"/>
            <w:noWrap/>
          </w:tcPr>
          <w:p w14:paraId="4217CC14" w14:textId="77777777" w:rsidR="003F46B9" w:rsidRDefault="0065662E">
            <w:pPr>
              <w:pStyle w:val="P68B1DB1-Normal5"/>
              <w:spacing w:after="0" w:line="240" w:lineRule="auto"/>
              <w:jc w:val="both"/>
              <w:rPr>
                <w:rFonts w:cs="Times New Roman"/>
                <w:noProof/>
              </w:rPr>
            </w:pPr>
            <w:r>
              <w:rPr>
                <w:noProof/>
              </w:rPr>
              <w:t>Reforma 4. Stvaranje potpune profesionalne rute za visoko tehničko obrazovanje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FCEFB6" w14:textId="77777777" w:rsidR="003F46B9" w:rsidRDefault="0065662E">
            <w:pPr>
              <w:pStyle w:val="P68B1DB1-Normal5"/>
              <w:spacing w:after="0" w:line="240" w:lineRule="auto"/>
              <w:jc w:val="both"/>
              <w:rPr>
                <w:rFonts w:cs="Times New Roman"/>
                <w:noProof/>
              </w:rPr>
            </w:pPr>
            <w:r>
              <w:rPr>
                <w:noProof/>
              </w:rPr>
              <w:t>Prekretnica</w:t>
            </w:r>
          </w:p>
          <w:p w14:paraId="7384E7CA" w14:textId="77777777" w:rsidR="003F46B9" w:rsidRDefault="003F46B9">
            <w:pPr>
              <w:spacing w:after="0" w:line="240" w:lineRule="auto"/>
              <w:jc w:val="both"/>
              <w:rPr>
                <w:rFonts w:ascii="Times New Roman" w:hAnsi="Times New Roman" w:cs="Times New Roman"/>
                <w:noProof/>
                <w:sz w:val="24"/>
              </w:rPr>
            </w:pPr>
          </w:p>
        </w:tc>
        <w:tc>
          <w:tcPr>
            <w:tcW w:w="1559" w:type="dxa"/>
            <w:tcBorders>
              <w:top w:val="single" w:sz="4" w:space="0" w:color="auto"/>
              <w:left w:val="nil"/>
              <w:bottom w:val="single" w:sz="4" w:space="0" w:color="auto"/>
              <w:right w:val="single" w:sz="4" w:space="0" w:color="auto"/>
            </w:tcBorders>
            <w:shd w:val="clear" w:color="auto" w:fill="C6EFCE"/>
            <w:noWrap/>
          </w:tcPr>
          <w:p w14:paraId="4CBD25F2" w14:textId="77777777" w:rsidR="003F46B9" w:rsidRDefault="0065662E">
            <w:pPr>
              <w:pStyle w:val="P68B1DB1-Normal5"/>
              <w:spacing w:after="0" w:line="240" w:lineRule="auto"/>
              <w:jc w:val="both"/>
              <w:rPr>
                <w:rFonts w:cs="Times New Roman"/>
                <w:noProof/>
              </w:rPr>
            </w:pPr>
            <w:bookmarkStart w:id="15" w:name="_Hlk79413408"/>
            <w:r>
              <w:rPr>
                <w:noProof/>
              </w:rPr>
              <w:t>Stupanje na snagu Odluke Vlade o odobrenju metodologije organizacije cjelovite dvostruke rute i novih kvalifikacija koje proizlaze iz cijele dvostruke rute</w:t>
            </w:r>
            <w:bookmarkEnd w:id="15"/>
          </w:p>
        </w:tc>
        <w:tc>
          <w:tcPr>
            <w:tcW w:w="1843" w:type="dxa"/>
            <w:tcBorders>
              <w:top w:val="single" w:sz="4" w:space="0" w:color="auto"/>
              <w:left w:val="nil"/>
              <w:bottom w:val="single" w:sz="4" w:space="0" w:color="auto"/>
              <w:right w:val="single" w:sz="4" w:space="0" w:color="auto"/>
            </w:tcBorders>
            <w:shd w:val="clear" w:color="auto" w:fill="C6EFCE"/>
            <w:noWrap/>
          </w:tcPr>
          <w:p w14:paraId="0F658E9B" w14:textId="77777777" w:rsidR="003F46B9" w:rsidRDefault="0065662E">
            <w:pPr>
              <w:pStyle w:val="P68B1DB1-Normal5"/>
              <w:spacing w:after="0" w:line="240" w:lineRule="auto"/>
              <w:jc w:val="both"/>
              <w:rPr>
                <w:rFonts w:cs="Times New Roman"/>
                <w:noProof/>
              </w:rPr>
            </w:pPr>
            <w:r>
              <w:rPr>
                <w:noProof/>
              </w:rPr>
              <w:t xml:space="preserve">Odredba Odluke Vlade o stupanju na snagu Metodologije za organizaciju cjelovite dvostruke rute i novih kvalifikacija koje proizlaze iz cijele dvostruke rute </w:t>
            </w:r>
          </w:p>
        </w:tc>
        <w:tc>
          <w:tcPr>
            <w:tcW w:w="1134" w:type="dxa"/>
            <w:tcBorders>
              <w:top w:val="single" w:sz="4" w:space="0" w:color="auto"/>
              <w:left w:val="nil"/>
              <w:bottom w:val="single" w:sz="4" w:space="0" w:color="auto"/>
              <w:right w:val="single" w:sz="4" w:space="0" w:color="auto"/>
            </w:tcBorders>
            <w:shd w:val="clear" w:color="auto" w:fill="C6EFCE"/>
            <w:noWrap/>
          </w:tcPr>
          <w:p w14:paraId="461C940B"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1684BA0"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92A2CF7"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520BD287"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2A9853DF"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0D648C9" w14:textId="77777777" w:rsidR="003F46B9" w:rsidRDefault="0065662E">
            <w:pPr>
              <w:pStyle w:val="P68B1DB1-Normal5"/>
              <w:spacing w:after="0" w:line="240" w:lineRule="auto"/>
              <w:jc w:val="both"/>
              <w:rPr>
                <w:rFonts w:cs="Times New Roman"/>
                <w:noProof/>
              </w:rPr>
            </w:pPr>
            <w:r>
              <w:rPr>
                <w:noProof/>
              </w:rPr>
              <w:t>Novom metodologijom:</w:t>
            </w:r>
          </w:p>
          <w:p w14:paraId="27B31865" w14:textId="77777777" w:rsidR="003F46B9" w:rsidRDefault="0065662E">
            <w:pPr>
              <w:pStyle w:val="P68B1DB1-Normal5"/>
              <w:numPr>
                <w:ilvl w:val="0"/>
                <w:numId w:val="117"/>
              </w:numPr>
              <w:spacing w:before="120" w:after="0" w:line="240" w:lineRule="auto"/>
              <w:ind w:left="189" w:hanging="142"/>
              <w:contextualSpacing/>
              <w:jc w:val="both"/>
              <w:rPr>
                <w:rFonts w:cs="Times New Roman"/>
                <w:noProof/>
              </w:rPr>
            </w:pPr>
            <w:r>
              <w:rPr>
                <w:noProof/>
              </w:rPr>
              <w:t>cilj je poboljšati obrazovne ishode u strukovnom i obra</w:t>
            </w:r>
            <w:r>
              <w:rPr>
                <w:noProof/>
              </w:rPr>
              <w:t>zovnom osposobljavanju (SOO);</w:t>
            </w:r>
          </w:p>
          <w:p w14:paraId="1CBB9836" w14:textId="77777777" w:rsidR="003F46B9" w:rsidRDefault="0065662E">
            <w:pPr>
              <w:pStyle w:val="P68B1DB1-Normal5"/>
              <w:numPr>
                <w:ilvl w:val="0"/>
                <w:numId w:val="117"/>
              </w:numPr>
              <w:spacing w:before="120" w:after="0" w:line="240" w:lineRule="auto"/>
              <w:ind w:left="189" w:hanging="142"/>
              <w:contextualSpacing/>
              <w:jc w:val="both"/>
              <w:rPr>
                <w:rFonts w:cs="Times New Roman"/>
                <w:noProof/>
              </w:rPr>
            </w:pPr>
            <w:r>
              <w:rPr>
                <w:noProof/>
              </w:rPr>
              <w:t xml:space="preserve">osigurati cjelovitu obrazovnu stazu za učenike registrirane u okviru dvojnih programa srednjoškolskog i trećeg stupnja obrazovanja (kvalifikacija 3 – 7). </w:t>
            </w:r>
          </w:p>
          <w:p w14:paraId="63CB07F6" w14:textId="77777777" w:rsidR="003F46B9" w:rsidRDefault="0065662E">
            <w:pPr>
              <w:pStyle w:val="P68B1DB1-Normal5"/>
              <w:numPr>
                <w:ilvl w:val="0"/>
                <w:numId w:val="117"/>
              </w:numPr>
              <w:spacing w:before="120" w:after="0" w:line="240" w:lineRule="auto"/>
              <w:ind w:left="189" w:hanging="142"/>
              <w:contextualSpacing/>
              <w:jc w:val="both"/>
              <w:rPr>
                <w:rFonts w:cs="Times New Roman"/>
                <w:noProof/>
              </w:rPr>
            </w:pPr>
            <w:r>
              <w:rPr>
                <w:noProof/>
              </w:rPr>
              <w:t>osigurati usklađenost između razina nacionalnog kvalifikacijskog okvira</w:t>
            </w:r>
            <w:r>
              <w:rPr>
                <w:noProof/>
              </w:rPr>
              <w:t>, akata o obrazovanju/kvalifikacije koji se izdaju, vrste programa strukovnog obrazovanja i osposobljavanja u Rumunjskoj putem kojih se mogu postići razine kvalifikacija, referentnih razina Europskog kvalifikacijskog okvira te uvjeta pristupa koji odgovara</w:t>
            </w:r>
            <w:r>
              <w:rPr>
                <w:noProof/>
              </w:rPr>
              <w:t>ju svakoj razini kvalifikacije.</w:t>
            </w:r>
          </w:p>
        </w:tc>
      </w:tr>
      <w:tr w:rsidR="003F46B9" w14:paraId="4F21B4CA"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4B959C" w14:textId="77777777" w:rsidR="003F46B9" w:rsidRDefault="0065662E">
            <w:pPr>
              <w:pStyle w:val="P68B1DB1-Normal5"/>
              <w:spacing w:after="0" w:line="240" w:lineRule="auto"/>
              <w:jc w:val="center"/>
              <w:rPr>
                <w:rFonts w:cs="Times New Roman"/>
                <w:noProof/>
              </w:rPr>
            </w:pPr>
            <w:r>
              <w:rPr>
                <w:noProof/>
              </w:rPr>
              <w:t>471</w:t>
            </w:r>
          </w:p>
        </w:tc>
        <w:tc>
          <w:tcPr>
            <w:tcW w:w="1795" w:type="dxa"/>
            <w:tcBorders>
              <w:top w:val="single" w:sz="4" w:space="0" w:color="auto"/>
              <w:left w:val="nil"/>
              <w:bottom w:val="single" w:sz="4" w:space="0" w:color="auto"/>
              <w:right w:val="single" w:sz="4" w:space="0" w:color="auto"/>
            </w:tcBorders>
            <w:shd w:val="clear" w:color="auto" w:fill="C6EFCE"/>
            <w:noWrap/>
          </w:tcPr>
          <w:p w14:paraId="66B76866" w14:textId="77777777" w:rsidR="003F46B9" w:rsidRDefault="0065662E">
            <w:pPr>
              <w:pStyle w:val="P68B1DB1-Normal5"/>
              <w:spacing w:after="0" w:line="240" w:lineRule="auto"/>
              <w:jc w:val="both"/>
              <w:rPr>
                <w:rFonts w:cs="Times New Roman"/>
                <w:noProof/>
              </w:rPr>
            </w:pPr>
            <w:r>
              <w:rPr>
                <w:noProof/>
              </w:rPr>
              <w:t>Reforma 4. Stvaranje potpune profesionalne rute za visoko tehničko obrazovanje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52CEC05"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476742EC" w14:textId="77777777" w:rsidR="003F46B9" w:rsidRDefault="0065662E">
            <w:pPr>
              <w:pStyle w:val="P68B1DB1-Normal5"/>
              <w:spacing w:after="0" w:line="240" w:lineRule="auto"/>
              <w:jc w:val="both"/>
              <w:rPr>
                <w:rFonts w:cs="Times New Roman"/>
                <w:noProof/>
              </w:rPr>
            </w:pPr>
            <w:r>
              <w:rPr>
                <w:noProof/>
              </w:rPr>
              <w:t>Udio učenika upisanih na profesionalnoj ruti u odnosu na studente upisane u srednjoškolsko obrazovanje</w:t>
            </w:r>
          </w:p>
          <w:p w14:paraId="5F7F4008" w14:textId="77777777" w:rsidR="003F46B9" w:rsidRDefault="003F46B9">
            <w:pPr>
              <w:spacing w:after="0" w:line="240" w:lineRule="auto"/>
              <w:jc w:val="both"/>
              <w:rPr>
                <w:rFonts w:ascii="Times New Roman" w:hAnsi="Times New Roman" w:cs="Times New Roman"/>
                <w:noProof/>
                <w:sz w:val="24"/>
              </w:rPr>
            </w:pPr>
          </w:p>
          <w:p w14:paraId="2FC86D1E" w14:textId="77777777" w:rsidR="003F46B9" w:rsidRDefault="003F46B9">
            <w:pPr>
              <w:spacing w:after="0" w:line="240" w:lineRule="auto"/>
              <w:jc w:val="both"/>
              <w:rPr>
                <w:rFonts w:ascii="Times New Roman" w:hAnsi="Times New Roman" w:cs="Times New Roman"/>
                <w:noProof/>
                <w:sz w:val="24"/>
              </w:rPr>
            </w:pPr>
          </w:p>
          <w:p w14:paraId="370ED531" w14:textId="77777777" w:rsidR="003F46B9" w:rsidRDefault="003F46B9">
            <w:pPr>
              <w:spacing w:after="0" w:line="240" w:lineRule="auto"/>
              <w:jc w:val="both"/>
              <w:rPr>
                <w:rFonts w:ascii="Times New Roman" w:hAnsi="Times New Roman" w:cs="Times New Roman"/>
                <w:noProof/>
                <w:sz w:val="24"/>
              </w:rPr>
            </w:pPr>
          </w:p>
          <w:p w14:paraId="4F15829B" w14:textId="77777777" w:rsidR="003F46B9" w:rsidRDefault="003F46B9">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07404AEE"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8873F0A" w14:textId="77777777" w:rsidR="003F46B9" w:rsidRDefault="0065662E">
            <w:pPr>
              <w:pStyle w:val="P68B1DB1-Normal5"/>
              <w:spacing w:after="0" w:line="240" w:lineRule="auto"/>
              <w:rPr>
                <w:rFonts w:eastAsia="Times New Roman" w:cs="Times New Roman"/>
                <w:noProof/>
              </w:rPr>
            </w:pPr>
            <w:r>
              <w:rPr>
                <w:noProof/>
              </w:rPr>
              <w:t>Postotak (%)</w:t>
            </w:r>
          </w:p>
          <w:p w14:paraId="078A2D6A"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AFCF99F" w14:textId="77777777" w:rsidR="003F46B9" w:rsidRDefault="0065662E">
            <w:pPr>
              <w:pStyle w:val="P68B1DB1-Normal5"/>
              <w:spacing w:after="0" w:line="240" w:lineRule="auto"/>
              <w:jc w:val="both"/>
              <w:rPr>
                <w:rFonts w:cs="Times New Roman"/>
                <w:noProof/>
              </w:rPr>
            </w:pPr>
            <w:r>
              <w:rPr>
                <w:noProof/>
              </w:rPr>
              <w:t xml:space="preserve">17 % </w:t>
            </w:r>
          </w:p>
        </w:tc>
        <w:tc>
          <w:tcPr>
            <w:tcW w:w="1134" w:type="dxa"/>
            <w:tcBorders>
              <w:top w:val="single" w:sz="4" w:space="0" w:color="auto"/>
              <w:left w:val="nil"/>
              <w:bottom w:val="single" w:sz="4" w:space="0" w:color="auto"/>
              <w:right w:val="single" w:sz="4" w:space="0" w:color="auto"/>
            </w:tcBorders>
            <w:shd w:val="clear" w:color="auto" w:fill="C6EFCE"/>
            <w:noWrap/>
          </w:tcPr>
          <w:p w14:paraId="360138DB" w14:textId="77777777" w:rsidR="003F46B9" w:rsidRDefault="0065662E">
            <w:pPr>
              <w:pStyle w:val="P68B1DB1-Normal5"/>
              <w:spacing w:after="0" w:line="240" w:lineRule="auto"/>
              <w:jc w:val="both"/>
              <w:rPr>
                <w:rFonts w:cs="Times New Roman"/>
                <w:noProof/>
              </w:rPr>
            </w:pPr>
            <w:r>
              <w:rPr>
                <w:noProof/>
              </w:rPr>
              <w:t>40 %</w:t>
            </w:r>
          </w:p>
        </w:tc>
        <w:tc>
          <w:tcPr>
            <w:tcW w:w="1417" w:type="dxa"/>
            <w:tcBorders>
              <w:top w:val="single" w:sz="4" w:space="0" w:color="auto"/>
              <w:left w:val="nil"/>
              <w:bottom w:val="single" w:sz="4" w:space="0" w:color="auto"/>
              <w:right w:val="single" w:sz="4" w:space="0" w:color="auto"/>
            </w:tcBorders>
            <w:shd w:val="clear" w:color="auto" w:fill="C6EFCE"/>
            <w:noWrap/>
          </w:tcPr>
          <w:p w14:paraId="67EEF935"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55DB4350" w14:textId="77777777" w:rsidR="003F46B9" w:rsidRDefault="0065662E">
            <w:pPr>
              <w:pStyle w:val="P68B1DB1-Normal5"/>
              <w:spacing w:after="0" w:line="240" w:lineRule="auto"/>
              <w:jc w:val="both"/>
              <w:rPr>
                <w:rFonts w:cs="Times New Roman"/>
                <w:noProof/>
              </w:rPr>
            </w:pPr>
            <w:r>
              <w:rPr>
                <w:noProof/>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57B244D4" w14:textId="77777777" w:rsidR="003F46B9" w:rsidRDefault="0065662E">
            <w:pPr>
              <w:pStyle w:val="P68B1DB1-Normal5"/>
              <w:spacing w:after="0" w:line="240" w:lineRule="auto"/>
              <w:jc w:val="both"/>
              <w:rPr>
                <w:rFonts w:cs="Times New Roman"/>
                <w:noProof/>
              </w:rPr>
            </w:pPr>
            <w:r>
              <w:rPr>
                <w:noProof/>
              </w:rPr>
              <w:t>Povećanje od 23 % udjela učenika upisanih na profesionalnoj ruti u odnosu na studente upisane u srednjoškolsko obrazovanje.</w:t>
            </w:r>
          </w:p>
          <w:p w14:paraId="6D076103" w14:textId="07BB7917" w:rsidR="003F46B9" w:rsidRDefault="0065662E">
            <w:pPr>
              <w:pStyle w:val="P68B1DB1-Normal5"/>
              <w:spacing w:after="0" w:line="240" w:lineRule="auto"/>
              <w:jc w:val="both"/>
              <w:rPr>
                <w:rFonts w:cs="Times New Roman"/>
                <w:noProof/>
              </w:rPr>
            </w:pPr>
            <w:r>
              <w:rPr>
                <w:noProof/>
              </w:rPr>
              <w:t>Prema podacima SIIR-a, u školskoj godini 2020./2021. na trogodišnju profesionalnu rutu upisano je 98430 učenika, št</w:t>
            </w:r>
            <w:r>
              <w:rPr>
                <w:noProof/>
              </w:rPr>
              <w:t>o predstavlja oko 17 % ukupnog broja učenika srednjih škola. Izgledom cijele dvostruke rute procjenjuje se da će se povećati privlačnost profesionalne rute kako bi se u školskoj godini 2025. 2026. prijavilo povećanje za do 40 % broja učenika koji su ušli n</w:t>
            </w:r>
            <w:r>
              <w:rPr>
                <w:noProof/>
              </w:rPr>
              <w:t>a profesionalnu rutu (učenici iz IPT-a, tehnološke srednje škole, uključujući cijelu dvostruku rutu) u usporedbi s ukupnim brojem učenika srednjih škola.</w:t>
            </w:r>
          </w:p>
        </w:tc>
      </w:tr>
      <w:tr w:rsidR="003F46B9" w14:paraId="07A838E9"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21773B" w14:textId="77777777" w:rsidR="003F46B9" w:rsidRDefault="0065662E">
            <w:pPr>
              <w:pStyle w:val="P68B1DB1-Normal5"/>
              <w:spacing w:after="0" w:line="240" w:lineRule="auto"/>
              <w:jc w:val="center"/>
              <w:rPr>
                <w:rFonts w:cs="Times New Roman"/>
                <w:noProof/>
              </w:rPr>
            </w:pPr>
            <w:r>
              <w:rPr>
                <w:noProof/>
              </w:rPr>
              <w:t>472</w:t>
            </w:r>
          </w:p>
        </w:tc>
        <w:tc>
          <w:tcPr>
            <w:tcW w:w="1795" w:type="dxa"/>
            <w:tcBorders>
              <w:top w:val="single" w:sz="4" w:space="0" w:color="auto"/>
              <w:left w:val="nil"/>
              <w:bottom w:val="single" w:sz="4" w:space="0" w:color="auto"/>
              <w:right w:val="single" w:sz="4" w:space="0" w:color="auto"/>
            </w:tcBorders>
            <w:shd w:val="clear" w:color="auto" w:fill="C6EFCE"/>
            <w:noWrap/>
          </w:tcPr>
          <w:p w14:paraId="2DE80813" w14:textId="77777777" w:rsidR="003F46B9" w:rsidRDefault="0065662E">
            <w:pPr>
              <w:pStyle w:val="P68B1DB1-Normal5"/>
              <w:spacing w:after="0" w:line="240" w:lineRule="auto"/>
              <w:jc w:val="both"/>
              <w:rPr>
                <w:rFonts w:cs="Times New Roman"/>
                <w:noProof/>
              </w:rPr>
            </w:pPr>
            <w:r>
              <w:rPr>
                <w:noProof/>
              </w:rPr>
              <w:t>Ulaganje 6. Razvoj 10 regionalnih konzorcija te razvoj i opremanje 10 strukovnih kampusa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98A7B1F" w14:textId="77777777" w:rsidR="003F46B9" w:rsidRDefault="0065662E">
            <w:pPr>
              <w:pStyle w:val="P68B1DB1-Normal5"/>
              <w:spacing w:after="0" w:line="240" w:lineRule="auto"/>
              <w:jc w:val="both"/>
              <w:rPr>
                <w:rFonts w:cs="Times New Roman"/>
                <w:noProof/>
              </w:rPr>
            </w:pPr>
            <w:r>
              <w:rPr>
                <w:noProof/>
              </w:rPr>
              <w:t xml:space="preserve">Ciljna </w:t>
            </w:r>
          </w:p>
        </w:tc>
        <w:tc>
          <w:tcPr>
            <w:tcW w:w="1559" w:type="dxa"/>
            <w:tcBorders>
              <w:top w:val="single" w:sz="4" w:space="0" w:color="auto"/>
              <w:left w:val="nil"/>
              <w:bottom w:val="single" w:sz="4" w:space="0" w:color="auto"/>
              <w:right w:val="single" w:sz="4" w:space="0" w:color="auto"/>
            </w:tcBorders>
            <w:shd w:val="clear" w:color="auto" w:fill="C6EFCE"/>
            <w:noWrap/>
          </w:tcPr>
          <w:p w14:paraId="10A23346" w14:textId="77777777" w:rsidR="003F46B9" w:rsidRDefault="0065662E">
            <w:pPr>
              <w:pStyle w:val="P68B1DB1-Normal5"/>
              <w:spacing w:after="0" w:line="240" w:lineRule="auto"/>
              <w:jc w:val="both"/>
              <w:rPr>
                <w:rFonts w:cs="Times New Roman"/>
                <w:noProof/>
              </w:rPr>
            </w:pPr>
            <w:r>
              <w:rPr>
                <w:noProof/>
              </w:rPr>
              <w:t xml:space="preserve">10 novoizgrađenih integriranih strukovnih kampusa </w:t>
            </w:r>
          </w:p>
        </w:tc>
        <w:tc>
          <w:tcPr>
            <w:tcW w:w="1843" w:type="dxa"/>
            <w:tcBorders>
              <w:top w:val="single" w:sz="4" w:space="0" w:color="auto"/>
              <w:left w:val="nil"/>
              <w:bottom w:val="single" w:sz="4" w:space="0" w:color="auto"/>
              <w:right w:val="single" w:sz="4" w:space="0" w:color="auto"/>
            </w:tcBorders>
            <w:shd w:val="clear" w:color="auto" w:fill="C6EFCE"/>
            <w:noWrap/>
          </w:tcPr>
          <w:p w14:paraId="3995C432"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1947BBE"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785C101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7EE27462" w14:textId="77777777" w:rsidR="003F46B9" w:rsidRDefault="0065662E">
            <w:pPr>
              <w:pStyle w:val="P68B1DB1-Normal5"/>
              <w:spacing w:after="0" w:line="240" w:lineRule="auto"/>
              <w:jc w:val="both"/>
              <w:rPr>
                <w:rFonts w:cs="Times New Roman"/>
                <w:noProof/>
              </w:rPr>
            </w:pPr>
            <w:r>
              <w:rPr>
                <w:noProof/>
              </w:rPr>
              <w:t>10</w:t>
            </w:r>
          </w:p>
        </w:tc>
        <w:tc>
          <w:tcPr>
            <w:tcW w:w="1417" w:type="dxa"/>
            <w:tcBorders>
              <w:top w:val="single" w:sz="4" w:space="0" w:color="auto"/>
              <w:left w:val="nil"/>
              <w:bottom w:val="single" w:sz="4" w:space="0" w:color="auto"/>
              <w:right w:val="single" w:sz="4" w:space="0" w:color="auto"/>
            </w:tcBorders>
            <w:shd w:val="clear" w:color="auto" w:fill="C6EFCE"/>
            <w:noWrap/>
          </w:tcPr>
          <w:p w14:paraId="5097C39E"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9387384"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35B4771B" w14:textId="77777777" w:rsidR="003F46B9" w:rsidRDefault="0065662E">
            <w:pPr>
              <w:pStyle w:val="P68B1DB1-Normal5"/>
              <w:spacing w:after="0" w:line="240" w:lineRule="auto"/>
              <w:jc w:val="both"/>
              <w:rPr>
                <w:rFonts w:cs="Times New Roman"/>
                <w:noProof/>
              </w:rPr>
            </w:pPr>
            <w:r>
              <w:rPr>
                <w:noProof/>
              </w:rPr>
              <w:t xml:space="preserve">Potrebno je izgraditi 10 integriranih strukovnih kampusa za strukovno obrazovanje i osposobljavanje. </w:t>
            </w:r>
          </w:p>
          <w:p w14:paraId="674A0CB7" w14:textId="77777777" w:rsidR="003F46B9" w:rsidRDefault="0065662E">
            <w:pPr>
              <w:pStyle w:val="P68B1DB1-Normal5"/>
              <w:spacing w:after="0" w:line="240" w:lineRule="auto"/>
              <w:jc w:val="both"/>
              <w:rPr>
                <w:rFonts w:cs="Times New Roman"/>
                <w:noProof/>
              </w:rPr>
            </w:pPr>
            <w:r>
              <w:rPr>
                <w:noProof/>
              </w:rPr>
              <w:t>Svaki konzorcij prima bespovratna sredstva za razvoj infrastrukture kampusa</w:t>
            </w:r>
            <w:r>
              <w:rPr>
                <w:noProof/>
              </w:rPr>
              <w:t xml:space="preserve">. Kampusi moraju pripadati centrima za dvojno obrazovanje. </w:t>
            </w:r>
          </w:p>
          <w:p w14:paraId="1ED6B461" w14:textId="77777777" w:rsidR="003F46B9" w:rsidRDefault="0065662E">
            <w:pPr>
              <w:pStyle w:val="P68B1DB1-Normal5"/>
              <w:spacing w:after="0" w:line="240" w:lineRule="auto"/>
              <w:jc w:val="both"/>
              <w:rPr>
                <w:rFonts w:cs="Times New Roman"/>
                <w:noProof/>
              </w:rPr>
            </w:pPr>
            <w:r>
              <w:rPr>
                <w:noProof/>
              </w:rPr>
              <w:t xml:space="preserve">Novoizgrađene zgrade moraju biti usklađene s ciljem postizanja potražnje za primarnom energijom (PED) koja je najmanje 20 % niža od zahtjeva za zgrade gotovo nulte energije u skladu s nacionalnim </w:t>
            </w:r>
            <w:r>
              <w:rPr>
                <w:noProof/>
              </w:rPr>
              <w:t>smjernicama, što se osigurava energetskim certifikatima.</w:t>
            </w:r>
          </w:p>
          <w:p w14:paraId="2DD2B64B" w14:textId="77777777" w:rsidR="003F46B9" w:rsidRDefault="0065662E">
            <w:pPr>
              <w:pStyle w:val="P68B1DB1-Normal5"/>
              <w:spacing w:after="0" w:line="240" w:lineRule="auto"/>
              <w:jc w:val="both"/>
              <w:rPr>
                <w:rFonts w:cs="Times New Roman"/>
                <w:noProof/>
              </w:rPr>
            </w:pPr>
            <w:r>
              <w:rPr>
                <w:noProof/>
              </w:rPr>
              <w:t>Svaki izgrađeni integrirani strukovni kampus mora biti opremljen za digitalne radionice na temelju koncepta digitalizacije prilagođenog profilu tehnoloških visokih škola i sveučilišta. Stoga će sveuč</w:t>
            </w:r>
            <w:r>
              <w:rPr>
                <w:noProof/>
              </w:rPr>
              <w:t>ilišta i tehnološke visoke škole koje će biti uključene u partnersku strukturu povezanu s dvojnim obrazovnim centrima moći koristiti namjenska bespovratna sredstva.</w:t>
            </w:r>
          </w:p>
        </w:tc>
      </w:tr>
      <w:tr w:rsidR="003F46B9" w14:paraId="003E1503"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B9BF811" w14:textId="77777777" w:rsidR="003F46B9" w:rsidRDefault="0065662E">
            <w:pPr>
              <w:pStyle w:val="P68B1DB1-Normal5"/>
              <w:spacing w:after="0" w:line="240" w:lineRule="auto"/>
              <w:jc w:val="center"/>
              <w:rPr>
                <w:rFonts w:cs="Times New Roman"/>
                <w:noProof/>
              </w:rPr>
            </w:pPr>
            <w:r>
              <w:rPr>
                <w:noProof/>
              </w:rPr>
              <w:t>473</w:t>
            </w:r>
          </w:p>
        </w:tc>
        <w:tc>
          <w:tcPr>
            <w:tcW w:w="1795" w:type="dxa"/>
            <w:tcBorders>
              <w:top w:val="single" w:sz="4" w:space="0" w:color="auto"/>
              <w:left w:val="nil"/>
              <w:bottom w:val="single" w:sz="4" w:space="0" w:color="auto"/>
              <w:right w:val="single" w:sz="4" w:space="0" w:color="auto"/>
            </w:tcBorders>
            <w:shd w:val="clear" w:color="auto" w:fill="C6EFCE"/>
            <w:noWrap/>
          </w:tcPr>
          <w:p w14:paraId="09889193" w14:textId="77777777" w:rsidR="003F46B9" w:rsidRDefault="0065662E">
            <w:pPr>
              <w:pStyle w:val="P68B1DB1-Normal5"/>
              <w:spacing w:after="0" w:line="240" w:lineRule="auto"/>
              <w:jc w:val="both"/>
              <w:rPr>
                <w:rFonts w:cs="Times New Roman"/>
                <w:noProof/>
              </w:rPr>
            </w:pPr>
            <w:r>
              <w:rPr>
                <w:noProof/>
              </w:rPr>
              <w:t xml:space="preserve">Ulaganje 6. Razvoj 10 regionalnih konzorcija te razvoj i opremanje 10 strukovnih </w:t>
            </w:r>
            <w:r>
              <w:rPr>
                <w:noProof/>
              </w:rPr>
              <w:t>kampusa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7456F5F"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1DCE677B" w14:textId="77777777" w:rsidR="003F46B9" w:rsidRDefault="0065662E">
            <w:pPr>
              <w:pStyle w:val="P68B1DB1-Normal5"/>
              <w:spacing w:after="0" w:line="240" w:lineRule="auto"/>
              <w:jc w:val="both"/>
              <w:rPr>
                <w:rFonts w:cs="Times New Roman"/>
                <w:noProof/>
              </w:rPr>
            </w:pPr>
            <w:r>
              <w:rPr>
                <w:noProof/>
              </w:rPr>
              <w:t>Integrirani, dovršeni i operativni konzorciji dvojnog obrazovanja povezani sa zahtjevima gospodarskih subjekata u predmetnom području</w:t>
            </w:r>
          </w:p>
        </w:tc>
        <w:tc>
          <w:tcPr>
            <w:tcW w:w="1843" w:type="dxa"/>
            <w:tcBorders>
              <w:top w:val="single" w:sz="4" w:space="0" w:color="auto"/>
              <w:left w:val="nil"/>
              <w:bottom w:val="single" w:sz="4" w:space="0" w:color="auto"/>
              <w:right w:val="single" w:sz="4" w:space="0" w:color="auto"/>
            </w:tcBorders>
            <w:shd w:val="clear" w:color="auto" w:fill="C6EFCE"/>
            <w:noWrap/>
          </w:tcPr>
          <w:p w14:paraId="1264969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7F25F46"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683DC54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4C67EF4" w14:textId="77777777" w:rsidR="003F46B9" w:rsidRDefault="0065662E">
            <w:pPr>
              <w:pStyle w:val="P68B1DB1-Normal5"/>
              <w:spacing w:after="0" w:line="240" w:lineRule="auto"/>
              <w:jc w:val="both"/>
              <w:rPr>
                <w:rFonts w:cs="Times New Roman"/>
                <w:noProof/>
              </w:rPr>
            </w:pPr>
            <w:r>
              <w:rPr>
                <w:noProof/>
              </w:rPr>
              <w:t>10</w:t>
            </w:r>
          </w:p>
        </w:tc>
        <w:tc>
          <w:tcPr>
            <w:tcW w:w="1417" w:type="dxa"/>
            <w:tcBorders>
              <w:top w:val="single" w:sz="4" w:space="0" w:color="auto"/>
              <w:left w:val="nil"/>
              <w:bottom w:val="single" w:sz="4" w:space="0" w:color="auto"/>
              <w:right w:val="single" w:sz="4" w:space="0" w:color="auto"/>
            </w:tcBorders>
            <w:shd w:val="clear" w:color="auto" w:fill="C6EFCE"/>
            <w:noWrap/>
          </w:tcPr>
          <w:p w14:paraId="6E010CA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94FAE2D" w14:textId="77777777" w:rsidR="003F46B9" w:rsidRDefault="0065662E">
            <w:pPr>
              <w:pStyle w:val="P68B1DB1-Normal5"/>
              <w:spacing w:after="0" w:line="240" w:lineRule="auto"/>
              <w:jc w:val="both"/>
              <w:rPr>
                <w:rFonts w:cs="Times New Roman"/>
                <w:noProof/>
              </w:rPr>
            </w:pPr>
            <w:r>
              <w:rPr>
                <w:noProof/>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40D9B4B6" w14:textId="77777777" w:rsidR="003F46B9" w:rsidRDefault="0065662E">
            <w:pPr>
              <w:pStyle w:val="P68B1DB1-Normal5"/>
              <w:spacing w:after="0" w:line="240" w:lineRule="auto"/>
              <w:jc w:val="both"/>
              <w:rPr>
                <w:rFonts w:cs="Times New Roman"/>
                <w:noProof/>
              </w:rPr>
            </w:pPr>
            <w:r>
              <w:rPr>
                <w:noProof/>
              </w:rPr>
              <w:t>10 konzorcija s dvojnim obrazovanjem, od kojih se svaki sastoji barem od sljedećih vrsta subjekata: lokalna javna tijela, lokalna poduzeća, stručne i tehničke škole, tehnička sveučilišta kako bi poslodavci imali aktivnu ulogu u osposobljavanju studenata.</w:t>
            </w:r>
          </w:p>
          <w:p w14:paraId="7AF68514" w14:textId="77777777" w:rsidR="003F46B9" w:rsidRDefault="0065662E">
            <w:pPr>
              <w:pStyle w:val="P68B1DB1-Normal5"/>
              <w:spacing w:after="0" w:line="240" w:lineRule="auto"/>
              <w:jc w:val="both"/>
              <w:rPr>
                <w:rFonts w:cs="Times New Roman"/>
                <w:noProof/>
              </w:rPr>
            </w:pPr>
            <w:r>
              <w:rPr>
                <w:noProof/>
              </w:rPr>
              <w:t>P</w:t>
            </w:r>
            <w:r>
              <w:rPr>
                <w:noProof/>
              </w:rPr>
              <w:t>ostupak odabira temelji se na jedinstvenoj metodologiji koju je razvilo Ministarstvo obrazovanja i koja se primjenjuje na nacionalnoj razini kako bi se utvrdile najprikladnije i najdjelotvornije regionalne partnerske strukture. Kriteriji za odabir su sljed</w:t>
            </w:r>
            <w:r>
              <w:rPr>
                <w:noProof/>
              </w:rPr>
              <w:t>eći:</w:t>
            </w:r>
          </w:p>
          <w:p w14:paraId="5E5C3DBC"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Svaka partnerska struktura koja će biti temelj za osnivanje dvojnog obrazovnog konzorcija sastoji se od sljedećih vrsta subjekata: jedinice za strukovno i tehničko obrazovanje, uključujući dvojna, tehnološka sveučilišta, gospodarske subjekte i lokalna</w:t>
            </w:r>
            <w:r>
              <w:rPr>
                <w:noProof/>
              </w:rPr>
              <w:t xml:space="preserve"> javna tijela, druge relevantne nacionalne/europske partnere koji mogu dodati vrijednost konzorciju;</w:t>
            </w:r>
          </w:p>
          <w:p w14:paraId="13B93DAD"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Dvojni konzorciji za obrazovanje sudjeluju kao funkcionalne strukture na temelju sporazuma o suradnji dogovorenog prije podnošenja ponude za sudjelovanje;</w:t>
            </w:r>
          </w:p>
          <w:p w14:paraId="447FCA4C"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Gospodarski i demografski potencijal područja u kojem djeluje dvojni obrazovni konzorcij;</w:t>
            </w:r>
          </w:p>
          <w:p w14:paraId="7580A524"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Poželjno je da se svaka partnerska struktura nalazi u jednoj razvojnoj regiji/svakoj razvojnoj regiji kako bi se osigurala jednaka geografska raspodjela na nacionalno</w:t>
            </w:r>
            <w:r>
              <w:rPr>
                <w:noProof/>
              </w:rPr>
              <w:t>j razini.</w:t>
            </w:r>
          </w:p>
          <w:p w14:paraId="634C469E"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Kako bi se osigurala usklađenost s tehničkim smjernicama „ne nanosi bitnu štetu” (2021/C58/01), kriteriji prihvatljivosti sadržani u opisu poslova za buduće pozive na podnošenje projekata sadržavaju popis za isključenje.</w:t>
            </w:r>
          </w:p>
        </w:tc>
      </w:tr>
      <w:tr w:rsidR="003F46B9" w14:paraId="1E33DBFC"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8B8BFFF" w14:textId="77777777" w:rsidR="003F46B9" w:rsidRDefault="0065662E">
            <w:pPr>
              <w:pStyle w:val="P68B1DB1-Normal5"/>
              <w:spacing w:after="0" w:line="240" w:lineRule="auto"/>
              <w:jc w:val="center"/>
              <w:rPr>
                <w:rFonts w:cs="Times New Roman"/>
                <w:noProof/>
              </w:rPr>
            </w:pPr>
            <w:r>
              <w:rPr>
                <w:noProof/>
              </w:rPr>
              <w:t>474</w:t>
            </w:r>
          </w:p>
        </w:tc>
        <w:tc>
          <w:tcPr>
            <w:tcW w:w="1795" w:type="dxa"/>
            <w:tcBorders>
              <w:top w:val="single" w:sz="4" w:space="0" w:color="auto"/>
              <w:left w:val="nil"/>
              <w:bottom w:val="single" w:sz="4" w:space="0" w:color="auto"/>
              <w:right w:val="single" w:sz="4" w:space="0" w:color="auto"/>
            </w:tcBorders>
            <w:shd w:val="clear" w:color="auto" w:fill="C6EFCE"/>
            <w:noWrap/>
          </w:tcPr>
          <w:p w14:paraId="12AA846A" w14:textId="77777777" w:rsidR="003F46B9" w:rsidRDefault="0065662E">
            <w:pPr>
              <w:pStyle w:val="P68B1DB1-Normal5"/>
              <w:spacing w:after="0" w:line="240" w:lineRule="auto"/>
              <w:jc w:val="both"/>
              <w:rPr>
                <w:rFonts w:cs="Times New Roman"/>
                <w:noProof/>
              </w:rPr>
            </w:pPr>
            <w:r>
              <w:rPr>
                <w:noProof/>
              </w:rPr>
              <w:t xml:space="preserve">Ulaganje 6. Razvoj </w:t>
            </w:r>
            <w:r>
              <w:rPr>
                <w:noProof/>
              </w:rPr>
              <w:t>10 regionalnih konzorcija te razvoj i opremanje 10 strukovnih kampusa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2A69227" w14:textId="77777777" w:rsidR="003F46B9" w:rsidRDefault="0065662E">
            <w:pPr>
              <w:pStyle w:val="P68B1DB1-Normal5"/>
              <w:spacing w:after="0" w:line="240" w:lineRule="auto"/>
              <w:jc w:val="both"/>
              <w:rPr>
                <w:rFonts w:cs="Times New Roman"/>
                <w:noProof/>
              </w:rPr>
            </w:pPr>
            <w:r>
              <w:rPr>
                <w:noProof/>
              </w:rPr>
              <w:t>Ciljna</w:t>
            </w:r>
          </w:p>
          <w:p w14:paraId="3B41AC1F" w14:textId="77777777" w:rsidR="003F46B9" w:rsidRDefault="003F46B9">
            <w:pPr>
              <w:spacing w:after="0" w:line="240" w:lineRule="auto"/>
              <w:jc w:val="both"/>
              <w:rPr>
                <w:rFonts w:ascii="Times New Roman" w:hAnsi="Times New Roman" w:cs="Times New Roman"/>
                <w:noProof/>
                <w:sz w:val="24"/>
              </w:rPr>
            </w:pPr>
          </w:p>
        </w:tc>
        <w:tc>
          <w:tcPr>
            <w:tcW w:w="1559" w:type="dxa"/>
            <w:tcBorders>
              <w:top w:val="single" w:sz="4" w:space="0" w:color="auto"/>
              <w:left w:val="nil"/>
              <w:bottom w:val="single" w:sz="4" w:space="0" w:color="auto"/>
              <w:right w:val="single" w:sz="4" w:space="0" w:color="auto"/>
            </w:tcBorders>
            <w:shd w:val="clear" w:color="auto" w:fill="C6EFCE"/>
            <w:noWrap/>
          </w:tcPr>
          <w:p w14:paraId="617505D0" w14:textId="3E210913" w:rsidR="003F46B9" w:rsidRDefault="0065662E">
            <w:pPr>
              <w:pStyle w:val="P68B1DB1-Normal5"/>
              <w:spacing w:after="0" w:line="240" w:lineRule="auto"/>
              <w:jc w:val="both"/>
              <w:rPr>
                <w:rFonts w:cs="Times New Roman"/>
                <w:noProof/>
              </w:rPr>
            </w:pPr>
            <w:r>
              <w:rPr>
                <w:noProof/>
              </w:rPr>
              <w:t xml:space="preserve">Učenici su upisani na cijelu dvojnu rutu </w:t>
            </w:r>
          </w:p>
        </w:tc>
        <w:tc>
          <w:tcPr>
            <w:tcW w:w="1843" w:type="dxa"/>
            <w:tcBorders>
              <w:top w:val="single" w:sz="4" w:space="0" w:color="auto"/>
              <w:left w:val="nil"/>
              <w:bottom w:val="single" w:sz="4" w:space="0" w:color="auto"/>
              <w:right w:val="single" w:sz="4" w:space="0" w:color="auto"/>
            </w:tcBorders>
            <w:shd w:val="clear" w:color="auto" w:fill="C6EFCE"/>
            <w:noWrap/>
          </w:tcPr>
          <w:p w14:paraId="616CF39F"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CB0CA7" w14:textId="77777777" w:rsidR="003F46B9" w:rsidRDefault="0065662E">
            <w:pPr>
              <w:pStyle w:val="P68B1DB1-Normal5"/>
              <w:spacing w:after="0" w:line="240" w:lineRule="auto"/>
              <w:jc w:val="both"/>
              <w:rPr>
                <w:rFonts w:cs="Times New Roman"/>
                <w:noProof/>
              </w:rPr>
            </w:pPr>
            <w:r>
              <w:rPr>
                <w:noProof/>
              </w:rPr>
              <w:t>Broj</w:t>
            </w:r>
          </w:p>
          <w:p w14:paraId="27B1401B" w14:textId="77777777" w:rsidR="003F46B9" w:rsidRDefault="003F46B9">
            <w:pPr>
              <w:spacing w:after="0" w:line="240" w:lineRule="auto"/>
              <w:jc w:val="both"/>
              <w:rPr>
                <w:rFonts w:ascii="Times New Roman" w:hAnsi="Times New Roman" w:cs="Times New Roman"/>
                <w:noProof/>
                <w:sz w:val="24"/>
              </w:rPr>
            </w:pPr>
          </w:p>
          <w:p w14:paraId="55F512B1"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35DAE3B2" w14:textId="77777777" w:rsidR="003F46B9" w:rsidRDefault="0065662E">
            <w:pPr>
              <w:pStyle w:val="P68B1DB1-Normal5"/>
              <w:spacing w:after="0" w:line="240" w:lineRule="auto"/>
              <w:jc w:val="both"/>
              <w:rPr>
                <w:rFonts w:cs="Times New Roman"/>
                <w:noProof/>
              </w:rPr>
            </w:pPr>
            <w:r>
              <w:rPr>
                <w:noProof/>
              </w:rPr>
              <w:t xml:space="preserve">1 847 </w:t>
            </w:r>
          </w:p>
          <w:p w14:paraId="295E03E0" w14:textId="77777777" w:rsidR="003F46B9" w:rsidRDefault="003F46B9">
            <w:pPr>
              <w:spacing w:after="0" w:line="240" w:lineRule="auto"/>
              <w:jc w:val="both"/>
              <w:rPr>
                <w:rFonts w:ascii="Times New Roman" w:hAnsi="Times New Roman" w:cs="Times New Roman"/>
                <w:noProof/>
                <w:sz w:val="24"/>
              </w:rPr>
            </w:pPr>
          </w:p>
          <w:p w14:paraId="16C7648C"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A68FCDD" w14:textId="77777777" w:rsidR="003F46B9" w:rsidRDefault="0065662E">
            <w:pPr>
              <w:pStyle w:val="P68B1DB1-Normal5"/>
              <w:spacing w:after="0" w:line="240" w:lineRule="auto"/>
              <w:jc w:val="both"/>
              <w:rPr>
                <w:rFonts w:cs="Times New Roman"/>
                <w:noProof/>
              </w:rPr>
            </w:pPr>
            <w:r>
              <w:rPr>
                <w:noProof/>
              </w:rPr>
              <w:t>3 000</w:t>
            </w:r>
          </w:p>
          <w:p w14:paraId="28B9985B" w14:textId="77777777" w:rsidR="003F46B9" w:rsidRDefault="003F46B9">
            <w:pPr>
              <w:spacing w:after="0" w:line="240" w:lineRule="auto"/>
              <w:jc w:val="both"/>
              <w:rPr>
                <w:rFonts w:ascii="Times New Roman" w:hAnsi="Times New Roman" w:cs="Times New Roman"/>
                <w:noProof/>
                <w:sz w:val="24"/>
              </w:rPr>
            </w:pPr>
          </w:p>
          <w:p w14:paraId="7316AE73"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482F785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028D0DC" w14:textId="77777777" w:rsidR="003F46B9" w:rsidRDefault="0065662E">
            <w:pPr>
              <w:pStyle w:val="P68B1DB1-Normal5"/>
              <w:spacing w:after="0" w:line="240" w:lineRule="auto"/>
              <w:jc w:val="both"/>
              <w:rPr>
                <w:rFonts w:cs="Times New Roman"/>
                <w:noProof/>
              </w:rPr>
            </w:pPr>
            <w:r>
              <w:rPr>
                <w:noProof/>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18E182A8" w14:textId="75B1E9B4" w:rsidR="003F46B9" w:rsidRDefault="0065662E">
            <w:pPr>
              <w:pStyle w:val="P68B1DB1-Normal5"/>
              <w:spacing w:after="0" w:line="240" w:lineRule="auto"/>
              <w:jc w:val="both"/>
              <w:rPr>
                <w:rFonts w:cs="Times New Roman"/>
                <w:noProof/>
              </w:rPr>
            </w:pPr>
            <w:r>
              <w:rPr>
                <w:noProof/>
              </w:rPr>
              <w:t xml:space="preserve">Povećanje broja učenika upisanih na cijelu dvojnu rutu za najmanje 60 %. Godine 2020. 1847 </w:t>
            </w:r>
            <w:r>
              <w:rPr>
                <w:noProof/>
              </w:rPr>
              <w:t>učenika diplomiralo je dvostruku rutu. U skladu s mjerama za potporu centrima za dvojno obrazovanje procjenjuje se da 3000 učenika mora dovršiti cijelu dvostruku rutu.</w:t>
            </w:r>
          </w:p>
          <w:p w14:paraId="1E5E2EBD" w14:textId="77777777" w:rsidR="003F46B9" w:rsidRDefault="0065662E">
            <w:pPr>
              <w:pStyle w:val="P68B1DB1-Normal5"/>
              <w:spacing w:after="0" w:line="240" w:lineRule="auto"/>
              <w:jc w:val="both"/>
              <w:rPr>
                <w:rFonts w:eastAsia="Times New Roman" w:cs="Times New Roman"/>
                <w:noProof/>
              </w:rPr>
            </w:pPr>
            <w:r>
              <w:rPr>
                <w:noProof/>
              </w:rPr>
              <w:t xml:space="preserve">Svaki izgrađeni integrirani strukovni kampus mora biti opremljen za digitalne radionice </w:t>
            </w:r>
            <w:r>
              <w:rPr>
                <w:noProof/>
              </w:rPr>
              <w:t>na temelju koncepta digitalizacije prilagođenog profilu tehnoloških visokih škola i sveučilišta. Stoga se mora osigurati digitalna transformacija.</w:t>
            </w:r>
          </w:p>
        </w:tc>
      </w:tr>
      <w:tr w:rsidR="003F46B9" w14:paraId="7CB80687"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68B056C" w14:textId="77777777" w:rsidR="003F46B9" w:rsidRDefault="0065662E">
            <w:pPr>
              <w:pStyle w:val="P68B1DB1-Normal5"/>
              <w:spacing w:after="0" w:line="240" w:lineRule="auto"/>
              <w:jc w:val="center"/>
              <w:rPr>
                <w:rFonts w:cs="Times New Roman"/>
                <w:noProof/>
              </w:rPr>
            </w:pPr>
            <w:r>
              <w:rPr>
                <w:noProof/>
              </w:rPr>
              <w:t>475</w:t>
            </w:r>
          </w:p>
        </w:tc>
        <w:tc>
          <w:tcPr>
            <w:tcW w:w="1795" w:type="dxa"/>
            <w:tcBorders>
              <w:top w:val="single" w:sz="4" w:space="0" w:color="auto"/>
              <w:left w:val="nil"/>
              <w:bottom w:val="single" w:sz="4" w:space="0" w:color="auto"/>
              <w:right w:val="single" w:sz="4" w:space="0" w:color="auto"/>
            </w:tcBorders>
            <w:shd w:val="clear" w:color="auto" w:fill="C6EFCE"/>
            <w:noWrap/>
          </w:tcPr>
          <w:p w14:paraId="5E5BE6E2" w14:textId="1995FE6A" w:rsidR="003F46B9" w:rsidRDefault="0065662E">
            <w:pPr>
              <w:pStyle w:val="P68B1DB1-Normal5"/>
              <w:spacing w:after="0" w:line="240" w:lineRule="auto"/>
              <w:jc w:val="both"/>
              <w:rPr>
                <w:rFonts w:cs="Times New Roman"/>
                <w:noProof/>
              </w:rPr>
            </w:pPr>
            <w:r>
              <w:rPr>
                <w:noProof/>
              </w:rPr>
              <w:t>Ulaganje 7. Preobrazba poljoprivrednih srednjih škola u centre za profesionalizaciju</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6B56677"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78288818" w14:textId="77777777" w:rsidR="003F46B9" w:rsidRDefault="0065662E">
            <w:pPr>
              <w:pStyle w:val="P68B1DB1-Normal5"/>
              <w:spacing w:after="0" w:line="240" w:lineRule="auto"/>
              <w:jc w:val="both"/>
              <w:rPr>
                <w:rFonts w:cs="Times New Roman"/>
                <w:noProof/>
              </w:rPr>
            </w:pPr>
            <w:r>
              <w:rPr>
                <w:noProof/>
              </w:rPr>
              <w:t xml:space="preserve">57 </w:t>
            </w:r>
            <w:r>
              <w:rPr>
                <w:noProof/>
              </w:rPr>
              <w:t>poljoprivrednih škola koje primaju potporu u obliku bespovratnih sredstava</w:t>
            </w:r>
          </w:p>
        </w:tc>
        <w:tc>
          <w:tcPr>
            <w:tcW w:w="1843" w:type="dxa"/>
            <w:tcBorders>
              <w:top w:val="single" w:sz="4" w:space="0" w:color="auto"/>
              <w:left w:val="nil"/>
              <w:bottom w:val="single" w:sz="4" w:space="0" w:color="auto"/>
              <w:right w:val="single" w:sz="4" w:space="0" w:color="auto"/>
            </w:tcBorders>
            <w:shd w:val="clear" w:color="auto" w:fill="C6EFCE"/>
            <w:noWrap/>
          </w:tcPr>
          <w:p w14:paraId="45F9E8A5"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1F5ED963"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14C65D78"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8FC8868" w14:textId="77777777" w:rsidR="003F46B9" w:rsidRDefault="0065662E">
            <w:pPr>
              <w:pStyle w:val="P68B1DB1-Normal5"/>
              <w:spacing w:after="0" w:line="240" w:lineRule="auto"/>
              <w:jc w:val="both"/>
              <w:rPr>
                <w:rFonts w:cs="Times New Roman"/>
                <w:noProof/>
              </w:rPr>
            </w:pPr>
            <w:r>
              <w:rPr>
                <w:noProof/>
              </w:rPr>
              <w:t>57</w:t>
            </w:r>
          </w:p>
        </w:tc>
        <w:tc>
          <w:tcPr>
            <w:tcW w:w="1417" w:type="dxa"/>
            <w:tcBorders>
              <w:top w:val="single" w:sz="4" w:space="0" w:color="auto"/>
              <w:left w:val="nil"/>
              <w:bottom w:val="single" w:sz="4" w:space="0" w:color="auto"/>
              <w:right w:val="single" w:sz="4" w:space="0" w:color="auto"/>
            </w:tcBorders>
            <w:shd w:val="clear" w:color="auto" w:fill="C6EFCE"/>
            <w:noWrap/>
          </w:tcPr>
          <w:p w14:paraId="2B09C005"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018492C"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2EBBF028" w14:textId="77777777" w:rsidR="003F46B9" w:rsidRDefault="0065662E">
            <w:pPr>
              <w:pStyle w:val="P68B1DB1-Normal5"/>
              <w:spacing w:after="0" w:line="240" w:lineRule="auto"/>
              <w:jc w:val="both"/>
              <w:rPr>
                <w:rFonts w:cs="Times New Roman"/>
                <w:noProof/>
              </w:rPr>
            </w:pPr>
            <w:r>
              <w:rPr>
                <w:noProof/>
              </w:rPr>
              <w:t>Potpora se dodjeljuje za 57 poljoprivrednih škola:</w:t>
            </w:r>
          </w:p>
          <w:p w14:paraId="7AF8F9D5"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Modernizirati, obnoviti i proširiti školske laboratorije, radionice i informatičke laboratorije, kanti</w:t>
            </w:r>
            <w:r>
              <w:rPr>
                <w:noProof/>
              </w:rPr>
              <w:t>ne i smještaj učenika.</w:t>
            </w:r>
          </w:p>
          <w:p w14:paraId="3C954F46"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Kupovati biološki materijal, poljoprivrednu opremu i strojeve za obavljanje poljoprivrednih radova.</w:t>
            </w:r>
          </w:p>
          <w:p w14:paraId="470F03AD"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Osposobljavanje nastavnika na temelju posebnih kurikuluma povezanih s poljoprivredom koje su zajednički izradili Ministarstvo poljopr</w:t>
            </w:r>
            <w:r>
              <w:rPr>
                <w:noProof/>
              </w:rPr>
              <w:t>ivrede i Ministarstvo obrazovanja</w:t>
            </w:r>
          </w:p>
          <w:p w14:paraId="260CD61F" w14:textId="77777777" w:rsidR="003F46B9" w:rsidRDefault="0065662E">
            <w:pPr>
              <w:pStyle w:val="P68B1DB1-Normal5"/>
              <w:spacing w:after="0" w:line="240" w:lineRule="auto"/>
              <w:jc w:val="both"/>
              <w:rPr>
                <w:rFonts w:cs="Times New Roman"/>
                <w:noProof/>
              </w:rPr>
            </w:pPr>
            <w:r>
              <w:rPr>
                <w:noProof/>
              </w:rPr>
              <w:t>Svaka poljoprivredna škola mora biti opremljena informatičkim laboratorijem koji uključuje simulatore i softver potrebne za teorijske i praktične aktivnosti poučavanja/učenja.</w:t>
            </w:r>
          </w:p>
          <w:p w14:paraId="557F27AC" w14:textId="77777777" w:rsidR="003F46B9" w:rsidRDefault="0065662E">
            <w:pPr>
              <w:pStyle w:val="P68B1DB1-Normal5"/>
              <w:spacing w:after="0" w:line="240" w:lineRule="auto"/>
              <w:jc w:val="both"/>
              <w:rPr>
                <w:rFonts w:cs="Times New Roman"/>
                <w:noProof/>
              </w:rPr>
            </w:pPr>
            <w:r>
              <w:rPr>
                <w:noProof/>
              </w:rPr>
              <w:t>Ministarstvo obrazovanja i Ministarstvo poljop</w:t>
            </w:r>
            <w:r>
              <w:rPr>
                <w:noProof/>
              </w:rPr>
              <w:t>rivrede odgovorni su za dodjelu bespovratnih sredstava i materijalnih izdataka za poboljšanje kvalitete poljoprivrednog srednjoškolskog obrazovanja, čime se povećava privlačnost obrazovnih ponuda.</w:t>
            </w:r>
          </w:p>
          <w:p w14:paraId="0A21C51C" w14:textId="08985D3D" w:rsidR="003F46B9" w:rsidRDefault="0065662E">
            <w:pPr>
              <w:pStyle w:val="P68B1DB1-Normal5"/>
              <w:spacing w:after="0" w:line="240" w:lineRule="auto"/>
              <w:jc w:val="both"/>
              <w:rPr>
                <w:rFonts w:cs="Times New Roman"/>
                <w:noProof/>
              </w:rPr>
            </w:pPr>
            <w:r>
              <w:rPr>
                <w:noProof/>
              </w:rPr>
              <w:t xml:space="preserve">Ugovori uključuju minimalni zahtjev za smanjenje potrošnje </w:t>
            </w:r>
            <w:r>
              <w:rPr>
                <w:noProof/>
              </w:rPr>
              <w:t>energije za grijanje za najmanje 50 % u usporedbi s godišnjom potrošnjom energije za grijanje prije obnove zgrade, čime se ostvaruje povećanje od 30 % uštede primarne energije u odnosu na stanje prije obnove. U tom kontekstu najmanje 90 % troškova povezani</w:t>
            </w:r>
            <w:r>
              <w:rPr>
                <w:noProof/>
              </w:rPr>
              <w:t xml:space="preserve">h s obnovom odnosi se na poboljšanja energetske učinkovitosti. </w:t>
            </w:r>
          </w:p>
          <w:p w14:paraId="4C936B8F" w14:textId="77777777" w:rsidR="003F46B9" w:rsidRDefault="0065662E">
            <w:pPr>
              <w:pStyle w:val="P68B1DB1-Normal5"/>
              <w:spacing w:after="0" w:line="240" w:lineRule="auto"/>
              <w:jc w:val="both"/>
              <w:rPr>
                <w:rFonts w:cs="Times New Roman"/>
                <w:noProof/>
              </w:rPr>
            </w:pPr>
            <w:r>
              <w:rPr>
                <w:noProof/>
              </w:rPr>
              <w:t>Novoizgrađene zgrade moraju biti usklađene s ciljem postizanja potražnje za primarnom energijom (PED) koja je najmanje 20 % niža od zahtjeva za zgrade gotovo nulte energije u skladu s nacional</w:t>
            </w:r>
            <w:r>
              <w:rPr>
                <w:noProof/>
              </w:rPr>
              <w:t xml:space="preserve">nim smjernicama, što se osigurava energetskim certifikatima. </w:t>
            </w:r>
          </w:p>
          <w:p w14:paraId="4E92231E" w14:textId="77777777" w:rsidR="003F46B9" w:rsidRDefault="0065662E">
            <w:pPr>
              <w:pStyle w:val="P68B1DB1-Normal5"/>
              <w:spacing w:after="0" w:line="240" w:lineRule="auto"/>
              <w:jc w:val="both"/>
              <w:rPr>
                <w:rFonts w:cs="Times New Roman"/>
                <w:noProof/>
              </w:rPr>
            </w:pPr>
            <w:r>
              <w:rPr>
                <w:noProof/>
              </w:rPr>
              <w:t>Vrste radova potrebne za poboljšanje energetskih svojstava novih i starih zgrada:</w:t>
            </w:r>
          </w:p>
          <w:p w14:paraId="575A0B64" w14:textId="77777777" w:rsidR="003F46B9" w:rsidRDefault="0065662E">
            <w:pPr>
              <w:pStyle w:val="P68B1DB1-Normal5"/>
              <w:spacing w:after="0" w:line="240" w:lineRule="auto"/>
              <w:jc w:val="both"/>
              <w:rPr>
                <w:rFonts w:cs="Times New Roman"/>
                <w:noProof/>
              </w:rPr>
            </w:pPr>
            <w:r>
              <w:rPr>
                <w:noProof/>
              </w:rPr>
              <w:t>—priključak na mrežu prirodnog plina i ugradnja plinskih kotlova i/ili zamjena postojećih kotlova na ugljen i pl</w:t>
            </w:r>
            <w:r>
              <w:rPr>
                <w:noProof/>
              </w:rPr>
              <w:t>in, ovisno o slučaju, u slučaju starih zgrada;</w:t>
            </w:r>
          </w:p>
          <w:p w14:paraId="3473DED5"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ugradnja kotlova za grijanje u slučaju novih zgrada;</w:t>
            </w:r>
          </w:p>
          <w:p w14:paraId="5C38739C" w14:textId="77777777" w:rsidR="003F46B9" w:rsidRDefault="0065662E">
            <w:pPr>
              <w:pStyle w:val="P68B1DB1-Normal5"/>
              <w:numPr>
                <w:ilvl w:val="0"/>
                <w:numId w:val="118"/>
              </w:numPr>
              <w:spacing w:before="120" w:after="0" w:line="240" w:lineRule="auto"/>
              <w:ind w:left="189" w:hanging="142"/>
              <w:contextualSpacing/>
              <w:jc w:val="both"/>
              <w:rPr>
                <w:rFonts w:cs="Times New Roman"/>
                <w:noProof/>
              </w:rPr>
            </w:pPr>
            <w:r>
              <w:rPr>
                <w:noProof/>
              </w:rPr>
              <w:t>postavljanje fotonaponskih ploča za nove zgrade koje imaju zemljište dostupno za korištenje tog sustava grijanja.</w:t>
            </w:r>
          </w:p>
        </w:tc>
      </w:tr>
      <w:tr w:rsidR="003F46B9" w14:paraId="13F7A27C"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ADF6799" w14:textId="77777777" w:rsidR="003F46B9" w:rsidRDefault="0065662E">
            <w:pPr>
              <w:pStyle w:val="P68B1DB1-Normal5"/>
              <w:spacing w:after="0" w:line="240" w:lineRule="auto"/>
              <w:jc w:val="center"/>
              <w:rPr>
                <w:rFonts w:cs="Times New Roman"/>
                <w:noProof/>
              </w:rPr>
            </w:pPr>
            <w:bookmarkStart w:id="16" w:name="_Hlk81470112"/>
            <w:r>
              <w:rPr>
                <w:noProof/>
              </w:rPr>
              <w:t>476</w:t>
            </w:r>
          </w:p>
        </w:tc>
        <w:tc>
          <w:tcPr>
            <w:tcW w:w="1795" w:type="dxa"/>
            <w:tcBorders>
              <w:top w:val="single" w:sz="4" w:space="0" w:color="auto"/>
              <w:left w:val="nil"/>
              <w:bottom w:val="single" w:sz="4" w:space="0" w:color="auto"/>
              <w:right w:val="single" w:sz="4" w:space="0" w:color="auto"/>
            </w:tcBorders>
            <w:shd w:val="clear" w:color="auto" w:fill="C6EFCE"/>
            <w:noWrap/>
          </w:tcPr>
          <w:p w14:paraId="27962A7B" w14:textId="77777777" w:rsidR="003F46B9" w:rsidRDefault="0065662E">
            <w:pPr>
              <w:pStyle w:val="P68B1DB1-Normal5"/>
              <w:spacing w:after="0" w:line="240" w:lineRule="auto"/>
              <w:jc w:val="both"/>
              <w:rPr>
                <w:rFonts w:cs="Times New Roman"/>
                <w:noProof/>
              </w:rPr>
            </w:pPr>
            <w:r>
              <w:rPr>
                <w:noProof/>
              </w:rPr>
              <w:t xml:space="preserve">Ulaganje 7. Preobrazba </w:t>
            </w:r>
            <w:r>
              <w:rPr>
                <w:noProof/>
              </w:rPr>
              <w:t>poljoprivrednih srednjih škola u centre za profesionalizaciju</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6E8789D"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5F680742" w14:textId="77777777" w:rsidR="003F46B9" w:rsidRDefault="0065662E">
            <w:pPr>
              <w:pStyle w:val="P68B1DB1-Normal5"/>
              <w:spacing w:after="0" w:line="240" w:lineRule="auto"/>
              <w:jc w:val="both"/>
              <w:rPr>
                <w:rFonts w:cs="Times New Roman"/>
                <w:noProof/>
              </w:rPr>
            </w:pPr>
            <w:r>
              <w:rPr>
                <w:noProof/>
              </w:rPr>
              <w:t>Broj učenika upisanih u poljoprivredne srednje škole</w:t>
            </w:r>
          </w:p>
        </w:tc>
        <w:tc>
          <w:tcPr>
            <w:tcW w:w="1843" w:type="dxa"/>
            <w:tcBorders>
              <w:top w:val="single" w:sz="4" w:space="0" w:color="auto"/>
              <w:left w:val="nil"/>
              <w:bottom w:val="single" w:sz="4" w:space="0" w:color="auto"/>
              <w:right w:val="single" w:sz="4" w:space="0" w:color="auto"/>
            </w:tcBorders>
            <w:shd w:val="clear" w:color="auto" w:fill="C6EFCE"/>
            <w:noWrap/>
          </w:tcPr>
          <w:p w14:paraId="34EB6238"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523BFC2"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07803EE9" w14:textId="77777777" w:rsidR="003F46B9" w:rsidRDefault="0065662E">
            <w:pPr>
              <w:pStyle w:val="P68B1DB1-Normal5"/>
              <w:spacing w:after="0" w:line="240" w:lineRule="auto"/>
              <w:jc w:val="both"/>
              <w:rPr>
                <w:rFonts w:cs="Times New Roman"/>
                <w:noProof/>
              </w:rPr>
            </w:pPr>
            <w:r>
              <w:rPr>
                <w:noProof/>
              </w:rPr>
              <w:t>18 000</w:t>
            </w:r>
          </w:p>
        </w:tc>
        <w:tc>
          <w:tcPr>
            <w:tcW w:w="1134" w:type="dxa"/>
            <w:tcBorders>
              <w:top w:val="single" w:sz="4" w:space="0" w:color="auto"/>
              <w:left w:val="nil"/>
              <w:bottom w:val="single" w:sz="4" w:space="0" w:color="auto"/>
              <w:right w:val="single" w:sz="4" w:space="0" w:color="auto"/>
            </w:tcBorders>
            <w:shd w:val="clear" w:color="auto" w:fill="C6EFCE"/>
            <w:noWrap/>
          </w:tcPr>
          <w:p w14:paraId="5DFA246B" w14:textId="77777777" w:rsidR="003F46B9" w:rsidRDefault="0065662E">
            <w:pPr>
              <w:pStyle w:val="P68B1DB1-Normal5"/>
              <w:spacing w:after="0" w:line="240" w:lineRule="auto"/>
              <w:jc w:val="both"/>
              <w:rPr>
                <w:rFonts w:cs="Times New Roman"/>
                <w:noProof/>
              </w:rPr>
            </w:pPr>
            <w:r>
              <w:rPr>
                <w:noProof/>
              </w:rPr>
              <w:t>20 000</w:t>
            </w:r>
          </w:p>
        </w:tc>
        <w:tc>
          <w:tcPr>
            <w:tcW w:w="1417" w:type="dxa"/>
            <w:tcBorders>
              <w:top w:val="single" w:sz="4" w:space="0" w:color="auto"/>
              <w:left w:val="nil"/>
              <w:bottom w:val="single" w:sz="4" w:space="0" w:color="auto"/>
              <w:right w:val="single" w:sz="4" w:space="0" w:color="auto"/>
            </w:tcBorders>
            <w:shd w:val="clear" w:color="auto" w:fill="C6EFCE"/>
            <w:noWrap/>
          </w:tcPr>
          <w:p w14:paraId="60540A6A"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132073C8"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F066904" w14:textId="77777777" w:rsidR="003F46B9" w:rsidRDefault="0065662E">
            <w:pPr>
              <w:pStyle w:val="P68B1DB1-Normal5"/>
              <w:spacing w:after="0" w:line="240" w:lineRule="auto"/>
              <w:jc w:val="both"/>
              <w:rPr>
                <w:rFonts w:eastAsia="Times New Roman" w:cs="Times New Roman"/>
                <w:noProof/>
              </w:rPr>
            </w:pPr>
            <w:r>
              <w:rPr>
                <w:noProof/>
              </w:rPr>
              <w:t>Broj učenika registriranih u 57 srednjih tehnoloških škola s pretežno poljoprivrednim profilom u</w:t>
            </w:r>
            <w:r>
              <w:rPr>
                <w:noProof/>
              </w:rPr>
              <w:t xml:space="preserve"> školskoj godini 2025. 2026. povećat će se za 11,1 % u odnosu na školsku godinu 2020./2021.</w:t>
            </w:r>
          </w:p>
        </w:tc>
      </w:tr>
      <w:bookmarkEnd w:id="16"/>
      <w:tr w:rsidR="003F46B9" w14:paraId="50389E25"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1E213555" w14:textId="77777777" w:rsidR="003F46B9" w:rsidRDefault="0065662E">
            <w:pPr>
              <w:pStyle w:val="P68B1DB1-Normal5"/>
              <w:spacing w:after="0" w:line="240" w:lineRule="auto"/>
              <w:jc w:val="center"/>
              <w:rPr>
                <w:rFonts w:cs="Times New Roman"/>
                <w:noProof/>
              </w:rPr>
            </w:pPr>
            <w:r>
              <w:rPr>
                <w:noProof/>
              </w:rPr>
              <w:t>477</w:t>
            </w:r>
          </w:p>
        </w:tc>
        <w:tc>
          <w:tcPr>
            <w:tcW w:w="1795" w:type="dxa"/>
            <w:tcBorders>
              <w:top w:val="single" w:sz="4" w:space="0" w:color="auto"/>
              <w:left w:val="nil"/>
              <w:bottom w:val="single" w:sz="4" w:space="0" w:color="auto"/>
              <w:right w:val="single" w:sz="4" w:space="0" w:color="auto"/>
            </w:tcBorders>
            <w:shd w:val="clear" w:color="auto" w:fill="C6EFCE"/>
            <w:noWrap/>
          </w:tcPr>
          <w:p w14:paraId="7B07BFE3" w14:textId="77777777" w:rsidR="003F46B9" w:rsidRDefault="0065662E">
            <w:pPr>
              <w:pStyle w:val="P68B1DB1-Normal5"/>
              <w:spacing w:after="0" w:line="240" w:lineRule="auto"/>
              <w:jc w:val="both"/>
              <w:rPr>
                <w:rFonts w:cs="Times New Roman"/>
                <w:noProof/>
              </w:rPr>
            </w:pPr>
            <w:r>
              <w:rPr>
                <w:noProof/>
              </w:rPr>
              <w:t>Reforma 5. Donošenje zakonodavnog okvira za digitalizaciju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5968A3"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48103B1D" w14:textId="77777777" w:rsidR="003F46B9" w:rsidRDefault="0065662E">
            <w:pPr>
              <w:pStyle w:val="P68B1DB1-Normal5"/>
              <w:spacing w:after="0" w:line="240" w:lineRule="auto"/>
              <w:jc w:val="both"/>
              <w:rPr>
                <w:rFonts w:cs="Times New Roman"/>
                <w:noProof/>
              </w:rPr>
            </w:pPr>
            <w:r>
              <w:rPr>
                <w:noProof/>
              </w:rPr>
              <w:t>Stupanje na snagu Ministarske uredbe (MO) kako bi se osigurali standardi za opremanje škola tehnološkom opremom i resursima u obrazovne svrhe na internetu i osigurao održiv učinak predloženih ulaganja</w:t>
            </w:r>
          </w:p>
        </w:tc>
        <w:tc>
          <w:tcPr>
            <w:tcW w:w="1843" w:type="dxa"/>
            <w:tcBorders>
              <w:top w:val="single" w:sz="4" w:space="0" w:color="auto"/>
              <w:left w:val="nil"/>
              <w:bottom w:val="single" w:sz="4" w:space="0" w:color="auto"/>
              <w:right w:val="single" w:sz="4" w:space="0" w:color="auto"/>
            </w:tcBorders>
            <w:shd w:val="clear" w:color="auto" w:fill="C6EFCE"/>
            <w:noWrap/>
          </w:tcPr>
          <w:p w14:paraId="31B891CA" w14:textId="77777777" w:rsidR="003F46B9" w:rsidRDefault="0065662E">
            <w:pPr>
              <w:pStyle w:val="P68B1DB1-Normal5"/>
              <w:spacing w:after="0" w:line="240" w:lineRule="auto"/>
              <w:jc w:val="both"/>
              <w:rPr>
                <w:rFonts w:cs="Times New Roman"/>
                <w:noProof/>
              </w:rPr>
            </w:pPr>
            <w:r>
              <w:rPr>
                <w:noProof/>
              </w:rPr>
              <w:t xml:space="preserve">Odredba u MO-u o stupanju na snagu zakonodavnog okvira </w:t>
            </w:r>
            <w:r>
              <w:rPr>
                <w:noProof/>
              </w:rPr>
              <w:t>za norme za opremu</w:t>
            </w:r>
          </w:p>
        </w:tc>
        <w:tc>
          <w:tcPr>
            <w:tcW w:w="1134" w:type="dxa"/>
            <w:tcBorders>
              <w:top w:val="single" w:sz="4" w:space="0" w:color="auto"/>
              <w:left w:val="nil"/>
              <w:bottom w:val="single" w:sz="4" w:space="0" w:color="auto"/>
              <w:right w:val="single" w:sz="4" w:space="0" w:color="auto"/>
            </w:tcBorders>
            <w:shd w:val="clear" w:color="auto" w:fill="C6EFCE"/>
            <w:noWrap/>
          </w:tcPr>
          <w:p w14:paraId="10BDCC73"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5C5917FD"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0FA384C"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A4EB152"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7F57E57"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5FFCAAA4" w14:textId="77777777" w:rsidR="003F46B9" w:rsidRDefault="0065662E">
            <w:pPr>
              <w:pStyle w:val="P68B1DB1-Normal5"/>
              <w:spacing w:after="0" w:line="240" w:lineRule="auto"/>
              <w:jc w:val="both"/>
              <w:rPr>
                <w:rFonts w:cs="Times New Roman"/>
                <w:noProof/>
              </w:rPr>
            </w:pPr>
            <w:r>
              <w:rPr>
                <w:noProof/>
              </w:rPr>
              <w:t>Novom ministarskom uredbom utvrđuju se minimalni standardi tehničke opreme za škole kako bi se osigurala kvaliteta obrazovnih aktivnosti koje se provode u virtualnom okruženju i s pomoću virtualne tehnologije.</w:t>
            </w:r>
          </w:p>
          <w:p w14:paraId="7B2B4A03" w14:textId="77777777" w:rsidR="003F46B9" w:rsidRDefault="003F46B9">
            <w:pPr>
              <w:spacing w:after="0" w:line="240" w:lineRule="auto"/>
              <w:jc w:val="both"/>
              <w:rPr>
                <w:rFonts w:ascii="Times New Roman" w:hAnsi="Times New Roman" w:cs="Times New Roman"/>
                <w:noProof/>
                <w:sz w:val="24"/>
              </w:rPr>
            </w:pPr>
          </w:p>
          <w:p w14:paraId="46C35FA2"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4D817AA3"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717D88B" w14:textId="77777777" w:rsidR="003F46B9" w:rsidRDefault="0065662E">
            <w:pPr>
              <w:pStyle w:val="P68B1DB1-Normal5"/>
              <w:spacing w:after="0" w:line="240" w:lineRule="auto"/>
              <w:jc w:val="center"/>
              <w:rPr>
                <w:rFonts w:cs="Times New Roman"/>
                <w:noProof/>
              </w:rPr>
            </w:pPr>
            <w:r>
              <w:rPr>
                <w:noProof/>
              </w:rPr>
              <w:t>478</w:t>
            </w:r>
          </w:p>
        </w:tc>
        <w:tc>
          <w:tcPr>
            <w:tcW w:w="1795" w:type="dxa"/>
            <w:tcBorders>
              <w:top w:val="single" w:sz="4" w:space="0" w:color="auto"/>
              <w:left w:val="nil"/>
              <w:bottom w:val="single" w:sz="4" w:space="0" w:color="auto"/>
              <w:right w:val="single" w:sz="4" w:space="0" w:color="auto"/>
            </w:tcBorders>
            <w:shd w:val="clear" w:color="auto" w:fill="C6EFCE"/>
            <w:noWrap/>
          </w:tcPr>
          <w:p w14:paraId="58DB23F0" w14:textId="77777777" w:rsidR="003F46B9" w:rsidRDefault="0065662E">
            <w:pPr>
              <w:pStyle w:val="P68B1DB1-Normal5"/>
              <w:spacing w:after="0" w:line="240" w:lineRule="auto"/>
              <w:jc w:val="both"/>
              <w:rPr>
                <w:rFonts w:cs="Times New Roman"/>
                <w:noProof/>
              </w:rPr>
            </w:pPr>
            <w:r>
              <w:rPr>
                <w:noProof/>
              </w:rPr>
              <w:t>Reforma 5. Donošenje zakonodavnog okvira za digitalizaciju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69FE870D"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648FE7E5" w14:textId="77777777" w:rsidR="003F46B9" w:rsidRDefault="0065662E">
            <w:pPr>
              <w:pStyle w:val="P68B1DB1-Normal5"/>
              <w:spacing w:after="0" w:line="240" w:lineRule="auto"/>
              <w:jc w:val="both"/>
              <w:rPr>
                <w:rFonts w:cs="Times New Roman"/>
                <w:noProof/>
              </w:rPr>
            </w:pPr>
            <w:r>
              <w:rPr>
                <w:noProof/>
              </w:rPr>
              <w:t xml:space="preserve">Stupanje na snagu zakona kojim se utvrđuje profil budućeg nastavnika o digitalnim kompetencijama i načinu ocjenjivanja digitalnih kompetencija u školskim ispitima </w:t>
            </w:r>
          </w:p>
        </w:tc>
        <w:tc>
          <w:tcPr>
            <w:tcW w:w="1843" w:type="dxa"/>
            <w:tcBorders>
              <w:top w:val="single" w:sz="4" w:space="0" w:color="auto"/>
              <w:left w:val="nil"/>
              <w:bottom w:val="single" w:sz="4" w:space="0" w:color="auto"/>
              <w:right w:val="single" w:sz="4" w:space="0" w:color="auto"/>
            </w:tcBorders>
            <w:shd w:val="clear" w:color="auto" w:fill="C6EFCE"/>
            <w:noWrap/>
          </w:tcPr>
          <w:p w14:paraId="7FC024CA" w14:textId="77777777" w:rsidR="003F46B9" w:rsidRDefault="0065662E">
            <w:pPr>
              <w:pStyle w:val="P68B1DB1-Normal5"/>
              <w:spacing w:after="0" w:line="240" w:lineRule="auto"/>
              <w:jc w:val="both"/>
              <w:rPr>
                <w:rFonts w:cs="Times New Roman"/>
                <w:noProof/>
              </w:rPr>
            </w:pPr>
            <w:r>
              <w:rPr>
                <w:noProof/>
              </w:rPr>
              <w:t>Odredba u zakonu u kojoj se navodi stupanje na snagu zakonodavnog akta kojim se utvrđuje profil budućeg nastavnika u pogledu digitalnih kompetencija i procjene digitalnih kompetencija</w:t>
            </w:r>
          </w:p>
        </w:tc>
        <w:tc>
          <w:tcPr>
            <w:tcW w:w="1134" w:type="dxa"/>
            <w:tcBorders>
              <w:top w:val="single" w:sz="4" w:space="0" w:color="auto"/>
              <w:left w:val="nil"/>
              <w:bottom w:val="single" w:sz="4" w:space="0" w:color="auto"/>
              <w:right w:val="single" w:sz="4" w:space="0" w:color="auto"/>
            </w:tcBorders>
            <w:shd w:val="clear" w:color="auto" w:fill="C6EFCE"/>
            <w:noWrap/>
          </w:tcPr>
          <w:p w14:paraId="0950491B"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68113DB0"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78788192"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420FA8D0"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DCC0741"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473F44B2" w14:textId="77777777" w:rsidR="003F46B9" w:rsidRDefault="0065662E">
            <w:pPr>
              <w:pStyle w:val="P68B1DB1-Normal5"/>
              <w:spacing w:after="0" w:line="240" w:lineRule="auto"/>
              <w:jc w:val="both"/>
              <w:rPr>
                <w:rFonts w:cs="Times New Roman"/>
                <w:noProof/>
              </w:rPr>
            </w:pPr>
            <w:r>
              <w:rPr>
                <w:noProof/>
              </w:rPr>
              <w:t>Novim zakonom kojim se utvrđuje profil budućeg na</w:t>
            </w:r>
            <w:r>
              <w:rPr>
                <w:noProof/>
              </w:rPr>
              <w:t>stavnika o digitalnim kompetencijama i načinu ocjenjivanja digitalnih kompetencija u školskim ispitima:</w:t>
            </w:r>
          </w:p>
          <w:p w14:paraId="613B32B5" w14:textId="77777777" w:rsidR="003F46B9" w:rsidRDefault="0065662E">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 xml:space="preserve">Utvrditi profil digitalnih vještina stručnjaka u obrazovanju, kao i mehanizam za potvrđivanje digitalnih kompetencija učitelja i nastavnika na školskim </w:t>
            </w:r>
            <w:r>
              <w:rPr>
                <w:noProof/>
              </w:rPr>
              <w:t>ispitima, u skladu s Europskim okvirom digitalnih kompetencija nastavnog osoblja</w:t>
            </w:r>
            <w:r>
              <w:rPr>
                <w:noProof/>
              </w:rPr>
              <w:footnoteReference w:id="58"/>
            </w:r>
            <w:r>
              <w:rPr>
                <w:noProof/>
              </w:rPr>
              <w:t>.</w:t>
            </w:r>
          </w:p>
          <w:p w14:paraId="371545FC" w14:textId="77777777" w:rsidR="003F46B9" w:rsidRDefault="0065662E">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Uključiti u Okvirni plan obrazovanja, module psihopedagoškog i diplomskog osposobljavanja za razvoj digitalnih vještina budućih nastavnika te za upoznavanje i upotrebu moder</w:t>
            </w:r>
            <w:r>
              <w:rPr>
                <w:noProof/>
              </w:rPr>
              <w:t>nih metoda i tehnika poučavanja u okviru DigCompEdua.</w:t>
            </w:r>
          </w:p>
          <w:p w14:paraId="462AB488" w14:textId="77777777" w:rsidR="003F46B9" w:rsidRDefault="0065662E">
            <w:pPr>
              <w:pStyle w:val="P68B1DB1-Normal5"/>
              <w:numPr>
                <w:ilvl w:val="0"/>
                <w:numId w:val="119"/>
              </w:numPr>
              <w:tabs>
                <w:tab w:val="left" w:pos="189"/>
              </w:tabs>
              <w:spacing w:before="120" w:after="0" w:line="240" w:lineRule="auto"/>
              <w:ind w:left="189" w:hanging="142"/>
              <w:contextualSpacing/>
              <w:jc w:val="both"/>
              <w:rPr>
                <w:rFonts w:cs="Times New Roman"/>
                <w:noProof/>
              </w:rPr>
            </w:pPr>
            <w:r>
              <w:rPr>
                <w:noProof/>
              </w:rPr>
              <w:t>Uspostaviti okvir za školsku inspekciju (praćenje i evaluacija virtualnih nastavnih aktivnosti)</w:t>
            </w:r>
          </w:p>
          <w:p w14:paraId="6F5C9308" w14:textId="77777777" w:rsidR="003F46B9" w:rsidRDefault="0065662E">
            <w:pPr>
              <w:pStyle w:val="P68B1DB1-Normal5"/>
              <w:spacing w:after="0" w:line="240" w:lineRule="auto"/>
              <w:jc w:val="both"/>
              <w:rPr>
                <w:rFonts w:eastAsia="Times New Roman" w:cs="Times New Roman"/>
                <w:noProof/>
              </w:rPr>
            </w:pPr>
            <w:r>
              <w:rPr>
                <w:noProof/>
              </w:rPr>
              <w:t>Utvrditi metodologije ocjenjivanja za internetsko okruženje, uspješnost učenika u školi, uključujući razvo</w:t>
            </w:r>
            <w:r>
              <w:rPr>
                <w:noProof/>
              </w:rPr>
              <w:t>j platforme za sigurnu procjenu kompetencija učenika.</w:t>
            </w:r>
          </w:p>
        </w:tc>
      </w:tr>
      <w:tr w:rsidR="003F46B9" w14:paraId="27C8E308"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B4AAC3B" w14:textId="77777777" w:rsidR="003F46B9" w:rsidRDefault="0065662E">
            <w:pPr>
              <w:pStyle w:val="P68B1DB1-Normal5"/>
              <w:spacing w:after="0" w:line="240" w:lineRule="auto"/>
              <w:jc w:val="center"/>
              <w:rPr>
                <w:rFonts w:cs="Times New Roman"/>
                <w:noProof/>
              </w:rPr>
            </w:pPr>
            <w:r>
              <w:rPr>
                <w:noProof/>
              </w:rPr>
              <w:t>479</w:t>
            </w:r>
          </w:p>
        </w:tc>
        <w:tc>
          <w:tcPr>
            <w:tcW w:w="1795" w:type="dxa"/>
            <w:tcBorders>
              <w:top w:val="single" w:sz="4" w:space="0" w:color="auto"/>
              <w:left w:val="nil"/>
              <w:bottom w:val="single" w:sz="4" w:space="0" w:color="auto"/>
              <w:right w:val="single" w:sz="4" w:space="0" w:color="auto"/>
            </w:tcBorders>
            <w:shd w:val="clear" w:color="auto" w:fill="C6EFCE"/>
            <w:noWrap/>
          </w:tcPr>
          <w:p w14:paraId="7ABE5EA6" w14:textId="77777777" w:rsidR="003F46B9" w:rsidRDefault="0065662E">
            <w:pPr>
              <w:pStyle w:val="P68B1DB1-Normal5"/>
              <w:spacing w:after="0" w:line="240" w:lineRule="auto"/>
              <w:jc w:val="both"/>
              <w:rPr>
                <w:rFonts w:cs="Times New Roman"/>
                <w:noProof/>
              </w:rPr>
            </w:pPr>
            <w:r>
              <w:rPr>
                <w:noProof/>
              </w:rPr>
              <w:t>Reforma 5. Donošenje zakonodavnog okvira za digitalizaciju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441F306"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21151C9A" w14:textId="455F8724" w:rsidR="003F46B9" w:rsidRDefault="0065662E">
            <w:pPr>
              <w:pStyle w:val="P68B1DB1-Normal5"/>
              <w:spacing w:after="0" w:line="240" w:lineRule="auto"/>
              <w:jc w:val="both"/>
              <w:rPr>
                <w:rFonts w:cs="Times New Roman"/>
                <w:noProof/>
              </w:rPr>
            </w:pPr>
            <w:r>
              <w:rPr>
                <w:noProof/>
              </w:rPr>
              <w:t xml:space="preserve">Stupanje na snagu zakonodavstva kojim se utvrđuje nacionalni referentni okvir za digitalne vještine za </w:t>
            </w:r>
            <w:r>
              <w:rPr>
                <w:noProof/>
              </w:rPr>
              <w:t>predsveučilišno obrazovanje</w:t>
            </w:r>
          </w:p>
        </w:tc>
        <w:tc>
          <w:tcPr>
            <w:tcW w:w="1843" w:type="dxa"/>
            <w:tcBorders>
              <w:top w:val="single" w:sz="4" w:space="0" w:color="auto"/>
              <w:left w:val="nil"/>
              <w:bottom w:val="single" w:sz="4" w:space="0" w:color="auto"/>
              <w:right w:val="single" w:sz="4" w:space="0" w:color="auto"/>
            </w:tcBorders>
            <w:shd w:val="clear" w:color="auto" w:fill="C6EFCE"/>
            <w:noWrap/>
          </w:tcPr>
          <w:p w14:paraId="41F6F751" w14:textId="7CD04784" w:rsidR="003F46B9" w:rsidRDefault="0065662E">
            <w:pPr>
              <w:pStyle w:val="P68B1DB1-Normal5"/>
              <w:spacing w:after="0" w:line="240" w:lineRule="auto"/>
              <w:jc w:val="both"/>
              <w:rPr>
                <w:rFonts w:cs="Times New Roman"/>
                <w:noProof/>
              </w:rPr>
            </w:pPr>
            <w:r>
              <w:rPr>
                <w:noProof/>
              </w:rPr>
              <w:t xml:space="preserve">Odredba u zakonodavstvu u kojoj se navodi stupanje na snagu nacionalnog referentnog okvira za digitalne vještine </w:t>
            </w:r>
          </w:p>
        </w:tc>
        <w:tc>
          <w:tcPr>
            <w:tcW w:w="1134" w:type="dxa"/>
            <w:tcBorders>
              <w:top w:val="single" w:sz="4" w:space="0" w:color="auto"/>
              <w:left w:val="nil"/>
              <w:bottom w:val="single" w:sz="4" w:space="0" w:color="auto"/>
              <w:right w:val="single" w:sz="4" w:space="0" w:color="auto"/>
            </w:tcBorders>
            <w:shd w:val="clear" w:color="auto" w:fill="C6EFCE"/>
            <w:noWrap/>
          </w:tcPr>
          <w:p w14:paraId="3A7AC12F"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251EAFD"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6BB0A740"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730D3D0E"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5DEC3733"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4A0E75C5" w14:textId="5D54922E" w:rsidR="003F46B9" w:rsidRDefault="0065662E">
            <w:pPr>
              <w:pStyle w:val="P68B1DB1-Normal5"/>
              <w:spacing w:after="0" w:line="240" w:lineRule="auto"/>
              <w:jc w:val="both"/>
              <w:rPr>
                <w:rFonts w:eastAsia="Times New Roman" w:cs="Times New Roman"/>
                <w:noProof/>
              </w:rPr>
            </w:pPr>
            <w:r>
              <w:rPr>
                <w:noProof/>
              </w:rPr>
              <w:t>Stupanje na snagu zakonodavstva kojim se utvrđuje nacionalni referentni okvir za poboljšanj</w:t>
            </w:r>
            <w:r>
              <w:rPr>
                <w:noProof/>
              </w:rPr>
              <w:t>e digitalnih vještina predsveučilišnih učenika u skladu s Direktivom DigComp: Europski okvir digitalnih kompetencija za građane</w:t>
            </w:r>
            <w:r>
              <w:rPr>
                <w:noProof/>
              </w:rPr>
              <w:footnoteReference w:id="59"/>
            </w:r>
            <w:r>
              <w:rPr>
                <w:noProof/>
              </w:rPr>
              <w:t>.</w:t>
            </w:r>
          </w:p>
        </w:tc>
      </w:tr>
      <w:tr w:rsidR="003F46B9" w14:paraId="7BB279F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60BA62ED" w14:textId="77777777" w:rsidR="003F46B9" w:rsidRDefault="0065662E">
            <w:pPr>
              <w:pStyle w:val="P68B1DB1-Normal5"/>
              <w:spacing w:after="0" w:line="240" w:lineRule="auto"/>
              <w:jc w:val="center"/>
              <w:rPr>
                <w:rFonts w:cs="Times New Roman"/>
                <w:noProof/>
              </w:rPr>
            </w:pPr>
            <w:r>
              <w:rPr>
                <w:noProof/>
              </w:rPr>
              <w:t>480</w:t>
            </w:r>
          </w:p>
        </w:tc>
        <w:tc>
          <w:tcPr>
            <w:tcW w:w="1795" w:type="dxa"/>
            <w:tcBorders>
              <w:top w:val="single" w:sz="4" w:space="0" w:color="auto"/>
              <w:left w:val="nil"/>
              <w:bottom w:val="single" w:sz="4" w:space="0" w:color="auto"/>
              <w:right w:val="single" w:sz="4" w:space="0" w:color="auto"/>
            </w:tcBorders>
            <w:shd w:val="clear" w:color="auto" w:fill="C6EFCE"/>
            <w:noWrap/>
          </w:tcPr>
          <w:p w14:paraId="697200B3" w14:textId="77777777" w:rsidR="003F46B9" w:rsidRDefault="0065662E">
            <w:pPr>
              <w:pStyle w:val="P68B1DB1-Normal5"/>
              <w:spacing w:after="0" w:line="240" w:lineRule="auto"/>
              <w:jc w:val="both"/>
              <w:rPr>
                <w:rFonts w:cs="Times New Roman"/>
                <w:noProof/>
              </w:rPr>
            </w:pPr>
            <w:r>
              <w:rPr>
                <w:noProof/>
              </w:rPr>
              <w:t>Ulaganje 8. Program osposobljavanja nastavnog osoblja na radnom mjestu</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591D4BA"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569ACD85" w14:textId="77777777" w:rsidR="003F46B9" w:rsidRDefault="0065662E">
            <w:pPr>
              <w:pStyle w:val="P68B1DB1-Normal5"/>
              <w:spacing w:after="0" w:line="240" w:lineRule="auto"/>
              <w:jc w:val="both"/>
              <w:rPr>
                <w:rFonts w:cs="Times New Roman"/>
                <w:noProof/>
              </w:rPr>
            </w:pPr>
            <w:r>
              <w:rPr>
                <w:noProof/>
              </w:rPr>
              <w:t>Nastavnici osposobljeni za poučavanje putem</w:t>
            </w:r>
            <w:r>
              <w:rPr>
                <w:noProof/>
              </w:rPr>
              <w:t xml:space="preserve"> interneta poboljšanjem posebnih digitalnih pedagoških vještina</w:t>
            </w:r>
          </w:p>
        </w:tc>
        <w:tc>
          <w:tcPr>
            <w:tcW w:w="1843" w:type="dxa"/>
            <w:tcBorders>
              <w:top w:val="single" w:sz="4" w:space="0" w:color="auto"/>
              <w:left w:val="nil"/>
              <w:bottom w:val="single" w:sz="4" w:space="0" w:color="auto"/>
              <w:right w:val="single" w:sz="4" w:space="0" w:color="auto"/>
            </w:tcBorders>
            <w:shd w:val="clear" w:color="auto" w:fill="C6EFCE"/>
            <w:noWrap/>
          </w:tcPr>
          <w:p w14:paraId="0BCB3B04"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0EA3B7D0"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39CF523F"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619310C1" w14:textId="77777777" w:rsidR="003F46B9" w:rsidRDefault="0065662E">
            <w:pPr>
              <w:pStyle w:val="P68B1DB1-Normal5"/>
              <w:spacing w:after="0" w:line="240" w:lineRule="auto"/>
              <w:jc w:val="both"/>
              <w:rPr>
                <w:rFonts w:cs="Times New Roman"/>
                <w:noProof/>
              </w:rPr>
            </w:pPr>
            <w:r>
              <w:rPr>
                <w:noProof/>
              </w:rPr>
              <w:t>100 000</w:t>
            </w:r>
          </w:p>
        </w:tc>
        <w:tc>
          <w:tcPr>
            <w:tcW w:w="1417" w:type="dxa"/>
            <w:tcBorders>
              <w:top w:val="single" w:sz="4" w:space="0" w:color="auto"/>
              <w:left w:val="nil"/>
              <w:bottom w:val="single" w:sz="4" w:space="0" w:color="auto"/>
              <w:right w:val="single" w:sz="4" w:space="0" w:color="auto"/>
            </w:tcBorders>
            <w:shd w:val="clear" w:color="auto" w:fill="C6EFCE"/>
            <w:noWrap/>
          </w:tcPr>
          <w:p w14:paraId="61F69C18"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4CCF38B5"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44BF587D" w14:textId="77777777" w:rsidR="003F46B9" w:rsidRDefault="0065662E">
            <w:pPr>
              <w:pStyle w:val="P68B1DB1-Normal5"/>
              <w:spacing w:after="0" w:line="240" w:lineRule="auto"/>
              <w:jc w:val="both"/>
              <w:rPr>
                <w:rFonts w:cs="Times New Roman"/>
                <w:noProof/>
              </w:rPr>
            </w:pPr>
            <w:r>
              <w:rPr>
                <w:noProof/>
              </w:rPr>
              <w:t>Najmanje 100000 nastavnika osposobljeno je za integrirano digitalno obrazovanje i digitalnu tranziciju.</w:t>
            </w:r>
          </w:p>
        </w:tc>
      </w:tr>
      <w:tr w:rsidR="003F46B9" w14:paraId="09AAA5F6"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08FEE32A" w14:textId="77777777" w:rsidR="003F46B9" w:rsidRDefault="0065662E">
            <w:pPr>
              <w:pStyle w:val="P68B1DB1-Normal5"/>
              <w:spacing w:after="0" w:line="240" w:lineRule="auto"/>
              <w:jc w:val="center"/>
              <w:rPr>
                <w:rFonts w:cs="Times New Roman"/>
                <w:noProof/>
              </w:rPr>
            </w:pPr>
            <w:r>
              <w:rPr>
                <w:noProof/>
              </w:rPr>
              <w:t>481</w:t>
            </w:r>
          </w:p>
        </w:tc>
        <w:tc>
          <w:tcPr>
            <w:tcW w:w="1795" w:type="dxa"/>
            <w:tcBorders>
              <w:top w:val="single" w:sz="4" w:space="0" w:color="auto"/>
              <w:left w:val="nil"/>
              <w:bottom w:val="single" w:sz="4" w:space="0" w:color="auto"/>
              <w:right w:val="single" w:sz="4" w:space="0" w:color="auto"/>
            </w:tcBorders>
            <w:shd w:val="clear" w:color="auto" w:fill="C6EFCE"/>
            <w:noWrap/>
          </w:tcPr>
          <w:p w14:paraId="355D664D" w14:textId="77777777" w:rsidR="003F46B9" w:rsidRDefault="0065662E">
            <w:pPr>
              <w:pStyle w:val="P68B1DB1-Normal5"/>
              <w:spacing w:after="0" w:line="240" w:lineRule="auto"/>
              <w:jc w:val="both"/>
              <w:rPr>
                <w:rFonts w:cs="Times New Roman"/>
                <w:noProof/>
              </w:rPr>
            </w:pPr>
            <w:r>
              <w:rPr>
                <w:noProof/>
              </w:rPr>
              <w:t xml:space="preserve">Ulaganje 8. Program osposobljavanja nastavnog </w:t>
            </w:r>
            <w:r>
              <w:rPr>
                <w:noProof/>
              </w:rPr>
              <w:t>osoblja na radnom mjestu</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2A599C"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2BC9403" w14:textId="77777777" w:rsidR="003F46B9" w:rsidRDefault="0065662E">
            <w:pPr>
              <w:pStyle w:val="P68B1DB1-Normal5"/>
              <w:spacing w:after="0" w:line="240" w:lineRule="auto"/>
              <w:jc w:val="both"/>
              <w:rPr>
                <w:rFonts w:cs="Times New Roman"/>
                <w:noProof/>
              </w:rPr>
            </w:pPr>
            <w:r>
              <w:rPr>
                <w:noProof/>
              </w:rPr>
              <w:t>Nastavnici objavljuju otvorene obrazovne materijale na platformi za razmjenu praksi</w:t>
            </w:r>
          </w:p>
        </w:tc>
        <w:tc>
          <w:tcPr>
            <w:tcW w:w="1843" w:type="dxa"/>
            <w:tcBorders>
              <w:top w:val="single" w:sz="4" w:space="0" w:color="auto"/>
              <w:left w:val="nil"/>
              <w:bottom w:val="single" w:sz="4" w:space="0" w:color="auto"/>
              <w:right w:val="single" w:sz="4" w:space="0" w:color="auto"/>
            </w:tcBorders>
            <w:shd w:val="clear" w:color="auto" w:fill="C6EFCE"/>
            <w:noWrap/>
          </w:tcPr>
          <w:p w14:paraId="1786DE81"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C12C32C"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66D64453"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45082015" w14:textId="77777777" w:rsidR="003F46B9" w:rsidRDefault="0065662E">
            <w:pPr>
              <w:pStyle w:val="P68B1DB1-Normal5"/>
              <w:spacing w:after="0" w:line="240" w:lineRule="auto"/>
              <w:jc w:val="both"/>
              <w:rPr>
                <w:rFonts w:cs="Times New Roman"/>
                <w:noProof/>
              </w:rPr>
            </w:pPr>
            <w:r>
              <w:rPr>
                <w:noProof/>
              </w:rPr>
              <w:t>50 000</w:t>
            </w:r>
          </w:p>
        </w:tc>
        <w:tc>
          <w:tcPr>
            <w:tcW w:w="1417" w:type="dxa"/>
            <w:tcBorders>
              <w:top w:val="single" w:sz="4" w:space="0" w:color="auto"/>
              <w:left w:val="nil"/>
              <w:bottom w:val="single" w:sz="4" w:space="0" w:color="auto"/>
              <w:right w:val="single" w:sz="4" w:space="0" w:color="auto"/>
            </w:tcBorders>
            <w:shd w:val="clear" w:color="auto" w:fill="C6EFCE"/>
            <w:noWrap/>
          </w:tcPr>
          <w:p w14:paraId="63C3B01A"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547B38E"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0AC02DD3" w14:textId="77777777" w:rsidR="003F46B9" w:rsidRDefault="0065662E">
            <w:pPr>
              <w:pStyle w:val="P68B1DB1-Normal5"/>
              <w:spacing w:after="0" w:line="240" w:lineRule="auto"/>
              <w:jc w:val="both"/>
              <w:rPr>
                <w:rFonts w:eastAsia="Times New Roman" w:cs="Times New Roman"/>
                <w:noProof/>
              </w:rPr>
            </w:pPr>
            <w:r>
              <w:rPr>
                <w:noProof/>
              </w:rPr>
              <w:t>Najmanje 50000 nastavnika koji sudjeluju u osposobljavanju u okviru ključne etape 480 izrađuje otvorene obrazovne materijale objavljene na platformi koja sadržava zbirku multimedijskih nastavnih sati koji služe kao modeli dobre prakse za svako područje kur</w:t>
            </w:r>
            <w:r>
              <w:rPr>
                <w:noProof/>
              </w:rPr>
              <w:t xml:space="preserve">ikuluma/disciplina učenja, za različite razine obrazovanja. </w:t>
            </w:r>
          </w:p>
        </w:tc>
      </w:tr>
      <w:tr w:rsidR="003F46B9" w14:paraId="313B7D66"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72AD8B95" w14:textId="77777777" w:rsidR="003F46B9" w:rsidRDefault="0065662E">
            <w:pPr>
              <w:pStyle w:val="P68B1DB1-Normal5"/>
              <w:spacing w:after="0" w:line="240" w:lineRule="auto"/>
              <w:jc w:val="center"/>
              <w:rPr>
                <w:rFonts w:cs="Times New Roman"/>
                <w:noProof/>
              </w:rPr>
            </w:pPr>
            <w:r>
              <w:rPr>
                <w:noProof/>
              </w:rPr>
              <w:t>482</w:t>
            </w:r>
          </w:p>
        </w:tc>
        <w:tc>
          <w:tcPr>
            <w:tcW w:w="1795" w:type="dxa"/>
            <w:tcBorders>
              <w:top w:val="single" w:sz="4" w:space="0" w:color="auto"/>
              <w:left w:val="nil"/>
              <w:bottom w:val="single" w:sz="4" w:space="0" w:color="auto"/>
              <w:right w:val="single" w:sz="4" w:space="0" w:color="auto"/>
            </w:tcBorders>
            <w:shd w:val="clear" w:color="auto" w:fill="C6EFCE"/>
            <w:noWrap/>
          </w:tcPr>
          <w:p w14:paraId="06D0BC55" w14:textId="77777777" w:rsidR="003F46B9" w:rsidRDefault="0065662E">
            <w:pPr>
              <w:pStyle w:val="P68B1DB1-Normal5"/>
              <w:spacing w:after="0" w:line="240" w:lineRule="auto"/>
              <w:jc w:val="both"/>
              <w:rPr>
                <w:rFonts w:cs="Times New Roman"/>
                <w:noProof/>
              </w:rPr>
            </w:pPr>
            <w:r>
              <w:rPr>
                <w:noProof/>
              </w:rPr>
              <w:t>Ulaganje 9. Osiguravanje digitalne tehnološke opreme i resursa za škole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0D5BD42"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72CA3F2D" w14:textId="77777777" w:rsidR="003F46B9" w:rsidRDefault="0065662E">
            <w:pPr>
              <w:pStyle w:val="P68B1DB1-Normal5"/>
              <w:spacing w:after="0" w:line="240" w:lineRule="auto"/>
              <w:jc w:val="both"/>
              <w:rPr>
                <w:rFonts w:cs="Times New Roman"/>
                <w:noProof/>
              </w:rPr>
            </w:pPr>
            <w:r>
              <w:rPr>
                <w:noProof/>
              </w:rPr>
              <w:t>Škole imaju nove tehnološke resurse za opremanje informatičkih laboratorija</w:t>
            </w:r>
          </w:p>
        </w:tc>
        <w:tc>
          <w:tcPr>
            <w:tcW w:w="1843" w:type="dxa"/>
            <w:tcBorders>
              <w:top w:val="single" w:sz="4" w:space="0" w:color="auto"/>
              <w:left w:val="nil"/>
              <w:bottom w:val="single" w:sz="4" w:space="0" w:color="auto"/>
              <w:right w:val="single" w:sz="4" w:space="0" w:color="auto"/>
            </w:tcBorders>
            <w:shd w:val="clear" w:color="auto" w:fill="C6EFCE"/>
            <w:noWrap/>
          </w:tcPr>
          <w:p w14:paraId="53E69603"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5015C3E3"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6E08AA4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148AF44" w14:textId="3307FCAC" w:rsidR="003F46B9" w:rsidRDefault="0065662E">
            <w:pPr>
              <w:pStyle w:val="P68B1DB1-Normal5"/>
              <w:spacing w:after="0" w:line="240" w:lineRule="auto"/>
              <w:jc w:val="both"/>
              <w:rPr>
                <w:rFonts w:cs="Times New Roman"/>
                <w:noProof/>
              </w:rPr>
            </w:pPr>
            <w:r>
              <w:rPr>
                <w:noProof/>
              </w:rPr>
              <w:t>4 300</w:t>
            </w:r>
          </w:p>
        </w:tc>
        <w:tc>
          <w:tcPr>
            <w:tcW w:w="1417" w:type="dxa"/>
            <w:tcBorders>
              <w:top w:val="single" w:sz="4" w:space="0" w:color="auto"/>
              <w:left w:val="nil"/>
              <w:bottom w:val="single" w:sz="4" w:space="0" w:color="auto"/>
              <w:right w:val="single" w:sz="4" w:space="0" w:color="auto"/>
            </w:tcBorders>
            <w:shd w:val="clear" w:color="auto" w:fill="C6EFCE"/>
            <w:noWrap/>
          </w:tcPr>
          <w:p w14:paraId="7C78882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70D7407"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1A28FB40" w14:textId="7C905C89" w:rsidR="003F46B9" w:rsidRDefault="0065662E">
            <w:pPr>
              <w:pStyle w:val="P68B1DB1-Normal5"/>
              <w:spacing w:after="0" w:line="240" w:lineRule="auto"/>
              <w:jc w:val="both"/>
              <w:rPr>
                <w:rFonts w:eastAsia="Times New Roman" w:cs="Times New Roman"/>
                <w:noProof/>
              </w:rPr>
            </w:pPr>
            <w:r>
              <w:rPr>
                <w:noProof/>
              </w:rPr>
              <w:t>Najmanje 4300 škola s novim tehnološkim resursima za informatičke laboratorije u skladu sa zahtjevima u ključnoj etapi 477.</w:t>
            </w:r>
          </w:p>
        </w:tc>
      </w:tr>
      <w:tr w:rsidR="003F46B9" w14:paraId="694FF96F"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2467FE8" w14:textId="77777777" w:rsidR="003F46B9" w:rsidRDefault="0065662E">
            <w:pPr>
              <w:pStyle w:val="P68B1DB1-Normal5"/>
              <w:spacing w:after="0" w:line="240" w:lineRule="auto"/>
              <w:jc w:val="center"/>
              <w:rPr>
                <w:rFonts w:cs="Times New Roman"/>
                <w:noProof/>
              </w:rPr>
            </w:pPr>
            <w:r>
              <w:rPr>
                <w:noProof/>
              </w:rPr>
              <w:t>483</w:t>
            </w:r>
          </w:p>
        </w:tc>
        <w:tc>
          <w:tcPr>
            <w:tcW w:w="1795" w:type="dxa"/>
            <w:tcBorders>
              <w:top w:val="single" w:sz="4" w:space="0" w:color="auto"/>
              <w:left w:val="nil"/>
              <w:bottom w:val="single" w:sz="4" w:space="0" w:color="auto"/>
              <w:right w:val="single" w:sz="4" w:space="0" w:color="auto"/>
            </w:tcBorders>
            <w:shd w:val="clear" w:color="auto" w:fill="C6EFCE"/>
            <w:noWrap/>
          </w:tcPr>
          <w:p w14:paraId="75A5B68D" w14:textId="77777777" w:rsidR="003F46B9" w:rsidRDefault="0065662E">
            <w:pPr>
              <w:pStyle w:val="P68B1DB1-Normal5"/>
              <w:spacing w:after="0" w:line="240" w:lineRule="auto"/>
              <w:jc w:val="both"/>
              <w:rPr>
                <w:rFonts w:cs="Times New Roman"/>
                <w:noProof/>
              </w:rPr>
            </w:pPr>
            <w:r>
              <w:rPr>
                <w:noProof/>
              </w:rPr>
              <w:t>Ulaganje 9. Osiguravanje digitalne tehnološke opreme i resursa za škole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159462A"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8E5BEB5" w14:textId="77777777" w:rsidR="003F46B9" w:rsidRDefault="0065662E">
            <w:pPr>
              <w:pStyle w:val="P68B1DB1-Normal5"/>
              <w:spacing w:after="0" w:line="240" w:lineRule="auto"/>
              <w:jc w:val="both"/>
              <w:rPr>
                <w:rFonts w:cs="Times New Roman"/>
                <w:noProof/>
              </w:rPr>
            </w:pPr>
            <w:r>
              <w:rPr>
                <w:noProof/>
              </w:rPr>
              <w:t>Škole s tehnološkom infrastrukturom i opremom</w:t>
            </w:r>
          </w:p>
          <w:p w14:paraId="70D1EC8F" w14:textId="77777777" w:rsidR="003F46B9" w:rsidRDefault="003F46B9">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406D1CBD"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4F462FD"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1E866612"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5067212" w14:textId="77777777" w:rsidR="003F46B9" w:rsidRDefault="0065662E">
            <w:pPr>
              <w:pStyle w:val="P68B1DB1-Normal5"/>
              <w:spacing w:after="0" w:line="240" w:lineRule="auto"/>
              <w:jc w:val="both"/>
              <w:rPr>
                <w:rFonts w:cs="Times New Roman"/>
                <w:noProof/>
              </w:rPr>
            </w:pPr>
            <w:r>
              <w:rPr>
                <w:noProof/>
              </w:rPr>
              <w:t>3 600</w:t>
            </w:r>
          </w:p>
        </w:tc>
        <w:tc>
          <w:tcPr>
            <w:tcW w:w="1417" w:type="dxa"/>
            <w:tcBorders>
              <w:top w:val="single" w:sz="4" w:space="0" w:color="auto"/>
              <w:left w:val="nil"/>
              <w:bottom w:val="single" w:sz="4" w:space="0" w:color="auto"/>
              <w:right w:val="single" w:sz="4" w:space="0" w:color="auto"/>
            </w:tcBorders>
            <w:shd w:val="clear" w:color="auto" w:fill="C6EFCE"/>
            <w:noWrap/>
          </w:tcPr>
          <w:p w14:paraId="0352D27E"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1B61D6DC"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137C7A69" w14:textId="77777777" w:rsidR="003F46B9" w:rsidRDefault="0065662E">
            <w:pPr>
              <w:pStyle w:val="P68B1DB1-Normal5"/>
              <w:spacing w:after="0" w:line="240" w:lineRule="auto"/>
              <w:jc w:val="both"/>
              <w:rPr>
                <w:rFonts w:cs="Times New Roman"/>
                <w:noProof/>
              </w:rPr>
            </w:pPr>
            <w:r>
              <w:rPr>
                <w:noProof/>
              </w:rPr>
              <w:t>Najmanje 3600 škola s novom tehnološkom infrastrukturom i opremom u skladu sa zahtjevima iz 477.</w:t>
            </w:r>
          </w:p>
          <w:p w14:paraId="2970D960"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594F384E"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C21150E" w14:textId="77777777" w:rsidR="003F46B9" w:rsidRDefault="0065662E">
            <w:pPr>
              <w:pStyle w:val="P68B1DB1-Normal5"/>
              <w:spacing w:after="0" w:line="240" w:lineRule="auto"/>
              <w:jc w:val="center"/>
              <w:rPr>
                <w:rFonts w:cs="Times New Roman"/>
                <w:noProof/>
              </w:rPr>
            </w:pPr>
            <w:r>
              <w:rPr>
                <w:noProof/>
              </w:rPr>
              <w:t>484</w:t>
            </w:r>
          </w:p>
        </w:tc>
        <w:tc>
          <w:tcPr>
            <w:tcW w:w="1795" w:type="dxa"/>
            <w:tcBorders>
              <w:top w:val="single" w:sz="4" w:space="0" w:color="auto"/>
              <w:left w:val="nil"/>
              <w:bottom w:val="single" w:sz="4" w:space="0" w:color="auto"/>
              <w:right w:val="single" w:sz="4" w:space="0" w:color="auto"/>
            </w:tcBorders>
            <w:shd w:val="clear" w:color="auto" w:fill="C6EFCE"/>
            <w:noWrap/>
          </w:tcPr>
          <w:p w14:paraId="5C318BFB" w14:textId="77777777" w:rsidR="003F46B9" w:rsidRDefault="0065662E">
            <w:pPr>
              <w:pStyle w:val="P68B1DB1-Normal5"/>
              <w:spacing w:after="0" w:line="240" w:lineRule="auto"/>
              <w:jc w:val="both"/>
              <w:rPr>
                <w:rFonts w:cs="Times New Roman"/>
                <w:noProof/>
              </w:rPr>
            </w:pPr>
            <w:r>
              <w:rPr>
                <w:noProof/>
              </w:rPr>
              <w:t>Ulaganje 9. Osiguravanje digitalne tehnološke opreme i resursa za škole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73D40A7A"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28A2D28C" w14:textId="77777777" w:rsidR="003F46B9" w:rsidRDefault="0065662E">
            <w:pPr>
              <w:pStyle w:val="P68B1DB1-Normal5"/>
              <w:spacing w:after="0" w:line="240" w:lineRule="auto"/>
              <w:jc w:val="both"/>
              <w:rPr>
                <w:rFonts w:cs="Times New Roman"/>
                <w:noProof/>
              </w:rPr>
            </w:pPr>
            <w:r>
              <w:rPr>
                <w:noProof/>
              </w:rPr>
              <w:t xml:space="preserve">Pametni laboratoriji kupljeni za </w:t>
            </w:r>
            <w:r>
              <w:rPr>
                <w:noProof/>
              </w:rPr>
              <w:t>jedinice srednjeg i srednjeg obrazovanja</w:t>
            </w:r>
          </w:p>
        </w:tc>
        <w:tc>
          <w:tcPr>
            <w:tcW w:w="1843" w:type="dxa"/>
            <w:tcBorders>
              <w:top w:val="single" w:sz="4" w:space="0" w:color="auto"/>
              <w:left w:val="nil"/>
              <w:bottom w:val="single" w:sz="4" w:space="0" w:color="auto"/>
              <w:right w:val="single" w:sz="4" w:space="0" w:color="auto"/>
            </w:tcBorders>
            <w:shd w:val="clear" w:color="auto" w:fill="C6EFCE"/>
            <w:noWrap/>
          </w:tcPr>
          <w:p w14:paraId="097411D0"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44DC20F1"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4BE8A939"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37B0CA39" w14:textId="77777777" w:rsidR="003F46B9" w:rsidRDefault="0065662E">
            <w:pPr>
              <w:pStyle w:val="P68B1DB1-Normal5"/>
              <w:spacing w:after="0" w:line="240" w:lineRule="auto"/>
              <w:jc w:val="both"/>
              <w:rPr>
                <w:rFonts w:cs="Times New Roman"/>
                <w:noProof/>
              </w:rPr>
            </w:pPr>
            <w:r>
              <w:rPr>
                <w:noProof/>
              </w:rPr>
              <w:t>1 100</w:t>
            </w:r>
          </w:p>
        </w:tc>
        <w:tc>
          <w:tcPr>
            <w:tcW w:w="1417" w:type="dxa"/>
            <w:tcBorders>
              <w:top w:val="single" w:sz="4" w:space="0" w:color="auto"/>
              <w:left w:val="nil"/>
              <w:bottom w:val="single" w:sz="4" w:space="0" w:color="auto"/>
              <w:right w:val="single" w:sz="4" w:space="0" w:color="auto"/>
            </w:tcBorders>
            <w:shd w:val="clear" w:color="auto" w:fill="C6EFCE"/>
            <w:noWrap/>
          </w:tcPr>
          <w:p w14:paraId="144AB05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105CE0D1"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6295D29" w14:textId="77777777" w:rsidR="003F46B9" w:rsidRDefault="0065662E">
            <w:pPr>
              <w:pStyle w:val="P68B1DB1-Normal5"/>
              <w:spacing w:after="0" w:line="240" w:lineRule="auto"/>
              <w:jc w:val="both"/>
              <w:rPr>
                <w:rFonts w:cs="Times New Roman"/>
                <w:noProof/>
              </w:rPr>
            </w:pPr>
            <w:r>
              <w:rPr>
                <w:noProof/>
              </w:rPr>
              <w:t>Najmanje 1100 pametnih laboratorija stečenih u skladu sa zahtjevima u ključnoj etapi 477.</w:t>
            </w:r>
          </w:p>
          <w:p w14:paraId="0BE7C052" w14:textId="77777777" w:rsidR="003F46B9" w:rsidRDefault="003F46B9">
            <w:pPr>
              <w:spacing w:after="0" w:line="240" w:lineRule="auto"/>
              <w:jc w:val="both"/>
              <w:rPr>
                <w:rFonts w:ascii="Times New Roman" w:hAnsi="Times New Roman" w:cs="Times New Roman"/>
                <w:noProof/>
                <w:sz w:val="24"/>
              </w:rPr>
            </w:pPr>
          </w:p>
          <w:p w14:paraId="54C9B5C5" w14:textId="77777777" w:rsidR="003F46B9" w:rsidRDefault="003F46B9">
            <w:pPr>
              <w:spacing w:after="0" w:line="240" w:lineRule="auto"/>
              <w:jc w:val="both"/>
              <w:rPr>
                <w:rFonts w:ascii="Times New Roman" w:eastAsia="Times New Roman" w:hAnsi="Times New Roman" w:cs="Times New Roman"/>
                <w:noProof/>
                <w:sz w:val="24"/>
              </w:rPr>
            </w:pPr>
          </w:p>
        </w:tc>
      </w:tr>
      <w:tr w:rsidR="003F46B9" w14:paraId="0F735326"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F2FFE33" w14:textId="77777777" w:rsidR="003F46B9" w:rsidRDefault="0065662E">
            <w:pPr>
              <w:pStyle w:val="P68B1DB1-Normal5"/>
              <w:spacing w:after="0" w:line="240" w:lineRule="auto"/>
              <w:jc w:val="center"/>
              <w:rPr>
                <w:rFonts w:cs="Times New Roman"/>
                <w:noProof/>
              </w:rPr>
            </w:pPr>
            <w:r>
              <w:rPr>
                <w:noProof/>
              </w:rPr>
              <w:t>485</w:t>
            </w:r>
          </w:p>
        </w:tc>
        <w:tc>
          <w:tcPr>
            <w:tcW w:w="1795" w:type="dxa"/>
            <w:tcBorders>
              <w:top w:val="single" w:sz="4" w:space="0" w:color="auto"/>
              <w:left w:val="nil"/>
              <w:bottom w:val="single" w:sz="4" w:space="0" w:color="auto"/>
              <w:right w:val="single" w:sz="4" w:space="0" w:color="auto"/>
            </w:tcBorders>
            <w:shd w:val="clear" w:color="auto" w:fill="C6EFCE"/>
            <w:noWrap/>
          </w:tcPr>
          <w:p w14:paraId="7F37B9A6" w14:textId="77777777" w:rsidR="003F46B9" w:rsidRDefault="0065662E">
            <w:pPr>
              <w:pStyle w:val="P68B1DB1-Normal5"/>
              <w:spacing w:after="0" w:line="240" w:lineRule="auto"/>
              <w:jc w:val="both"/>
              <w:rPr>
                <w:rFonts w:cs="Times New Roman"/>
                <w:noProof/>
              </w:rPr>
            </w:pPr>
            <w:r>
              <w:rPr>
                <w:noProof/>
              </w:rPr>
              <w:t xml:space="preserve">Reforma 6. </w:t>
            </w:r>
          </w:p>
          <w:p w14:paraId="17DA0E51" w14:textId="77777777" w:rsidR="003F46B9" w:rsidRDefault="0065662E">
            <w:pPr>
              <w:pStyle w:val="P68B1DB1-Normal5"/>
              <w:spacing w:after="0" w:line="240" w:lineRule="auto"/>
              <w:jc w:val="both"/>
              <w:rPr>
                <w:rFonts w:cs="Times New Roman"/>
                <w:noProof/>
              </w:rPr>
            </w:pPr>
            <w:r>
              <w:rPr>
                <w:noProof/>
              </w:rPr>
              <w:t xml:space="preserve">Ažurirani regulatorni okvir kako bi se osigurali ekološki prihvatljivi </w:t>
            </w:r>
            <w:r>
              <w:rPr>
                <w:noProof/>
              </w:rPr>
              <w:t>standardi projektiranja, izgradnje i dotacije u sustavu predsveučilišnog obrazovanja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363FA64"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4D899450" w14:textId="77777777" w:rsidR="003F46B9" w:rsidRDefault="0065662E">
            <w:pPr>
              <w:pStyle w:val="P68B1DB1-Normal5"/>
              <w:spacing w:after="0" w:line="240" w:lineRule="auto"/>
              <w:jc w:val="both"/>
              <w:rPr>
                <w:rFonts w:cs="Times New Roman"/>
                <w:noProof/>
              </w:rPr>
            </w:pPr>
            <w:r>
              <w:rPr>
                <w:noProof/>
              </w:rPr>
              <w:t xml:space="preserve">Stupanje na snagu izmjena zakonodavnog okvira radi povećanja kvalitete okruženja za učenje </w:t>
            </w:r>
          </w:p>
        </w:tc>
        <w:tc>
          <w:tcPr>
            <w:tcW w:w="1843" w:type="dxa"/>
            <w:tcBorders>
              <w:top w:val="single" w:sz="4" w:space="0" w:color="auto"/>
              <w:left w:val="nil"/>
              <w:bottom w:val="single" w:sz="4" w:space="0" w:color="auto"/>
              <w:right w:val="single" w:sz="4" w:space="0" w:color="auto"/>
            </w:tcBorders>
            <w:shd w:val="clear" w:color="auto" w:fill="C6EFCE"/>
            <w:noWrap/>
          </w:tcPr>
          <w:p w14:paraId="320B8D91" w14:textId="77777777" w:rsidR="003F46B9" w:rsidRDefault="0065662E">
            <w:pPr>
              <w:pStyle w:val="P68B1DB1-Normal5"/>
              <w:spacing w:after="0" w:line="240" w:lineRule="auto"/>
              <w:jc w:val="both"/>
              <w:rPr>
                <w:rFonts w:cs="Times New Roman"/>
                <w:noProof/>
              </w:rPr>
            </w:pPr>
            <w:r>
              <w:rPr>
                <w:noProof/>
              </w:rPr>
              <w:t>Zakonska odredba o stupanju na snagu novog zakonodavnog okvira za p</w:t>
            </w:r>
            <w:r>
              <w:rPr>
                <w:noProof/>
              </w:rPr>
              <w:t xml:space="preserve">ovećanje kvalitete okruženja za učenje </w:t>
            </w:r>
          </w:p>
        </w:tc>
        <w:tc>
          <w:tcPr>
            <w:tcW w:w="1134" w:type="dxa"/>
            <w:tcBorders>
              <w:top w:val="single" w:sz="4" w:space="0" w:color="auto"/>
              <w:left w:val="nil"/>
              <w:bottom w:val="single" w:sz="4" w:space="0" w:color="auto"/>
              <w:right w:val="single" w:sz="4" w:space="0" w:color="auto"/>
            </w:tcBorders>
            <w:shd w:val="clear" w:color="auto" w:fill="C6EFCE"/>
            <w:noWrap/>
          </w:tcPr>
          <w:p w14:paraId="0042B89D"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1AB116B6"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16C0F606"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03AB04FF"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52EB62AF"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B35A852" w14:textId="77777777" w:rsidR="003F46B9" w:rsidRDefault="0065662E">
            <w:pPr>
              <w:pStyle w:val="P68B1DB1-Normal5"/>
              <w:spacing w:after="0" w:line="240" w:lineRule="auto"/>
              <w:jc w:val="both"/>
              <w:rPr>
                <w:rFonts w:cs="Times New Roman"/>
                <w:noProof/>
              </w:rPr>
            </w:pPr>
            <w:r>
              <w:rPr>
                <w:noProof/>
              </w:rPr>
              <w:t>U kontekstu prelaska na zelene i pametne zgrade postoji potreba za reformom regulatornog okvira za projektiranje, dotaciju i rad škola. Novi zakon uključuje:</w:t>
            </w:r>
          </w:p>
          <w:p w14:paraId="448715F9" w14:textId="77777777" w:rsidR="003F46B9" w:rsidRDefault="0065662E">
            <w:pPr>
              <w:pStyle w:val="P68B1DB1-Normal5"/>
              <w:numPr>
                <w:ilvl w:val="0"/>
                <w:numId w:val="121"/>
              </w:numPr>
              <w:spacing w:before="120" w:after="0" w:line="240" w:lineRule="auto"/>
              <w:ind w:left="189" w:hanging="142"/>
              <w:contextualSpacing/>
              <w:jc w:val="both"/>
              <w:rPr>
                <w:rFonts w:cs="Times New Roman"/>
                <w:noProof/>
              </w:rPr>
            </w:pPr>
            <w:r>
              <w:rPr>
                <w:noProof/>
              </w:rPr>
              <w:t>Pravilnik o projektiranju i radu zg</w:t>
            </w:r>
            <w:r>
              <w:rPr>
                <w:noProof/>
              </w:rPr>
              <w:t>rada za škole i srednje škole (Normative 010/1997);</w:t>
            </w:r>
          </w:p>
          <w:p w14:paraId="0D62D68A" w14:textId="505C5279" w:rsidR="003F46B9" w:rsidRDefault="0065662E">
            <w:pPr>
              <w:pStyle w:val="P68B1DB1-Normal5"/>
              <w:numPr>
                <w:ilvl w:val="0"/>
                <w:numId w:val="121"/>
              </w:numPr>
              <w:spacing w:before="120" w:after="0" w:line="240" w:lineRule="auto"/>
              <w:ind w:left="189" w:hanging="142"/>
              <w:contextualSpacing/>
              <w:jc w:val="both"/>
              <w:rPr>
                <w:rFonts w:cs="Times New Roman"/>
                <w:noProof/>
              </w:rPr>
            </w:pPr>
            <w:r>
              <w:rPr>
                <w:noProof/>
              </w:rPr>
              <w:t>Ažuriranjem/izrađivanjem minimalnih sredstava ažuriranjem sljedećih zakonodavnih akata: Minimalna sredstva za razrede od V. do VIII., odobrena Ministarskom odlukom 3486/2006, Pravilnik o minimalnim dotaci</w:t>
            </w:r>
            <w:r>
              <w:rPr>
                <w:noProof/>
              </w:rPr>
              <w:t>ji za osnovnoškolsko obrazovanje Odluka br. 3263/2006, Predškolski standardi i propisi, Prilog 1. Standardi za nastavni materijal i 0 Prilog 2. o minimalnim standardima za opremu, odobreni Ministarskom odlukom 3850/2010</w:t>
            </w:r>
          </w:p>
          <w:p w14:paraId="23CD20E2" w14:textId="77777777" w:rsidR="003F46B9" w:rsidRDefault="0065662E">
            <w:pPr>
              <w:pStyle w:val="P68B1DB1-Normal5"/>
              <w:spacing w:after="0" w:line="240" w:lineRule="auto"/>
              <w:ind w:left="93"/>
              <w:jc w:val="both"/>
              <w:rPr>
                <w:rFonts w:cs="Times New Roman"/>
                <w:noProof/>
              </w:rPr>
            </w:pPr>
            <w:r>
              <w:rPr>
                <w:noProof/>
              </w:rPr>
              <w:t>Regulatorni okvir za provedbu ulagan</w:t>
            </w:r>
            <w:r>
              <w:rPr>
                <w:noProof/>
              </w:rPr>
              <w:t xml:space="preserve">ja u prijelaz na zelene zgrade dopunjuje se propisima o funkcioniranju zelenih škola i metodologijama za rad i organizaciju zelenih škola, uključujući prilagođeni kurikulum, kojima se utvrđuju nastavne znamenitosti za poticanje ponašanja učenika kojima se </w:t>
            </w:r>
            <w:r>
              <w:rPr>
                <w:noProof/>
              </w:rPr>
              <w:t>poštuje prirodni okoliš.</w:t>
            </w:r>
          </w:p>
        </w:tc>
      </w:tr>
      <w:tr w:rsidR="003F46B9" w14:paraId="661805FE"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6499280" w14:textId="77777777" w:rsidR="003F46B9" w:rsidRDefault="0065662E">
            <w:pPr>
              <w:pStyle w:val="P68B1DB1-Normal5"/>
              <w:spacing w:after="0" w:line="240" w:lineRule="auto"/>
              <w:jc w:val="center"/>
              <w:rPr>
                <w:rFonts w:cs="Times New Roman"/>
                <w:noProof/>
              </w:rPr>
            </w:pPr>
            <w:r>
              <w:rPr>
                <w:noProof/>
              </w:rPr>
              <w:t>486</w:t>
            </w:r>
          </w:p>
        </w:tc>
        <w:tc>
          <w:tcPr>
            <w:tcW w:w="1795" w:type="dxa"/>
            <w:tcBorders>
              <w:top w:val="single" w:sz="4" w:space="0" w:color="auto"/>
              <w:left w:val="nil"/>
              <w:bottom w:val="single" w:sz="4" w:space="0" w:color="auto"/>
              <w:right w:val="single" w:sz="4" w:space="0" w:color="auto"/>
            </w:tcBorders>
            <w:shd w:val="clear" w:color="auto" w:fill="C6EFCE"/>
            <w:noWrap/>
          </w:tcPr>
          <w:p w14:paraId="5F860D18" w14:textId="77777777" w:rsidR="003F46B9" w:rsidRDefault="0065662E">
            <w:pPr>
              <w:pStyle w:val="P68B1DB1-Normal5"/>
              <w:spacing w:after="0" w:line="240" w:lineRule="auto"/>
              <w:jc w:val="both"/>
              <w:rPr>
                <w:rFonts w:cs="Times New Roman"/>
                <w:noProof/>
              </w:rPr>
            </w:pPr>
            <w:r>
              <w:rPr>
                <w:noProof/>
              </w:rPr>
              <w:t>Ulaganje 10. Razvoj mreže zelenih škola i kupnja zelenih minibusa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4B12E55"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C4B39D7" w14:textId="77777777" w:rsidR="003F46B9" w:rsidRDefault="0065662E">
            <w:pPr>
              <w:pStyle w:val="P68B1DB1-Normal5"/>
              <w:spacing w:after="0" w:line="240" w:lineRule="auto"/>
              <w:jc w:val="both"/>
              <w:rPr>
                <w:rFonts w:cs="Times New Roman"/>
                <w:noProof/>
              </w:rPr>
            </w:pPr>
            <w:r>
              <w:rPr>
                <w:noProof/>
              </w:rPr>
              <w:t>Električni minibusi kupljeni i u uporabi</w:t>
            </w:r>
          </w:p>
        </w:tc>
        <w:tc>
          <w:tcPr>
            <w:tcW w:w="1843" w:type="dxa"/>
            <w:tcBorders>
              <w:top w:val="single" w:sz="4" w:space="0" w:color="auto"/>
              <w:left w:val="nil"/>
              <w:bottom w:val="single" w:sz="4" w:space="0" w:color="auto"/>
              <w:right w:val="single" w:sz="4" w:space="0" w:color="auto"/>
            </w:tcBorders>
            <w:shd w:val="clear" w:color="auto" w:fill="C6EFCE"/>
            <w:noWrap/>
          </w:tcPr>
          <w:p w14:paraId="3CF6A11B"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5C8F64E5"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041E881A"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3CF3EED" w14:textId="49636876" w:rsidR="003F46B9" w:rsidRDefault="0065662E">
            <w:pPr>
              <w:pStyle w:val="P68B1DB1-Normal5"/>
              <w:spacing w:after="0" w:line="240" w:lineRule="auto"/>
              <w:jc w:val="both"/>
              <w:rPr>
                <w:rFonts w:cs="Times New Roman"/>
                <w:noProof/>
              </w:rPr>
            </w:pPr>
            <w:r>
              <w:rPr>
                <w:noProof/>
              </w:rPr>
              <w:t>1 218</w:t>
            </w:r>
          </w:p>
        </w:tc>
        <w:tc>
          <w:tcPr>
            <w:tcW w:w="1417" w:type="dxa"/>
            <w:tcBorders>
              <w:top w:val="single" w:sz="4" w:space="0" w:color="auto"/>
              <w:left w:val="nil"/>
              <w:bottom w:val="single" w:sz="4" w:space="0" w:color="auto"/>
              <w:right w:val="single" w:sz="4" w:space="0" w:color="auto"/>
            </w:tcBorders>
            <w:shd w:val="clear" w:color="auto" w:fill="C6EFCE"/>
            <w:noWrap/>
          </w:tcPr>
          <w:p w14:paraId="60ADDF4A" w14:textId="3DA75025"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095C07E2" w14:textId="56BA7ECC" w:rsidR="003F46B9" w:rsidRDefault="0065662E">
            <w:pPr>
              <w:pStyle w:val="P68B1DB1-Normal5"/>
              <w:spacing w:after="0" w:line="240" w:lineRule="auto"/>
              <w:jc w:val="both"/>
              <w:rPr>
                <w:rFonts w:cs="Times New Roman"/>
                <w:noProof/>
              </w:rPr>
            </w:pPr>
            <w:r>
              <w:rPr>
                <w:noProof/>
              </w:rPr>
              <w:t xml:space="preserve"> 2024</w:t>
            </w:r>
          </w:p>
        </w:tc>
        <w:tc>
          <w:tcPr>
            <w:tcW w:w="2404" w:type="dxa"/>
            <w:tcBorders>
              <w:top w:val="single" w:sz="4" w:space="0" w:color="auto"/>
              <w:left w:val="nil"/>
              <w:bottom w:val="single" w:sz="4" w:space="0" w:color="auto"/>
              <w:right w:val="single" w:sz="4" w:space="0" w:color="auto"/>
            </w:tcBorders>
            <w:shd w:val="clear" w:color="auto" w:fill="C6EFCE"/>
            <w:noWrap/>
          </w:tcPr>
          <w:p w14:paraId="2AA70F18" w14:textId="4B9F2C67" w:rsidR="003F46B9" w:rsidRDefault="0065662E">
            <w:pPr>
              <w:pStyle w:val="P68B1DB1-Normal5"/>
              <w:spacing w:after="0" w:line="240" w:lineRule="auto"/>
              <w:jc w:val="both"/>
              <w:rPr>
                <w:rFonts w:cs="Times New Roman"/>
                <w:noProof/>
              </w:rPr>
            </w:pPr>
            <w:r>
              <w:rPr>
                <w:noProof/>
              </w:rPr>
              <w:t xml:space="preserve">1218 električnih mini-autobusa kupuje se i upotrebljava za prijevoz </w:t>
            </w:r>
            <w:r>
              <w:rPr>
                <w:noProof/>
              </w:rPr>
              <w:t>studenata na izoliranim mjestima, posebno u ruralnim područjima.</w:t>
            </w:r>
          </w:p>
          <w:p w14:paraId="65FAC2B7" w14:textId="77777777" w:rsidR="003F46B9" w:rsidRDefault="0065662E">
            <w:pPr>
              <w:pStyle w:val="P68B1DB1-Normal5"/>
              <w:spacing w:after="0" w:line="240" w:lineRule="auto"/>
              <w:jc w:val="both"/>
              <w:rPr>
                <w:rFonts w:cs="Times New Roman"/>
                <w:noProof/>
              </w:rPr>
            </w:pPr>
            <w:r>
              <w:rPr>
                <w:noProof/>
              </w:rPr>
              <w:t xml:space="preserve">Kriteriji koji se uzimaju u obzir pri odabiru korisnika uključuju broj učenika koji putuju na posao, udaljenost putovanja na posao, jednaku geografsku raspodjelu, električnu povezanost škola </w:t>
            </w:r>
            <w:r>
              <w:rPr>
                <w:noProof/>
              </w:rPr>
              <w:t>ili spremnost na postavljanje stanice za punjenje.</w:t>
            </w:r>
          </w:p>
          <w:p w14:paraId="600CCCC2" w14:textId="77777777" w:rsidR="003F46B9" w:rsidRDefault="0065662E">
            <w:pPr>
              <w:pStyle w:val="P68B1DB1-Normal5"/>
              <w:spacing w:after="0" w:line="240" w:lineRule="auto"/>
              <w:jc w:val="both"/>
              <w:rPr>
                <w:rFonts w:eastAsia="Times New Roman" w:cs="Times New Roman"/>
                <w:noProof/>
              </w:rPr>
            </w:pPr>
            <w:r>
              <w:rPr>
                <w:noProof/>
              </w:rPr>
              <w:t>Postupak javnog plaćanja za električne minibuse pokreće se putem ISJ-a/UAT-a (Inspektorati škola/upravne i teritorijalne jedinice).</w:t>
            </w:r>
          </w:p>
        </w:tc>
      </w:tr>
      <w:tr w:rsidR="003F46B9" w14:paraId="56D497D5"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42AAC11B" w14:textId="77777777" w:rsidR="003F46B9" w:rsidRDefault="0065662E">
            <w:pPr>
              <w:pStyle w:val="P68B1DB1-Normal5"/>
              <w:spacing w:after="0" w:line="240" w:lineRule="auto"/>
              <w:jc w:val="center"/>
              <w:rPr>
                <w:rFonts w:cs="Times New Roman"/>
                <w:noProof/>
              </w:rPr>
            </w:pPr>
            <w:r>
              <w:rPr>
                <w:noProof/>
              </w:rPr>
              <w:t>487</w:t>
            </w:r>
          </w:p>
        </w:tc>
        <w:tc>
          <w:tcPr>
            <w:tcW w:w="1795" w:type="dxa"/>
            <w:tcBorders>
              <w:top w:val="single" w:sz="4" w:space="0" w:color="auto"/>
              <w:left w:val="nil"/>
              <w:bottom w:val="single" w:sz="4" w:space="0" w:color="auto"/>
              <w:right w:val="single" w:sz="4" w:space="0" w:color="auto"/>
            </w:tcBorders>
            <w:shd w:val="clear" w:color="auto" w:fill="C6EFCE"/>
            <w:noWrap/>
          </w:tcPr>
          <w:p w14:paraId="2BBF0EDD" w14:textId="77777777" w:rsidR="003F46B9" w:rsidRDefault="0065662E">
            <w:pPr>
              <w:pStyle w:val="P68B1DB1-Normal5"/>
              <w:spacing w:after="0" w:line="240" w:lineRule="auto"/>
              <w:jc w:val="both"/>
              <w:rPr>
                <w:rFonts w:cs="Times New Roman"/>
                <w:noProof/>
              </w:rPr>
            </w:pPr>
            <w:r>
              <w:rPr>
                <w:noProof/>
              </w:rPr>
              <w:t>Ulaganje 10. Razvoj mreže zelenih škola i kupnja zelenih minibusa</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5BA9F6E5"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22719B64" w14:textId="77777777" w:rsidR="003F46B9" w:rsidRDefault="0065662E">
            <w:pPr>
              <w:pStyle w:val="P68B1DB1-Normal5"/>
              <w:spacing w:after="0" w:line="240" w:lineRule="auto"/>
              <w:jc w:val="both"/>
              <w:rPr>
                <w:rFonts w:cs="Times New Roman"/>
                <w:noProof/>
              </w:rPr>
            </w:pPr>
            <w:r>
              <w:rPr>
                <w:noProof/>
              </w:rPr>
              <w:t>Predsveučilišno školsko područje obnovljeno je kako bi postalo zelene škole</w:t>
            </w:r>
          </w:p>
        </w:tc>
        <w:tc>
          <w:tcPr>
            <w:tcW w:w="1843" w:type="dxa"/>
            <w:tcBorders>
              <w:top w:val="single" w:sz="4" w:space="0" w:color="auto"/>
              <w:left w:val="nil"/>
              <w:bottom w:val="single" w:sz="4" w:space="0" w:color="auto"/>
              <w:right w:val="single" w:sz="4" w:space="0" w:color="auto"/>
            </w:tcBorders>
            <w:shd w:val="clear" w:color="auto" w:fill="C6EFCE"/>
            <w:noWrap/>
          </w:tcPr>
          <w:p w14:paraId="7B6309E4"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217F635F" w14:textId="77777777" w:rsidR="003F46B9" w:rsidRDefault="0065662E">
            <w:pPr>
              <w:pStyle w:val="P68B1DB1-Normal5"/>
              <w:spacing w:after="0" w:line="240" w:lineRule="auto"/>
              <w:jc w:val="both"/>
              <w:rPr>
                <w:rFonts w:cs="Times New Roman"/>
                <w:noProof/>
              </w:rPr>
            </w:pPr>
            <w:r>
              <w:rPr>
                <w:noProof/>
              </w:rPr>
              <w:t>Broj m</w:t>
            </w:r>
            <w:r>
              <w:rPr>
                <w:noProof/>
                <w:vertAlign w:val="superscript"/>
              </w:rPr>
              <w:t>2</w:t>
            </w:r>
          </w:p>
        </w:tc>
        <w:tc>
          <w:tcPr>
            <w:tcW w:w="1276" w:type="dxa"/>
            <w:tcBorders>
              <w:top w:val="single" w:sz="4" w:space="0" w:color="auto"/>
              <w:left w:val="nil"/>
              <w:bottom w:val="single" w:sz="4" w:space="0" w:color="auto"/>
              <w:right w:val="single" w:sz="4" w:space="0" w:color="auto"/>
            </w:tcBorders>
            <w:shd w:val="clear" w:color="auto" w:fill="C6EFCE"/>
            <w:noWrap/>
          </w:tcPr>
          <w:p w14:paraId="2F13EA96"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72F48D44" w14:textId="60A58FC2" w:rsidR="003F46B9" w:rsidRDefault="0065662E">
            <w:pPr>
              <w:pStyle w:val="P68B1DB1-Normal5"/>
              <w:spacing w:after="0" w:line="240" w:lineRule="auto"/>
              <w:jc w:val="both"/>
              <w:rPr>
                <w:rFonts w:cs="Times New Roman"/>
                <w:noProof/>
              </w:rPr>
            </w:pPr>
            <w:r>
              <w:rPr>
                <w:noProof/>
              </w:rPr>
              <w:t>238 905</w:t>
            </w:r>
          </w:p>
        </w:tc>
        <w:tc>
          <w:tcPr>
            <w:tcW w:w="1417" w:type="dxa"/>
            <w:tcBorders>
              <w:top w:val="single" w:sz="4" w:space="0" w:color="auto"/>
              <w:left w:val="nil"/>
              <w:bottom w:val="single" w:sz="4" w:space="0" w:color="auto"/>
              <w:right w:val="single" w:sz="4" w:space="0" w:color="auto"/>
            </w:tcBorders>
            <w:shd w:val="clear" w:color="auto" w:fill="C6EFCE"/>
            <w:noWrap/>
          </w:tcPr>
          <w:p w14:paraId="2ADC7047"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5CC0FF5"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608D24BC" w14:textId="7FC699C6" w:rsidR="003F46B9" w:rsidRDefault="0065662E">
            <w:pPr>
              <w:pStyle w:val="P68B1DB1-Normal5"/>
              <w:spacing w:after="0" w:line="240" w:lineRule="auto"/>
              <w:jc w:val="both"/>
              <w:rPr>
                <w:rFonts w:cs="Times New Roman"/>
                <w:noProof/>
              </w:rPr>
            </w:pPr>
            <w:r>
              <w:rPr>
                <w:noProof/>
              </w:rPr>
              <w:t xml:space="preserve">Ministarstvo obrazovanja razvija mrežu održivih i ekološki prihvatljivih škola s kurikulumom koji se u velikoj mjeri temelji na </w:t>
            </w:r>
            <w:r>
              <w:rPr>
                <w:noProof/>
              </w:rPr>
              <w:t>obrazovanju o okolišu. 238 905 m 2</w:t>
            </w:r>
            <w:r>
              <w:rPr>
                <w:noProof/>
                <w:vertAlign w:val="superscript"/>
              </w:rPr>
              <w:t>ima</w:t>
            </w:r>
            <w:r>
              <w:rPr>
                <w:noProof/>
              </w:rPr>
              <w:t xml:space="preserve"> koristi od radova obnove (toplinska izolacija, solarne ploče, laboratoriji znanosti o prirodi, zelene površine, objekti za selektivno prikupljanje otpada).</w:t>
            </w:r>
          </w:p>
          <w:p w14:paraId="21C72E5E" w14:textId="77777777" w:rsidR="003F46B9" w:rsidRDefault="0065662E">
            <w:pPr>
              <w:pStyle w:val="P68B1DB1-Normal5"/>
              <w:spacing w:after="0" w:line="240" w:lineRule="auto"/>
              <w:jc w:val="both"/>
              <w:rPr>
                <w:rFonts w:cs="Times New Roman"/>
                <w:noProof/>
              </w:rPr>
            </w:pPr>
            <w:r>
              <w:rPr>
                <w:noProof/>
              </w:rPr>
              <w:t>Cilj odabira zelenih škola jest osigurati nacionalnu pokriveno</w:t>
            </w:r>
            <w:r>
              <w:rPr>
                <w:noProof/>
              </w:rPr>
              <w:t xml:space="preserve">st, kako u ruralnim tako i u urbanim područjima. </w:t>
            </w:r>
          </w:p>
          <w:p w14:paraId="714A9F77" w14:textId="77777777" w:rsidR="003F46B9" w:rsidRDefault="0065662E">
            <w:pPr>
              <w:pStyle w:val="P68B1DB1-Normal5"/>
              <w:spacing w:after="0" w:line="240" w:lineRule="auto"/>
              <w:jc w:val="both"/>
              <w:rPr>
                <w:rFonts w:eastAsia="Times New Roman" w:cs="Times New Roman"/>
                <w:noProof/>
              </w:rPr>
            </w:pPr>
            <w:r>
              <w:rPr>
                <w:noProof/>
              </w:rPr>
              <w:t xml:space="preserve"> Kad je riječ o obnovi, ugovori uključuju minimalni zahtjev za smanjenje potrošnje energije za grijanje za najmanje 50 % u usporedbi s godišnjom potrošnjom energije za grijanje prije obnove zgrade, čime se </w:t>
            </w:r>
            <w:r>
              <w:rPr>
                <w:noProof/>
              </w:rPr>
              <w:t>ostvaruje povećanje od 30 % uštede primarne energije u odnosu na stanje prije obnove.</w:t>
            </w:r>
          </w:p>
        </w:tc>
      </w:tr>
      <w:tr w:rsidR="003F46B9" w14:paraId="4B8AE36F"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4D1AD1B" w14:textId="77777777" w:rsidR="003F46B9" w:rsidRDefault="0065662E">
            <w:pPr>
              <w:pStyle w:val="P68B1DB1-Normal5"/>
              <w:spacing w:after="0" w:line="240" w:lineRule="auto"/>
              <w:jc w:val="center"/>
              <w:rPr>
                <w:rFonts w:cs="Times New Roman"/>
                <w:noProof/>
              </w:rPr>
            </w:pPr>
            <w:r>
              <w:rPr>
                <w:noProof/>
              </w:rPr>
              <w:t>488</w:t>
            </w:r>
          </w:p>
        </w:tc>
        <w:tc>
          <w:tcPr>
            <w:tcW w:w="1795" w:type="dxa"/>
            <w:tcBorders>
              <w:top w:val="single" w:sz="4" w:space="0" w:color="auto"/>
              <w:left w:val="nil"/>
              <w:bottom w:val="single" w:sz="4" w:space="0" w:color="auto"/>
              <w:right w:val="single" w:sz="4" w:space="0" w:color="auto"/>
            </w:tcBorders>
            <w:shd w:val="clear" w:color="auto" w:fill="C6EFCE"/>
            <w:noWrap/>
          </w:tcPr>
          <w:p w14:paraId="6AEABFC5" w14:textId="77777777" w:rsidR="003F46B9" w:rsidRDefault="0065662E">
            <w:pPr>
              <w:pStyle w:val="P68B1DB1-Normal5"/>
              <w:spacing w:after="0" w:line="240" w:lineRule="auto"/>
              <w:jc w:val="both"/>
              <w:rPr>
                <w:rFonts w:cs="Times New Roman"/>
                <w:noProof/>
              </w:rPr>
            </w:pPr>
            <w:r>
              <w:rPr>
                <w:noProof/>
              </w:rPr>
              <w:t xml:space="preserve">Ulaganje 10. Razvoj mreže zelenih škola i kupnja zelenih minibusa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ACBD609"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8DEFFA6" w14:textId="77777777" w:rsidR="003F46B9" w:rsidRDefault="0065662E">
            <w:pPr>
              <w:pStyle w:val="P68B1DB1-Normal5"/>
              <w:spacing w:after="0" w:line="240" w:lineRule="auto"/>
              <w:jc w:val="both"/>
              <w:rPr>
                <w:rFonts w:cs="Times New Roman"/>
                <w:noProof/>
              </w:rPr>
            </w:pPr>
            <w:r>
              <w:rPr>
                <w:noProof/>
              </w:rPr>
              <w:t xml:space="preserve">Izgrađeno i operativno područje nove zelene škole </w:t>
            </w:r>
          </w:p>
        </w:tc>
        <w:tc>
          <w:tcPr>
            <w:tcW w:w="1843" w:type="dxa"/>
            <w:tcBorders>
              <w:top w:val="single" w:sz="4" w:space="0" w:color="auto"/>
              <w:left w:val="nil"/>
              <w:bottom w:val="single" w:sz="4" w:space="0" w:color="auto"/>
              <w:right w:val="single" w:sz="4" w:space="0" w:color="auto"/>
            </w:tcBorders>
            <w:shd w:val="clear" w:color="auto" w:fill="C6EFCE"/>
            <w:noWrap/>
          </w:tcPr>
          <w:p w14:paraId="6E0237C1"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621C6A5" w14:textId="77777777" w:rsidR="003F46B9" w:rsidRDefault="0065662E">
            <w:pPr>
              <w:pStyle w:val="P68B1DB1-Normal5"/>
              <w:spacing w:after="0" w:line="240" w:lineRule="auto"/>
              <w:jc w:val="both"/>
              <w:rPr>
                <w:rFonts w:cs="Times New Roman"/>
                <w:noProof/>
              </w:rPr>
            </w:pPr>
            <w:r>
              <w:rPr>
                <w:noProof/>
              </w:rPr>
              <w:t>Broj m</w:t>
            </w:r>
            <w:r>
              <w:rPr>
                <w:noProof/>
                <w:vertAlign w:val="superscript"/>
              </w:rPr>
              <w:t>2</w:t>
            </w:r>
          </w:p>
        </w:tc>
        <w:tc>
          <w:tcPr>
            <w:tcW w:w="1276" w:type="dxa"/>
            <w:tcBorders>
              <w:top w:val="single" w:sz="4" w:space="0" w:color="auto"/>
              <w:left w:val="nil"/>
              <w:bottom w:val="single" w:sz="4" w:space="0" w:color="auto"/>
              <w:right w:val="single" w:sz="4" w:space="0" w:color="auto"/>
            </w:tcBorders>
            <w:shd w:val="clear" w:color="auto" w:fill="C6EFCE"/>
            <w:noWrap/>
          </w:tcPr>
          <w:p w14:paraId="38CE988F"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68BF8003" w14:textId="01064FE6" w:rsidR="003F46B9" w:rsidRDefault="0065662E">
            <w:pPr>
              <w:pStyle w:val="P68B1DB1-Normal5"/>
              <w:spacing w:after="0" w:line="240" w:lineRule="auto"/>
              <w:jc w:val="both"/>
              <w:rPr>
                <w:rFonts w:cs="Times New Roman"/>
                <w:noProof/>
              </w:rPr>
            </w:pPr>
            <w:r>
              <w:rPr>
                <w:noProof/>
              </w:rPr>
              <w:t>36 951</w:t>
            </w:r>
          </w:p>
        </w:tc>
        <w:tc>
          <w:tcPr>
            <w:tcW w:w="1417" w:type="dxa"/>
            <w:tcBorders>
              <w:top w:val="single" w:sz="4" w:space="0" w:color="auto"/>
              <w:left w:val="nil"/>
              <w:bottom w:val="single" w:sz="4" w:space="0" w:color="auto"/>
              <w:right w:val="single" w:sz="4" w:space="0" w:color="auto"/>
            </w:tcBorders>
            <w:shd w:val="clear" w:color="auto" w:fill="C6EFCE"/>
            <w:noWrap/>
          </w:tcPr>
          <w:p w14:paraId="159ED9AB" w14:textId="77777777" w:rsidR="003F46B9" w:rsidRDefault="0065662E">
            <w:pPr>
              <w:pStyle w:val="P68B1DB1-Normal5"/>
              <w:spacing w:after="0" w:line="240" w:lineRule="auto"/>
              <w:jc w:val="both"/>
              <w:rPr>
                <w:rFonts w:cs="Times New Roman"/>
                <w:noProof/>
              </w:rPr>
            </w:pPr>
            <w:r>
              <w:rPr>
                <w:noProof/>
              </w:rPr>
              <w:t>ČETVRTO 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0A114227" w14:textId="77777777" w:rsidR="003F46B9" w:rsidRDefault="0065662E">
            <w:pPr>
              <w:pStyle w:val="P68B1DB1-Normal5"/>
              <w:spacing w:after="0" w:line="240" w:lineRule="auto"/>
              <w:jc w:val="both"/>
              <w:rPr>
                <w:rFonts w:cs="Times New Roman"/>
                <w:noProof/>
              </w:rPr>
            </w:pPr>
            <w:r>
              <w:rPr>
                <w:noProof/>
              </w:rPr>
              <w:t>2025</w:t>
            </w:r>
          </w:p>
        </w:tc>
        <w:tc>
          <w:tcPr>
            <w:tcW w:w="2404" w:type="dxa"/>
            <w:tcBorders>
              <w:top w:val="single" w:sz="4" w:space="0" w:color="auto"/>
              <w:left w:val="nil"/>
              <w:bottom w:val="single" w:sz="4" w:space="0" w:color="auto"/>
              <w:right w:val="single" w:sz="4" w:space="0" w:color="auto"/>
            </w:tcBorders>
            <w:shd w:val="clear" w:color="auto" w:fill="C6EFCE"/>
            <w:noWrap/>
          </w:tcPr>
          <w:p w14:paraId="53237B27" w14:textId="60614707" w:rsidR="003F46B9" w:rsidRDefault="0065662E">
            <w:pPr>
              <w:pStyle w:val="P68B1DB1-Normal5"/>
              <w:spacing w:after="0" w:line="240" w:lineRule="auto"/>
              <w:jc w:val="both"/>
              <w:rPr>
                <w:rFonts w:cs="Times New Roman"/>
                <w:noProof/>
              </w:rPr>
            </w:pPr>
            <w:r>
              <w:rPr>
                <w:noProof/>
              </w:rPr>
              <w:t>Specijalizirana građevinska poduzeća u utvrđenim područjima rasta stanovništva grade 36 951 m 2</w:t>
            </w:r>
            <w:r>
              <w:rPr>
                <w:noProof/>
                <w:vertAlign w:val="superscript"/>
              </w:rPr>
              <w:t>zelene</w:t>
            </w:r>
            <w:r>
              <w:rPr>
                <w:noProof/>
              </w:rPr>
              <w:t xml:space="preserve"> škole. </w:t>
            </w:r>
          </w:p>
          <w:p w14:paraId="13386EB9" w14:textId="77777777" w:rsidR="003F46B9" w:rsidRDefault="0065662E">
            <w:pPr>
              <w:pStyle w:val="P68B1DB1-Normal5"/>
              <w:spacing w:after="0" w:line="240" w:lineRule="auto"/>
              <w:jc w:val="both"/>
              <w:rPr>
                <w:rFonts w:cs="Times New Roman"/>
                <w:noProof/>
              </w:rPr>
            </w:pPr>
            <w:r>
              <w:rPr>
                <w:noProof/>
              </w:rPr>
              <w:t>Zelene škole škole su visoke energetske učinkovitosti koje se grade s prirodnijim svjetlom, boljom ventilacijom i zelenim građevinskim materi</w:t>
            </w:r>
            <w:r>
              <w:rPr>
                <w:noProof/>
              </w:rPr>
              <w:t>jalima, kao što su tepihe i boje od prirodnih materijala koji se mogu reciklirati. Operativni troškovi za energiju i vodu u zelenoj školi mogu se smanjiti za 20 % do 40 %. Zahvaljujući vrsti građevina i postojećim objektima zelene škole znatno smanjuju emi</w:t>
            </w:r>
            <w:r>
              <w:rPr>
                <w:noProof/>
              </w:rPr>
              <w:t>sije ugljikova dioksida i potrošnju vode za do 32 %.</w:t>
            </w:r>
          </w:p>
          <w:p w14:paraId="76FC63BB" w14:textId="77777777" w:rsidR="003F46B9" w:rsidRDefault="0065662E">
            <w:pPr>
              <w:pStyle w:val="P68B1DB1-Normal5"/>
              <w:spacing w:after="0" w:line="240" w:lineRule="auto"/>
              <w:jc w:val="both"/>
              <w:rPr>
                <w:rFonts w:eastAsia="Times New Roman" w:cs="Times New Roman"/>
                <w:noProof/>
              </w:rPr>
            </w:pPr>
            <w:r>
              <w:rPr>
                <w:noProof/>
              </w:rPr>
              <w:t>Novoizgrađene zgrade moraju biti usklađene s ciljem postizanja potražnje za primarnom energijom (PED) koja je najmanje 20 % niža od zahtjeva za zgrade gotovo nulte energije u skladu s nacionalnim smjerni</w:t>
            </w:r>
            <w:r>
              <w:rPr>
                <w:noProof/>
              </w:rPr>
              <w:t xml:space="preserve">cama, što se osigurava energetskim certifikatima. </w:t>
            </w:r>
          </w:p>
        </w:tc>
      </w:tr>
      <w:tr w:rsidR="003F46B9" w14:paraId="1F3E4A2D"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A4405BF" w14:textId="77777777" w:rsidR="003F46B9" w:rsidRDefault="0065662E">
            <w:pPr>
              <w:pStyle w:val="P68B1DB1-Normal5"/>
              <w:spacing w:after="0" w:line="240" w:lineRule="auto"/>
              <w:jc w:val="center"/>
              <w:rPr>
                <w:rFonts w:cs="Times New Roman"/>
                <w:noProof/>
              </w:rPr>
            </w:pPr>
            <w:r>
              <w:rPr>
                <w:noProof/>
              </w:rPr>
              <w:t>489</w:t>
            </w:r>
          </w:p>
        </w:tc>
        <w:tc>
          <w:tcPr>
            <w:tcW w:w="1795" w:type="dxa"/>
            <w:tcBorders>
              <w:top w:val="single" w:sz="4" w:space="0" w:color="auto"/>
              <w:left w:val="nil"/>
              <w:bottom w:val="single" w:sz="4" w:space="0" w:color="auto"/>
              <w:right w:val="single" w:sz="4" w:space="0" w:color="auto"/>
            </w:tcBorders>
            <w:shd w:val="clear" w:color="auto" w:fill="C6EFCE"/>
            <w:noWrap/>
          </w:tcPr>
          <w:p w14:paraId="0E9D43DC" w14:textId="0EEED4AD" w:rsidR="003F46B9" w:rsidRDefault="0065662E">
            <w:pPr>
              <w:pStyle w:val="P68B1DB1-Normal5"/>
              <w:spacing w:after="0" w:line="240" w:lineRule="auto"/>
              <w:jc w:val="both"/>
              <w:rPr>
                <w:rFonts w:cs="Times New Roman"/>
                <w:noProof/>
              </w:rPr>
            </w:pPr>
            <w:r>
              <w:rPr>
                <w:noProof/>
              </w:rPr>
              <w:t>Ulaganje 11. Osiguravanje objekata za predsveučilišne učionice i školske znanstvene laboratorije/školske kabinete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410FBC"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55057DB5" w14:textId="7B61B15C" w:rsidR="003F46B9" w:rsidRDefault="0065662E">
            <w:pPr>
              <w:pStyle w:val="P68B1DB1-Normal5"/>
              <w:spacing w:after="0" w:line="240" w:lineRule="auto"/>
              <w:jc w:val="both"/>
              <w:rPr>
                <w:rFonts w:cs="Times New Roman"/>
                <w:noProof/>
              </w:rPr>
            </w:pPr>
            <w:r>
              <w:rPr>
                <w:noProof/>
              </w:rPr>
              <w:t>Potpisivanje ugovora o financiranju opremanja učionica namještajem</w:t>
            </w:r>
          </w:p>
        </w:tc>
        <w:tc>
          <w:tcPr>
            <w:tcW w:w="1843" w:type="dxa"/>
            <w:tcBorders>
              <w:top w:val="single" w:sz="4" w:space="0" w:color="auto"/>
              <w:left w:val="nil"/>
              <w:bottom w:val="single" w:sz="4" w:space="0" w:color="auto"/>
              <w:right w:val="single" w:sz="4" w:space="0" w:color="auto"/>
            </w:tcBorders>
            <w:shd w:val="clear" w:color="auto" w:fill="C6EFCE"/>
            <w:noWrap/>
          </w:tcPr>
          <w:p w14:paraId="4EB45D7F" w14:textId="1DBCF569" w:rsidR="003F46B9" w:rsidRDefault="0065662E">
            <w:pPr>
              <w:pStyle w:val="P68B1DB1-Normal5"/>
              <w:spacing w:after="0" w:line="240" w:lineRule="auto"/>
              <w:jc w:val="both"/>
              <w:rPr>
                <w:rFonts w:cs="Times New Roman"/>
                <w:noProof/>
              </w:rPr>
            </w:pPr>
            <w:r>
              <w:rPr>
                <w:noProof/>
              </w:rPr>
              <w:t>Potpisivanje ugovora o financiranju opremanja učionica namještajem</w:t>
            </w:r>
          </w:p>
        </w:tc>
        <w:tc>
          <w:tcPr>
            <w:tcW w:w="1134" w:type="dxa"/>
            <w:tcBorders>
              <w:top w:val="single" w:sz="4" w:space="0" w:color="auto"/>
              <w:left w:val="nil"/>
              <w:bottom w:val="single" w:sz="4" w:space="0" w:color="auto"/>
              <w:right w:val="single" w:sz="4" w:space="0" w:color="auto"/>
            </w:tcBorders>
            <w:shd w:val="clear" w:color="auto" w:fill="C6EFCE"/>
            <w:noWrap/>
          </w:tcPr>
          <w:p w14:paraId="7873BBAE"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0AF40DA8"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4FBC9ADB"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118D9F93"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012F7FFB"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164D6ECB" w14:textId="24FCD50F" w:rsidR="003F46B9" w:rsidRDefault="0065662E">
            <w:pPr>
              <w:pStyle w:val="P68B1DB1-Normal5"/>
              <w:spacing w:after="0" w:line="240" w:lineRule="auto"/>
              <w:jc w:val="both"/>
              <w:rPr>
                <w:rFonts w:cs="Times New Roman"/>
                <w:noProof/>
              </w:rPr>
            </w:pPr>
            <w:r>
              <w:rPr>
                <w:noProof/>
              </w:rPr>
              <w:t xml:space="preserve">Potpisivanje ugovora o financiranju opremanja učionica predsveučilišnih škola, županijskih centara za resurse i obrazovnu pomoć te izvannastavnih obrazovnih jedinica iz </w:t>
            </w:r>
            <w:r>
              <w:rPr>
                <w:noProof/>
              </w:rPr>
              <w:t>školske mreže na temelju minimalnih standarda za opremanje učionica/laboratorija/školskih radionica. Kako bi se osigurala njihova dosljednost, Ministarstvo obrazovanja daje preporuke korisnicima o tehničkim specifikacijama koje treba uključiti u specifikac</w:t>
            </w:r>
            <w:r>
              <w:rPr>
                <w:noProof/>
              </w:rPr>
              <w:t>ije.</w:t>
            </w:r>
          </w:p>
          <w:p w14:paraId="33A0147A" w14:textId="77FD662C" w:rsidR="003F46B9" w:rsidRDefault="0065662E">
            <w:pPr>
              <w:pStyle w:val="P68B1DB1-Normal5"/>
              <w:spacing w:after="0" w:line="240" w:lineRule="auto"/>
              <w:jc w:val="both"/>
              <w:rPr>
                <w:rFonts w:cs="Times New Roman"/>
                <w:noProof/>
              </w:rPr>
            </w:pPr>
            <w:r>
              <w:rPr>
                <w:noProof/>
              </w:rPr>
              <w:t>Prednost se daje obrazovnim ustanovama koje nisu imale koristi od ove vrste ulaganja u posljednjih pet godina.</w:t>
            </w:r>
          </w:p>
        </w:tc>
      </w:tr>
      <w:tr w:rsidR="003F46B9" w14:paraId="442EF4BE"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33B064DF" w14:textId="77777777" w:rsidR="003F46B9" w:rsidRDefault="0065662E">
            <w:pPr>
              <w:pStyle w:val="P68B1DB1-Normal5"/>
              <w:spacing w:after="0" w:line="240" w:lineRule="auto"/>
              <w:jc w:val="center"/>
              <w:rPr>
                <w:rFonts w:cs="Times New Roman"/>
                <w:noProof/>
              </w:rPr>
            </w:pPr>
            <w:r>
              <w:rPr>
                <w:noProof/>
              </w:rPr>
              <w:t>490</w:t>
            </w:r>
          </w:p>
        </w:tc>
        <w:tc>
          <w:tcPr>
            <w:tcW w:w="1795" w:type="dxa"/>
            <w:tcBorders>
              <w:top w:val="single" w:sz="4" w:space="0" w:color="auto"/>
              <w:left w:val="nil"/>
              <w:bottom w:val="single" w:sz="4" w:space="0" w:color="auto"/>
              <w:right w:val="single" w:sz="4" w:space="0" w:color="auto"/>
            </w:tcBorders>
            <w:shd w:val="clear" w:color="auto" w:fill="C6EFCE"/>
            <w:noWrap/>
          </w:tcPr>
          <w:p w14:paraId="111A89E8" w14:textId="7BD7CA3F" w:rsidR="003F46B9" w:rsidRDefault="0065662E">
            <w:pPr>
              <w:pStyle w:val="P68B1DB1-Normal5"/>
              <w:spacing w:after="0" w:line="240" w:lineRule="auto"/>
              <w:jc w:val="both"/>
              <w:rPr>
                <w:rFonts w:cs="Times New Roman"/>
                <w:noProof/>
              </w:rPr>
            </w:pPr>
            <w:r>
              <w:rPr>
                <w:noProof/>
              </w:rPr>
              <w:t>Ulaganje 11. Osiguravanje objekata za predsveučilišne učionice i školske znanstvene laboratorije/školske kabinete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42293EAB"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4355FCDA" w14:textId="02D6B871" w:rsidR="003F46B9" w:rsidRDefault="0065662E">
            <w:pPr>
              <w:pStyle w:val="P68B1DB1-Normal5"/>
              <w:spacing w:after="0" w:line="240" w:lineRule="auto"/>
              <w:jc w:val="both"/>
              <w:rPr>
                <w:rFonts w:cs="Times New Roman"/>
                <w:noProof/>
              </w:rPr>
            </w:pPr>
            <w:r>
              <w:rPr>
                <w:noProof/>
              </w:rPr>
              <w:t>Potpisivanje ugovora o financiranju opremanja školskih znanstvenih laboratorija/školskih kabineta</w:t>
            </w:r>
          </w:p>
        </w:tc>
        <w:tc>
          <w:tcPr>
            <w:tcW w:w="1843" w:type="dxa"/>
            <w:tcBorders>
              <w:top w:val="single" w:sz="4" w:space="0" w:color="auto"/>
              <w:left w:val="nil"/>
              <w:bottom w:val="single" w:sz="4" w:space="0" w:color="auto"/>
              <w:right w:val="single" w:sz="4" w:space="0" w:color="auto"/>
            </w:tcBorders>
            <w:shd w:val="clear" w:color="auto" w:fill="C6EFCE"/>
            <w:noWrap/>
          </w:tcPr>
          <w:p w14:paraId="54D2075E" w14:textId="25508528" w:rsidR="003F46B9" w:rsidRDefault="0065662E">
            <w:pPr>
              <w:pStyle w:val="P68B1DB1-Normal5"/>
              <w:spacing w:after="0" w:line="240" w:lineRule="auto"/>
              <w:jc w:val="both"/>
              <w:rPr>
                <w:rFonts w:cs="Times New Roman"/>
                <w:noProof/>
              </w:rPr>
            </w:pPr>
            <w:r>
              <w:rPr>
                <w:noProof/>
              </w:rPr>
              <w:t xml:space="preserve"> Potpisivanje ugovora o financiranju za opremanje školskih znanstvenih laboratorija/školskih kabineta</w:t>
            </w:r>
          </w:p>
        </w:tc>
        <w:tc>
          <w:tcPr>
            <w:tcW w:w="1134" w:type="dxa"/>
            <w:tcBorders>
              <w:top w:val="single" w:sz="4" w:space="0" w:color="auto"/>
              <w:left w:val="nil"/>
              <w:bottom w:val="single" w:sz="4" w:space="0" w:color="auto"/>
              <w:right w:val="single" w:sz="4" w:space="0" w:color="auto"/>
            </w:tcBorders>
            <w:shd w:val="clear" w:color="auto" w:fill="C6EFCE"/>
            <w:noWrap/>
          </w:tcPr>
          <w:p w14:paraId="187188A1" w14:textId="77777777" w:rsidR="003F46B9" w:rsidRDefault="003F46B9">
            <w:pPr>
              <w:spacing w:after="0" w:line="240" w:lineRule="auto"/>
              <w:jc w:val="both"/>
              <w:rPr>
                <w:rFonts w:ascii="Times New Roman" w:hAnsi="Times New Roman" w:cs="Times New Roman"/>
                <w:noProof/>
                <w:sz w:val="24"/>
              </w:rPr>
            </w:pPr>
          </w:p>
        </w:tc>
        <w:tc>
          <w:tcPr>
            <w:tcW w:w="1276" w:type="dxa"/>
            <w:tcBorders>
              <w:top w:val="single" w:sz="4" w:space="0" w:color="auto"/>
              <w:left w:val="nil"/>
              <w:bottom w:val="single" w:sz="4" w:space="0" w:color="auto"/>
              <w:right w:val="single" w:sz="4" w:space="0" w:color="auto"/>
            </w:tcBorders>
            <w:shd w:val="clear" w:color="auto" w:fill="C6EFCE"/>
            <w:noWrap/>
          </w:tcPr>
          <w:p w14:paraId="5693360B"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88D2E9E"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0B424F73"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09EE9F69"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22662E34" w14:textId="171FD33A" w:rsidR="003F46B9" w:rsidRDefault="0065662E">
            <w:pPr>
              <w:pStyle w:val="P68B1DB1-Normal5"/>
              <w:spacing w:after="0" w:line="240" w:lineRule="auto"/>
              <w:jc w:val="both"/>
              <w:rPr>
                <w:rFonts w:cs="Times New Roman"/>
                <w:noProof/>
              </w:rPr>
            </w:pPr>
            <w:r>
              <w:rPr>
                <w:noProof/>
              </w:rPr>
              <w:t xml:space="preserve">Potpisivanje ugovora o financiranju </w:t>
            </w:r>
            <w:r>
              <w:rPr>
                <w:noProof/>
              </w:rPr>
              <w:t>opremanja znanstvenih laboratorija/školskih ormara predsveučilišnih škola, županijskih centara za resurse i pomoć u obrazovanju te izvannastavnih obrazovnih jedinica iz školske mreže na temelju minimalnih standarda za opremanje učionica/laboratorija/školsk</w:t>
            </w:r>
            <w:r>
              <w:rPr>
                <w:noProof/>
              </w:rPr>
              <w:t>ih ormara. Kako bi se osigurala njihova dosljednost, Ministarstvo obrazovanja daje preporuke korisnicima o tehničkim specifikacijama koje treba uključiti u specifikacije.</w:t>
            </w:r>
          </w:p>
          <w:p w14:paraId="45073710" w14:textId="77777777" w:rsidR="003F46B9" w:rsidRDefault="0065662E">
            <w:pPr>
              <w:pStyle w:val="P68B1DB1-Normal5"/>
              <w:spacing w:after="0" w:line="240" w:lineRule="auto"/>
              <w:jc w:val="both"/>
              <w:rPr>
                <w:rFonts w:cs="Times New Roman"/>
                <w:noProof/>
              </w:rPr>
            </w:pPr>
            <w:r>
              <w:rPr>
                <w:noProof/>
              </w:rPr>
              <w:t xml:space="preserve">Svi školski ormarići i znanstveni laboratoriji, osim laboratorija ITC-a, moraju biti </w:t>
            </w:r>
            <w:r>
              <w:rPr>
                <w:noProof/>
              </w:rPr>
              <w:t>opremljeni namještajem, materijalima i opremom za didaktičku uporabu na temelju dotacijskih normi odobrenih u okviru reforme 6.</w:t>
            </w:r>
          </w:p>
          <w:p w14:paraId="40D8472A" w14:textId="3586FD88" w:rsidR="003F46B9" w:rsidRDefault="0065662E">
            <w:pPr>
              <w:pStyle w:val="P68B1DB1-Normal5"/>
              <w:spacing w:after="0" w:line="240" w:lineRule="auto"/>
              <w:jc w:val="both"/>
              <w:rPr>
                <w:rFonts w:cs="Times New Roman"/>
                <w:noProof/>
              </w:rPr>
            </w:pPr>
            <w:r>
              <w:rPr>
                <w:noProof/>
              </w:rPr>
              <w:t>Prednost se daje obrazovnim ustanovama koje nisu imale koristi od ove vrste ulaganja u posljednjih pet godina i koje se nalaze u</w:t>
            </w:r>
            <w:r>
              <w:rPr>
                <w:noProof/>
              </w:rPr>
              <w:t xml:space="preserve"> ruralnim područjima.</w:t>
            </w:r>
          </w:p>
        </w:tc>
      </w:tr>
      <w:tr w:rsidR="003F46B9" w14:paraId="62A7E46A"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86FF8BC" w14:textId="77777777" w:rsidR="003F46B9" w:rsidRDefault="0065662E">
            <w:pPr>
              <w:pStyle w:val="P68B1DB1-Normal5"/>
              <w:spacing w:after="0" w:line="240" w:lineRule="auto"/>
              <w:jc w:val="center"/>
              <w:rPr>
                <w:rFonts w:cs="Times New Roman"/>
                <w:noProof/>
              </w:rPr>
            </w:pPr>
            <w:r>
              <w:rPr>
                <w:noProof/>
              </w:rPr>
              <w:t>491</w:t>
            </w:r>
          </w:p>
        </w:tc>
        <w:tc>
          <w:tcPr>
            <w:tcW w:w="1795" w:type="dxa"/>
            <w:tcBorders>
              <w:top w:val="single" w:sz="4" w:space="0" w:color="auto"/>
              <w:left w:val="nil"/>
              <w:bottom w:val="single" w:sz="4" w:space="0" w:color="auto"/>
              <w:right w:val="single" w:sz="4" w:space="0" w:color="auto"/>
            </w:tcBorders>
            <w:shd w:val="clear" w:color="auto" w:fill="C6EFCE"/>
            <w:noWrap/>
          </w:tcPr>
          <w:p w14:paraId="5AA62AB9" w14:textId="0884828B" w:rsidR="003F46B9" w:rsidRDefault="0065662E">
            <w:pPr>
              <w:pStyle w:val="P68B1DB1-Normal5"/>
              <w:spacing w:after="0" w:line="240" w:lineRule="auto"/>
              <w:jc w:val="both"/>
              <w:rPr>
                <w:rFonts w:cs="Times New Roman"/>
                <w:noProof/>
              </w:rPr>
            </w:pPr>
            <w:r>
              <w:rPr>
                <w:noProof/>
              </w:rPr>
              <w:t>Ulaganje 11. Osiguravanje objekata za predsveučilišne učionice i školske znanstvene laboratorije/školske kabinete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33C1E0A9"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2FD48AFD" w14:textId="77777777" w:rsidR="003F46B9" w:rsidRDefault="0065662E">
            <w:pPr>
              <w:pStyle w:val="P68B1DB1-Normal5"/>
              <w:spacing w:after="0" w:line="240" w:lineRule="auto"/>
              <w:jc w:val="both"/>
              <w:rPr>
                <w:rFonts w:cs="Times New Roman"/>
                <w:noProof/>
              </w:rPr>
            </w:pPr>
            <w:r>
              <w:rPr>
                <w:noProof/>
              </w:rPr>
              <w:t>Predsveučilišne učionice opremljene namještajem</w:t>
            </w:r>
          </w:p>
        </w:tc>
        <w:tc>
          <w:tcPr>
            <w:tcW w:w="1843" w:type="dxa"/>
            <w:tcBorders>
              <w:top w:val="single" w:sz="4" w:space="0" w:color="auto"/>
              <w:left w:val="nil"/>
              <w:bottom w:val="single" w:sz="4" w:space="0" w:color="auto"/>
              <w:right w:val="single" w:sz="4" w:space="0" w:color="auto"/>
            </w:tcBorders>
            <w:shd w:val="clear" w:color="auto" w:fill="C6EFCE"/>
            <w:noWrap/>
          </w:tcPr>
          <w:p w14:paraId="07E4CC5A"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6F805443"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292D77B1"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505583C3" w14:textId="77777777" w:rsidR="003F46B9" w:rsidRDefault="0065662E">
            <w:pPr>
              <w:pStyle w:val="P68B1DB1-Normal5"/>
              <w:spacing w:after="0" w:line="240" w:lineRule="auto"/>
              <w:jc w:val="both"/>
              <w:rPr>
                <w:rFonts w:cs="Times New Roman"/>
                <w:noProof/>
              </w:rPr>
            </w:pPr>
            <w:r>
              <w:rPr>
                <w:noProof/>
              </w:rPr>
              <w:t>75 000</w:t>
            </w:r>
          </w:p>
        </w:tc>
        <w:tc>
          <w:tcPr>
            <w:tcW w:w="1417" w:type="dxa"/>
            <w:tcBorders>
              <w:top w:val="single" w:sz="4" w:space="0" w:color="auto"/>
              <w:left w:val="nil"/>
              <w:bottom w:val="single" w:sz="4" w:space="0" w:color="auto"/>
              <w:right w:val="single" w:sz="4" w:space="0" w:color="auto"/>
            </w:tcBorders>
            <w:shd w:val="clear" w:color="auto" w:fill="C6EFCE"/>
            <w:noWrap/>
          </w:tcPr>
          <w:p w14:paraId="7BACAE1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2A9FE241"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52B7A41D" w14:textId="72939D72" w:rsidR="003F46B9" w:rsidRDefault="0065662E">
            <w:pPr>
              <w:pStyle w:val="P68B1DB1-Normal5"/>
              <w:spacing w:after="0" w:line="240" w:lineRule="auto"/>
              <w:jc w:val="both"/>
              <w:rPr>
                <w:rFonts w:cs="Times New Roman"/>
                <w:noProof/>
              </w:rPr>
            </w:pPr>
            <w:r>
              <w:rPr>
                <w:noProof/>
              </w:rPr>
              <w:t>75000 predsveučilišnih učionica, županijskih centara za resurse i pomoć u obrazovanju te izvannastavne obrazovne jedinice iz školske mreže mora biti opremljeno u skladu sa specifikacijama u ključnoj etapi 489.</w:t>
            </w:r>
          </w:p>
          <w:p w14:paraId="6A1FD7D5" w14:textId="5549323C" w:rsidR="003F46B9" w:rsidRDefault="0065662E">
            <w:pPr>
              <w:pStyle w:val="P68B1DB1-Normal5"/>
              <w:spacing w:after="0" w:line="240" w:lineRule="auto"/>
              <w:jc w:val="both"/>
              <w:rPr>
                <w:rFonts w:cs="Times New Roman"/>
                <w:noProof/>
              </w:rPr>
            </w:pPr>
            <w:r>
              <w:rPr>
                <w:noProof/>
              </w:rPr>
              <w:t>Sredstva u učionicama, laboratorijima i školsk</w:t>
            </w:r>
            <w:r>
              <w:rPr>
                <w:noProof/>
              </w:rPr>
              <w:t>im ormarima dodjeljuju se na temelju standarda dotacije odobrenih u okviru reforme R6. Prednost se daje školama s oštećenim namještajem i školama u kojima se namještaj nije promijenio u posljednjih pet godina.</w:t>
            </w:r>
          </w:p>
        </w:tc>
      </w:tr>
      <w:tr w:rsidR="003F46B9" w14:paraId="69561288"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DF28EC6" w14:textId="77777777" w:rsidR="003F46B9" w:rsidRDefault="0065662E">
            <w:pPr>
              <w:pStyle w:val="P68B1DB1-Normal5"/>
              <w:spacing w:after="0" w:line="240" w:lineRule="auto"/>
              <w:jc w:val="center"/>
              <w:rPr>
                <w:rFonts w:cs="Times New Roman"/>
                <w:noProof/>
              </w:rPr>
            </w:pPr>
            <w:r>
              <w:rPr>
                <w:noProof/>
              </w:rPr>
              <w:t>492</w:t>
            </w:r>
          </w:p>
        </w:tc>
        <w:tc>
          <w:tcPr>
            <w:tcW w:w="1795" w:type="dxa"/>
            <w:tcBorders>
              <w:top w:val="single" w:sz="4" w:space="0" w:color="auto"/>
              <w:left w:val="nil"/>
              <w:bottom w:val="single" w:sz="4" w:space="0" w:color="auto"/>
              <w:right w:val="single" w:sz="4" w:space="0" w:color="auto"/>
            </w:tcBorders>
            <w:shd w:val="clear" w:color="auto" w:fill="C6EFCE"/>
            <w:noWrap/>
          </w:tcPr>
          <w:p w14:paraId="3D5C1AB8" w14:textId="7DA6A03F" w:rsidR="003F46B9" w:rsidRDefault="0065662E">
            <w:pPr>
              <w:pStyle w:val="P68B1DB1-Normal5"/>
              <w:spacing w:after="0" w:line="240" w:lineRule="auto"/>
              <w:jc w:val="both"/>
              <w:rPr>
                <w:rFonts w:cs="Times New Roman"/>
                <w:noProof/>
              </w:rPr>
            </w:pPr>
            <w:r>
              <w:rPr>
                <w:noProof/>
              </w:rPr>
              <w:t xml:space="preserve">Ulaganje 11. Osiguravanje objekata za </w:t>
            </w:r>
            <w:r>
              <w:rPr>
                <w:noProof/>
              </w:rPr>
              <w:t>predsveučilišne učionice i školske znanstvene laboratorije/školske kabinete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179E80D"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0CC80115" w14:textId="7E3E1D6F" w:rsidR="003F46B9" w:rsidRDefault="0065662E">
            <w:pPr>
              <w:pStyle w:val="P68B1DB1-Normal5"/>
              <w:spacing w:after="0" w:line="240" w:lineRule="auto"/>
              <w:jc w:val="both"/>
              <w:rPr>
                <w:rFonts w:cs="Times New Roman"/>
                <w:noProof/>
              </w:rPr>
            </w:pPr>
            <w:r>
              <w:rPr>
                <w:noProof/>
              </w:rPr>
              <w:t>Opremljeni znanstveni laboratoriji/školski ormarići</w:t>
            </w:r>
          </w:p>
        </w:tc>
        <w:tc>
          <w:tcPr>
            <w:tcW w:w="1843" w:type="dxa"/>
            <w:tcBorders>
              <w:top w:val="single" w:sz="4" w:space="0" w:color="auto"/>
              <w:left w:val="nil"/>
              <w:bottom w:val="single" w:sz="4" w:space="0" w:color="auto"/>
              <w:right w:val="single" w:sz="4" w:space="0" w:color="auto"/>
            </w:tcBorders>
            <w:shd w:val="clear" w:color="auto" w:fill="C6EFCE"/>
            <w:noWrap/>
          </w:tcPr>
          <w:p w14:paraId="6FDE4B9B"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3E07765D"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3F54ADC5"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2E9B2C32" w14:textId="77777777" w:rsidR="003F46B9" w:rsidRDefault="0065662E">
            <w:pPr>
              <w:pStyle w:val="P68B1DB1-Normal5"/>
              <w:spacing w:after="0" w:line="240" w:lineRule="auto"/>
              <w:jc w:val="both"/>
              <w:rPr>
                <w:rFonts w:cs="Times New Roman"/>
                <w:noProof/>
              </w:rPr>
            </w:pPr>
            <w:r>
              <w:rPr>
                <w:noProof/>
              </w:rPr>
              <w:t>10 000</w:t>
            </w:r>
          </w:p>
        </w:tc>
        <w:tc>
          <w:tcPr>
            <w:tcW w:w="1417" w:type="dxa"/>
            <w:tcBorders>
              <w:top w:val="single" w:sz="4" w:space="0" w:color="auto"/>
              <w:left w:val="nil"/>
              <w:bottom w:val="single" w:sz="4" w:space="0" w:color="auto"/>
              <w:right w:val="single" w:sz="4" w:space="0" w:color="auto"/>
            </w:tcBorders>
            <w:shd w:val="clear" w:color="auto" w:fill="C6EFCE"/>
            <w:noWrap/>
          </w:tcPr>
          <w:p w14:paraId="11FB348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6D1B3259" w14:textId="77777777"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47678495" w14:textId="77777777" w:rsidR="003F46B9" w:rsidRDefault="0065662E">
            <w:pPr>
              <w:pStyle w:val="P68B1DB1-Normal5"/>
              <w:spacing w:after="0" w:line="240" w:lineRule="auto"/>
              <w:jc w:val="both"/>
              <w:rPr>
                <w:rFonts w:eastAsia="Times New Roman" w:cs="Times New Roman"/>
                <w:noProof/>
              </w:rPr>
            </w:pPr>
            <w:r>
              <w:rPr>
                <w:noProof/>
              </w:rPr>
              <w:t xml:space="preserve">10000 znanstvenih laboratorija i školskih ormarića mora biti opremljeno u skladu sa specifikacijama ključne etape 490. </w:t>
            </w:r>
          </w:p>
        </w:tc>
      </w:tr>
      <w:tr w:rsidR="003F46B9" w14:paraId="08919387"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2611D369" w14:textId="77777777" w:rsidR="003F46B9" w:rsidRDefault="0065662E">
            <w:pPr>
              <w:pStyle w:val="P68B1DB1-Normal5"/>
              <w:spacing w:after="0" w:line="240" w:lineRule="auto"/>
              <w:jc w:val="center"/>
              <w:rPr>
                <w:rFonts w:cs="Times New Roman"/>
                <w:noProof/>
              </w:rPr>
            </w:pPr>
            <w:r>
              <w:rPr>
                <w:noProof/>
              </w:rPr>
              <w:t>493</w:t>
            </w:r>
          </w:p>
        </w:tc>
        <w:tc>
          <w:tcPr>
            <w:tcW w:w="1795" w:type="dxa"/>
            <w:tcBorders>
              <w:top w:val="single" w:sz="4" w:space="0" w:color="auto"/>
              <w:left w:val="nil"/>
              <w:bottom w:val="single" w:sz="4" w:space="0" w:color="auto"/>
              <w:right w:val="single" w:sz="4" w:space="0" w:color="auto"/>
            </w:tcBorders>
            <w:shd w:val="clear" w:color="auto" w:fill="C6EFCE"/>
            <w:noWrap/>
          </w:tcPr>
          <w:p w14:paraId="14E81B1E" w14:textId="51CE9E3D" w:rsidR="003F46B9" w:rsidRDefault="0065662E">
            <w:pPr>
              <w:pStyle w:val="P68B1DB1-Normal5"/>
              <w:spacing w:after="0" w:line="240" w:lineRule="auto"/>
              <w:jc w:val="both"/>
              <w:rPr>
                <w:rFonts w:cs="Times New Roman"/>
                <w:noProof/>
              </w:rPr>
            </w:pPr>
            <w:r>
              <w:rPr>
                <w:noProof/>
              </w:rPr>
              <w:t xml:space="preserve">Ulaganje 12. Program bespovratnih sredstava za konzorcije ruralnih škola </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27651BAD" w14:textId="77777777" w:rsidR="003F46B9" w:rsidRDefault="0065662E">
            <w:pPr>
              <w:pStyle w:val="P68B1DB1-Normal5"/>
              <w:spacing w:after="0" w:line="240" w:lineRule="auto"/>
              <w:jc w:val="both"/>
              <w:rPr>
                <w:rFonts w:cs="Times New Roman"/>
                <w:noProof/>
              </w:rPr>
            </w:pPr>
            <w:r>
              <w:rPr>
                <w:noProof/>
              </w:rPr>
              <w:t>Ciljna</w:t>
            </w:r>
          </w:p>
        </w:tc>
        <w:tc>
          <w:tcPr>
            <w:tcW w:w="1559" w:type="dxa"/>
            <w:tcBorders>
              <w:top w:val="single" w:sz="4" w:space="0" w:color="auto"/>
              <w:left w:val="nil"/>
              <w:bottom w:val="single" w:sz="4" w:space="0" w:color="auto"/>
              <w:right w:val="single" w:sz="4" w:space="0" w:color="auto"/>
            </w:tcBorders>
            <w:shd w:val="clear" w:color="auto" w:fill="C6EFCE"/>
            <w:noWrap/>
          </w:tcPr>
          <w:p w14:paraId="6CE38427" w14:textId="77777777" w:rsidR="003F46B9" w:rsidRDefault="0065662E">
            <w:pPr>
              <w:pStyle w:val="P68B1DB1-Normal5"/>
              <w:spacing w:after="0" w:line="240" w:lineRule="auto"/>
              <w:jc w:val="both"/>
              <w:rPr>
                <w:rFonts w:cs="Times New Roman"/>
                <w:noProof/>
              </w:rPr>
            </w:pPr>
            <w:r>
              <w:rPr>
                <w:noProof/>
              </w:rPr>
              <w:t>Završetak građevinskih radova i dotacija konzorcija u ruralnim područjima</w:t>
            </w:r>
          </w:p>
        </w:tc>
        <w:tc>
          <w:tcPr>
            <w:tcW w:w="1843" w:type="dxa"/>
            <w:tcBorders>
              <w:top w:val="single" w:sz="4" w:space="0" w:color="auto"/>
              <w:left w:val="nil"/>
              <w:bottom w:val="single" w:sz="4" w:space="0" w:color="auto"/>
              <w:right w:val="single" w:sz="4" w:space="0" w:color="auto"/>
            </w:tcBorders>
            <w:shd w:val="clear" w:color="auto" w:fill="C6EFCE"/>
            <w:noWrap/>
          </w:tcPr>
          <w:p w14:paraId="6F51B0DE"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BFB39A6" w14:textId="77777777" w:rsidR="003F46B9" w:rsidRDefault="0065662E">
            <w:pPr>
              <w:pStyle w:val="P68B1DB1-Normal5"/>
              <w:spacing w:after="0" w:line="240" w:lineRule="auto"/>
              <w:jc w:val="both"/>
              <w:rPr>
                <w:rFonts w:cs="Times New Roman"/>
                <w:noProof/>
              </w:rPr>
            </w:pPr>
            <w:r>
              <w:rPr>
                <w:noProof/>
              </w:rPr>
              <w:t>Broj</w:t>
            </w:r>
          </w:p>
        </w:tc>
        <w:tc>
          <w:tcPr>
            <w:tcW w:w="1276" w:type="dxa"/>
            <w:tcBorders>
              <w:top w:val="single" w:sz="4" w:space="0" w:color="auto"/>
              <w:left w:val="nil"/>
              <w:bottom w:val="single" w:sz="4" w:space="0" w:color="auto"/>
              <w:right w:val="single" w:sz="4" w:space="0" w:color="auto"/>
            </w:tcBorders>
            <w:shd w:val="clear" w:color="auto" w:fill="C6EFCE"/>
            <w:noWrap/>
          </w:tcPr>
          <w:p w14:paraId="5FDF58AA" w14:textId="77777777" w:rsidR="003F46B9" w:rsidRDefault="0065662E">
            <w:pPr>
              <w:pStyle w:val="P68B1DB1-Normal5"/>
              <w:spacing w:after="0" w:line="240" w:lineRule="auto"/>
              <w:jc w:val="both"/>
              <w:rPr>
                <w:rFonts w:cs="Times New Roman"/>
                <w:noProof/>
              </w:rPr>
            </w:pPr>
            <w:r>
              <w:rPr>
                <w:noProof/>
              </w:rPr>
              <w:t>0</w:t>
            </w:r>
          </w:p>
        </w:tc>
        <w:tc>
          <w:tcPr>
            <w:tcW w:w="1134" w:type="dxa"/>
            <w:tcBorders>
              <w:top w:val="single" w:sz="4" w:space="0" w:color="auto"/>
              <w:left w:val="nil"/>
              <w:bottom w:val="single" w:sz="4" w:space="0" w:color="auto"/>
              <w:right w:val="single" w:sz="4" w:space="0" w:color="auto"/>
            </w:tcBorders>
            <w:shd w:val="clear" w:color="auto" w:fill="C6EFCE"/>
            <w:noWrap/>
          </w:tcPr>
          <w:p w14:paraId="165956EA" w14:textId="77777777" w:rsidR="003F46B9" w:rsidRDefault="0065662E">
            <w:pPr>
              <w:pStyle w:val="P68B1DB1-Normal5"/>
              <w:spacing w:after="0" w:line="240" w:lineRule="auto"/>
              <w:jc w:val="both"/>
              <w:rPr>
                <w:rFonts w:cs="Times New Roman"/>
                <w:noProof/>
              </w:rPr>
            </w:pPr>
            <w:r>
              <w:rPr>
                <w:noProof/>
              </w:rPr>
              <w:t>3</w:t>
            </w:r>
          </w:p>
        </w:tc>
        <w:tc>
          <w:tcPr>
            <w:tcW w:w="1417" w:type="dxa"/>
            <w:tcBorders>
              <w:top w:val="single" w:sz="4" w:space="0" w:color="auto"/>
              <w:left w:val="nil"/>
              <w:bottom w:val="single" w:sz="4" w:space="0" w:color="auto"/>
              <w:right w:val="single" w:sz="4" w:space="0" w:color="auto"/>
            </w:tcBorders>
            <w:shd w:val="clear" w:color="auto" w:fill="C6EFCE"/>
            <w:noWrap/>
          </w:tcPr>
          <w:p w14:paraId="7C680AB9"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3E70527E" w14:textId="77777777" w:rsidR="003F46B9" w:rsidRDefault="0065662E">
            <w:pPr>
              <w:pStyle w:val="P68B1DB1-Normal5"/>
              <w:spacing w:after="0" w:line="240" w:lineRule="auto"/>
              <w:jc w:val="both"/>
              <w:rPr>
                <w:rFonts w:cs="Times New Roman"/>
                <w:noProof/>
              </w:rPr>
            </w:pPr>
            <w:r>
              <w:rPr>
                <w:noProof/>
              </w:rPr>
              <w:t>2026</w:t>
            </w:r>
          </w:p>
        </w:tc>
        <w:tc>
          <w:tcPr>
            <w:tcW w:w="2404" w:type="dxa"/>
            <w:tcBorders>
              <w:top w:val="single" w:sz="4" w:space="0" w:color="auto"/>
              <w:left w:val="nil"/>
              <w:bottom w:val="single" w:sz="4" w:space="0" w:color="auto"/>
              <w:right w:val="single" w:sz="4" w:space="0" w:color="auto"/>
            </w:tcBorders>
            <w:shd w:val="clear" w:color="auto" w:fill="C6EFCE"/>
            <w:noWrap/>
          </w:tcPr>
          <w:p w14:paraId="76198C34" w14:textId="77777777" w:rsidR="003F46B9" w:rsidRDefault="0065662E">
            <w:pPr>
              <w:pStyle w:val="P68B1DB1-Normal5"/>
              <w:spacing w:after="0" w:line="240" w:lineRule="auto"/>
              <w:jc w:val="both"/>
              <w:rPr>
                <w:rFonts w:cs="Times New Roman"/>
                <w:noProof/>
              </w:rPr>
            </w:pPr>
            <w:r>
              <w:rPr>
                <w:noProof/>
              </w:rPr>
              <w:t>Osnovat će se tri ruralna školska konzorcija kako bi se ojačalo obrazovno okruženje u ruralnim područjima osiguravanjem optimalnih uvjeta za poučavanje, u</w:t>
            </w:r>
            <w:r>
              <w:rPr>
                <w:noProof/>
              </w:rPr>
              <w:t xml:space="preserve">z poštovanje socijalne jednakosti. </w:t>
            </w:r>
          </w:p>
          <w:p w14:paraId="4D249E53" w14:textId="77777777" w:rsidR="003F46B9" w:rsidRDefault="0065662E">
            <w:pPr>
              <w:pStyle w:val="P68B1DB1-Normal5"/>
              <w:spacing w:after="0" w:line="240" w:lineRule="auto"/>
              <w:jc w:val="both"/>
              <w:rPr>
                <w:rFonts w:cs="Times New Roman"/>
                <w:noProof/>
              </w:rPr>
            </w:pPr>
            <w:r>
              <w:rPr>
                <w:noProof/>
              </w:rPr>
              <w:t>Konzorciji se odabiru na temelju najmanje dvaju kriterija: i. ako dokažu demografski pad mikroregije na koju su usmjereni u posljednjih sedam godina i ii. dokažu predanost lokalnih javnih tijela zaduženih za ciljano podr</w:t>
            </w:r>
            <w:r>
              <w:rPr>
                <w:noProof/>
              </w:rPr>
              <w:t>učje u pisanom obliku.</w:t>
            </w:r>
          </w:p>
          <w:p w14:paraId="10DAC4AD" w14:textId="77777777" w:rsidR="003F46B9" w:rsidRDefault="0065662E">
            <w:pPr>
              <w:pStyle w:val="P68B1DB1-Normal5"/>
              <w:spacing w:after="0" w:line="240" w:lineRule="auto"/>
              <w:jc w:val="both"/>
              <w:rPr>
                <w:rFonts w:cs="Times New Roman"/>
                <w:noProof/>
              </w:rPr>
            </w:pPr>
            <w:r>
              <w:rPr>
                <w:noProof/>
              </w:rPr>
              <w:t>Svaki konzorcij gradi potrebnu infrastrukturu za osiguranje kvalitete obrazovnog procesa, što uključuje stvaranje modernog kampusa kapaciteta od 300 do 500 mjesta, uključujući osiguravanje objekata nakon nastave, sportskih soba i ter</w:t>
            </w:r>
            <w:r>
              <w:rPr>
                <w:noProof/>
              </w:rPr>
              <w:t xml:space="preserve">ena, objekata za vježbanje radionica, laboratorija, prostora za neformalne aktivnosti, kuhinjskih i smještajnih prostora za učenike i nastavnike. </w:t>
            </w:r>
          </w:p>
          <w:p w14:paraId="33B7D141" w14:textId="77777777" w:rsidR="003F46B9" w:rsidRDefault="0065662E">
            <w:pPr>
              <w:pStyle w:val="P68B1DB1-Normal5"/>
              <w:spacing w:after="0" w:line="240" w:lineRule="auto"/>
              <w:jc w:val="both"/>
              <w:rPr>
                <w:rFonts w:cs="Times New Roman"/>
                <w:noProof/>
              </w:rPr>
            </w:pPr>
            <w:r>
              <w:rPr>
                <w:noProof/>
              </w:rPr>
              <w:t>Novoizgrađene zgrade moraju biti usklađene s ciljem postizanja potražnje za primarnom energijom (PED) koja je</w:t>
            </w:r>
            <w:r>
              <w:rPr>
                <w:noProof/>
              </w:rPr>
              <w:t xml:space="preserve"> najmanje 20 % niža od zahtjeva za zgrade gotovo nulte energije u skladu s nacionalnim smjernicama, što se osigurava energetskim certifikatima.</w:t>
            </w:r>
          </w:p>
          <w:p w14:paraId="2DE36B21" w14:textId="5EC91838" w:rsidR="003F46B9" w:rsidRDefault="0065662E">
            <w:pPr>
              <w:pStyle w:val="P68B1DB1-Normal5"/>
              <w:spacing w:after="0" w:line="240" w:lineRule="auto"/>
              <w:jc w:val="both"/>
              <w:rPr>
                <w:rFonts w:eastAsia="Times New Roman" w:cs="Times New Roman"/>
                <w:noProof/>
              </w:rPr>
            </w:pPr>
            <w:r>
              <w:rPr>
                <w:noProof/>
              </w:rPr>
              <w:t>Pri odabiru škola prednost se daje školama koje se nalaze u ruralnim, udaljenim i nedovoljno razvijenim područji</w:t>
            </w:r>
            <w:r>
              <w:rPr>
                <w:noProof/>
              </w:rPr>
              <w:t xml:space="preserve">ma. </w:t>
            </w:r>
          </w:p>
        </w:tc>
      </w:tr>
      <w:tr w:rsidR="003F46B9" w14:paraId="37F20204"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3D560E8" w14:textId="77777777" w:rsidR="003F46B9" w:rsidRDefault="0065662E">
            <w:pPr>
              <w:pStyle w:val="P68B1DB1-Normal5"/>
              <w:spacing w:after="0" w:line="240" w:lineRule="auto"/>
              <w:jc w:val="center"/>
              <w:rPr>
                <w:rFonts w:cs="Times New Roman"/>
                <w:noProof/>
              </w:rPr>
            </w:pPr>
            <w:r>
              <w:rPr>
                <w:noProof/>
              </w:rPr>
              <w:t>494</w:t>
            </w:r>
          </w:p>
        </w:tc>
        <w:tc>
          <w:tcPr>
            <w:tcW w:w="1795" w:type="dxa"/>
            <w:tcBorders>
              <w:top w:val="single" w:sz="4" w:space="0" w:color="auto"/>
              <w:left w:val="nil"/>
              <w:bottom w:val="single" w:sz="4" w:space="0" w:color="auto"/>
              <w:right w:val="single" w:sz="4" w:space="0" w:color="auto"/>
            </w:tcBorders>
            <w:shd w:val="clear" w:color="auto" w:fill="C6EFCE"/>
            <w:noWrap/>
          </w:tcPr>
          <w:p w14:paraId="3BF38D55" w14:textId="77777777" w:rsidR="003F46B9" w:rsidRDefault="0065662E">
            <w:pPr>
              <w:pStyle w:val="P68B1DB1-Normal5"/>
              <w:spacing w:after="0" w:line="240" w:lineRule="auto"/>
              <w:jc w:val="both"/>
              <w:rPr>
                <w:rFonts w:cs="Times New Roman"/>
                <w:noProof/>
              </w:rPr>
            </w:pPr>
            <w:r>
              <w:rPr>
                <w:noProof/>
              </w:rPr>
              <w:t>Reforma 7. Reforma upravljanja sustavom predsveučilišnog obrazovanja i profesionalizacija uprave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0981C2AF"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52166E04" w14:textId="77777777" w:rsidR="003F46B9" w:rsidRDefault="0065662E">
            <w:pPr>
              <w:pStyle w:val="P68B1DB1-Normal5"/>
              <w:spacing w:after="0" w:line="240" w:lineRule="auto"/>
              <w:jc w:val="both"/>
              <w:rPr>
                <w:rFonts w:cs="Times New Roman"/>
                <w:noProof/>
              </w:rPr>
            </w:pPr>
            <w:r>
              <w:rPr>
                <w:noProof/>
              </w:rPr>
              <w:t xml:space="preserve">Potpisivanje ugovora o tehničkoj pomoći za razvoj Akcijskog plana za reformu upravljanja, uključujući program osposobljavanja i obuke za </w:t>
            </w:r>
            <w:r>
              <w:rPr>
                <w:noProof/>
              </w:rPr>
              <w:t>rukovoditelje i inspektore</w:t>
            </w:r>
          </w:p>
          <w:p w14:paraId="4187835E" w14:textId="77777777" w:rsidR="003F46B9" w:rsidRDefault="003F46B9">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06C786EB" w14:textId="77777777" w:rsidR="003F46B9" w:rsidRDefault="0065662E">
            <w:pPr>
              <w:pStyle w:val="P68B1DB1-Normal5"/>
              <w:spacing w:after="0" w:line="240" w:lineRule="auto"/>
              <w:jc w:val="both"/>
              <w:rPr>
                <w:rFonts w:cs="Times New Roman"/>
                <w:noProof/>
              </w:rPr>
            </w:pPr>
            <w:r>
              <w:rPr>
                <w:noProof/>
              </w:rPr>
              <w:t>Potpisivanje ugovora</w:t>
            </w:r>
          </w:p>
        </w:tc>
        <w:tc>
          <w:tcPr>
            <w:tcW w:w="1134" w:type="dxa"/>
            <w:tcBorders>
              <w:top w:val="single" w:sz="4" w:space="0" w:color="auto"/>
              <w:left w:val="nil"/>
              <w:bottom w:val="single" w:sz="4" w:space="0" w:color="auto"/>
              <w:right w:val="single" w:sz="4" w:space="0" w:color="auto"/>
            </w:tcBorders>
            <w:shd w:val="clear" w:color="auto" w:fill="C6EFCE"/>
            <w:noWrap/>
          </w:tcPr>
          <w:p w14:paraId="2F8F89B6"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30A2E8A1" w14:textId="77777777" w:rsidR="003F46B9" w:rsidRDefault="003F46B9">
            <w:pPr>
              <w:spacing w:after="0" w:line="240" w:lineRule="auto"/>
              <w:jc w:val="both"/>
              <w:rPr>
                <w:rFonts w:ascii="Times New Roman" w:hAnsi="Times New Roman" w:cs="Times New Roman"/>
                <w:noProof/>
                <w:sz w:val="24"/>
              </w:rPr>
            </w:pPr>
          </w:p>
        </w:tc>
        <w:tc>
          <w:tcPr>
            <w:tcW w:w="1134" w:type="dxa"/>
            <w:tcBorders>
              <w:top w:val="single" w:sz="4" w:space="0" w:color="auto"/>
              <w:left w:val="nil"/>
              <w:bottom w:val="single" w:sz="4" w:space="0" w:color="auto"/>
              <w:right w:val="single" w:sz="4" w:space="0" w:color="auto"/>
            </w:tcBorders>
            <w:shd w:val="clear" w:color="auto" w:fill="C6EFCE"/>
            <w:noWrap/>
          </w:tcPr>
          <w:p w14:paraId="74C33656" w14:textId="77777777" w:rsidR="003F46B9" w:rsidRDefault="003F46B9">
            <w:pPr>
              <w:spacing w:after="0" w:line="240" w:lineRule="auto"/>
              <w:jc w:val="both"/>
              <w:rPr>
                <w:rFonts w:ascii="Times New Roman" w:hAnsi="Times New Roman" w:cs="Times New Roman"/>
                <w:noProof/>
                <w:sz w:val="24"/>
              </w:rPr>
            </w:pPr>
          </w:p>
        </w:tc>
        <w:tc>
          <w:tcPr>
            <w:tcW w:w="1417" w:type="dxa"/>
            <w:tcBorders>
              <w:top w:val="single" w:sz="4" w:space="0" w:color="auto"/>
              <w:left w:val="nil"/>
              <w:bottom w:val="single" w:sz="4" w:space="0" w:color="auto"/>
              <w:right w:val="single" w:sz="4" w:space="0" w:color="auto"/>
            </w:tcBorders>
            <w:shd w:val="clear" w:color="auto" w:fill="C6EFCE"/>
            <w:noWrap/>
          </w:tcPr>
          <w:p w14:paraId="000876E2" w14:textId="77777777"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5FC57678" w14:textId="77777777" w:rsidR="003F46B9" w:rsidRDefault="0065662E">
            <w:pPr>
              <w:pStyle w:val="P68B1DB1-Normal5"/>
              <w:spacing w:after="0" w:line="240" w:lineRule="auto"/>
              <w:jc w:val="both"/>
              <w:rPr>
                <w:rFonts w:cs="Times New Roman"/>
                <w:noProof/>
              </w:rPr>
            </w:pPr>
            <w:r>
              <w:rPr>
                <w:noProof/>
              </w:rPr>
              <w:t>2022</w:t>
            </w:r>
          </w:p>
        </w:tc>
        <w:tc>
          <w:tcPr>
            <w:tcW w:w="2404" w:type="dxa"/>
            <w:tcBorders>
              <w:top w:val="single" w:sz="4" w:space="0" w:color="auto"/>
              <w:left w:val="nil"/>
              <w:bottom w:val="single" w:sz="4" w:space="0" w:color="auto"/>
              <w:right w:val="single" w:sz="4" w:space="0" w:color="auto"/>
            </w:tcBorders>
            <w:shd w:val="clear" w:color="auto" w:fill="C6EFCE"/>
            <w:noWrap/>
          </w:tcPr>
          <w:p w14:paraId="355EC68B" w14:textId="77777777" w:rsidR="003F46B9" w:rsidRDefault="0065662E">
            <w:pPr>
              <w:pStyle w:val="P68B1DB1-Normal5"/>
              <w:spacing w:after="0" w:line="240" w:lineRule="auto"/>
              <w:jc w:val="both"/>
              <w:rPr>
                <w:rFonts w:cs="Times New Roman"/>
                <w:noProof/>
              </w:rPr>
            </w:pPr>
            <w:r>
              <w:rPr>
                <w:noProof/>
              </w:rPr>
              <w:t xml:space="preserve">Reforma upravljanja temelji se na funkcionalnoj analizi sustava strukovnog obrazovanja i osposobljavanja i provodi se na dvije razine: I. Reforma upravljanja i </w:t>
            </w:r>
          </w:p>
          <w:p w14:paraId="0FF387A8" w14:textId="77777777" w:rsidR="003F46B9" w:rsidRDefault="0065662E">
            <w:pPr>
              <w:pStyle w:val="P68B1DB1-Normal5"/>
              <w:spacing w:after="0" w:line="240" w:lineRule="auto"/>
              <w:jc w:val="both"/>
              <w:rPr>
                <w:rFonts w:cs="Times New Roman"/>
                <w:noProof/>
              </w:rPr>
            </w:pPr>
            <w:r>
              <w:rPr>
                <w:noProof/>
              </w:rPr>
              <w:t>II. Decentralizacije</w:t>
            </w:r>
          </w:p>
          <w:p w14:paraId="0CA8049D" w14:textId="77777777" w:rsidR="003F46B9" w:rsidRDefault="0065662E">
            <w:pPr>
              <w:pStyle w:val="P68B1DB1-Normal5"/>
              <w:spacing w:after="0" w:line="240" w:lineRule="auto"/>
              <w:jc w:val="both"/>
              <w:rPr>
                <w:rFonts w:cs="Times New Roman"/>
                <w:noProof/>
              </w:rPr>
            </w:pPr>
            <w:r>
              <w:rPr>
                <w:noProof/>
              </w:rPr>
              <w:t xml:space="preserve">Ministarstvo obrazovanja ugovara vanjsku tehničku pomoć za: </w:t>
            </w:r>
          </w:p>
          <w:p w14:paraId="24C5A094" w14:textId="77777777" w:rsidR="003F46B9" w:rsidRDefault="0065662E">
            <w:pPr>
              <w:pStyle w:val="P68B1DB1-Normal5"/>
              <w:numPr>
                <w:ilvl w:val="0"/>
                <w:numId w:val="124"/>
              </w:numPr>
              <w:spacing w:before="120" w:after="0" w:line="240" w:lineRule="auto"/>
              <w:ind w:left="189" w:hanging="142"/>
              <w:contextualSpacing/>
              <w:jc w:val="both"/>
              <w:rPr>
                <w:rFonts w:cs="Times New Roman"/>
                <w:noProof/>
              </w:rPr>
            </w:pPr>
            <w:r>
              <w:rPr>
                <w:noProof/>
              </w:rPr>
              <w:t>analizu trenutačnog upravljanja sustavom predsveučilišnog obrazovanja;</w:t>
            </w:r>
          </w:p>
          <w:p w14:paraId="4CAE0151" w14:textId="77777777" w:rsidR="003F46B9" w:rsidRDefault="0065662E">
            <w:pPr>
              <w:pStyle w:val="P68B1DB1-Normal5"/>
              <w:numPr>
                <w:ilvl w:val="0"/>
                <w:numId w:val="124"/>
              </w:numPr>
              <w:spacing w:before="120" w:after="0" w:line="240" w:lineRule="auto"/>
              <w:ind w:left="189" w:hanging="142"/>
              <w:contextualSpacing/>
              <w:jc w:val="both"/>
              <w:rPr>
                <w:rFonts w:cs="Times New Roman"/>
                <w:noProof/>
              </w:rPr>
            </w:pPr>
            <w:r>
              <w:rPr>
                <w:noProof/>
              </w:rPr>
              <w:t>pružanje preporuka i plana za poboljšanje upravljanja školama putem pilot-programa;</w:t>
            </w:r>
          </w:p>
          <w:p w14:paraId="4A755911" w14:textId="77777777" w:rsidR="003F46B9" w:rsidRDefault="0065662E">
            <w:pPr>
              <w:pStyle w:val="P68B1DB1-Normal5"/>
              <w:numPr>
                <w:ilvl w:val="0"/>
                <w:numId w:val="124"/>
              </w:numPr>
              <w:spacing w:before="120" w:after="0" w:line="240" w:lineRule="auto"/>
              <w:ind w:left="189" w:hanging="142"/>
              <w:contextualSpacing/>
              <w:jc w:val="both"/>
              <w:rPr>
                <w:rFonts w:cs="Times New Roman"/>
                <w:noProof/>
              </w:rPr>
            </w:pPr>
            <w:r>
              <w:rPr>
                <w:noProof/>
              </w:rPr>
              <w:t>pružanje smjernica za osmišljavanje prog</w:t>
            </w:r>
            <w:r>
              <w:rPr>
                <w:noProof/>
              </w:rPr>
              <w:t>rama osposobljavanja i mentorstva.</w:t>
            </w:r>
          </w:p>
          <w:p w14:paraId="12E6B672" w14:textId="6852846D" w:rsidR="003F46B9" w:rsidRDefault="0065662E">
            <w:pPr>
              <w:pStyle w:val="P68B1DB1-Normal5"/>
              <w:spacing w:after="0" w:line="240" w:lineRule="auto"/>
              <w:jc w:val="both"/>
              <w:rPr>
                <w:rFonts w:eastAsia="Times New Roman" w:cs="Times New Roman"/>
                <w:noProof/>
              </w:rPr>
            </w:pPr>
            <w:r>
              <w:rPr>
                <w:noProof/>
              </w:rPr>
              <w:t xml:space="preserve">Kako bi se povećao kapacitet sustava upravljanja predsveučilišnim obrazovanjem i povećala autonomija škola, izrađuje se plan mjera.  </w:t>
            </w:r>
          </w:p>
        </w:tc>
      </w:tr>
      <w:tr w:rsidR="003F46B9" w14:paraId="0A90179F" w14:textId="77777777">
        <w:trPr>
          <w:trHeight w:val="309"/>
        </w:trPr>
        <w:tc>
          <w:tcPr>
            <w:tcW w:w="1276" w:type="dxa"/>
            <w:tcBorders>
              <w:top w:val="single" w:sz="4" w:space="0" w:color="auto"/>
              <w:left w:val="single" w:sz="4" w:space="0" w:color="auto"/>
              <w:bottom w:val="single" w:sz="4" w:space="0" w:color="auto"/>
              <w:right w:val="single" w:sz="4" w:space="0" w:color="auto"/>
            </w:tcBorders>
            <w:shd w:val="clear" w:color="auto" w:fill="C6EFCE"/>
            <w:noWrap/>
          </w:tcPr>
          <w:p w14:paraId="5A441BAF" w14:textId="77777777" w:rsidR="003F46B9" w:rsidRDefault="0065662E">
            <w:pPr>
              <w:pStyle w:val="P68B1DB1-Normal5"/>
              <w:spacing w:after="0" w:line="240" w:lineRule="auto"/>
              <w:jc w:val="center"/>
              <w:rPr>
                <w:rFonts w:cs="Times New Roman"/>
                <w:noProof/>
              </w:rPr>
            </w:pPr>
            <w:r>
              <w:rPr>
                <w:noProof/>
              </w:rPr>
              <w:t>495</w:t>
            </w:r>
          </w:p>
        </w:tc>
        <w:tc>
          <w:tcPr>
            <w:tcW w:w="1795" w:type="dxa"/>
            <w:tcBorders>
              <w:top w:val="single" w:sz="4" w:space="0" w:color="auto"/>
              <w:left w:val="nil"/>
              <w:bottom w:val="single" w:sz="4" w:space="0" w:color="auto"/>
              <w:right w:val="single" w:sz="4" w:space="0" w:color="auto"/>
            </w:tcBorders>
            <w:shd w:val="clear" w:color="auto" w:fill="C6EFCE"/>
            <w:noWrap/>
          </w:tcPr>
          <w:p w14:paraId="01E6E650" w14:textId="77777777" w:rsidR="003F46B9" w:rsidRDefault="0065662E">
            <w:pPr>
              <w:pStyle w:val="P68B1DB1-Normal5"/>
              <w:spacing w:after="0" w:line="240" w:lineRule="auto"/>
              <w:jc w:val="both"/>
              <w:rPr>
                <w:rFonts w:cs="Times New Roman"/>
                <w:noProof/>
              </w:rPr>
            </w:pPr>
            <w:r>
              <w:rPr>
                <w:noProof/>
              </w:rPr>
              <w:t xml:space="preserve">Reforma 7. Reforma upravljanja sustavom predsveučilišnog obrazovanja i </w:t>
            </w:r>
            <w:r>
              <w:rPr>
                <w:noProof/>
              </w:rPr>
              <w:t>profesionalizacija uprave</w:t>
            </w:r>
          </w:p>
        </w:tc>
        <w:tc>
          <w:tcPr>
            <w:tcW w:w="1182" w:type="dxa"/>
            <w:gridSpan w:val="2"/>
            <w:tcBorders>
              <w:top w:val="single" w:sz="4" w:space="0" w:color="auto"/>
              <w:left w:val="nil"/>
              <w:bottom w:val="single" w:sz="4" w:space="0" w:color="auto"/>
              <w:right w:val="single" w:sz="4" w:space="0" w:color="auto"/>
            </w:tcBorders>
            <w:shd w:val="clear" w:color="auto" w:fill="C6EFCE"/>
            <w:noWrap/>
          </w:tcPr>
          <w:p w14:paraId="121E4775" w14:textId="77777777" w:rsidR="003F46B9" w:rsidRDefault="0065662E">
            <w:pPr>
              <w:pStyle w:val="P68B1DB1-Normal5"/>
              <w:spacing w:after="0" w:line="240" w:lineRule="auto"/>
              <w:jc w:val="both"/>
              <w:rPr>
                <w:rFonts w:cs="Times New Roman"/>
                <w:noProof/>
              </w:rPr>
            </w:pPr>
            <w:r>
              <w:rPr>
                <w:noProof/>
              </w:rPr>
              <w:t>Prekretnica</w:t>
            </w:r>
          </w:p>
        </w:tc>
        <w:tc>
          <w:tcPr>
            <w:tcW w:w="1559" w:type="dxa"/>
            <w:tcBorders>
              <w:top w:val="single" w:sz="4" w:space="0" w:color="auto"/>
              <w:left w:val="nil"/>
              <w:bottom w:val="single" w:sz="4" w:space="0" w:color="auto"/>
              <w:right w:val="single" w:sz="4" w:space="0" w:color="auto"/>
            </w:tcBorders>
            <w:shd w:val="clear" w:color="auto" w:fill="C6EFCE"/>
            <w:noWrap/>
          </w:tcPr>
          <w:p w14:paraId="2EA8166B" w14:textId="77777777" w:rsidR="003F46B9" w:rsidRDefault="0065662E">
            <w:pPr>
              <w:pStyle w:val="P68B1DB1-Normal5"/>
              <w:spacing w:after="120" w:line="240" w:lineRule="auto"/>
              <w:jc w:val="both"/>
              <w:rPr>
                <w:rFonts w:cs="Times New Roman"/>
                <w:noProof/>
              </w:rPr>
            </w:pPr>
            <w:r>
              <w:rPr>
                <w:noProof/>
              </w:rPr>
              <w:t>Objava i provedba akcijskog plana za reformu upravljanja, uključujući program osposobljavanja i obuke za rukovoditelje i inspektore</w:t>
            </w:r>
          </w:p>
          <w:p w14:paraId="0170D939" w14:textId="77777777" w:rsidR="003F46B9" w:rsidRDefault="003F46B9">
            <w:pPr>
              <w:spacing w:after="0" w:line="240" w:lineRule="auto"/>
              <w:jc w:val="both"/>
              <w:rPr>
                <w:rFonts w:ascii="Times New Roman" w:hAnsi="Times New Roman" w:cs="Times New Roman"/>
                <w:noProof/>
                <w:sz w:val="24"/>
              </w:rPr>
            </w:pPr>
          </w:p>
        </w:tc>
        <w:tc>
          <w:tcPr>
            <w:tcW w:w="1843" w:type="dxa"/>
            <w:tcBorders>
              <w:top w:val="single" w:sz="4" w:space="0" w:color="auto"/>
              <w:left w:val="nil"/>
              <w:bottom w:val="single" w:sz="4" w:space="0" w:color="auto"/>
              <w:right w:val="single" w:sz="4" w:space="0" w:color="auto"/>
            </w:tcBorders>
            <w:shd w:val="clear" w:color="auto" w:fill="C6EFCE"/>
            <w:noWrap/>
          </w:tcPr>
          <w:p w14:paraId="614A04B8" w14:textId="77777777" w:rsidR="003F46B9" w:rsidRDefault="0065662E">
            <w:pPr>
              <w:pStyle w:val="P68B1DB1-Normal5"/>
              <w:spacing w:after="0" w:line="240" w:lineRule="auto"/>
              <w:jc w:val="both"/>
              <w:rPr>
                <w:rFonts w:cs="Times New Roman"/>
                <w:noProof/>
              </w:rPr>
            </w:pPr>
            <w:r>
              <w:rPr>
                <w:noProof/>
              </w:rPr>
              <w:t xml:space="preserve">Donošenje akcijskog plana za reformu upravljanja </w:t>
            </w:r>
          </w:p>
        </w:tc>
        <w:tc>
          <w:tcPr>
            <w:tcW w:w="1134" w:type="dxa"/>
            <w:tcBorders>
              <w:top w:val="single" w:sz="4" w:space="0" w:color="auto"/>
              <w:left w:val="nil"/>
              <w:bottom w:val="single" w:sz="4" w:space="0" w:color="auto"/>
              <w:right w:val="single" w:sz="4" w:space="0" w:color="auto"/>
            </w:tcBorders>
            <w:shd w:val="clear" w:color="auto" w:fill="C6EFCE"/>
            <w:noWrap/>
          </w:tcPr>
          <w:p w14:paraId="6FA3FCB4" w14:textId="77777777" w:rsidR="003F46B9" w:rsidRDefault="0065662E">
            <w:pPr>
              <w:pStyle w:val="P68B1DB1-Normal5"/>
              <w:spacing w:after="0" w:line="240" w:lineRule="auto"/>
              <w:jc w:val="both"/>
              <w:rPr>
                <w:rFonts w:cs="Times New Roman"/>
                <w:noProof/>
              </w:rPr>
            </w:pPr>
            <w:r>
              <w:rPr>
                <w:noProof/>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14:paraId="01228659" w14:textId="77777777" w:rsidR="003F46B9" w:rsidRDefault="0065662E">
            <w:pPr>
              <w:pStyle w:val="P68B1DB1-Normal5"/>
              <w:spacing w:after="0" w:line="240" w:lineRule="auto"/>
              <w:jc w:val="both"/>
              <w:rPr>
                <w:rFonts w:cs="Times New Roman"/>
                <w:noProof/>
              </w:rPr>
            </w:pPr>
            <w:r>
              <w:rPr>
                <w:noProof/>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14:paraId="2488A8AD" w14:textId="77777777" w:rsidR="003F46B9" w:rsidRDefault="0065662E">
            <w:pPr>
              <w:pStyle w:val="P68B1DB1-Normal5"/>
              <w:spacing w:after="0" w:line="240" w:lineRule="auto"/>
              <w:jc w:val="both"/>
              <w:rPr>
                <w:rFonts w:cs="Times New Roman"/>
                <w:noProof/>
              </w:rPr>
            </w:pPr>
            <w:r>
              <w:rPr>
                <w:noProof/>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14:paraId="29BBABFF" w14:textId="2FFC3651" w:rsidR="003F46B9" w:rsidRDefault="0065662E">
            <w:pPr>
              <w:pStyle w:val="P68B1DB1-Normal5"/>
              <w:spacing w:after="0" w:line="240" w:lineRule="auto"/>
              <w:jc w:val="both"/>
              <w:rPr>
                <w:rFonts w:cs="Times New Roman"/>
                <w:noProof/>
              </w:rPr>
            </w:pPr>
            <w:r>
              <w:rPr>
                <w:noProof/>
              </w:rPr>
              <w:t>TROMJESEČJE</w:t>
            </w:r>
          </w:p>
        </w:tc>
        <w:tc>
          <w:tcPr>
            <w:tcW w:w="941" w:type="dxa"/>
            <w:tcBorders>
              <w:top w:val="single" w:sz="4" w:space="0" w:color="auto"/>
              <w:left w:val="nil"/>
              <w:bottom w:val="single" w:sz="4" w:space="0" w:color="auto"/>
              <w:right w:val="single" w:sz="4" w:space="0" w:color="auto"/>
            </w:tcBorders>
            <w:shd w:val="clear" w:color="auto" w:fill="C6EFCE"/>
            <w:noWrap/>
          </w:tcPr>
          <w:p w14:paraId="1FC22EFE" w14:textId="79BC992A" w:rsidR="003F46B9" w:rsidRDefault="0065662E">
            <w:pPr>
              <w:pStyle w:val="P68B1DB1-Normal5"/>
              <w:spacing w:after="0" w:line="240" w:lineRule="auto"/>
              <w:jc w:val="both"/>
              <w:rPr>
                <w:rFonts w:cs="Times New Roman"/>
                <w:noProof/>
              </w:rPr>
            </w:pPr>
            <w:r>
              <w:rPr>
                <w:noProof/>
              </w:rPr>
              <w:t>2024</w:t>
            </w:r>
          </w:p>
        </w:tc>
        <w:tc>
          <w:tcPr>
            <w:tcW w:w="2404" w:type="dxa"/>
            <w:tcBorders>
              <w:top w:val="single" w:sz="4" w:space="0" w:color="auto"/>
              <w:left w:val="nil"/>
              <w:bottom w:val="single" w:sz="4" w:space="0" w:color="auto"/>
              <w:right w:val="single" w:sz="4" w:space="0" w:color="auto"/>
            </w:tcBorders>
            <w:shd w:val="clear" w:color="auto" w:fill="C6EFCE"/>
            <w:noWrap/>
          </w:tcPr>
          <w:p w14:paraId="77917DD4" w14:textId="77777777" w:rsidR="003F46B9" w:rsidRDefault="0065662E">
            <w:pPr>
              <w:pStyle w:val="P68B1DB1-Normal5"/>
              <w:spacing w:after="0" w:line="240" w:lineRule="auto"/>
              <w:jc w:val="both"/>
              <w:rPr>
                <w:rFonts w:cs="Times New Roman"/>
                <w:noProof/>
              </w:rPr>
            </w:pPr>
            <w:r>
              <w:rPr>
                <w:noProof/>
              </w:rPr>
              <w:t xml:space="preserve">Akcijskim planom za upravljanje reformiraju se politike u području ljudskih resursa/zapošljavanje rukovoditelja u području obrazovanja te se postupno uvode: </w:t>
            </w:r>
          </w:p>
          <w:p w14:paraId="23953560" w14:textId="77777777" w:rsidR="003F46B9" w:rsidRDefault="0065662E">
            <w:pPr>
              <w:pStyle w:val="P68B1DB1-Normal5"/>
              <w:numPr>
                <w:ilvl w:val="0"/>
                <w:numId w:val="122"/>
              </w:numPr>
              <w:spacing w:before="120" w:after="0"/>
              <w:ind w:left="189" w:hanging="142"/>
              <w:contextualSpacing/>
              <w:jc w:val="both"/>
              <w:rPr>
                <w:rFonts w:cs="Times New Roman"/>
                <w:noProof/>
              </w:rPr>
            </w:pPr>
            <w:r>
              <w:rPr>
                <w:noProof/>
              </w:rPr>
              <w:t>Preispitivanje metodologije natječaja direktora kako bi se ona povezala s metodologijom za ocjenji</w:t>
            </w:r>
            <w:r>
              <w:rPr>
                <w:noProof/>
              </w:rPr>
              <w:t xml:space="preserve">vanje rukovoditelja predsveučilišnog obrazovanja i povećala privlačnost direktorske funkcije među stručnjacima. </w:t>
            </w:r>
          </w:p>
          <w:p w14:paraId="2E2D6FC7" w14:textId="77777777" w:rsidR="003F46B9" w:rsidRDefault="0065662E">
            <w:pPr>
              <w:pStyle w:val="P68B1DB1-Normal5"/>
              <w:numPr>
                <w:ilvl w:val="0"/>
                <w:numId w:val="122"/>
              </w:numPr>
              <w:spacing w:before="120" w:after="0"/>
              <w:ind w:left="189" w:hanging="142"/>
              <w:contextualSpacing/>
              <w:jc w:val="both"/>
              <w:rPr>
                <w:rFonts w:cs="Times New Roman"/>
                <w:noProof/>
              </w:rPr>
            </w:pPr>
            <w:r>
              <w:rPr>
                <w:noProof/>
              </w:rPr>
              <w:t>Prijenos nadležnosti s županijskih školskih inspektorata na županijske uprave za osiguranje kvalitete i podređenu školsku inspekciju ARACIP-a.</w:t>
            </w:r>
          </w:p>
          <w:p w14:paraId="2025FF36" w14:textId="77777777" w:rsidR="003F46B9" w:rsidRDefault="0065662E">
            <w:pPr>
              <w:pStyle w:val="P68B1DB1-Normal5"/>
              <w:numPr>
                <w:ilvl w:val="0"/>
                <w:numId w:val="122"/>
              </w:numPr>
              <w:spacing w:before="120" w:after="0"/>
              <w:ind w:left="189" w:hanging="142"/>
              <w:contextualSpacing/>
              <w:jc w:val="both"/>
              <w:rPr>
                <w:rFonts w:cs="Times New Roman"/>
                <w:noProof/>
              </w:rPr>
            </w:pPr>
            <w:r>
              <w:rPr>
                <w:noProof/>
              </w:rPr>
              <w:t>Program bespovratnih sredstava za potporu školama za pokusno provođenje pristupa, na temelju prijave koju ocjenjuju stručnjaci u Ministarstvu obrazovanja.</w:t>
            </w:r>
          </w:p>
          <w:p w14:paraId="6CBC6CE4" w14:textId="77777777" w:rsidR="003F46B9" w:rsidRDefault="0065662E">
            <w:pPr>
              <w:pStyle w:val="P68B1DB1-Normal5"/>
              <w:spacing w:after="0" w:line="240" w:lineRule="auto"/>
              <w:jc w:val="both"/>
              <w:rPr>
                <w:rFonts w:cs="Times New Roman"/>
                <w:noProof/>
              </w:rPr>
            </w:pPr>
            <w:r>
              <w:rPr>
                <w:noProof/>
              </w:rPr>
              <w:t>Škole koje sudjeluju u pilot-programu najprije se savjetuju s Odborom učenika i roditelja.</w:t>
            </w:r>
          </w:p>
          <w:p w14:paraId="13AA6276" w14:textId="77777777" w:rsidR="003F46B9" w:rsidRDefault="0065662E">
            <w:pPr>
              <w:pStyle w:val="P68B1DB1-Normal5"/>
              <w:spacing w:after="0" w:line="240" w:lineRule="auto"/>
              <w:jc w:val="both"/>
              <w:rPr>
                <w:rFonts w:cs="Times New Roman"/>
                <w:noProof/>
              </w:rPr>
            </w:pPr>
            <w:r>
              <w:rPr>
                <w:noProof/>
              </w:rPr>
              <w:t>U pilot-pr</w:t>
            </w:r>
            <w:r>
              <w:rPr>
                <w:noProof/>
              </w:rPr>
              <w:t>ogramu koji uključuje 60 škola razmatraju se školski kurikulumi, upravljanje i upravljanje njima te se utvrđuju područja u kojima se mogu poboljšati upravljanje i kvaliteta poučavanja/učenja.</w:t>
            </w:r>
          </w:p>
        </w:tc>
      </w:tr>
    </w:tbl>
    <w:p w14:paraId="54E6DE91" w14:textId="77777777" w:rsidR="003F46B9" w:rsidRDefault="003F46B9">
      <w:pPr>
        <w:spacing w:before="120" w:after="120" w:line="240" w:lineRule="auto"/>
        <w:ind w:left="709"/>
        <w:jc w:val="both"/>
        <w:rPr>
          <w:rFonts w:ascii="Times New Roman" w:hAnsi="Times New Roman" w:cs="Times New Roman"/>
          <w:noProof/>
          <w:sz w:val="24"/>
        </w:rPr>
        <w:sectPr w:rsidR="003F46B9">
          <w:headerReference w:type="even" r:id="rId307"/>
          <w:headerReference w:type="default" r:id="rId308"/>
          <w:footerReference w:type="even" r:id="rId309"/>
          <w:footerReference w:type="default" r:id="rId310"/>
          <w:headerReference w:type="first" r:id="rId311"/>
          <w:footerReference w:type="first" r:id="rId312"/>
          <w:pgSz w:w="16839" w:h="11907" w:orient="landscape"/>
          <w:pgMar w:top="720" w:right="720" w:bottom="720" w:left="720" w:header="709" w:footer="709" w:gutter="0"/>
          <w:cols w:space="720"/>
          <w:docGrid w:linePitch="360"/>
        </w:sectPr>
      </w:pPr>
    </w:p>
    <w:p w14:paraId="37F5362B"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O.3. </w:t>
      </w:r>
      <w:r>
        <w:rPr>
          <w:noProof/>
        </w:rPr>
        <w:tab/>
      </w:r>
      <w:r>
        <w:rPr>
          <w:rFonts w:ascii="Times New Roman" w:hAnsi="Times New Roman"/>
          <w:b/>
          <w:noProof/>
          <w:sz w:val="24"/>
        </w:rPr>
        <w:t xml:space="preserve">Opis reformi i ulaganja za zajam </w:t>
      </w:r>
    </w:p>
    <w:p w14:paraId="552BF320" w14:textId="77777777" w:rsidR="003F46B9" w:rsidRDefault="0065662E">
      <w:pPr>
        <w:pStyle w:val="P68B1DB1-Normal5"/>
        <w:numPr>
          <w:ilvl w:val="0"/>
          <w:numId w:val="105"/>
        </w:numPr>
        <w:spacing w:before="120" w:after="120" w:line="240" w:lineRule="auto"/>
        <w:ind w:left="709"/>
        <w:jc w:val="both"/>
        <w:rPr>
          <w:rFonts w:cs="Times New Roman"/>
          <w:noProof/>
        </w:rPr>
      </w:pPr>
      <w:r>
        <w:rPr>
          <w:noProof/>
        </w:rPr>
        <w:t xml:space="preserve">Strukovno obrazovanje i osposobljavanje (Dualni sustav): </w:t>
      </w:r>
    </w:p>
    <w:p w14:paraId="121AF4DC" w14:textId="77777777" w:rsidR="003F46B9" w:rsidRDefault="0065662E">
      <w:pPr>
        <w:pStyle w:val="P68B1DB1-Standard6"/>
        <w:spacing w:before="240"/>
        <w:jc w:val="both"/>
        <w:rPr>
          <w:noProof/>
        </w:rPr>
      </w:pPr>
      <w:r>
        <w:rPr>
          <w:noProof/>
        </w:rPr>
        <w:t xml:space="preserve">Ulaganje 13. Opremanje informatičkih laboratorija u školama za strukovno obrazovanje i osposobljavanje (SOO) </w:t>
      </w:r>
    </w:p>
    <w:p w14:paraId="2F30546B" w14:textId="77777777" w:rsidR="003F46B9" w:rsidRDefault="0065662E">
      <w:pPr>
        <w:pStyle w:val="P68B1DB1-Standard14"/>
        <w:spacing w:before="240"/>
        <w:jc w:val="both"/>
        <w:rPr>
          <w:rFonts w:cs="Times New Roman"/>
          <w:noProof/>
        </w:rPr>
      </w:pPr>
      <w:r>
        <w:rPr>
          <w:noProof/>
        </w:rPr>
        <w:t xml:space="preserve">Cilj je ulaganja poduprijeti digitalnu transformaciju </w:t>
      </w:r>
      <w:r>
        <w:rPr>
          <w:noProof/>
        </w:rPr>
        <w:t>škola koje pripadaju mreži SOO-a i olakšati e-učenje. Uključuje ulaganja u digitalnu infrastrukturu za poučavanje i digitalne nastavne alate za 909 škola za strukovno obrazovanje i osposobljavanje.</w:t>
      </w:r>
    </w:p>
    <w:p w14:paraId="6C23650F" w14:textId="77777777" w:rsidR="003F46B9" w:rsidRDefault="0065662E">
      <w:pPr>
        <w:pStyle w:val="P68B1DB1-Normal5"/>
        <w:spacing w:before="120" w:after="120" w:line="240" w:lineRule="auto"/>
        <w:jc w:val="both"/>
        <w:rPr>
          <w:rFonts w:cs="Times New Roman"/>
          <w:noProof/>
        </w:rPr>
      </w:pPr>
      <w:r>
        <w:rPr>
          <w:noProof/>
        </w:rPr>
        <w:t>Ulaganje uključuje i kupnju informatičke opreme u učionici</w:t>
      </w:r>
      <w:r>
        <w:rPr>
          <w:noProof/>
        </w:rPr>
        <w:t xml:space="preserve"> i obuhvaća pripadajuću infrastrukturnu opremu potrebnu za upotrebu digitalne nastavne opreme. Ulaganja se provode putem županijskog školskog inspektorata ili putem lokalnih vlasti ili škola od kojih se očekuje da će objaviti pozive za nabavu informatičke </w:t>
      </w:r>
      <w:r>
        <w:rPr>
          <w:noProof/>
        </w:rPr>
        <w:t xml:space="preserve">opreme i laboratorija u okviru obrazovnih jedinica za strukovno obrazovanje i osposobljavanje. </w:t>
      </w:r>
    </w:p>
    <w:p w14:paraId="24E8E8A3" w14:textId="77777777" w:rsidR="003F46B9" w:rsidRDefault="0065662E">
      <w:pPr>
        <w:pStyle w:val="P68B1DB1-Normal5"/>
        <w:spacing w:before="120" w:after="120" w:line="240" w:lineRule="auto"/>
        <w:jc w:val="both"/>
        <w:rPr>
          <w:rFonts w:cs="Times New Roman"/>
          <w:noProof/>
        </w:rPr>
      </w:pPr>
      <w:r>
        <w:rPr>
          <w:noProof/>
        </w:rPr>
        <w:t>Provedba ulaganja mora biti dovršena do 30. rujna 2023.</w:t>
      </w:r>
    </w:p>
    <w:p w14:paraId="1631762E"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14. Organiziranje praktičnih radionica u školama za strukovno obrazovanje i osposobljavanje</w:t>
      </w:r>
    </w:p>
    <w:p w14:paraId="028F88B3" w14:textId="77777777" w:rsidR="003F46B9" w:rsidRDefault="0065662E">
      <w:pPr>
        <w:pStyle w:val="P68B1DB1-Normal5"/>
        <w:spacing w:before="120" w:after="120" w:line="240" w:lineRule="auto"/>
        <w:jc w:val="both"/>
        <w:rPr>
          <w:rFonts w:eastAsia="Times New Roman" w:cs="Times New Roman"/>
          <w:noProof/>
        </w:rPr>
      </w:pPr>
      <w:r>
        <w:rPr>
          <w:noProof/>
        </w:rPr>
        <w:t>Cil</w:t>
      </w:r>
      <w:r>
        <w:rPr>
          <w:noProof/>
        </w:rPr>
        <w:t>j je ovog ulaganja opremiti školske radionice u okviru obrazovnih jedinica za strukovno obrazovanje i osposobljavanje, uključujući dvojne jedinice za osposobljavanje (i isključujući one s poljoprivrednim profilom koje su predmet ulaganja 7).</w:t>
      </w:r>
    </w:p>
    <w:p w14:paraId="577BE12A" w14:textId="77777777" w:rsidR="003F46B9" w:rsidRDefault="0065662E">
      <w:pPr>
        <w:pStyle w:val="P68B1DB1-Normal5"/>
        <w:spacing w:before="120" w:after="120" w:line="240" w:lineRule="auto"/>
        <w:jc w:val="both"/>
        <w:rPr>
          <w:rFonts w:cs="Times New Roman"/>
          <w:noProof/>
        </w:rPr>
      </w:pPr>
      <w:r>
        <w:rPr>
          <w:noProof/>
        </w:rPr>
        <w:t>U okviru progr</w:t>
      </w:r>
      <w:r>
        <w:rPr>
          <w:noProof/>
        </w:rPr>
        <w:t>ama financiranja svaka od 909 škola SOO-a prima bespovratna sredstva u maksimalnom iznosu od 100 000 EUR kako bi se radionice za praksu opremile u skladu s njihovom specijalizacijom i konkretnim potrebama. Jedna trećina ulaganja namijenjena je opremanju ra</w:t>
      </w:r>
      <w:r>
        <w:rPr>
          <w:noProof/>
        </w:rPr>
        <w:t xml:space="preserve">dionica digitalnom opremom. </w:t>
      </w:r>
    </w:p>
    <w:p w14:paraId="4679F38F" w14:textId="77777777" w:rsidR="003F46B9" w:rsidRDefault="0065662E">
      <w:pPr>
        <w:pStyle w:val="P68B1DB1-Normal5"/>
        <w:spacing w:before="120" w:after="120" w:line="240" w:lineRule="auto"/>
        <w:jc w:val="both"/>
        <w:rPr>
          <w:rFonts w:cs="Times New Roman"/>
          <w:noProof/>
        </w:rPr>
      </w:pPr>
      <w:r>
        <w:rPr>
          <w:noProof/>
        </w:rPr>
        <w:t>Nabava se provodi putem županijskih školskih inspektorata ili putem upravnih teritorijalnih jedinica/škola.</w:t>
      </w:r>
    </w:p>
    <w:p w14:paraId="4F8183A0" w14:textId="77777777" w:rsidR="003F46B9" w:rsidRDefault="0065662E">
      <w:pPr>
        <w:pStyle w:val="P68B1DB1-Normal5"/>
        <w:spacing w:before="120" w:after="120" w:line="240" w:lineRule="auto"/>
        <w:jc w:val="both"/>
        <w:rPr>
          <w:rFonts w:cs="Times New Roman"/>
          <w:noProof/>
        </w:rPr>
      </w:pPr>
      <w:r>
        <w:rPr>
          <w:noProof/>
        </w:rPr>
        <w:t xml:space="preserve">Provedba ulaganja mora biti dovršena do 30. rujna 2023. </w:t>
      </w:r>
    </w:p>
    <w:p w14:paraId="36A36053" w14:textId="77777777" w:rsidR="003F46B9" w:rsidRDefault="0065662E">
      <w:pPr>
        <w:pStyle w:val="P68B1DB1-Normal5"/>
        <w:numPr>
          <w:ilvl w:val="0"/>
          <w:numId w:val="105"/>
        </w:numPr>
        <w:spacing w:before="120" w:after="120" w:line="240" w:lineRule="auto"/>
        <w:ind w:left="709" w:hanging="283"/>
        <w:jc w:val="both"/>
        <w:rPr>
          <w:rFonts w:cs="Times New Roman"/>
          <w:noProof/>
        </w:rPr>
      </w:pPr>
      <w:r>
        <w:rPr>
          <w:noProof/>
        </w:rPr>
        <w:t xml:space="preserve">Digitalizacija obrazovanja: </w:t>
      </w:r>
    </w:p>
    <w:p w14:paraId="34B329C5"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15. Internetska škola: P</w:t>
      </w:r>
      <w:r>
        <w:rPr>
          <w:noProof/>
        </w:rPr>
        <w:t>latforma za procjenu i razvoj sadržaja</w:t>
      </w:r>
      <w:r>
        <w:rPr>
          <w:rFonts w:ascii="Times New Roman" w:hAnsi="Times New Roman"/>
          <w:noProof/>
        </w:rPr>
        <w:t xml:space="preserve"> </w:t>
      </w:r>
    </w:p>
    <w:p w14:paraId="58562755" w14:textId="77777777" w:rsidR="003F46B9" w:rsidRDefault="0065662E">
      <w:pPr>
        <w:pStyle w:val="P68B1DB1-Normal5"/>
        <w:spacing w:before="120" w:after="120" w:line="240" w:lineRule="auto"/>
        <w:jc w:val="both"/>
        <w:rPr>
          <w:rFonts w:cs="Times New Roman"/>
          <w:noProof/>
        </w:rPr>
      </w:pPr>
      <w:r>
        <w:rPr>
          <w:noProof/>
        </w:rPr>
        <w:t>Cilj je tog ulaganja osigurati integrirani pristup nastavnim aktivnostima na internetu ili u posebnim situacijama osiguravanjem komplementarnosti sati na internetu s platformama za učenje, digitalnim priručnicima i p</w:t>
      </w:r>
      <w:r>
        <w:rPr>
          <w:noProof/>
        </w:rPr>
        <w:t xml:space="preserve">opratnim materijalima potrebnima za cjelovit i složen proces. Stoga će se stvoriti digitalni ekosustav za razvoj digitalnih vještina na školskoj razini, kao i temeljni okvir za ocjenjivanje i testiranje na daljinu. </w:t>
      </w:r>
    </w:p>
    <w:p w14:paraId="7C2FCDA1" w14:textId="77777777" w:rsidR="003F46B9" w:rsidRDefault="0065662E">
      <w:pPr>
        <w:pStyle w:val="P68B1DB1-Normal5"/>
        <w:spacing w:before="120" w:after="120" w:line="240" w:lineRule="auto"/>
        <w:jc w:val="both"/>
        <w:rPr>
          <w:rFonts w:cs="Times New Roman"/>
          <w:noProof/>
        </w:rPr>
      </w:pPr>
      <w:r>
        <w:rPr>
          <w:noProof/>
        </w:rPr>
        <w:t>Ulaganje se provodi putem natjecateljsko</w:t>
      </w:r>
      <w:r>
        <w:rPr>
          <w:noProof/>
        </w:rPr>
        <w:t>g poziva na podnošenje projekata za razvoj otvorenih obrazovnih resursa. Ulaganjem se financiraju: i) proširenje postojeće digitalne platforme za udžbenike dodavanjem nastavne potpore za sve discipline i sve razrede srednjoškolskog obrazovanja, ii. stvaran</w:t>
      </w:r>
      <w:r>
        <w:rPr>
          <w:noProof/>
        </w:rPr>
        <w:t>je digitalnog obrazovnog sadržaja za tri različite razine produbljivanja znanja (medijalno, pristupačno, uspješno), iii. razvoj uključivih obrazovnih resursa za učenike s invaliditetom, sportaše, hospitalizirane učenike i iv. razvoj platforme za procjenu n</w:t>
      </w:r>
      <w:r>
        <w:rPr>
          <w:noProof/>
        </w:rPr>
        <w:t>a temelju najboljih europskih praksi.</w:t>
      </w:r>
    </w:p>
    <w:p w14:paraId="50F08CF4" w14:textId="534CD4FF" w:rsidR="003F46B9" w:rsidRDefault="0065662E">
      <w:pPr>
        <w:pStyle w:val="P68B1DB1-Normal5"/>
        <w:spacing w:before="120" w:after="120" w:line="240" w:lineRule="auto"/>
        <w:jc w:val="both"/>
        <w:rPr>
          <w:rFonts w:cs="Times New Roman"/>
          <w:noProof/>
        </w:rPr>
      </w:pPr>
      <w:r>
        <w:rPr>
          <w:noProof/>
        </w:rPr>
        <w:t>Provedba ulaganja mora biti dovršena do 30. rujna 2025.</w:t>
      </w:r>
    </w:p>
    <w:p w14:paraId="375C4309" w14:textId="77777777" w:rsidR="003F46B9" w:rsidRDefault="0065662E">
      <w:pPr>
        <w:pStyle w:val="P68B1DB1-Standard6"/>
        <w:pageBreakBefore/>
        <w:spacing w:before="240"/>
        <w:jc w:val="both"/>
        <w:rPr>
          <w:rFonts w:ascii="Times New Roman" w:eastAsiaTheme="majorEastAsia" w:hAnsi="Times New Roman" w:cs="Times New Roman"/>
          <w:noProof/>
        </w:rPr>
      </w:pPr>
      <w:r>
        <w:rPr>
          <w:noProof/>
        </w:rPr>
        <w:t xml:space="preserve">Ulaganje 16. Digitalizacija sveučilišta i njihova priprema za digitalna zanimanja budućnosti </w:t>
      </w:r>
    </w:p>
    <w:p w14:paraId="6984744D" w14:textId="490D6BB6" w:rsidR="003F46B9" w:rsidRDefault="0065662E">
      <w:pPr>
        <w:pStyle w:val="P68B1DB1-Normal5"/>
        <w:spacing w:before="120" w:after="120" w:line="240" w:lineRule="auto"/>
        <w:jc w:val="both"/>
        <w:rPr>
          <w:rFonts w:eastAsia="Times New Roman" w:cs="Times New Roman"/>
          <w:noProof/>
        </w:rPr>
      </w:pPr>
      <w:r>
        <w:rPr>
          <w:noProof/>
        </w:rPr>
        <w:t>Cilj je tog ulaganja poboljšati komunikaciju između sveučilišta i st</w:t>
      </w:r>
      <w:r>
        <w:rPr>
          <w:noProof/>
        </w:rPr>
        <w:t>udenata te stvoriti uvjete za timski rad u digitalnom okruženju, automatizirati unutarnje administrativne postupke na sveučilištima, poboljšati upravljanje sustavom obrazovnog sadržaja i stvoriti infrastrukturu za istraživanje, razvoj i inovacije za rješav</w:t>
      </w:r>
      <w:r>
        <w:rPr>
          <w:noProof/>
        </w:rPr>
        <w:t>anje pitanja naprednih tehnologija.</w:t>
      </w:r>
    </w:p>
    <w:p w14:paraId="01C5832F" w14:textId="3C7D8CE9" w:rsidR="003F46B9" w:rsidRDefault="0065662E">
      <w:pPr>
        <w:pStyle w:val="P68B1DB1-Normal5"/>
        <w:spacing w:before="120"/>
        <w:contextualSpacing/>
        <w:jc w:val="both"/>
        <w:rPr>
          <w:rFonts w:cs="Times New Roman"/>
          <w:noProof/>
        </w:rPr>
      </w:pPr>
      <w:r>
        <w:rPr>
          <w:noProof/>
        </w:rPr>
        <w:t xml:space="preserve">Ulaganje se provodi dodjelom bespovratnih sredstava za 60 sveučilišta za nekoliko vrsta ulaganja: </w:t>
      </w:r>
    </w:p>
    <w:p w14:paraId="11465328" w14:textId="77777777" w:rsidR="003F46B9" w:rsidRDefault="0065662E">
      <w:pPr>
        <w:pStyle w:val="P68B1DB1-ListParagraph13"/>
        <w:numPr>
          <w:ilvl w:val="0"/>
          <w:numId w:val="242"/>
        </w:numPr>
        <w:spacing w:before="120"/>
        <w:jc w:val="both"/>
        <w:rPr>
          <w:rFonts w:cs="Times New Roman"/>
          <w:noProof/>
        </w:rPr>
      </w:pPr>
      <w:r>
        <w:rPr>
          <w:noProof/>
        </w:rPr>
        <w:t>operacionalizacija sveučilišnih digitalnih centara</w:t>
      </w:r>
    </w:p>
    <w:p w14:paraId="51F0D809" w14:textId="77777777" w:rsidR="003F46B9" w:rsidRDefault="0065662E">
      <w:pPr>
        <w:pStyle w:val="P68B1DB1-ListParagraph13"/>
        <w:numPr>
          <w:ilvl w:val="0"/>
          <w:numId w:val="242"/>
        </w:numPr>
        <w:spacing w:before="120"/>
        <w:jc w:val="both"/>
        <w:rPr>
          <w:rFonts w:cs="Times New Roman"/>
          <w:noProof/>
        </w:rPr>
      </w:pPr>
      <w:r>
        <w:rPr>
          <w:noProof/>
        </w:rPr>
        <w:t>programi osposobljavanja u području digitalnih kompetencija</w:t>
      </w:r>
    </w:p>
    <w:p w14:paraId="1F9CAC16" w14:textId="77777777" w:rsidR="003F46B9" w:rsidRDefault="0065662E">
      <w:pPr>
        <w:pStyle w:val="P68B1DB1-ListParagraph13"/>
        <w:numPr>
          <w:ilvl w:val="0"/>
          <w:numId w:val="242"/>
        </w:numPr>
        <w:spacing w:before="120"/>
        <w:jc w:val="both"/>
        <w:rPr>
          <w:rFonts w:cs="Times New Roman"/>
          <w:noProof/>
        </w:rPr>
      </w:pPr>
      <w:r>
        <w:rPr>
          <w:noProof/>
        </w:rPr>
        <w:t>razvoj pod</w:t>
      </w:r>
      <w:r>
        <w:rPr>
          <w:noProof/>
        </w:rPr>
        <w:t>uzetničkih vještina studenata za digitalni sektor</w:t>
      </w:r>
    </w:p>
    <w:p w14:paraId="58828129" w14:textId="77777777" w:rsidR="003F46B9" w:rsidRDefault="0065662E">
      <w:pPr>
        <w:pStyle w:val="P68B1DB1-ListParagraph13"/>
        <w:numPr>
          <w:ilvl w:val="0"/>
          <w:numId w:val="242"/>
        </w:numPr>
        <w:spacing w:before="120"/>
        <w:jc w:val="both"/>
        <w:rPr>
          <w:rFonts w:cs="Times New Roman"/>
          <w:noProof/>
        </w:rPr>
      </w:pPr>
      <w:r>
        <w:rPr>
          <w:noProof/>
        </w:rPr>
        <w:t>programi profesionalnog usmjeravanja za studente s ciljem odabira novih zanimanja u području IKT-a</w:t>
      </w:r>
    </w:p>
    <w:p w14:paraId="21A1F270" w14:textId="77777777" w:rsidR="003F46B9" w:rsidRDefault="0065662E">
      <w:pPr>
        <w:pStyle w:val="P68B1DB1-ListParagraph13"/>
        <w:numPr>
          <w:ilvl w:val="0"/>
          <w:numId w:val="242"/>
        </w:numPr>
        <w:spacing w:before="120"/>
        <w:jc w:val="both"/>
        <w:rPr>
          <w:rFonts w:cs="Times New Roman"/>
          <w:noProof/>
        </w:rPr>
      </w:pPr>
      <w:r>
        <w:rPr>
          <w:noProof/>
        </w:rPr>
        <w:t>programi osposobljavanja za nove vještine poučavanja/procjene u hibridnom sustavu</w:t>
      </w:r>
    </w:p>
    <w:p w14:paraId="5CDE85C8" w14:textId="77777777" w:rsidR="003F46B9" w:rsidRDefault="0065662E">
      <w:pPr>
        <w:pStyle w:val="P68B1DB1-ListParagraph13"/>
        <w:numPr>
          <w:ilvl w:val="0"/>
          <w:numId w:val="242"/>
        </w:numPr>
        <w:spacing w:before="120"/>
        <w:jc w:val="both"/>
        <w:rPr>
          <w:rFonts w:cs="Times New Roman"/>
          <w:noProof/>
        </w:rPr>
      </w:pPr>
      <w:r>
        <w:rPr>
          <w:noProof/>
        </w:rPr>
        <w:t xml:space="preserve">napredni razvoj digitalnih vještina za 1000 studenata preddiplomskog i diplomskog studija </w:t>
      </w:r>
    </w:p>
    <w:p w14:paraId="5FBF345A" w14:textId="77777777" w:rsidR="003F46B9" w:rsidRDefault="0065662E">
      <w:pPr>
        <w:pStyle w:val="P68B1DB1-ListParagraph13"/>
        <w:numPr>
          <w:ilvl w:val="0"/>
          <w:numId w:val="242"/>
        </w:numPr>
        <w:spacing w:before="120"/>
        <w:jc w:val="both"/>
        <w:rPr>
          <w:rFonts w:cs="Times New Roman"/>
          <w:noProof/>
        </w:rPr>
      </w:pPr>
      <w:r>
        <w:rPr>
          <w:noProof/>
        </w:rPr>
        <w:t xml:space="preserve">osposobljavanje za razvoj profesionalnih i digitalnih vještina studenata preddiplomskih, diplomskih i doktorskih studija sudjelovanjem u programima osposobljavanja, </w:t>
      </w:r>
      <w:r>
        <w:rPr>
          <w:noProof/>
        </w:rPr>
        <w:t>povezano s Europskim okvirom digitalnih kompetencija; razvoj digitalnih vještina nastavnog i istraživačkog osoblja sudjelovanjem u istraživačkim i praktičnim projektima povezanima s Europskim okvirom za digitalne kompetencije učitelja; razvoj naprednih dig</w:t>
      </w:r>
      <w:r>
        <w:rPr>
          <w:noProof/>
        </w:rPr>
        <w:t xml:space="preserve">italnih vještina stručnjaka u području informacijske tehnologije za nove tehnologije – kvantno računalstvo, umjetna inteligencija, lanac blokova, internet stvari; provođenje programa usavršavanja putem digitalnoinovacijskih centara. </w:t>
      </w:r>
    </w:p>
    <w:p w14:paraId="454853B6" w14:textId="77777777" w:rsidR="003F46B9" w:rsidRDefault="0065662E">
      <w:pPr>
        <w:pStyle w:val="P68B1DB1-Normal5"/>
        <w:spacing w:before="120" w:after="120" w:line="240" w:lineRule="auto"/>
        <w:jc w:val="both"/>
        <w:rPr>
          <w:rFonts w:cs="Times New Roman"/>
          <w:noProof/>
        </w:rPr>
      </w:pPr>
      <w:r>
        <w:rPr>
          <w:noProof/>
        </w:rPr>
        <w:t>Provedba ulaganja mora</w:t>
      </w:r>
      <w:r>
        <w:rPr>
          <w:noProof/>
        </w:rPr>
        <w:t xml:space="preserve"> biti dovršena do 31. prosinca 2025.</w:t>
      </w:r>
    </w:p>
    <w:p w14:paraId="02C03FFE" w14:textId="77777777" w:rsidR="003F46B9" w:rsidRDefault="0065662E">
      <w:pPr>
        <w:pStyle w:val="P68B1DB1-Normal5"/>
        <w:numPr>
          <w:ilvl w:val="0"/>
          <w:numId w:val="105"/>
        </w:numPr>
        <w:spacing w:before="120" w:after="120" w:line="240" w:lineRule="auto"/>
        <w:ind w:left="567"/>
        <w:jc w:val="both"/>
        <w:rPr>
          <w:rFonts w:cs="Times New Roman"/>
          <w:noProof/>
        </w:rPr>
      </w:pPr>
      <w:r>
        <w:rPr>
          <w:noProof/>
        </w:rPr>
        <w:t xml:space="preserve">Infrastruktura: </w:t>
      </w:r>
    </w:p>
    <w:p w14:paraId="2463A2B4" w14:textId="77777777" w:rsidR="003F46B9" w:rsidRDefault="0065662E">
      <w:pPr>
        <w:pStyle w:val="P68B1DB1-Standard6"/>
        <w:spacing w:before="240"/>
        <w:jc w:val="both"/>
        <w:rPr>
          <w:rFonts w:ascii="Times New Roman" w:eastAsiaTheme="majorEastAsia" w:hAnsi="Times New Roman" w:cs="Times New Roman"/>
          <w:noProof/>
        </w:rPr>
      </w:pPr>
      <w:r>
        <w:rPr>
          <w:noProof/>
        </w:rPr>
        <w:t xml:space="preserve">Ulaganje 17. Osiguravanje sveučilišne infrastrukture (home, </w:t>
      </w:r>
      <w:r>
        <w:rPr>
          <w:rFonts w:ascii="Times New Roman" w:hAnsi="Times New Roman"/>
          <w:noProof/>
        </w:rPr>
        <w:t>kantine, rekreacijska postrojenja)</w:t>
      </w:r>
    </w:p>
    <w:p w14:paraId="1D65AC69" w14:textId="77777777" w:rsidR="003F46B9" w:rsidRDefault="0065662E">
      <w:pPr>
        <w:pStyle w:val="P68B1DB1-Normal5"/>
        <w:spacing w:before="120" w:after="120" w:line="240" w:lineRule="auto"/>
        <w:jc w:val="both"/>
        <w:rPr>
          <w:rFonts w:cs="Times New Roman"/>
          <w:noProof/>
        </w:rPr>
      </w:pPr>
      <w:r>
        <w:rPr>
          <w:noProof/>
        </w:rPr>
        <w:t>Cilj je ovog ulaganja izgradnja/nadogradnja triju vrsta infrastrukture u sveučilišnim kampusima, u skladu s</w:t>
      </w:r>
      <w:r>
        <w:rPr>
          <w:noProof/>
        </w:rPr>
        <w:t xml:space="preserve">a standardima sigurnosti i kvalitete, kako bi se osigurala socijalna/uključiva dimenzija visokog obrazovanja. </w:t>
      </w:r>
    </w:p>
    <w:p w14:paraId="6093FA88" w14:textId="77777777" w:rsidR="003F46B9" w:rsidRDefault="0065662E">
      <w:pPr>
        <w:pStyle w:val="P68B1DB1-Normal5"/>
        <w:spacing w:before="120" w:after="120" w:line="240" w:lineRule="auto"/>
        <w:jc w:val="both"/>
        <w:rPr>
          <w:rFonts w:cs="Times New Roman"/>
          <w:noProof/>
        </w:rPr>
      </w:pPr>
      <w:r>
        <w:rPr>
          <w:noProof/>
        </w:rPr>
        <w:t>Ulaganje obuhvaća:</w:t>
      </w:r>
    </w:p>
    <w:p w14:paraId="27FF0AB3" w14:textId="5903986C" w:rsidR="003F46B9" w:rsidRDefault="0065662E">
      <w:pPr>
        <w:pStyle w:val="P68B1DB1-ListParagraph13"/>
        <w:numPr>
          <w:ilvl w:val="0"/>
          <w:numId w:val="242"/>
        </w:numPr>
        <w:spacing w:before="120"/>
        <w:jc w:val="both"/>
        <w:rPr>
          <w:noProof/>
        </w:rPr>
      </w:pPr>
      <w:r>
        <w:rPr>
          <w:noProof/>
        </w:rPr>
        <w:t>Izgradnja 3998 i proširenje/modernizacija 11547 mjesta za rekreaciju i čitanje u sveučilišnim kampusima, koja će biti dovršena</w:t>
      </w:r>
      <w:r>
        <w:rPr>
          <w:noProof/>
        </w:rPr>
        <w:t xml:space="preserve"> do 30. rujna 2025.;</w:t>
      </w:r>
    </w:p>
    <w:p w14:paraId="7E4A3FF4" w14:textId="3697AC1A" w:rsidR="003F46B9" w:rsidRDefault="0065662E">
      <w:pPr>
        <w:pStyle w:val="P68B1DB1-ListParagraph13"/>
        <w:numPr>
          <w:ilvl w:val="0"/>
          <w:numId w:val="242"/>
        </w:numPr>
        <w:spacing w:before="120"/>
        <w:jc w:val="both"/>
        <w:rPr>
          <w:noProof/>
        </w:rPr>
      </w:pPr>
      <w:r>
        <w:rPr>
          <w:noProof/>
        </w:rPr>
        <w:t>Izgradnja 2787 kantina i proširenje/modernizacija 2488 kantina u sveučilišnim kampusima, koja će biti dovršena do 30. rujna 2025.;</w:t>
      </w:r>
    </w:p>
    <w:p w14:paraId="0184660F" w14:textId="1EF157AF" w:rsidR="003F46B9" w:rsidRDefault="0065662E">
      <w:pPr>
        <w:pStyle w:val="P68B1DB1-ListParagraph13"/>
        <w:numPr>
          <w:ilvl w:val="0"/>
          <w:numId w:val="242"/>
        </w:numPr>
        <w:spacing w:before="120"/>
        <w:jc w:val="both"/>
        <w:rPr>
          <w:noProof/>
        </w:rPr>
      </w:pPr>
      <w:r>
        <w:rPr>
          <w:noProof/>
        </w:rPr>
        <w:t>Izgradnja 3749 i proširenje/modernizacija 11571 smještajnih mjesta u sveučilišnim kampusima, za studente</w:t>
      </w:r>
      <w:r>
        <w:rPr>
          <w:noProof/>
        </w:rPr>
        <w:t xml:space="preserve"> u nepovoljnom socioekonomskom položaju, osobe s invaliditetom, neke etničke manjine ili samohrane roditelje itd., kojima će se dati prednost pri dobivanju mjesta na novoizgrađenim sveučilišnim kampusima. Radovi moraju biti dovršeni do 31. prosinca 2025.</w:t>
      </w:r>
    </w:p>
    <w:p w14:paraId="4F4C0F03" w14:textId="3D1D3EB0" w:rsidR="003F46B9" w:rsidRDefault="0065662E">
      <w:pPr>
        <w:pStyle w:val="P68B1DB1-Normal5"/>
        <w:spacing w:before="120" w:after="120" w:line="240" w:lineRule="auto"/>
        <w:ind w:left="22"/>
        <w:jc w:val="both"/>
        <w:rPr>
          <w:rFonts w:cs="Times New Roman"/>
          <w:noProof/>
        </w:rPr>
      </w:pPr>
      <w:r>
        <w:rPr>
          <w:noProof/>
        </w:rPr>
        <w:t>U</w:t>
      </w:r>
      <w:r>
        <w:rPr>
          <w:noProof/>
        </w:rPr>
        <w:t xml:space="preserve"> konačnom cilju navodi se da će do 31. ožujka 2026. najmanje 40 % novih i moderniziranih objekata biti namijenjeno studentima u nepovoljnom položaju. </w:t>
      </w:r>
    </w:p>
    <w:p w14:paraId="33E8BD75" w14:textId="77777777" w:rsidR="003F46B9" w:rsidRDefault="0065662E">
      <w:pPr>
        <w:pStyle w:val="P68B1DB1-Normal5"/>
        <w:ind w:left="22"/>
        <w:contextualSpacing/>
        <w:jc w:val="both"/>
        <w:rPr>
          <w:rFonts w:cs="Times New Roman"/>
          <w:noProof/>
        </w:rPr>
      </w:pPr>
      <w:r>
        <w:rPr>
          <w:noProof/>
        </w:rPr>
        <w:t>Novoizgrađene zgrade moraju biti usklađene s ciljem postizanja potražnje za primarnom energijom (PED) koj</w:t>
      </w:r>
      <w:r>
        <w:rPr>
          <w:noProof/>
        </w:rPr>
        <w:t xml:space="preserve">a je najmanje 20 % niža od zahtjeva za zgrade gotovo nulte energije u skladu s nacionalnim smjernicama, što se osigurava energetskim certifikatima. </w:t>
      </w:r>
    </w:p>
    <w:p w14:paraId="02B90EDE" w14:textId="77777777" w:rsidR="003F46B9" w:rsidRDefault="0065662E">
      <w:pPr>
        <w:pStyle w:val="P68B1DB1-Normal5"/>
        <w:spacing w:before="120" w:after="120" w:line="240" w:lineRule="auto"/>
        <w:ind w:left="22"/>
        <w:jc w:val="both"/>
        <w:rPr>
          <w:rFonts w:cs="Times New Roman"/>
          <w:noProof/>
        </w:rPr>
      </w:pPr>
      <w:r>
        <w:rPr>
          <w:noProof/>
        </w:rPr>
        <w:t>Kad je riječ o obnovi, ugovori uključuju minimalni zahtjev za smanjenje potrošnje energije za grijanje za n</w:t>
      </w:r>
      <w:r>
        <w:rPr>
          <w:noProof/>
        </w:rPr>
        <w:t>ajmanje 50 % u usporedbi s godišnjom potrošnjom energije za grijanje prije obnove zgrade, čime se ostvaruje povećanje od 30 % uštede primarne energije u odnosu na stanje prije obnove. U tom kontekstu najmanje 90 % troškova odnosi se na poboljšanja energets</w:t>
      </w:r>
      <w:r>
        <w:rPr>
          <w:noProof/>
        </w:rPr>
        <w:t>ke učinkovitosti.</w:t>
      </w:r>
    </w:p>
    <w:p w14:paraId="107C1A91" w14:textId="25FAA853" w:rsidR="003F46B9" w:rsidRDefault="0065662E">
      <w:pPr>
        <w:pStyle w:val="P68B1DB1-Normal5"/>
        <w:spacing w:before="120" w:after="120" w:line="240" w:lineRule="auto"/>
        <w:jc w:val="both"/>
        <w:rPr>
          <w:rFonts w:cs="Times New Roman"/>
          <w:noProof/>
        </w:rPr>
      </w:pPr>
      <w:r>
        <w:rPr>
          <w:noProof/>
        </w:rPr>
        <w:t>Provedba ulaganja mora biti dovršena do 31. ožujka 2026.</w:t>
      </w:r>
    </w:p>
    <w:p w14:paraId="0413DDD6" w14:textId="77777777" w:rsidR="003F46B9" w:rsidRDefault="0065662E">
      <w:pPr>
        <w:pStyle w:val="P68B1DB1-Normal5"/>
        <w:numPr>
          <w:ilvl w:val="0"/>
          <w:numId w:val="105"/>
        </w:numPr>
        <w:spacing w:before="120" w:after="120" w:line="240" w:lineRule="auto"/>
        <w:ind w:left="567"/>
        <w:jc w:val="both"/>
        <w:rPr>
          <w:rFonts w:cs="Times New Roman"/>
          <w:noProof/>
        </w:rPr>
      </w:pPr>
      <w:r>
        <w:rPr>
          <w:noProof/>
        </w:rPr>
        <w:t>Upravljanje školama:</w:t>
      </w:r>
    </w:p>
    <w:p w14:paraId="093204DB" w14:textId="77777777" w:rsidR="003F46B9" w:rsidRDefault="0065662E">
      <w:pPr>
        <w:pStyle w:val="P68B1DB1-Standard6"/>
        <w:spacing w:before="240"/>
        <w:jc w:val="both"/>
        <w:rPr>
          <w:rFonts w:ascii="Times New Roman" w:eastAsiaTheme="majorEastAsia" w:hAnsi="Times New Roman" w:cs="Times New Roman"/>
          <w:noProof/>
        </w:rPr>
      </w:pPr>
      <w:r>
        <w:rPr>
          <w:noProof/>
        </w:rPr>
        <w:t>Ulaganje 18. Program osposobljavanja i obuke za ravnatelje škola i inspektore</w:t>
      </w:r>
    </w:p>
    <w:p w14:paraId="5EF0FC2E" w14:textId="77777777" w:rsidR="003F46B9" w:rsidRDefault="0065662E">
      <w:pPr>
        <w:pStyle w:val="P68B1DB1-Normal5"/>
        <w:spacing w:before="120" w:after="120" w:line="240" w:lineRule="auto"/>
        <w:jc w:val="both"/>
        <w:rPr>
          <w:rFonts w:cs="Times New Roman"/>
          <w:noProof/>
        </w:rPr>
      </w:pPr>
      <w:r>
        <w:rPr>
          <w:noProof/>
        </w:rPr>
        <w:t>Cilj je ovog ulaganja razviti ažurirani program osposobljavanja i obuke za rukovod</w:t>
      </w:r>
      <w:r>
        <w:rPr>
          <w:noProof/>
        </w:rPr>
        <w:t>itelje i inspektore kako bi profesionalizirali obrazovno upravljanje. Program osposobljavanja izrađuje se na temelju preporuka stručnjaka koji provode funkcionalnu analizu upravljanja obrazovnim sustavom i najboljih europskih praksi.</w:t>
      </w:r>
    </w:p>
    <w:p w14:paraId="5E075A82" w14:textId="7A0211CF" w:rsidR="003F46B9" w:rsidRDefault="0065662E">
      <w:pPr>
        <w:pStyle w:val="P68B1DB1-Normal5"/>
        <w:spacing w:before="120" w:after="120" w:line="240" w:lineRule="auto"/>
        <w:jc w:val="both"/>
        <w:rPr>
          <w:rFonts w:cs="Times New Roman"/>
          <w:noProof/>
        </w:rPr>
      </w:pPr>
      <w:r>
        <w:rPr>
          <w:noProof/>
        </w:rPr>
        <w:t xml:space="preserve">Osposobljavanje 10000 </w:t>
      </w:r>
      <w:r>
        <w:rPr>
          <w:noProof/>
        </w:rPr>
        <w:t>ravnatelja škola i školskih inspektora u razdoblju od jedne i pol godine s ciljem promicanja institucionalnog, financijskog i kadrovskog vodstva i upravljanja, administracije i zakonodavstva kako bi se pomoglo u razvoju kapaciteta njihove obrazovne ustanov</w:t>
      </w:r>
      <w:r>
        <w:rPr>
          <w:noProof/>
        </w:rPr>
        <w:t>e za povećanje uspješnosti učenika. Program osposobljavanja i podučavanja, s funkcijama mentorstva i kontrole, posebno je usmjeren na stvaranje vještina potrebnih za upravljanje obrazovnim sustavom u decentraliziranom okruženju putem akreditiranih pružatel</w:t>
      </w:r>
      <w:r>
        <w:rPr>
          <w:noProof/>
        </w:rPr>
        <w:t>ja osposobljavanja sa stručnjacima za ljudske resurse.</w:t>
      </w:r>
    </w:p>
    <w:p w14:paraId="5B281959" w14:textId="77777777" w:rsidR="003F46B9" w:rsidRDefault="0065662E">
      <w:pPr>
        <w:pStyle w:val="P68B1DB1-Normal5"/>
        <w:spacing w:before="120" w:after="120" w:line="240" w:lineRule="auto"/>
        <w:jc w:val="both"/>
        <w:rPr>
          <w:rFonts w:cs="Times New Roman"/>
          <w:noProof/>
        </w:rPr>
      </w:pPr>
      <w:r>
        <w:rPr>
          <w:noProof/>
        </w:rPr>
        <w:t>Provedba ulaganja mora biti dovršena do 31. ožujka 2026.</w:t>
      </w:r>
    </w:p>
    <w:p w14:paraId="2C61494B" w14:textId="77777777" w:rsidR="003F46B9" w:rsidRDefault="003F46B9">
      <w:pPr>
        <w:spacing w:before="120" w:after="120" w:line="240" w:lineRule="auto"/>
        <w:jc w:val="both"/>
        <w:rPr>
          <w:rFonts w:ascii="Times New Roman" w:hAnsi="Times New Roman" w:cs="Times New Roman"/>
          <w:noProof/>
          <w:sz w:val="24"/>
        </w:rPr>
        <w:sectPr w:rsidR="003F46B9">
          <w:headerReference w:type="even" r:id="rId313"/>
          <w:headerReference w:type="default" r:id="rId314"/>
          <w:footerReference w:type="even" r:id="rId315"/>
          <w:footerReference w:type="default" r:id="rId316"/>
          <w:headerReference w:type="first" r:id="rId317"/>
          <w:footerReference w:type="first" r:id="rId318"/>
          <w:pgSz w:w="11907" w:h="16839"/>
          <w:pgMar w:top="1134" w:right="1417" w:bottom="1134" w:left="1417" w:header="709" w:footer="709" w:gutter="0"/>
          <w:cols w:space="720"/>
          <w:docGrid w:linePitch="360"/>
        </w:sectPr>
      </w:pPr>
    </w:p>
    <w:p w14:paraId="2B45938B" w14:textId="77777777" w:rsidR="003F46B9" w:rsidRDefault="0065662E">
      <w:pPr>
        <w:keepNext/>
        <w:spacing w:before="120" w:after="120" w:line="240" w:lineRule="auto"/>
        <w:jc w:val="both"/>
        <w:outlineLvl w:val="1"/>
        <w:rPr>
          <w:rFonts w:ascii="Times New Roman" w:eastAsiaTheme="majorEastAsia" w:hAnsi="Times New Roman" w:cs="Times New Roman"/>
          <w:b/>
          <w:noProof/>
          <w:sz w:val="24"/>
        </w:rPr>
      </w:pPr>
      <w:r>
        <w:rPr>
          <w:rFonts w:ascii="Times New Roman" w:hAnsi="Times New Roman"/>
          <w:b/>
          <w:noProof/>
          <w:sz w:val="24"/>
        </w:rPr>
        <w:t xml:space="preserve">O.4. </w:t>
      </w:r>
      <w:r>
        <w:rPr>
          <w:noProof/>
        </w:rPr>
        <w:tab/>
      </w:r>
      <w:r>
        <w:rPr>
          <w:rFonts w:ascii="Times New Roman" w:hAnsi="Times New Roman"/>
          <w:b/>
          <w:noProof/>
          <w:sz w:val="24"/>
        </w:rPr>
        <w:t xml:space="preserve">Ključne etape, ciljne vrijednosti, pokazatelji i vremenski raspored za praćenje i provedbu zajma </w:t>
      </w:r>
    </w:p>
    <w:tbl>
      <w:tblPr>
        <w:tblW w:w="15972" w:type="dxa"/>
        <w:jc w:val="center"/>
        <w:tblLayout w:type="fixed"/>
        <w:tblCellMar>
          <w:left w:w="28" w:type="dxa"/>
          <w:right w:w="28" w:type="dxa"/>
        </w:tblCellMar>
        <w:tblLook w:val="04A0" w:firstRow="1" w:lastRow="0" w:firstColumn="1" w:lastColumn="0" w:noHBand="0" w:noVBand="1"/>
      </w:tblPr>
      <w:tblGrid>
        <w:gridCol w:w="1244"/>
        <w:gridCol w:w="1795"/>
        <w:gridCol w:w="1106"/>
        <w:gridCol w:w="1658"/>
        <w:gridCol w:w="1383"/>
        <w:gridCol w:w="968"/>
        <w:gridCol w:w="1272"/>
        <w:gridCol w:w="909"/>
        <w:gridCol w:w="1124"/>
        <w:gridCol w:w="1106"/>
        <w:gridCol w:w="3407"/>
      </w:tblGrid>
      <w:tr w:rsidR="003F46B9" w14:paraId="4EFAB796" w14:textId="77777777">
        <w:trPr>
          <w:trHeight w:val="309"/>
          <w:tblHeader/>
          <w:jc w:val="center"/>
        </w:trPr>
        <w:tc>
          <w:tcPr>
            <w:tcW w:w="1244"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73A1869" w14:textId="77777777" w:rsidR="003F46B9" w:rsidRDefault="0065662E">
            <w:pPr>
              <w:pStyle w:val="P68B1DB1-Normal1"/>
              <w:spacing w:after="0" w:line="240" w:lineRule="auto"/>
              <w:jc w:val="center"/>
              <w:rPr>
                <w:rFonts w:eastAsia="Times New Roman" w:cs="Times New Roman"/>
                <w:noProof/>
              </w:rPr>
            </w:pPr>
            <w:r>
              <w:rPr>
                <w:noProof/>
              </w:rPr>
              <w:t>Redni broj</w:t>
            </w:r>
          </w:p>
        </w:tc>
        <w:tc>
          <w:tcPr>
            <w:tcW w:w="1795"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C7309C" w14:textId="77777777" w:rsidR="003F46B9" w:rsidRDefault="0065662E">
            <w:pPr>
              <w:pStyle w:val="P68B1DB1-Normal1"/>
              <w:spacing w:after="0" w:line="240" w:lineRule="auto"/>
              <w:jc w:val="center"/>
              <w:rPr>
                <w:rFonts w:eastAsia="Times New Roman" w:cs="Times New Roman"/>
                <w:noProof/>
              </w:rPr>
            </w:pPr>
            <w:r>
              <w:rPr>
                <w:noProof/>
              </w:rPr>
              <w:t>Povezana mjera (reforma ili ulaganje)</w:t>
            </w:r>
          </w:p>
        </w:tc>
        <w:tc>
          <w:tcPr>
            <w:tcW w:w="1106"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6A0C0EA" w14:textId="77777777" w:rsidR="003F46B9" w:rsidRDefault="0065662E">
            <w:pPr>
              <w:pStyle w:val="P68B1DB1-Normal1"/>
              <w:spacing w:after="0" w:line="240" w:lineRule="auto"/>
              <w:jc w:val="center"/>
              <w:rPr>
                <w:rFonts w:eastAsia="Times New Roman" w:cs="Times New Roman"/>
                <w:noProof/>
              </w:rPr>
            </w:pPr>
            <w:r>
              <w:rPr>
                <w:noProof/>
              </w:rPr>
              <w:t>Ključna etapa/ciljna vrijednost</w:t>
            </w:r>
          </w:p>
        </w:tc>
        <w:tc>
          <w:tcPr>
            <w:tcW w:w="1658"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015AEBF" w14:textId="77777777" w:rsidR="003F46B9" w:rsidRDefault="0065662E">
            <w:pPr>
              <w:pStyle w:val="P68B1DB1-Normal1"/>
              <w:spacing w:after="0" w:line="240" w:lineRule="auto"/>
              <w:jc w:val="center"/>
              <w:rPr>
                <w:rFonts w:eastAsia="Times New Roman" w:cs="Times New Roman"/>
                <w:noProof/>
              </w:rPr>
            </w:pPr>
            <w:r>
              <w:rPr>
                <w:noProof/>
              </w:rPr>
              <w:t>Ime</w:t>
            </w:r>
          </w:p>
        </w:tc>
        <w:tc>
          <w:tcPr>
            <w:tcW w:w="1383"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DD91C7" w14:textId="77777777" w:rsidR="003F46B9" w:rsidRDefault="0065662E">
            <w:pPr>
              <w:pStyle w:val="P68B1DB1-Normal1"/>
              <w:spacing w:after="0" w:line="240" w:lineRule="auto"/>
              <w:jc w:val="center"/>
              <w:rPr>
                <w:rFonts w:eastAsia="Times New Roman" w:cs="Times New Roman"/>
                <w:noProof/>
              </w:rPr>
            </w:pPr>
            <w:r>
              <w:rPr>
                <w:noProof/>
              </w:rPr>
              <w:t xml:space="preserve">Kvalitativna </w:t>
            </w:r>
          </w:p>
          <w:p w14:paraId="212E6892" w14:textId="77777777"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t xml:space="preserve"> </w:t>
            </w:r>
            <w:r>
              <w:rPr>
                <w:noProof/>
              </w:rPr>
              <w:br/>
            </w:r>
            <w:r>
              <w:rPr>
                <w:rFonts w:ascii="Times New Roman" w:hAnsi="Times New Roman"/>
                <w:b/>
                <w:noProof/>
                <w:sz w:val="24"/>
              </w:rPr>
              <w:t>(za ključne etape)</w:t>
            </w:r>
          </w:p>
        </w:tc>
        <w:tc>
          <w:tcPr>
            <w:tcW w:w="3149"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C6E6476" w14:textId="77777777" w:rsidR="003F46B9" w:rsidRDefault="0065662E">
            <w:pPr>
              <w:pStyle w:val="P68B1DB1-Normal1"/>
              <w:spacing w:after="0" w:line="240" w:lineRule="auto"/>
              <w:jc w:val="center"/>
              <w:rPr>
                <w:rFonts w:eastAsia="Times New Roman" w:cs="Times New Roman"/>
                <w:noProof/>
              </w:rPr>
            </w:pPr>
            <w:r>
              <w:rPr>
                <w:noProof/>
              </w:rPr>
              <w:t xml:space="preserve">Kvantitativne </w:t>
            </w:r>
          </w:p>
          <w:p w14:paraId="0210B7EC" w14:textId="218C2739" w:rsidR="003F46B9" w:rsidRDefault="0065662E">
            <w:pPr>
              <w:spacing w:after="0" w:line="240" w:lineRule="auto"/>
              <w:jc w:val="center"/>
              <w:rPr>
                <w:rFonts w:ascii="Times New Roman" w:eastAsia="Times New Roman" w:hAnsi="Times New Roman" w:cs="Times New Roman"/>
                <w:b/>
                <w:noProof/>
                <w:sz w:val="24"/>
              </w:rPr>
            </w:pPr>
            <w:r>
              <w:rPr>
                <w:rFonts w:ascii="Times New Roman" w:hAnsi="Times New Roman"/>
                <w:b/>
                <w:noProof/>
                <w:sz w:val="24"/>
              </w:rPr>
              <w:t>pokazatelji</w:t>
            </w:r>
            <w:r>
              <w:rPr>
                <w:noProof/>
              </w:rPr>
              <w:br/>
            </w:r>
            <w:r>
              <w:rPr>
                <w:rFonts w:ascii="Times New Roman" w:hAnsi="Times New Roman"/>
                <w:b/>
                <w:noProof/>
                <w:sz w:val="24"/>
              </w:rPr>
              <w:t>(za ciljeve)</w:t>
            </w:r>
          </w:p>
        </w:tc>
        <w:tc>
          <w:tcPr>
            <w:tcW w:w="223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6C7CEC" w14:textId="77777777" w:rsidR="003F46B9" w:rsidRDefault="0065662E">
            <w:pPr>
              <w:pStyle w:val="P68B1DB1-Normal1"/>
              <w:spacing w:after="0" w:line="240" w:lineRule="auto"/>
              <w:jc w:val="center"/>
              <w:rPr>
                <w:rFonts w:eastAsia="Times New Roman" w:cs="Times New Roman"/>
                <w:noProof/>
              </w:rPr>
            </w:pPr>
            <w:r>
              <w:rPr>
                <w:noProof/>
              </w:rPr>
              <w:t xml:space="preserve">Okvirni vremenski raspored </w:t>
            </w:r>
          </w:p>
          <w:p w14:paraId="1B015FAD" w14:textId="77777777" w:rsidR="003F46B9" w:rsidRDefault="0065662E">
            <w:pPr>
              <w:pStyle w:val="P68B1DB1-Normal1"/>
              <w:spacing w:after="0" w:line="240" w:lineRule="auto"/>
              <w:jc w:val="center"/>
              <w:rPr>
                <w:rFonts w:eastAsia="Times New Roman" w:cs="Times New Roman"/>
                <w:noProof/>
              </w:rPr>
            </w:pPr>
            <w:r>
              <w:rPr>
                <w:noProof/>
              </w:rPr>
              <w:t xml:space="preserve">za završetak </w:t>
            </w:r>
          </w:p>
        </w:tc>
        <w:tc>
          <w:tcPr>
            <w:tcW w:w="3407" w:type="dxa"/>
            <w:vMerge w:val="restar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EC03695" w14:textId="77777777" w:rsidR="003F46B9" w:rsidRDefault="0065662E">
            <w:pPr>
              <w:pStyle w:val="P68B1DB1-Normal1"/>
              <w:spacing w:after="0" w:line="240" w:lineRule="auto"/>
              <w:jc w:val="center"/>
              <w:rPr>
                <w:rFonts w:eastAsia="Times New Roman" w:cs="Times New Roman"/>
                <w:noProof/>
              </w:rPr>
            </w:pPr>
            <w:r>
              <w:rPr>
                <w:noProof/>
              </w:rPr>
              <w:t>Opis svake ključne etape i ciljne vrijednosti</w:t>
            </w:r>
          </w:p>
        </w:tc>
      </w:tr>
      <w:tr w:rsidR="003F46B9" w14:paraId="7B1B5ECE" w14:textId="77777777">
        <w:trPr>
          <w:trHeight w:val="502"/>
          <w:tblHeader/>
          <w:jc w:val="center"/>
        </w:trPr>
        <w:tc>
          <w:tcPr>
            <w:tcW w:w="1244" w:type="dxa"/>
            <w:vMerge/>
            <w:tcBorders>
              <w:top w:val="single" w:sz="4" w:space="0" w:color="auto"/>
              <w:left w:val="single" w:sz="4" w:space="0" w:color="auto"/>
              <w:bottom w:val="single" w:sz="4" w:space="0" w:color="auto"/>
              <w:right w:val="single" w:sz="4" w:space="0" w:color="auto"/>
            </w:tcBorders>
            <w:noWrap/>
            <w:vAlign w:val="center"/>
          </w:tcPr>
          <w:p w14:paraId="0361DDF2" w14:textId="77777777" w:rsidR="003F46B9" w:rsidRDefault="003F46B9">
            <w:pPr>
              <w:spacing w:after="0" w:line="240" w:lineRule="auto"/>
              <w:jc w:val="center"/>
              <w:rPr>
                <w:rFonts w:ascii="Times New Roman" w:eastAsia="Times New Roman" w:hAnsi="Times New Roman" w:cs="Times New Roman"/>
                <w:b/>
                <w:noProof/>
                <w:sz w:val="24"/>
              </w:rPr>
            </w:pPr>
          </w:p>
        </w:tc>
        <w:tc>
          <w:tcPr>
            <w:tcW w:w="1795" w:type="dxa"/>
            <w:vMerge/>
            <w:tcBorders>
              <w:top w:val="single" w:sz="4" w:space="0" w:color="auto"/>
              <w:left w:val="single" w:sz="4" w:space="0" w:color="auto"/>
              <w:bottom w:val="single" w:sz="4" w:space="0" w:color="auto"/>
              <w:right w:val="single" w:sz="4" w:space="0" w:color="auto"/>
            </w:tcBorders>
            <w:noWrap/>
            <w:vAlign w:val="center"/>
          </w:tcPr>
          <w:p w14:paraId="5C8C4855" w14:textId="77777777" w:rsidR="003F46B9" w:rsidRDefault="003F46B9">
            <w:pPr>
              <w:spacing w:after="0" w:line="240" w:lineRule="auto"/>
              <w:jc w:val="both"/>
              <w:rPr>
                <w:rFonts w:ascii="Times New Roman" w:eastAsia="Times New Roman" w:hAnsi="Times New Roman" w:cs="Times New Roman"/>
                <w:b/>
                <w:noProof/>
                <w:sz w:val="24"/>
              </w:rPr>
            </w:pPr>
          </w:p>
        </w:tc>
        <w:tc>
          <w:tcPr>
            <w:tcW w:w="1106" w:type="dxa"/>
            <w:vMerge/>
            <w:tcBorders>
              <w:top w:val="single" w:sz="4" w:space="0" w:color="auto"/>
              <w:left w:val="single" w:sz="4" w:space="0" w:color="auto"/>
              <w:bottom w:val="single" w:sz="4" w:space="0" w:color="auto"/>
              <w:right w:val="single" w:sz="4" w:space="0" w:color="auto"/>
            </w:tcBorders>
            <w:noWrap/>
            <w:vAlign w:val="center"/>
          </w:tcPr>
          <w:p w14:paraId="0CBFC04B" w14:textId="77777777" w:rsidR="003F46B9" w:rsidRDefault="003F46B9">
            <w:pPr>
              <w:spacing w:after="0" w:line="240" w:lineRule="auto"/>
              <w:jc w:val="both"/>
              <w:rPr>
                <w:rFonts w:ascii="Times New Roman" w:eastAsia="Times New Roman" w:hAnsi="Times New Roman" w:cs="Times New Roman"/>
                <w:b/>
                <w:noProof/>
                <w:sz w:val="24"/>
              </w:rPr>
            </w:pPr>
          </w:p>
        </w:tc>
        <w:tc>
          <w:tcPr>
            <w:tcW w:w="1658" w:type="dxa"/>
            <w:vMerge/>
            <w:tcBorders>
              <w:top w:val="single" w:sz="4" w:space="0" w:color="auto"/>
              <w:left w:val="single" w:sz="4" w:space="0" w:color="auto"/>
              <w:bottom w:val="single" w:sz="4" w:space="0" w:color="auto"/>
              <w:right w:val="single" w:sz="4" w:space="0" w:color="auto"/>
            </w:tcBorders>
            <w:noWrap/>
            <w:vAlign w:val="center"/>
          </w:tcPr>
          <w:p w14:paraId="3340C7CD" w14:textId="77777777" w:rsidR="003F46B9" w:rsidRDefault="003F46B9">
            <w:pPr>
              <w:spacing w:after="0" w:line="240" w:lineRule="auto"/>
              <w:jc w:val="both"/>
              <w:rPr>
                <w:rFonts w:ascii="Times New Roman" w:eastAsia="Times New Roman" w:hAnsi="Times New Roman" w:cs="Times New Roman"/>
                <w:b/>
                <w:noProof/>
                <w:sz w:val="24"/>
              </w:rPr>
            </w:pPr>
          </w:p>
        </w:tc>
        <w:tc>
          <w:tcPr>
            <w:tcW w:w="1383" w:type="dxa"/>
            <w:vMerge/>
            <w:tcBorders>
              <w:top w:val="single" w:sz="4" w:space="0" w:color="auto"/>
              <w:left w:val="single" w:sz="4" w:space="0" w:color="auto"/>
              <w:bottom w:val="single" w:sz="4" w:space="0" w:color="auto"/>
              <w:right w:val="single" w:sz="4" w:space="0" w:color="auto"/>
            </w:tcBorders>
            <w:noWrap/>
            <w:vAlign w:val="center"/>
          </w:tcPr>
          <w:p w14:paraId="573DD30C" w14:textId="77777777" w:rsidR="003F46B9" w:rsidRDefault="003F46B9">
            <w:pPr>
              <w:spacing w:after="0" w:line="240" w:lineRule="auto"/>
              <w:jc w:val="center"/>
              <w:rPr>
                <w:rFonts w:ascii="Times New Roman" w:eastAsia="Times New Roman" w:hAnsi="Times New Roman" w:cs="Times New Roman"/>
                <w:b/>
                <w:noProof/>
                <w:sz w:val="24"/>
              </w:rPr>
            </w:pPr>
          </w:p>
        </w:tc>
        <w:tc>
          <w:tcPr>
            <w:tcW w:w="96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9D64973" w14:textId="77777777" w:rsidR="003F46B9" w:rsidRDefault="0065662E">
            <w:pPr>
              <w:pStyle w:val="P68B1DB1-Normal1"/>
              <w:spacing w:after="0" w:line="240" w:lineRule="auto"/>
              <w:jc w:val="center"/>
              <w:rPr>
                <w:rFonts w:eastAsia="Times New Roman" w:cs="Times New Roman"/>
                <w:noProof/>
              </w:rPr>
            </w:pPr>
            <w:r>
              <w:rPr>
                <w:noProof/>
              </w:rPr>
              <w:t xml:space="preserve">Odjel </w:t>
            </w:r>
          </w:p>
          <w:p w14:paraId="2CCCB5AB" w14:textId="77777777" w:rsidR="003F46B9" w:rsidRDefault="0065662E">
            <w:pPr>
              <w:pStyle w:val="P68B1DB1-Normal1"/>
              <w:spacing w:after="0" w:line="240" w:lineRule="auto"/>
              <w:jc w:val="center"/>
              <w:rPr>
                <w:rFonts w:eastAsia="Times New Roman" w:cs="Times New Roman"/>
                <w:noProof/>
              </w:rPr>
            </w:pPr>
            <w:r>
              <w:rPr>
                <w:noProof/>
              </w:rPr>
              <w:t xml:space="preserve">od </w:t>
            </w:r>
          </w:p>
          <w:p w14:paraId="44622262" w14:textId="77777777" w:rsidR="003F46B9" w:rsidRDefault="0065662E">
            <w:pPr>
              <w:pStyle w:val="P68B1DB1-Normal1"/>
              <w:spacing w:after="0" w:line="240" w:lineRule="auto"/>
              <w:jc w:val="center"/>
              <w:rPr>
                <w:rFonts w:eastAsia="Times New Roman" w:cs="Times New Roman"/>
                <w:noProof/>
              </w:rPr>
            </w:pPr>
            <w:r>
              <w:rPr>
                <w:noProof/>
              </w:rPr>
              <w:t>mjera</w:t>
            </w:r>
          </w:p>
        </w:tc>
        <w:tc>
          <w:tcPr>
            <w:tcW w:w="127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CEC9E3" w14:textId="23C8C3C8" w:rsidR="003F46B9" w:rsidRDefault="0065662E">
            <w:pPr>
              <w:pStyle w:val="P68B1DB1-Normal1"/>
              <w:spacing w:after="0" w:line="240" w:lineRule="auto"/>
              <w:jc w:val="center"/>
              <w:rPr>
                <w:rFonts w:eastAsia="Times New Roman" w:cs="Times New Roman"/>
                <w:noProof/>
              </w:rPr>
            </w:pPr>
            <w:r>
              <w:rPr>
                <w:noProof/>
              </w:rPr>
              <w:t xml:space="preserve">Osnovna vrijednost </w:t>
            </w:r>
          </w:p>
        </w:tc>
        <w:tc>
          <w:tcPr>
            <w:tcW w:w="90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123CFE6" w14:textId="77777777" w:rsidR="003F46B9" w:rsidRDefault="0065662E">
            <w:pPr>
              <w:pStyle w:val="P68B1DB1-Normal1"/>
              <w:spacing w:after="0" w:line="240" w:lineRule="auto"/>
              <w:jc w:val="center"/>
              <w:rPr>
                <w:rFonts w:eastAsia="Times New Roman" w:cs="Times New Roman"/>
                <w:noProof/>
              </w:rPr>
            </w:pPr>
            <w:r>
              <w:rPr>
                <w:noProof/>
              </w:rPr>
              <w:t xml:space="preserve">Cilj </w:t>
            </w:r>
          </w:p>
        </w:tc>
        <w:tc>
          <w:tcPr>
            <w:tcW w:w="1124"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5EB7A80" w14:textId="77777777" w:rsidR="003F46B9" w:rsidRDefault="0065662E">
            <w:pPr>
              <w:pStyle w:val="P68B1DB1-Normal1"/>
              <w:spacing w:after="0" w:line="240" w:lineRule="auto"/>
              <w:jc w:val="center"/>
              <w:rPr>
                <w:rFonts w:eastAsia="Times New Roman"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5C77970" w14:textId="77777777" w:rsidR="003F46B9" w:rsidRDefault="0065662E">
            <w:pPr>
              <w:pStyle w:val="P68B1DB1-Normal1"/>
              <w:spacing w:after="0" w:line="240" w:lineRule="auto"/>
              <w:jc w:val="center"/>
              <w:rPr>
                <w:rFonts w:eastAsia="Times New Roman" w:cs="Times New Roman"/>
                <w:noProof/>
              </w:rPr>
            </w:pPr>
            <w:r>
              <w:rPr>
                <w:noProof/>
              </w:rPr>
              <w:t>Godina</w:t>
            </w:r>
          </w:p>
        </w:tc>
        <w:tc>
          <w:tcPr>
            <w:tcW w:w="3407" w:type="dxa"/>
            <w:vMerge/>
            <w:tcBorders>
              <w:top w:val="single" w:sz="4" w:space="0" w:color="auto"/>
              <w:bottom w:val="single" w:sz="4" w:space="0" w:color="auto"/>
              <w:right w:val="single" w:sz="4" w:space="0" w:color="auto"/>
            </w:tcBorders>
            <w:noWrap/>
            <w:vAlign w:val="center"/>
          </w:tcPr>
          <w:p w14:paraId="208A779C" w14:textId="77777777" w:rsidR="003F46B9" w:rsidRDefault="003F46B9">
            <w:pPr>
              <w:spacing w:after="0" w:line="240" w:lineRule="auto"/>
              <w:jc w:val="both"/>
              <w:rPr>
                <w:rFonts w:ascii="Times New Roman" w:eastAsia="Times New Roman" w:hAnsi="Times New Roman" w:cs="Times New Roman"/>
                <w:b/>
                <w:noProof/>
                <w:sz w:val="24"/>
              </w:rPr>
            </w:pPr>
          </w:p>
        </w:tc>
      </w:tr>
      <w:tr w:rsidR="003F46B9" w14:paraId="3DEF546A"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410FB72" w14:textId="77777777" w:rsidR="003F46B9" w:rsidRDefault="0065662E">
            <w:pPr>
              <w:pStyle w:val="P68B1DB1-Normal5"/>
              <w:spacing w:after="0" w:line="240" w:lineRule="auto"/>
              <w:jc w:val="center"/>
              <w:rPr>
                <w:rFonts w:cs="Times New Roman"/>
                <w:noProof/>
              </w:rPr>
            </w:pPr>
            <w:r>
              <w:rPr>
                <w:noProof/>
              </w:rPr>
              <w:t>496</w:t>
            </w:r>
          </w:p>
        </w:tc>
        <w:tc>
          <w:tcPr>
            <w:tcW w:w="1795" w:type="dxa"/>
            <w:tcBorders>
              <w:top w:val="single" w:sz="4" w:space="0" w:color="auto"/>
              <w:left w:val="nil"/>
              <w:bottom w:val="single" w:sz="4" w:space="0" w:color="auto"/>
              <w:right w:val="single" w:sz="4" w:space="0" w:color="auto"/>
            </w:tcBorders>
            <w:shd w:val="clear" w:color="auto" w:fill="C6EFCE"/>
            <w:noWrap/>
          </w:tcPr>
          <w:p w14:paraId="7A8B32EE" w14:textId="77777777" w:rsidR="003F46B9" w:rsidRDefault="0065662E">
            <w:pPr>
              <w:pStyle w:val="P68B1DB1-Normal5"/>
              <w:spacing w:after="0" w:line="240" w:lineRule="auto"/>
              <w:jc w:val="both"/>
              <w:rPr>
                <w:rFonts w:cs="Times New Roman"/>
                <w:noProof/>
              </w:rPr>
            </w:pPr>
            <w:r>
              <w:rPr>
                <w:noProof/>
              </w:rPr>
              <w:t xml:space="preserve">Ulaganje 13. Opremanje informatičkih laboratorija u školama za strukovno </w:t>
            </w:r>
            <w:r>
              <w:rPr>
                <w:noProof/>
              </w:rPr>
              <w:t>obrazovanje i osposobljavanje (SOO)</w:t>
            </w:r>
          </w:p>
        </w:tc>
        <w:tc>
          <w:tcPr>
            <w:tcW w:w="1106" w:type="dxa"/>
            <w:tcBorders>
              <w:top w:val="single" w:sz="4" w:space="0" w:color="auto"/>
              <w:left w:val="nil"/>
              <w:bottom w:val="single" w:sz="4" w:space="0" w:color="auto"/>
              <w:right w:val="single" w:sz="4" w:space="0" w:color="auto"/>
            </w:tcBorders>
            <w:shd w:val="clear" w:color="auto" w:fill="C6EFCE"/>
            <w:noWrap/>
          </w:tcPr>
          <w:p w14:paraId="492DD197"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7DCE74E1" w14:textId="77777777" w:rsidR="003F46B9" w:rsidRDefault="0065662E">
            <w:pPr>
              <w:pStyle w:val="P68B1DB1-Normal5"/>
              <w:spacing w:after="0" w:line="240" w:lineRule="auto"/>
              <w:jc w:val="both"/>
              <w:rPr>
                <w:rFonts w:cs="Times New Roman"/>
                <w:noProof/>
              </w:rPr>
            </w:pPr>
            <w:r>
              <w:rPr>
                <w:noProof/>
              </w:rPr>
              <w:t>Obrazovne škole u SOO-u opremljene računalnim laboratorijima</w:t>
            </w:r>
          </w:p>
        </w:tc>
        <w:tc>
          <w:tcPr>
            <w:tcW w:w="1383" w:type="dxa"/>
            <w:tcBorders>
              <w:top w:val="single" w:sz="4" w:space="0" w:color="auto"/>
              <w:left w:val="nil"/>
              <w:bottom w:val="single" w:sz="4" w:space="0" w:color="auto"/>
              <w:right w:val="single" w:sz="4" w:space="0" w:color="auto"/>
            </w:tcBorders>
            <w:shd w:val="clear" w:color="auto" w:fill="C6EFCE"/>
            <w:noWrap/>
          </w:tcPr>
          <w:p w14:paraId="7466D292" w14:textId="77777777" w:rsidR="003F46B9" w:rsidRDefault="0065662E">
            <w:pPr>
              <w:pStyle w:val="P68B1DB1-Normal5"/>
              <w:spacing w:after="0" w:line="240" w:lineRule="auto"/>
              <w:jc w:val="center"/>
              <w:rPr>
                <w:rFonts w:cs="Times New Roman"/>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27A92E8A"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206B3595"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4BF3599D" w14:textId="77777777" w:rsidR="003F46B9" w:rsidRDefault="0065662E">
            <w:pPr>
              <w:pStyle w:val="P68B1DB1-Normal5"/>
              <w:spacing w:after="0" w:line="240" w:lineRule="auto"/>
              <w:jc w:val="center"/>
              <w:rPr>
                <w:rFonts w:cs="Times New Roman"/>
                <w:noProof/>
              </w:rPr>
            </w:pPr>
            <w:r>
              <w:rPr>
                <w:noProof/>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51C1B69F" w14:textId="77777777"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0F87E2C2" w14:textId="77777777" w:rsidR="003F46B9" w:rsidRDefault="0065662E">
            <w:pPr>
              <w:pStyle w:val="P68B1DB1-Normal5"/>
              <w:spacing w:after="0" w:line="240" w:lineRule="auto"/>
              <w:jc w:val="center"/>
              <w:rPr>
                <w:rFonts w:cs="Times New Roman"/>
                <w:noProof/>
              </w:rPr>
            </w:pPr>
            <w:r>
              <w:rPr>
                <w:noProof/>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6B12DCA7" w14:textId="77777777" w:rsidR="003F46B9" w:rsidRDefault="0065662E">
            <w:pPr>
              <w:pStyle w:val="P68B1DB1-Normal5"/>
              <w:spacing w:after="0" w:line="240" w:lineRule="auto"/>
              <w:jc w:val="both"/>
              <w:rPr>
                <w:rFonts w:cs="Times New Roman"/>
                <w:noProof/>
              </w:rPr>
            </w:pPr>
            <w:r>
              <w:rPr>
                <w:noProof/>
              </w:rPr>
              <w:t>909 škola za strukovno obrazovanje i osposobljavanje mora biti opremljeno digitalnom infrastrukturom i alatima za poučavan</w:t>
            </w:r>
            <w:r>
              <w:rPr>
                <w:noProof/>
              </w:rPr>
              <w:t>je.</w:t>
            </w:r>
          </w:p>
          <w:p w14:paraId="4DA7EB01" w14:textId="77777777" w:rsidR="003F46B9" w:rsidRDefault="0065662E">
            <w:pPr>
              <w:pStyle w:val="P68B1DB1-Normal5"/>
              <w:spacing w:after="0" w:line="240" w:lineRule="auto"/>
              <w:jc w:val="both"/>
              <w:rPr>
                <w:rFonts w:cs="Times New Roman"/>
                <w:noProof/>
              </w:rPr>
            </w:pPr>
            <w:r>
              <w:rPr>
                <w:noProof/>
              </w:rPr>
              <w:t>Ulaganje uključuje kupnju opreme u učionici (kao što su projektori, sustavi za snimanje videozapisa, sustavi zvuka, kamere i audiooprema za snimanje nastave, softverska oprema za arhiviranje digitalnih resursa) i obuhvaća pripadajuću infrastrukturnu op</w:t>
            </w:r>
            <w:r>
              <w:rPr>
                <w:noProof/>
              </w:rPr>
              <w:t xml:space="preserve">remu (kao što su elektroinstalacije, LAN i bežične mreže) koja je potrebna za upotrebu digitalne nastavne opreme. </w:t>
            </w:r>
          </w:p>
        </w:tc>
      </w:tr>
      <w:tr w:rsidR="003F46B9" w14:paraId="1EBC0CB6"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1863230" w14:textId="77777777" w:rsidR="003F46B9" w:rsidRDefault="0065662E">
            <w:pPr>
              <w:pStyle w:val="P68B1DB1-Normal5"/>
              <w:spacing w:after="0" w:line="240" w:lineRule="auto"/>
              <w:jc w:val="center"/>
              <w:rPr>
                <w:rFonts w:eastAsia="Times New Roman" w:cs="Times New Roman"/>
                <w:b/>
                <w:noProof/>
              </w:rPr>
            </w:pPr>
            <w:r>
              <w:rPr>
                <w:noProof/>
              </w:rPr>
              <w:t>497</w:t>
            </w:r>
          </w:p>
        </w:tc>
        <w:tc>
          <w:tcPr>
            <w:tcW w:w="1795" w:type="dxa"/>
            <w:tcBorders>
              <w:top w:val="single" w:sz="4" w:space="0" w:color="auto"/>
              <w:left w:val="nil"/>
              <w:bottom w:val="single" w:sz="4" w:space="0" w:color="auto"/>
              <w:right w:val="single" w:sz="4" w:space="0" w:color="auto"/>
            </w:tcBorders>
            <w:shd w:val="clear" w:color="auto" w:fill="C6EFCE"/>
            <w:noWrap/>
          </w:tcPr>
          <w:p w14:paraId="34402073" w14:textId="77777777" w:rsidR="003F46B9" w:rsidRDefault="0065662E">
            <w:pPr>
              <w:pStyle w:val="P68B1DB1-Normal5"/>
              <w:spacing w:after="0" w:line="240" w:lineRule="auto"/>
              <w:jc w:val="both"/>
              <w:rPr>
                <w:rFonts w:eastAsia="Times New Roman" w:cs="Times New Roman"/>
                <w:b/>
                <w:noProof/>
              </w:rPr>
            </w:pPr>
            <w:r>
              <w:rPr>
                <w:noProof/>
              </w:rPr>
              <w:t>Ulaganje 14. Organiziranje praktičnih radionica u školama za strukovno obrazovanje i osposobljavanje</w:t>
            </w:r>
          </w:p>
        </w:tc>
        <w:tc>
          <w:tcPr>
            <w:tcW w:w="1106" w:type="dxa"/>
            <w:tcBorders>
              <w:top w:val="single" w:sz="4" w:space="0" w:color="auto"/>
              <w:left w:val="nil"/>
              <w:bottom w:val="single" w:sz="4" w:space="0" w:color="auto"/>
              <w:right w:val="single" w:sz="4" w:space="0" w:color="auto"/>
            </w:tcBorders>
            <w:shd w:val="clear" w:color="auto" w:fill="C6EFCE"/>
            <w:noWrap/>
          </w:tcPr>
          <w:p w14:paraId="1B299A6C" w14:textId="77777777" w:rsidR="003F46B9" w:rsidRDefault="0065662E">
            <w:pPr>
              <w:pStyle w:val="P68B1DB1-Normal5"/>
              <w:spacing w:after="0" w:line="240" w:lineRule="auto"/>
              <w:jc w:val="both"/>
              <w:rPr>
                <w:rFonts w:eastAsia="Times New Roman" w:cs="Times New Roman"/>
                <w:b/>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2615CF04" w14:textId="77777777" w:rsidR="003F46B9" w:rsidRDefault="0065662E">
            <w:pPr>
              <w:pStyle w:val="P68B1DB1-Normal5"/>
              <w:spacing w:after="0" w:line="240" w:lineRule="auto"/>
              <w:jc w:val="both"/>
              <w:rPr>
                <w:rFonts w:eastAsia="Times New Roman" w:cs="Times New Roman"/>
                <w:b/>
                <w:noProof/>
              </w:rPr>
            </w:pPr>
            <w:r>
              <w:rPr>
                <w:noProof/>
              </w:rPr>
              <w:t xml:space="preserve">Obrazovne jedinice u SOO-u </w:t>
            </w:r>
            <w:r>
              <w:rPr>
                <w:noProof/>
              </w:rPr>
              <w:t>opremljene laboratorijima za funkcionalnu praksu</w:t>
            </w:r>
          </w:p>
        </w:tc>
        <w:tc>
          <w:tcPr>
            <w:tcW w:w="1383" w:type="dxa"/>
            <w:tcBorders>
              <w:top w:val="single" w:sz="4" w:space="0" w:color="auto"/>
              <w:left w:val="nil"/>
              <w:bottom w:val="single" w:sz="4" w:space="0" w:color="auto"/>
              <w:right w:val="single" w:sz="4" w:space="0" w:color="auto"/>
            </w:tcBorders>
            <w:shd w:val="clear" w:color="auto" w:fill="C6EFCE"/>
            <w:noWrap/>
          </w:tcPr>
          <w:p w14:paraId="2DB3A59F" w14:textId="77777777" w:rsidR="003F46B9" w:rsidRDefault="0065662E">
            <w:pPr>
              <w:pStyle w:val="P68B1DB1-Normal5"/>
              <w:spacing w:after="0" w:line="240" w:lineRule="auto"/>
              <w:jc w:val="center"/>
              <w:rPr>
                <w:rFonts w:eastAsia="Times New Roman" w:cs="Times New Roman"/>
                <w:b/>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5FE57E15" w14:textId="77777777" w:rsidR="003F46B9" w:rsidRDefault="0065662E">
            <w:pPr>
              <w:pStyle w:val="P68B1DB1-Normal5"/>
              <w:spacing w:after="0" w:line="240" w:lineRule="auto"/>
              <w:jc w:val="center"/>
              <w:rPr>
                <w:rFonts w:eastAsia="Times New Roman" w:cs="Times New Roman"/>
                <w:b/>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0222C3C0" w14:textId="77777777" w:rsidR="003F46B9" w:rsidRDefault="0065662E">
            <w:pPr>
              <w:pStyle w:val="P68B1DB1-Normal5"/>
              <w:spacing w:after="0" w:line="240" w:lineRule="auto"/>
              <w:jc w:val="center"/>
              <w:rPr>
                <w:rFonts w:eastAsia="Times New Roman" w:cs="Times New Roman"/>
                <w:b/>
                <w:noProof/>
              </w:rPr>
            </w:pPr>
            <w:r>
              <w:rPr>
                <w:noProof/>
              </w:rPr>
              <w:t> 0</w:t>
            </w:r>
          </w:p>
        </w:tc>
        <w:tc>
          <w:tcPr>
            <w:tcW w:w="909" w:type="dxa"/>
            <w:tcBorders>
              <w:top w:val="single" w:sz="4" w:space="0" w:color="auto"/>
              <w:left w:val="nil"/>
              <w:bottom w:val="single" w:sz="4" w:space="0" w:color="auto"/>
              <w:right w:val="single" w:sz="4" w:space="0" w:color="auto"/>
            </w:tcBorders>
            <w:shd w:val="clear" w:color="auto" w:fill="C6EFCE"/>
            <w:noWrap/>
          </w:tcPr>
          <w:p w14:paraId="0ABC413E" w14:textId="77777777" w:rsidR="003F46B9" w:rsidRDefault="0065662E">
            <w:pPr>
              <w:pStyle w:val="P68B1DB1-Normal5"/>
              <w:spacing w:after="0" w:line="240" w:lineRule="auto"/>
              <w:jc w:val="center"/>
              <w:rPr>
                <w:rFonts w:eastAsia="Times New Roman" w:cs="Times New Roman"/>
                <w:b/>
                <w:noProof/>
              </w:rPr>
            </w:pPr>
            <w:r>
              <w:rPr>
                <w:noProof/>
              </w:rPr>
              <w:t>909</w:t>
            </w:r>
          </w:p>
        </w:tc>
        <w:tc>
          <w:tcPr>
            <w:tcW w:w="1124" w:type="dxa"/>
            <w:tcBorders>
              <w:top w:val="single" w:sz="4" w:space="0" w:color="auto"/>
              <w:left w:val="nil"/>
              <w:bottom w:val="single" w:sz="4" w:space="0" w:color="auto"/>
              <w:right w:val="single" w:sz="4" w:space="0" w:color="auto"/>
            </w:tcBorders>
            <w:shd w:val="clear" w:color="auto" w:fill="C6EFCE"/>
            <w:noWrap/>
          </w:tcPr>
          <w:p w14:paraId="731FAC9B" w14:textId="77777777" w:rsidR="003F46B9" w:rsidRDefault="0065662E">
            <w:pPr>
              <w:pStyle w:val="P68B1DB1-Normal5"/>
              <w:spacing w:after="0" w:line="240" w:lineRule="auto"/>
              <w:jc w:val="center"/>
              <w:rPr>
                <w:rFonts w:eastAsia="Times New Roman" w:cs="Times New Roman"/>
                <w:b/>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212DB947" w14:textId="77777777" w:rsidR="003F46B9" w:rsidRDefault="0065662E">
            <w:pPr>
              <w:pStyle w:val="P68B1DB1-Normal5"/>
              <w:spacing w:after="0" w:line="240" w:lineRule="auto"/>
              <w:jc w:val="center"/>
              <w:rPr>
                <w:rFonts w:eastAsia="Times New Roman" w:cs="Times New Roman"/>
                <w:b/>
                <w:noProof/>
              </w:rPr>
            </w:pPr>
            <w:r>
              <w:rPr>
                <w:noProof/>
              </w:rPr>
              <w:t>2023</w:t>
            </w:r>
          </w:p>
        </w:tc>
        <w:tc>
          <w:tcPr>
            <w:tcW w:w="3407" w:type="dxa"/>
            <w:tcBorders>
              <w:top w:val="single" w:sz="4" w:space="0" w:color="auto"/>
              <w:left w:val="nil"/>
              <w:bottom w:val="single" w:sz="4" w:space="0" w:color="auto"/>
              <w:right w:val="single" w:sz="4" w:space="0" w:color="auto"/>
            </w:tcBorders>
            <w:shd w:val="clear" w:color="auto" w:fill="C6EFCE"/>
            <w:noWrap/>
          </w:tcPr>
          <w:p w14:paraId="7229909D" w14:textId="77777777" w:rsidR="003F46B9" w:rsidRDefault="0065662E">
            <w:pPr>
              <w:pStyle w:val="P68B1DB1-Normal5"/>
              <w:spacing w:after="0" w:line="240" w:lineRule="auto"/>
              <w:jc w:val="both"/>
              <w:rPr>
                <w:rFonts w:cs="Times New Roman"/>
                <w:noProof/>
              </w:rPr>
            </w:pPr>
            <w:r>
              <w:rPr>
                <w:noProof/>
              </w:rPr>
              <w:t>909 obrazovnih jedinica u području strukovnog obrazovanja i osposobljavanja opremljenih laboratorijima za funkcionalnu praksu.</w:t>
            </w:r>
          </w:p>
          <w:p w14:paraId="3F9DBD3D" w14:textId="456BEC60" w:rsidR="003F46B9" w:rsidRDefault="0065662E">
            <w:pPr>
              <w:pStyle w:val="P68B1DB1-Normal5"/>
              <w:spacing w:after="0" w:line="240" w:lineRule="auto"/>
              <w:jc w:val="both"/>
              <w:rPr>
                <w:rFonts w:cs="Times New Roman"/>
                <w:noProof/>
              </w:rPr>
            </w:pPr>
            <w:r>
              <w:rPr>
                <w:noProof/>
              </w:rPr>
              <w:t xml:space="preserve"> Lokalne vlasti pokreću programe potpore za oprem</w:t>
            </w:r>
            <w:r>
              <w:rPr>
                <w:noProof/>
              </w:rPr>
              <w:t>anje školskih radionica u okviru obrazovnih jedinica za strukovno obrazovanje i osposobljavanje, uključujući jedinice dvojnog osposobljavanja i one s poljoprivrednim profilom, putem okružnih vijeća i gradskih dvorana. U okviru programa financiranja svaka š</w:t>
            </w:r>
            <w:r>
              <w:rPr>
                <w:noProof/>
              </w:rPr>
              <w:t>kola SOO-a prima bespovratna sredstva u iznosu do 100 000 EUR za opremanje praktičnih radionica u skladu s njihovom specijalizacijom i konkretnim potrebama.</w:t>
            </w:r>
          </w:p>
          <w:p w14:paraId="21719DB6" w14:textId="77777777" w:rsidR="003F46B9" w:rsidRDefault="0065662E">
            <w:pPr>
              <w:pStyle w:val="P68B1DB1-Normal5"/>
              <w:spacing w:after="0" w:line="240" w:lineRule="auto"/>
              <w:jc w:val="both"/>
              <w:rPr>
                <w:rFonts w:eastAsia="Times New Roman" w:cs="Times New Roman"/>
                <w:b/>
                <w:noProof/>
              </w:rPr>
            </w:pPr>
            <w:r>
              <w:rPr>
                <w:noProof/>
              </w:rPr>
              <w:t xml:space="preserve">30 milijuna EUR ulaganja namijenjeno je opremanju radionica digitalnom opremom (simulatori). </w:t>
            </w:r>
          </w:p>
        </w:tc>
      </w:tr>
      <w:tr w:rsidR="003F46B9" w14:paraId="7937AA72"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2F40616F" w14:textId="77777777" w:rsidR="003F46B9" w:rsidRDefault="0065662E">
            <w:pPr>
              <w:pStyle w:val="P68B1DB1-Normal5"/>
              <w:spacing w:after="0" w:line="240" w:lineRule="auto"/>
              <w:jc w:val="center"/>
              <w:rPr>
                <w:rFonts w:cs="Times New Roman"/>
                <w:noProof/>
              </w:rPr>
            </w:pPr>
            <w:r>
              <w:rPr>
                <w:noProof/>
              </w:rPr>
              <w:t>498</w:t>
            </w:r>
          </w:p>
        </w:tc>
        <w:tc>
          <w:tcPr>
            <w:tcW w:w="1795" w:type="dxa"/>
            <w:tcBorders>
              <w:top w:val="single" w:sz="4" w:space="0" w:color="auto"/>
              <w:left w:val="nil"/>
              <w:bottom w:val="single" w:sz="4" w:space="0" w:color="auto"/>
              <w:right w:val="single" w:sz="4" w:space="0" w:color="auto"/>
            </w:tcBorders>
            <w:shd w:val="clear" w:color="auto" w:fill="C6EFCE"/>
            <w:noWrap/>
          </w:tcPr>
          <w:p w14:paraId="53E6A575" w14:textId="05CE93F8" w:rsidR="003F46B9" w:rsidRDefault="0065662E">
            <w:pPr>
              <w:pStyle w:val="P68B1DB1-Normal5"/>
              <w:spacing w:after="0" w:line="240" w:lineRule="auto"/>
              <w:jc w:val="both"/>
              <w:rPr>
                <w:rFonts w:cs="Times New Roman"/>
                <w:noProof/>
              </w:rPr>
            </w:pPr>
            <w:r>
              <w:rPr>
                <w:noProof/>
              </w:rPr>
              <w:t>Ulaganje 15. Internetska škola: Platforma za procjenu i razvoj sadržaja</w:t>
            </w:r>
          </w:p>
        </w:tc>
        <w:tc>
          <w:tcPr>
            <w:tcW w:w="1106" w:type="dxa"/>
            <w:tcBorders>
              <w:top w:val="single" w:sz="4" w:space="0" w:color="auto"/>
              <w:left w:val="nil"/>
              <w:bottom w:val="single" w:sz="4" w:space="0" w:color="auto"/>
              <w:right w:val="single" w:sz="4" w:space="0" w:color="auto"/>
            </w:tcBorders>
            <w:shd w:val="clear" w:color="auto" w:fill="C6EFCE"/>
            <w:noWrap/>
          </w:tcPr>
          <w:p w14:paraId="526653F1" w14:textId="77777777" w:rsidR="003F46B9" w:rsidRDefault="0065662E">
            <w:pPr>
              <w:pStyle w:val="P68B1DB1-Normal5"/>
              <w:spacing w:after="0" w:line="240" w:lineRule="auto"/>
              <w:jc w:val="both"/>
              <w:rPr>
                <w:rFonts w:cs="Times New Roman"/>
                <w:noProof/>
              </w:rPr>
            </w:pPr>
            <w:r>
              <w:rPr>
                <w:noProof/>
              </w:rPr>
              <w:t>Prekretnica</w:t>
            </w:r>
          </w:p>
        </w:tc>
        <w:tc>
          <w:tcPr>
            <w:tcW w:w="1658" w:type="dxa"/>
            <w:tcBorders>
              <w:top w:val="single" w:sz="4" w:space="0" w:color="auto"/>
              <w:left w:val="nil"/>
              <w:bottom w:val="single" w:sz="4" w:space="0" w:color="auto"/>
              <w:right w:val="single" w:sz="4" w:space="0" w:color="auto"/>
            </w:tcBorders>
            <w:shd w:val="clear" w:color="auto" w:fill="C6EFCE"/>
            <w:noWrap/>
          </w:tcPr>
          <w:p w14:paraId="3AAF279B" w14:textId="77777777" w:rsidR="003F46B9" w:rsidRDefault="0065662E">
            <w:pPr>
              <w:pStyle w:val="P68B1DB1-Normal5"/>
              <w:spacing w:after="0" w:line="240" w:lineRule="auto"/>
              <w:jc w:val="both"/>
              <w:rPr>
                <w:rFonts w:cs="Times New Roman"/>
                <w:noProof/>
              </w:rPr>
            </w:pPr>
            <w:r>
              <w:rPr>
                <w:noProof/>
              </w:rPr>
              <w:t>Internetska e-platforma za ocjenjivanje učenika je operativna</w:t>
            </w:r>
          </w:p>
        </w:tc>
        <w:tc>
          <w:tcPr>
            <w:tcW w:w="1383" w:type="dxa"/>
            <w:tcBorders>
              <w:top w:val="single" w:sz="4" w:space="0" w:color="auto"/>
              <w:left w:val="nil"/>
              <w:bottom w:val="single" w:sz="4" w:space="0" w:color="auto"/>
              <w:right w:val="single" w:sz="4" w:space="0" w:color="auto"/>
            </w:tcBorders>
            <w:shd w:val="clear" w:color="auto" w:fill="C6EFCE"/>
            <w:noWrap/>
          </w:tcPr>
          <w:p w14:paraId="6C8F4417" w14:textId="77777777" w:rsidR="003F46B9" w:rsidRDefault="0065662E">
            <w:pPr>
              <w:pStyle w:val="P68B1DB1-Normal5"/>
              <w:spacing w:after="0" w:line="240" w:lineRule="auto"/>
              <w:jc w:val="both"/>
              <w:rPr>
                <w:rFonts w:cs="Times New Roman"/>
                <w:noProof/>
              </w:rPr>
            </w:pPr>
            <w:r>
              <w:rPr>
                <w:noProof/>
              </w:rPr>
              <w:t>e-platforma za sigurnu procjenu vještina učenika operativna je i upotrebljava se za ocjenjivanje svih studenata (osim studenata u SOO-u).</w:t>
            </w:r>
          </w:p>
        </w:tc>
        <w:tc>
          <w:tcPr>
            <w:tcW w:w="968" w:type="dxa"/>
            <w:tcBorders>
              <w:top w:val="single" w:sz="4" w:space="0" w:color="auto"/>
              <w:left w:val="nil"/>
              <w:bottom w:val="single" w:sz="4" w:space="0" w:color="auto"/>
              <w:right w:val="single" w:sz="4" w:space="0" w:color="auto"/>
            </w:tcBorders>
            <w:shd w:val="clear" w:color="auto" w:fill="C6EFCE"/>
            <w:noWrap/>
          </w:tcPr>
          <w:p w14:paraId="4F341DF1" w14:textId="77777777" w:rsidR="003F46B9" w:rsidRDefault="003F46B9">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1D6D7C7F" w14:textId="77777777" w:rsidR="003F46B9" w:rsidRDefault="003F46B9">
            <w:pPr>
              <w:spacing w:after="0" w:line="240" w:lineRule="auto"/>
              <w:jc w:val="center"/>
              <w:rPr>
                <w:rFonts w:ascii="Times New Roman" w:hAnsi="Times New Roman" w:cs="Times New Roman"/>
                <w:noProof/>
                <w:sz w:val="24"/>
              </w:rPr>
            </w:pPr>
          </w:p>
        </w:tc>
        <w:tc>
          <w:tcPr>
            <w:tcW w:w="909" w:type="dxa"/>
            <w:tcBorders>
              <w:top w:val="single" w:sz="4" w:space="0" w:color="auto"/>
              <w:left w:val="nil"/>
              <w:bottom w:val="single" w:sz="4" w:space="0" w:color="auto"/>
              <w:right w:val="single" w:sz="4" w:space="0" w:color="auto"/>
            </w:tcBorders>
            <w:shd w:val="clear" w:color="auto" w:fill="C6EFCE"/>
            <w:noWrap/>
          </w:tcPr>
          <w:p w14:paraId="0C4DD4BA" w14:textId="77777777" w:rsidR="003F46B9" w:rsidRDefault="003F46B9">
            <w:pPr>
              <w:spacing w:after="0" w:line="240" w:lineRule="auto"/>
              <w:jc w:val="center"/>
              <w:rPr>
                <w:rFonts w:ascii="Times New Roman" w:hAnsi="Times New Roman" w:cs="Times New Roman"/>
                <w:noProof/>
                <w:sz w:val="24"/>
              </w:rPr>
            </w:pPr>
          </w:p>
        </w:tc>
        <w:tc>
          <w:tcPr>
            <w:tcW w:w="1124" w:type="dxa"/>
            <w:tcBorders>
              <w:top w:val="single" w:sz="4" w:space="0" w:color="auto"/>
              <w:left w:val="nil"/>
              <w:bottom w:val="single" w:sz="4" w:space="0" w:color="auto"/>
              <w:right w:val="single" w:sz="4" w:space="0" w:color="auto"/>
            </w:tcBorders>
            <w:shd w:val="clear" w:color="auto" w:fill="C6EFCE"/>
            <w:noWrap/>
          </w:tcPr>
          <w:p w14:paraId="20E6AD14" w14:textId="5857F4BE" w:rsidR="003F46B9" w:rsidRDefault="0065662E">
            <w:pPr>
              <w:pStyle w:val="P68B1DB1-Normal5"/>
              <w:spacing w:after="0" w:line="240" w:lineRule="auto"/>
              <w:jc w:val="center"/>
              <w:rPr>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4C8A9302" w14:textId="4154FD02" w:rsidR="003F46B9" w:rsidRDefault="0065662E">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7B369D26" w14:textId="77777777" w:rsidR="003F46B9" w:rsidRDefault="0065662E">
            <w:pPr>
              <w:pStyle w:val="P68B1DB1-Normal5"/>
              <w:spacing w:after="0" w:line="240" w:lineRule="auto"/>
              <w:jc w:val="both"/>
              <w:rPr>
                <w:rFonts w:cs="Times New Roman"/>
                <w:noProof/>
              </w:rPr>
            </w:pPr>
            <w:r>
              <w:rPr>
                <w:noProof/>
              </w:rPr>
              <w:t>Internetska e-platforma za ocjenjivanje učenika postaje operativna. Pri razvoju platforme uzima se</w:t>
            </w:r>
            <w:r>
              <w:rPr>
                <w:noProof/>
              </w:rPr>
              <w:t xml:space="preserve"> u obzir prosječan broj artikala u bilo kojoj kategoriji predmeta, znanstvenom proizvodu (gdje treba zahtijevati psihometrijske vještine) i softveru (izrađenom u skladu sa znanstvenom analizom potreba i znanstvenom shemom koju su razvili stručnjaci u tom p</w:t>
            </w:r>
            <w:r>
              <w:rPr>
                <w:noProof/>
              </w:rPr>
              <w:t>odručju (testiranje kurikuluma, vještine). Softver uključuje i mobilnu aplikaciju za klijente (za učenike i nastavnike) te funkcije internetskog nadzora.</w:t>
            </w:r>
          </w:p>
        </w:tc>
      </w:tr>
      <w:tr w:rsidR="003F46B9" w14:paraId="248DA61E"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792CA21" w14:textId="77777777" w:rsidR="003F46B9" w:rsidRDefault="0065662E">
            <w:pPr>
              <w:pStyle w:val="P68B1DB1-Normal5"/>
              <w:spacing w:after="0" w:line="240" w:lineRule="auto"/>
              <w:jc w:val="center"/>
              <w:rPr>
                <w:rFonts w:cs="Times New Roman"/>
                <w:noProof/>
              </w:rPr>
            </w:pPr>
            <w:r>
              <w:rPr>
                <w:noProof/>
              </w:rPr>
              <w:t>499</w:t>
            </w:r>
          </w:p>
        </w:tc>
        <w:tc>
          <w:tcPr>
            <w:tcW w:w="1795" w:type="dxa"/>
            <w:tcBorders>
              <w:top w:val="single" w:sz="4" w:space="0" w:color="auto"/>
              <w:left w:val="nil"/>
              <w:bottom w:val="single" w:sz="4" w:space="0" w:color="auto"/>
              <w:right w:val="single" w:sz="4" w:space="0" w:color="auto"/>
            </w:tcBorders>
            <w:shd w:val="clear" w:color="auto" w:fill="C6EFCE"/>
            <w:noWrap/>
          </w:tcPr>
          <w:p w14:paraId="0561316E" w14:textId="77777777" w:rsidR="003F46B9" w:rsidRDefault="0065662E">
            <w:pPr>
              <w:pStyle w:val="P68B1DB1-Normal5"/>
              <w:spacing w:after="0" w:line="240" w:lineRule="auto"/>
              <w:jc w:val="both"/>
              <w:rPr>
                <w:rFonts w:cs="Times New Roman"/>
                <w:noProof/>
              </w:rPr>
            </w:pPr>
            <w:r>
              <w:rPr>
                <w:noProof/>
              </w:rPr>
              <w:t>Ulaganje 15. Internetska škola: Platforma za procjenu i razvoj sadržaja</w:t>
            </w:r>
          </w:p>
        </w:tc>
        <w:tc>
          <w:tcPr>
            <w:tcW w:w="1106" w:type="dxa"/>
            <w:tcBorders>
              <w:top w:val="single" w:sz="4" w:space="0" w:color="auto"/>
              <w:left w:val="nil"/>
              <w:bottom w:val="single" w:sz="4" w:space="0" w:color="auto"/>
              <w:right w:val="single" w:sz="4" w:space="0" w:color="auto"/>
            </w:tcBorders>
            <w:shd w:val="clear" w:color="auto" w:fill="C6EFCE"/>
            <w:noWrap/>
          </w:tcPr>
          <w:p w14:paraId="7CB1E97A"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5056E714" w14:textId="77777777" w:rsidR="003F46B9" w:rsidRDefault="0065662E">
            <w:pPr>
              <w:pStyle w:val="P68B1DB1-Normal5"/>
              <w:spacing w:after="0" w:line="240" w:lineRule="auto"/>
              <w:jc w:val="both"/>
              <w:rPr>
                <w:rFonts w:cs="Times New Roman"/>
                <w:noProof/>
              </w:rPr>
            </w:pPr>
            <w:r>
              <w:rPr>
                <w:noProof/>
              </w:rPr>
              <w:t xml:space="preserve">Izrađeni otvoreni </w:t>
            </w:r>
            <w:r>
              <w:rPr>
                <w:noProof/>
              </w:rPr>
              <w:t>obrazovni resursi (OER) (nastavni materijali)</w:t>
            </w:r>
          </w:p>
        </w:tc>
        <w:tc>
          <w:tcPr>
            <w:tcW w:w="1383" w:type="dxa"/>
            <w:tcBorders>
              <w:top w:val="single" w:sz="4" w:space="0" w:color="auto"/>
              <w:left w:val="nil"/>
              <w:bottom w:val="single" w:sz="4" w:space="0" w:color="auto"/>
              <w:right w:val="single" w:sz="4" w:space="0" w:color="auto"/>
            </w:tcBorders>
            <w:shd w:val="clear" w:color="auto" w:fill="C6EFCE"/>
            <w:noWrap/>
          </w:tcPr>
          <w:p w14:paraId="30EBCA8D"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60C6465B"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318607AC"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7DE11990" w14:textId="77777777" w:rsidR="003F46B9" w:rsidRDefault="0065662E">
            <w:pPr>
              <w:pStyle w:val="P68B1DB1-Normal5"/>
              <w:spacing w:after="0" w:line="240" w:lineRule="auto"/>
              <w:jc w:val="center"/>
              <w:rPr>
                <w:rFonts w:cs="Times New Roman"/>
                <w:noProof/>
              </w:rPr>
            </w:pPr>
            <w:r>
              <w:rPr>
                <w:noProof/>
              </w:rPr>
              <w:t>67 000</w:t>
            </w:r>
          </w:p>
        </w:tc>
        <w:tc>
          <w:tcPr>
            <w:tcW w:w="1124" w:type="dxa"/>
            <w:tcBorders>
              <w:top w:val="single" w:sz="4" w:space="0" w:color="auto"/>
              <w:left w:val="nil"/>
              <w:bottom w:val="single" w:sz="4" w:space="0" w:color="auto"/>
              <w:right w:val="single" w:sz="4" w:space="0" w:color="auto"/>
            </w:tcBorders>
            <w:shd w:val="clear" w:color="auto" w:fill="C6EFCE"/>
            <w:noWrap/>
          </w:tcPr>
          <w:p w14:paraId="3F9E9F7A" w14:textId="77777777"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4358D008" w14:textId="77777777" w:rsidR="003F46B9" w:rsidRDefault="0065662E">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1318C09" w14:textId="77777777" w:rsidR="003F46B9" w:rsidRDefault="0065662E">
            <w:pPr>
              <w:pStyle w:val="P68B1DB1-Normal5"/>
              <w:spacing w:after="0" w:line="240" w:lineRule="auto"/>
              <w:jc w:val="both"/>
              <w:rPr>
                <w:rFonts w:cs="Times New Roman"/>
                <w:noProof/>
              </w:rPr>
            </w:pPr>
            <w:r>
              <w:rPr>
                <w:noProof/>
              </w:rPr>
              <w:t xml:space="preserve">67000 Razvijenih otvorenih obrazovnih resursa (nastavni materijali). </w:t>
            </w:r>
          </w:p>
          <w:p w14:paraId="24D619E6" w14:textId="77777777" w:rsidR="003F46B9" w:rsidRDefault="0065662E">
            <w:pPr>
              <w:pStyle w:val="P68B1DB1-Normal5"/>
              <w:spacing w:after="0" w:line="240" w:lineRule="auto"/>
              <w:jc w:val="both"/>
              <w:rPr>
                <w:rFonts w:cs="Times New Roman"/>
                <w:noProof/>
              </w:rPr>
            </w:pPr>
            <w:r>
              <w:rPr>
                <w:noProof/>
              </w:rPr>
              <w:t xml:space="preserve">Razvoj OER-a usmjeren je na: i) proširenje postojeće digitalne platforme za udžbenike dodavanjem nastavne </w:t>
            </w:r>
            <w:r>
              <w:rPr>
                <w:noProof/>
              </w:rPr>
              <w:t xml:space="preserve">potpore za sve discipline i sve razrede srednjoškolskog obrazovanja; stvaranje digitalnog obrazovnog sadržaja za tri različite razine produbljivanja znanja (remedijalno, dostupno, uspješno); razvoj uključivih obrazovnih resursa za učenike s invaliditetom, </w:t>
            </w:r>
            <w:r>
              <w:rPr>
                <w:noProof/>
              </w:rPr>
              <w:t>sportaše i hospitalizirane učenike.</w:t>
            </w:r>
          </w:p>
          <w:p w14:paraId="44AC6439" w14:textId="77777777" w:rsidR="003F46B9" w:rsidRDefault="0065662E">
            <w:pPr>
              <w:pStyle w:val="P68B1DB1-Normal5"/>
              <w:spacing w:after="0" w:line="240" w:lineRule="auto"/>
              <w:jc w:val="both"/>
              <w:rPr>
                <w:rFonts w:cs="Times New Roman"/>
                <w:noProof/>
              </w:rPr>
            </w:pPr>
            <w:r>
              <w:rPr>
                <w:noProof/>
              </w:rPr>
              <w:t xml:space="preserve">OER-ove povezane s tim ulaganjem izrađuju iskusni stručnjaci, dok su oni u okviru ulaganja I8 eksperimentalni te su dio završne evaluacije nastavnika koji sudjeluju u programu. </w:t>
            </w:r>
          </w:p>
        </w:tc>
      </w:tr>
      <w:tr w:rsidR="003F46B9" w14:paraId="1342617B"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692A8458" w14:textId="77777777" w:rsidR="003F46B9" w:rsidRDefault="0065662E">
            <w:pPr>
              <w:pStyle w:val="P68B1DB1-Normal5"/>
              <w:spacing w:after="0" w:line="240" w:lineRule="auto"/>
              <w:jc w:val="center"/>
              <w:rPr>
                <w:rFonts w:cs="Times New Roman"/>
                <w:noProof/>
              </w:rPr>
            </w:pPr>
            <w:r>
              <w:rPr>
                <w:noProof/>
              </w:rPr>
              <w:t>500</w:t>
            </w:r>
          </w:p>
        </w:tc>
        <w:tc>
          <w:tcPr>
            <w:tcW w:w="1795" w:type="dxa"/>
            <w:tcBorders>
              <w:top w:val="single" w:sz="4" w:space="0" w:color="auto"/>
              <w:left w:val="nil"/>
              <w:bottom w:val="single" w:sz="4" w:space="0" w:color="auto"/>
              <w:right w:val="single" w:sz="4" w:space="0" w:color="auto"/>
            </w:tcBorders>
            <w:shd w:val="clear" w:color="auto" w:fill="C6EFCE"/>
            <w:noWrap/>
          </w:tcPr>
          <w:p w14:paraId="1F240DB2" w14:textId="77777777" w:rsidR="003F46B9" w:rsidRDefault="0065662E">
            <w:pPr>
              <w:pStyle w:val="P68B1DB1-Normal5"/>
              <w:spacing w:after="0" w:line="240" w:lineRule="auto"/>
              <w:jc w:val="both"/>
              <w:rPr>
                <w:rFonts w:cs="Times New Roman"/>
                <w:noProof/>
              </w:rPr>
            </w:pPr>
            <w:r>
              <w:rPr>
                <w:noProof/>
              </w:rPr>
              <w:t xml:space="preserve">Ulaganje 16. Digitalizacija </w:t>
            </w:r>
            <w:r>
              <w:rPr>
                <w:noProof/>
              </w:rPr>
              <w:t>sveučilišta i priprema za digitalna zanimanja budućnosti</w:t>
            </w:r>
          </w:p>
        </w:tc>
        <w:tc>
          <w:tcPr>
            <w:tcW w:w="1106" w:type="dxa"/>
            <w:tcBorders>
              <w:top w:val="single" w:sz="4" w:space="0" w:color="auto"/>
              <w:left w:val="nil"/>
              <w:bottom w:val="single" w:sz="4" w:space="0" w:color="auto"/>
              <w:right w:val="single" w:sz="4" w:space="0" w:color="auto"/>
            </w:tcBorders>
            <w:shd w:val="clear" w:color="auto" w:fill="C6EFCE"/>
            <w:noWrap/>
          </w:tcPr>
          <w:p w14:paraId="452E2474" w14:textId="77777777" w:rsidR="003F46B9" w:rsidRDefault="0065662E">
            <w:pPr>
              <w:pStyle w:val="P68B1DB1-Normal5"/>
              <w:spacing w:after="0" w:line="240" w:lineRule="auto"/>
              <w:jc w:val="both"/>
              <w:rPr>
                <w:rFonts w:cs="Times New Roman"/>
                <w:noProof/>
              </w:rPr>
            </w:pPr>
            <w:r>
              <w:rPr>
                <w:noProof/>
              </w:rPr>
              <w:t>Prekretnica</w:t>
            </w:r>
          </w:p>
        </w:tc>
        <w:tc>
          <w:tcPr>
            <w:tcW w:w="1658" w:type="dxa"/>
            <w:tcBorders>
              <w:top w:val="single" w:sz="4" w:space="0" w:color="auto"/>
              <w:left w:val="nil"/>
              <w:bottom w:val="single" w:sz="4" w:space="0" w:color="auto"/>
              <w:right w:val="single" w:sz="4" w:space="0" w:color="auto"/>
            </w:tcBorders>
            <w:shd w:val="clear" w:color="auto" w:fill="C6EFCE"/>
            <w:noWrap/>
          </w:tcPr>
          <w:p w14:paraId="1639583A" w14:textId="77777777" w:rsidR="003F46B9" w:rsidRDefault="0065662E">
            <w:pPr>
              <w:pStyle w:val="P68B1DB1-Normal5"/>
              <w:spacing w:after="0" w:line="240" w:lineRule="auto"/>
              <w:jc w:val="both"/>
              <w:rPr>
                <w:rFonts w:cs="Times New Roman"/>
                <w:noProof/>
              </w:rPr>
            </w:pPr>
            <w:r>
              <w:rPr>
                <w:noProof/>
              </w:rPr>
              <w:t>Potpisivanje ugovora za bespovratna sredstva za inovativne tehnološke centre na sveučilištima</w:t>
            </w:r>
          </w:p>
        </w:tc>
        <w:tc>
          <w:tcPr>
            <w:tcW w:w="1383" w:type="dxa"/>
            <w:tcBorders>
              <w:top w:val="single" w:sz="4" w:space="0" w:color="auto"/>
              <w:left w:val="nil"/>
              <w:bottom w:val="single" w:sz="4" w:space="0" w:color="auto"/>
              <w:right w:val="single" w:sz="4" w:space="0" w:color="auto"/>
            </w:tcBorders>
            <w:shd w:val="clear" w:color="auto" w:fill="C6EFCE"/>
            <w:noWrap/>
          </w:tcPr>
          <w:p w14:paraId="30FA53A1" w14:textId="77777777" w:rsidR="003F46B9" w:rsidRDefault="0065662E">
            <w:pPr>
              <w:pStyle w:val="P68B1DB1-Normal5"/>
              <w:spacing w:after="0" w:line="240" w:lineRule="auto"/>
              <w:jc w:val="center"/>
              <w:rPr>
                <w:rFonts w:cs="Times New Roman"/>
                <w:noProof/>
              </w:rPr>
            </w:pPr>
            <w:r>
              <w:rPr>
                <w:noProof/>
              </w:rPr>
              <w:t>Potpisivanje ugovora</w:t>
            </w:r>
          </w:p>
        </w:tc>
        <w:tc>
          <w:tcPr>
            <w:tcW w:w="968" w:type="dxa"/>
            <w:tcBorders>
              <w:top w:val="single" w:sz="4" w:space="0" w:color="auto"/>
              <w:left w:val="nil"/>
              <w:bottom w:val="single" w:sz="4" w:space="0" w:color="auto"/>
              <w:right w:val="single" w:sz="4" w:space="0" w:color="auto"/>
            </w:tcBorders>
            <w:shd w:val="clear" w:color="auto" w:fill="C6EFCE"/>
            <w:noWrap/>
          </w:tcPr>
          <w:p w14:paraId="0E6727ED" w14:textId="77777777" w:rsidR="003F46B9" w:rsidRDefault="003F46B9">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267359CF" w14:textId="77777777" w:rsidR="003F46B9" w:rsidRDefault="003F46B9">
            <w:pPr>
              <w:spacing w:after="0" w:line="240" w:lineRule="auto"/>
              <w:jc w:val="center"/>
              <w:rPr>
                <w:rFonts w:ascii="Times New Roman" w:hAnsi="Times New Roman" w:cs="Times New Roman"/>
                <w:noProof/>
                <w:sz w:val="24"/>
              </w:rPr>
            </w:pPr>
          </w:p>
        </w:tc>
        <w:tc>
          <w:tcPr>
            <w:tcW w:w="909" w:type="dxa"/>
            <w:tcBorders>
              <w:top w:val="single" w:sz="4" w:space="0" w:color="auto"/>
              <w:left w:val="nil"/>
              <w:bottom w:val="single" w:sz="4" w:space="0" w:color="auto"/>
              <w:right w:val="single" w:sz="4" w:space="0" w:color="auto"/>
            </w:tcBorders>
            <w:shd w:val="clear" w:color="auto" w:fill="C6EFCE"/>
            <w:noWrap/>
          </w:tcPr>
          <w:p w14:paraId="32492235" w14:textId="77777777" w:rsidR="003F46B9" w:rsidRDefault="003F46B9">
            <w:pPr>
              <w:spacing w:after="0" w:line="240" w:lineRule="auto"/>
              <w:jc w:val="center"/>
              <w:rPr>
                <w:rFonts w:ascii="Times New Roman" w:hAnsi="Times New Roman" w:cs="Times New Roman"/>
                <w:noProof/>
                <w:sz w:val="24"/>
              </w:rPr>
            </w:pPr>
          </w:p>
        </w:tc>
        <w:tc>
          <w:tcPr>
            <w:tcW w:w="1124" w:type="dxa"/>
            <w:tcBorders>
              <w:top w:val="single" w:sz="4" w:space="0" w:color="auto"/>
              <w:left w:val="nil"/>
              <w:bottom w:val="single" w:sz="4" w:space="0" w:color="auto"/>
              <w:right w:val="single" w:sz="4" w:space="0" w:color="auto"/>
            </w:tcBorders>
            <w:shd w:val="clear" w:color="auto" w:fill="C6EFCE"/>
            <w:noWrap/>
          </w:tcPr>
          <w:p w14:paraId="3AB21416" w14:textId="77777777"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5CB958BF" w14:textId="77777777" w:rsidR="003F46B9" w:rsidRDefault="0065662E">
            <w:pPr>
              <w:pStyle w:val="P68B1DB1-Normal5"/>
              <w:spacing w:after="0" w:line="240" w:lineRule="auto"/>
              <w:jc w:val="center"/>
              <w:rPr>
                <w:rFonts w:cs="Times New Roman"/>
                <w:noProof/>
              </w:rPr>
            </w:pPr>
            <w:r>
              <w:rPr>
                <w:noProof/>
              </w:rPr>
              <w:t>2022</w:t>
            </w:r>
          </w:p>
        </w:tc>
        <w:tc>
          <w:tcPr>
            <w:tcW w:w="3407" w:type="dxa"/>
            <w:tcBorders>
              <w:top w:val="single" w:sz="4" w:space="0" w:color="auto"/>
              <w:left w:val="nil"/>
              <w:bottom w:val="single" w:sz="4" w:space="0" w:color="auto"/>
              <w:right w:val="single" w:sz="4" w:space="0" w:color="auto"/>
            </w:tcBorders>
            <w:shd w:val="clear" w:color="auto" w:fill="C6EFCE"/>
            <w:noWrap/>
          </w:tcPr>
          <w:p w14:paraId="4D8E7F89" w14:textId="77777777" w:rsidR="003F46B9" w:rsidRDefault="0065662E">
            <w:pPr>
              <w:pStyle w:val="P68B1DB1-Normal5"/>
              <w:spacing w:after="0" w:line="240" w:lineRule="auto"/>
              <w:jc w:val="both"/>
              <w:rPr>
                <w:rFonts w:cs="Times New Roman"/>
                <w:noProof/>
              </w:rPr>
            </w:pPr>
            <w:r>
              <w:rPr>
                <w:noProof/>
              </w:rPr>
              <w:t xml:space="preserve">Potpisivanje ugovora za bespovratna sredstva za 60 </w:t>
            </w:r>
            <w:r>
              <w:rPr>
                <w:noProof/>
              </w:rPr>
              <w:t>sveučilišta za financiranje integriranih mjera za poboljšanje digitalne infrastrukture i razvoj kompetencija studenata i sveučilišnog nastavnog osoblja:</w:t>
            </w:r>
          </w:p>
          <w:p w14:paraId="6EBF970A" w14:textId="77777777" w:rsidR="003F46B9" w:rsidRDefault="0065662E">
            <w:pPr>
              <w:pStyle w:val="P68B1DB1-Normal5"/>
              <w:numPr>
                <w:ilvl w:val="0"/>
                <w:numId w:val="120"/>
              </w:numPr>
              <w:spacing w:before="120" w:after="0" w:line="240" w:lineRule="auto"/>
              <w:ind w:left="262" w:hanging="218"/>
              <w:contextualSpacing/>
              <w:jc w:val="both"/>
              <w:rPr>
                <w:rFonts w:cs="Times New Roman"/>
                <w:noProof/>
              </w:rPr>
            </w:pPr>
            <w:r>
              <w:rPr>
                <w:noProof/>
              </w:rPr>
              <w:t xml:space="preserve">operacionalizacija sveučilišnih digitalnih centara, </w:t>
            </w:r>
          </w:p>
          <w:p w14:paraId="47124688" w14:textId="77777777" w:rsidR="003F46B9" w:rsidRDefault="0065662E">
            <w:pPr>
              <w:pStyle w:val="P68B1DB1-Normal5"/>
              <w:numPr>
                <w:ilvl w:val="0"/>
                <w:numId w:val="120"/>
              </w:numPr>
              <w:spacing w:before="120" w:after="0" w:line="240" w:lineRule="auto"/>
              <w:ind w:left="262" w:hanging="218"/>
              <w:contextualSpacing/>
              <w:jc w:val="both"/>
              <w:rPr>
                <w:rFonts w:cs="Times New Roman"/>
                <w:noProof/>
              </w:rPr>
            </w:pPr>
            <w:r>
              <w:rPr>
                <w:noProof/>
              </w:rPr>
              <w:t>programe osposobljavanja u području digitalnih kom</w:t>
            </w:r>
            <w:r>
              <w:rPr>
                <w:noProof/>
              </w:rPr>
              <w:t xml:space="preserve">petencija, </w:t>
            </w:r>
          </w:p>
          <w:p w14:paraId="23289877" w14:textId="77777777" w:rsidR="003F46B9" w:rsidRDefault="0065662E">
            <w:pPr>
              <w:pStyle w:val="P68B1DB1-Normal5"/>
              <w:numPr>
                <w:ilvl w:val="0"/>
                <w:numId w:val="120"/>
              </w:numPr>
              <w:spacing w:before="120" w:after="0" w:line="240" w:lineRule="auto"/>
              <w:ind w:left="262" w:hanging="218"/>
              <w:contextualSpacing/>
              <w:jc w:val="both"/>
              <w:rPr>
                <w:rFonts w:cs="Times New Roman"/>
                <w:noProof/>
              </w:rPr>
            </w:pPr>
            <w:r>
              <w:rPr>
                <w:noProof/>
              </w:rPr>
              <w:t xml:space="preserve">razvoj poduzetničkih vještina studenata za digitalni sektor, </w:t>
            </w:r>
          </w:p>
          <w:p w14:paraId="676DC487" w14:textId="77777777" w:rsidR="003F46B9" w:rsidRDefault="0065662E">
            <w:pPr>
              <w:pStyle w:val="P68B1DB1-Normal5"/>
              <w:numPr>
                <w:ilvl w:val="0"/>
                <w:numId w:val="120"/>
              </w:numPr>
              <w:spacing w:before="120" w:after="0" w:line="240" w:lineRule="auto"/>
              <w:ind w:left="262" w:hanging="218"/>
              <w:contextualSpacing/>
              <w:jc w:val="both"/>
              <w:rPr>
                <w:rFonts w:cs="Times New Roman"/>
                <w:noProof/>
              </w:rPr>
            </w:pPr>
            <w:r>
              <w:rPr>
                <w:noProof/>
              </w:rPr>
              <w:t xml:space="preserve">programe profesionalnog usmjeravanja za studente s ciljem odabira novih zanimanja u području IKT-a, </w:t>
            </w:r>
          </w:p>
          <w:p w14:paraId="79194AD4" w14:textId="77777777" w:rsidR="003F46B9" w:rsidRDefault="0065662E">
            <w:pPr>
              <w:pStyle w:val="P68B1DB1-Normal5"/>
              <w:numPr>
                <w:ilvl w:val="0"/>
                <w:numId w:val="120"/>
              </w:numPr>
              <w:spacing w:before="120" w:after="0" w:line="240" w:lineRule="auto"/>
              <w:ind w:left="262" w:hanging="218"/>
              <w:contextualSpacing/>
              <w:jc w:val="both"/>
              <w:rPr>
                <w:rFonts w:cs="Times New Roman"/>
                <w:noProof/>
              </w:rPr>
            </w:pPr>
            <w:r>
              <w:rPr>
                <w:noProof/>
              </w:rPr>
              <w:t>programe osposobljavanja za nove vještine poučavanja/procjene u hibridnom sustavu</w:t>
            </w:r>
            <w:r>
              <w:rPr>
                <w:noProof/>
              </w:rPr>
              <w:t>,</w:t>
            </w:r>
          </w:p>
          <w:p w14:paraId="5A589469" w14:textId="77777777" w:rsidR="003F46B9" w:rsidRDefault="0065662E">
            <w:pPr>
              <w:pStyle w:val="P68B1DB1-Normal5"/>
              <w:spacing w:after="0" w:line="240" w:lineRule="auto"/>
              <w:jc w:val="both"/>
              <w:rPr>
                <w:rFonts w:cs="Times New Roman"/>
                <w:noProof/>
              </w:rPr>
            </w:pPr>
            <w:r>
              <w:rPr>
                <w:noProof/>
              </w:rPr>
              <w:t xml:space="preserve">napredni razvoj digitalnih vještina za 1000 studenata preddiplomskih i diplomskih studija. </w:t>
            </w:r>
          </w:p>
        </w:tc>
      </w:tr>
      <w:tr w:rsidR="003F46B9" w14:paraId="0573B0D1"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4DB5336" w14:textId="77777777" w:rsidR="003F46B9" w:rsidRDefault="0065662E">
            <w:pPr>
              <w:pStyle w:val="P68B1DB1-Normal5"/>
              <w:spacing w:after="0" w:line="240" w:lineRule="auto"/>
              <w:jc w:val="center"/>
              <w:rPr>
                <w:rFonts w:cs="Times New Roman"/>
                <w:noProof/>
              </w:rPr>
            </w:pPr>
            <w:r>
              <w:rPr>
                <w:noProof/>
              </w:rPr>
              <w:t>502</w:t>
            </w:r>
          </w:p>
        </w:tc>
        <w:tc>
          <w:tcPr>
            <w:tcW w:w="1795" w:type="dxa"/>
            <w:tcBorders>
              <w:top w:val="single" w:sz="4" w:space="0" w:color="auto"/>
              <w:left w:val="nil"/>
              <w:bottom w:val="single" w:sz="4" w:space="0" w:color="auto"/>
              <w:right w:val="single" w:sz="4" w:space="0" w:color="auto"/>
            </w:tcBorders>
            <w:shd w:val="clear" w:color="auto" w:fill="C6EFCE"/>
            <w:noWrap/>
          </w:tcPr>
          <w:p w14:paraId="7D140EC9" w14:textId="77777777" w:rsidR="003F46B9" w:rsidRDefault="0065662E">
            <w:pPr>
              <w:pStyle w:val="P68B1DB1-Normal5"/>
              <w:spacing w:after="0" w:line="240" w:lineRule="auto"/>
              <w:jc w:val="both"/>
              <w:rPr>
                <w:rFonts w:cs="Times New Roman"/>
                <w:noProof/>
              </w:rPr>
            </w:pPr>
            <w:r>
              <w:rPr>
                <w:noProof/>
              </w:rPr>
              <w:t>Ulaganje 16. Digitalizacija sveučilišta i priprema za digitalna zanimanja budućnosti</w:t>
            </w:r>
          </w:p>
        </w:tc>
        <w:tc>
          <w:tcPr>
            <w:tcW w:w="1106" w:type="dxa"/>
            <w:tcBorders>
              <w:top w:val="single" w:sz="4" w:space="0" w:color="auto"/>
              <w:left w:val="nil"/>
              <w:bottom w:val="single" w:sz="4" w:space="0" w:color="auto"/>
              <w:right w:val="single" w:sz="4" w:space="0" w:color="auto"/>
            </w:tcBorders>
            <w:shd w:val="clear" w:color="auto" w:fill="C6EFCE"/>
            <w:noWrap/>
          </w:tcPr>
          <w:p w14:paraId="058842DD"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5779C5EA" w14:textId="77777777" w:rsidR="003F46B9" w:rsidRDefault="0065662E">
            <w:pPr>
              <w:pStyle w:val="P68B1DB1-Normal5"/>
              <w:spacing w:after="0" w:line="240" w:lineRule="auto"/>
              <w:jc w:val="both"/>
              <w:rPr>
                <w:rFonts w:cs="Times New Roman"/>
                <w:noProof/>
              </w:rPr>
            </w:pPr>
            <w:r>
              <w:rPr>
                <w:noProof/>
              </w:rPr>
              <w:t xml:space="preserve">Sveučilišta uz potporu novih inovativnih </w:t>
            </w:r>
            <w:r>
              <w:rPr>
                <w:noProof/>
              </w:rPr>
              <w:t xml:space="preserve">tehnoloških centara za stvaranje novih vještina budućnosti </w:t>
            </w:r>
          </w:p>
        </w:tc>
        <w:tc>
          <w:tcPr>
            <w:tcW w:w="1383" w:type="dxa"/>
            <w:tcBorders>
              <w:top w:val="single" w:sz="4" w:space="0" w:color="auto"/>
              <w:left w:val="nil"/>
              <w:bottom w:val="single" w:sz="4" w:space="0" w:color="auto"/>
              <w:right w:val="single" w:sz="4" w:space="0" w:color="auto"/>
            </w:tcBorders>
            <w:shd w:val="clear" w:color="auto" w:fill="C6EFCE"/>
            <w:noWrap/>
          </w:tcPr>
          <w:p w14:paraId="75AA9399"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2BED3C82"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47371EAB"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28A05EFD" w14:textId="77777777" w:rsidR="003F46B9" w:rsidRDefault="0065662E">
            <w:pPr>
              <w:pStyle w:val="P68B1DB1-Normal5"/>
              <w:spacing w:after="0" w:line="240" w:lineRule="auto"/>
              <w:jc w:val="center"/>
              <w:rPr>
                <w:rFonts w:cs="Times New Roman"/>
                <w:noProof/>
              </w:rPr>
            </w:pPr>
            <w:r>
              <w:rPr>
                <w:noProof/>
              </w:rPr>
              <w:t>60</w:t>
            </w:r>
          </w:p>
        </w:tc>
        <w:tc>
          <w:tcPr>
            <w:tcW w:w="1124" w:type="dxa"/>
            <w:tcBorders>
              <w:top w:val="single" w:sz="4" w:space="0" w:color="auto"/>
              <w:left w:val="nil"/>
              <w:bottom w:val="single" w:sz="4" w:space="0" w:color="auto"/>
              <w:right w:val="single" w:sz="4" w:space="0" w:color="auto"/>
            </w:tcBorders>
            <w:shd w:val="clear" w:color="auto" w:fill="C6EFCE"/>
            <w:noWrap/>
          </w:tcPr>
          <w:p w14:paraId="2B68D3B9" w14:textId="77777777" w:rsidR="003F46B9" w:rsidRDefault="0065662E">
            <w:pPr>
              <w:pStyle w:val="P68B1DB1-Normal5"/>
              <w:spacing w:after="0" w:line="240" w:lineRule="auto"/>
              <w:jc w:val="center"/>
              <w:rPr>
                <w:rFonts w:cs="Times New Roman"/>
                <w:noProof/>
              </w:rPr>
            </w:pPr>
            <w:r>
              <w:rPr>
                <w:noProof/>
              </w:rPr>
              <w:t>ČETVRTO 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6F8F2271" w14:textId="77777777" w:rsidR="003F46B9" w:rsidRDefault="0065662E">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612938C4" w14:textId="77777777" w:rsidR="003F46B9" w:rsidRDefault="0065662E">
            <w:pPr>
              <w:pStyle w:val="P68B1DB1-Normal5"/>
              <w:spacing w:after="0" w:line="240" w:lineRule="auto"/>
              <w:jc w:val="both"/>
              <w:rPr>
                <w:rFonts w:cs="Times New Roman"/>
                <w:noProof/>
              </w:rPr>
            </w:pPr>
            <w:r>
              <w:rPr>
                <w:noProof/>
              </w:rPr>
              <w:t>Sveučilišta uz potporu novih inovativnih tehnoloških centara za stvaranje novih vještina budućnosti kontinuiranim inovacijama studijskih programa u skladu sa za</w:t>
            </w:r>
            <w:r>
              <w:rPr>
                <w:noProof/>
              </w:rPr>
              <w:t>htjevima u ključnoj etapi 500.</w:t>
            </w:r>
          </w:p>
        </w:tc>
      </w:tr>
      <w:tr w:rsidR="003F46B9" w14:paraId="089EF47B"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252EDD5" w14:textId="77777777" w:rsidR="003F46B9" w:rsidRDefault="0065662E">
            <w:pPr>
              <w:pStyle w:val="P68B1DB1-Normal5"/>
              <w:spacing w:after="0" w:line="240" w:lineRule="auto"/>
              <w:jc w:val="center"/>
              <w:rPr>
                <w:rFonts w:cs="Times New Roman"/>
                <w:noProof/>
              </w:rPr>
            </w:pPr>
            <w:r>
              <w:rPr>
                <w:noProof/>
              </w:rPr>
              <w:t>503</w:t>
            </w:r>
          </w:p>
        </w:tc>
        <w:tc>
          <w:tcPr>
            <w:tcW w:w="1795" w:type="dxa"/>
            <w:tcBorders>
              <w:top w:val="single" w:sz="4" w:space="0" w:color="auto"/>
              <w:left w:val="nil"/>
              <w:bottom w:val="single" w:sz="4" w:space="0" w:color="auto"/>
              <w:right w:val="single" w:sz="4" w:space="0" w:color="auto"/>
            </w:tcBorders>
            <w:shd w:val="clear" w:color="auto" w:fill="C6EFCE"/>
            <w:noWrap/>
          </w:tcPr>
          <w:p w14:paraId="027AEF28" w14:textId="218CE94D" w:rsidR="003F46B9" w:rsidRDefault="0065662E">
            <w:pPr>
              <w:pStyle w:val="P68B1DB1-Normal5"/>
              <w:spacing w:after="0" w:line="240" w:lineRule="auto"/>
              <w:jc w:val="both"/>
              <w:rPr>
                <w:rFonts w:cs="Times New Roman"/>
                <w:noProof/>
              </w:rPr>
            </w:pPr>
            <w:r>
              <w:rPr>
                <w:noProof/>
              </w:rPr>
              <w:t>Ulaganje 17. Osiguravanje sveučilišne infrastrukture (home, kantine, rekreacijska postrojenja)</w:t>
            </w:r>
          </w:p>
        </w:tc>
        <w:tc>
          <w:tcPr>
            <w:tcW w:w="1106" w:type="dxa"/>
            <w:tcBorders>
              <w:top w:val="single" w:sz="4" w:space="0" w:color="auto"/>
              <w:left w:val="nil"/>
              <w:bottom w:val="single" w:sz="4" w:space="0" w:color="auto"/>
              <w:right w:val="single" w:sz="4" w:space="0" w:color="auto"/>
            </w:tcBorders>
            <w:shd w:val="clear" w:color="auto" w:fill="C6EFCE"/>
            <w:noWrap/>
          </w:tcPr>
          <w:p w14:paraId="41357ECA"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3C4DDA23" w14:textId="77777777" w:rsidR="003F46B9" w:rsidRDefault="0065662E">
            <w:pPr>
              <w:pStyle w:val="P68B1DB1-Normal5"/>
              <w:spacing w:after="0" w:line="240" w:lineRule="auto"/>
              <w:jc w:val="both"/>
              <w:rPr>
                <w:rFonts w:cs="Times New Roman"/>
                <w:noProof/>
              </w:rPr>
            </w:pPr>
            <w:r>
              <w:rPr>
                <w:noProof/>
              </w:rPr>
              <w:t>Izgrađena ili modernizirana i u uporabi za rekreaciju i čitanje</w:t>
            </w:r>
          </w:p>
        </w:tc>
        <w:tc>
          <w:tcPr>
            <w:tcW w:w="1383" w:type="dxa"/>
            <w:tcBorders>
              <w:top w:val="single" w:sz="4" w:space="0" w:color="auto"/>
              <w:left w:val="nil"/>
              <w:bottom w:val="single" w:sz="4" w:space="0" w:color="auto"/>
              <w:right w:val="single" w:sz="4" w:space="0" w:color="auto"/>
            </w:tcBorders>
            <w:shd w:val="clear" w:color="auto" w:fill="C6EFCE"/>
            <w:noWrap/>
          </w:tcPr>
          <w:p w14:paraId="11B63786"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167CDC1C"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4F14DC23"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6E4E0CDE" w14:textId="78D5F133" w:rsidR="003F46B9" w:rsidRDefault="0065662E">
            <w:pPr>
              <w:pStyle w:val="P68B1DB1-Normal5"/>
              <w:spacing w:after="0" w:line="240" w:lineRule="auto"/>
              <w:jc w:val="center"/>
              <w:rPr>
                <w:rFonts w:cs="Times New Roman"/>
                <w:noProof/>
              </w:rPr>
            </w:pPr>
            <w:r>
              <w:rPr>
                <w:noProof/>
              </w:rPr>
              <w:t>15 545</w:t>
            </w:r>
          </w:p>
        </w:tc>
        <w:tc>
          <w:tcPr>
            <w:tcW w:w="1124" w:type="dxa"/>
            <w:tcBorders>
              <w:top w:val="single" w:sz="4" w:space="0" w:color="auto"/>
              <w:left w:val="nil"/>
              <w:bottom w:val="single" w:sz="4" w:space="0" w:color="auto"/>
              <w:right w:val="single" w:sz="4" w:space="0" w:color="auto"/>
            </w:tcBorders>
            <w:shd w:val="clear" w:color="auto" w:fill="C6EFCE"/>
            <w:noWrap/>
          </w:tcPr>
          <w:p w14:paraId="43509EE7" w14:textId="42933D1E"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06ECE04F" w14:textId="027466F4" w:rsidR="003F46B9" w:rsidRDefault="0065662E">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4865E8C0" w14:textId="7A8D265A" w:rsidR="003F46B9" w:rsidRDefault="0065662E">
            <w:pPr>
              <w:pStyle w:val="P68B1DB1-Normal5"/>
              <w:spacing w:after="0" w:line="240" w:lineRule="auto"/>
              <w:jc w:val="both"/>
              <w:rPr>
                <w:rFonts w:cs="Times New Roman"/>
                <w:noProof/>
              </w:rPr>
            </w:pPr>
            <w:r>
              <w:rPr>
                <w:noProof/>
              </w:rPr>
              <w:t>Izgradnja 3998 i proširenje/modernizacija 11547 mjesta za rekreaciju i čitanje u sveučilišnim kampusima, posebno za studente u nepovoljnom položaju. U tom kontekstu najmanje 90 % troškova povezanih s obnovom odnosi se na poboljšanja energetske učinkovitost</w:t>
            </w:r>
            <w:r>
              <w:rPr>
                <w:noProof/>
              </w:rPr>
              <w:t xml:space="preserve">i. </w:t>
            </w:r>
          </w:p>
        </w:tc>
      </w:tr>
      <w:tr w:rsidR="003F46B9" w14:paraId="2878DC7F"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5515C748" w14:textId="77777777" w:rsidR="003F46B9" w:rsidRDefault="0065662E">
            <w:pPr>
              <w:pStyle w:val="P68B1DB1-Normal5"/>
              <w:spacing w:after="0" w:line="240" w:lineRule="auto"/>
              <w:jc w:val="center"/>
              <w:rPr>
                <w:rFonts w:cs="Times New Roman"/>
                <w:noProof/>
              </w:rPr>
            </w:pPr>
            <w:r>
              <w:rPr>
                <w:noProof/>
              </w:rPr>
              <w:t>504</w:t>
            </w:r>
          </w:p>
        </w:tc>
        <w:tc>
          <w:tcPr>
            <w:tcW w:w="1795" w:type="dxa"/>
            <w:tcBorders>
              <w:top w:val="single" w:sz="4" w:space="0" w:color="auto"/>
              <w:left w:val="nil"/>
              <w:bottom w:val="single" w:sz="4" w:space="0" w:color="auto"/>
              <w:right w:val="single" w:sz="4" w:space="0" w:color="auto"/>
            </w:tcBorders>
            <w:shd w:val="clear" w:color="auto" w:fill="C6EFCE"/>
            <w:noWrap/>
          </w:tcPr>
          <w:p w14:paraId="3F8B02A0" w14:textId="77777777" w:rsidR="003F46B9" w:rsidRDefault="0065662E">
            <w:pPr>
              <w:pStyle w:val="P68B1DB1-Normal5"/>
              <w:spacing w:after="0" w:line="240" w:lineRule="auto"/>
              <w:jc w:val="both"/>
              <w:rPr>
                <w:rFonts w:cs="Times New Roman"/>
                <w:noProof/>
              </w:rPr>
            </w:pPr>
            <w:r>
              <w:rPr>
                <w:noProof/>
              </w:rPr>
              <w:t>Ulaganje 17. Osiguravanje sveučilišne infrastrukture (home, kantine i rekreacijska postrojenja)</w:t>
            </w:r>
          </w:p>
        </w:tc>
        <w:tc>
          <w:tcPr>
            <w:tcW w:w="1106" w:type="dxa"/>
            <w:tcBorders>
              <w:top w:val="single" w:sz="4" w:space="0" w:color="auto"/>
              <w:left w:val="nil"/>
              <w:bottom w:val="single" w:sz="4" w:space="0" w:color="auto"/>
              <w:right w:val="single" w:sz="4" w:space="0" w:color="auto"/>
            </w:tcBorders>
            <w:shd w:val="clear" w:color="auto" w:fill="C6EFCE"/>
            <w:noWrap/>
          </w:tcPr>
          <w:p w14:paraId="52F09C6D"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73ADD571" w14:textId="77777777" w:rsidR="003F46B9" w:rsidRDefault="0065662E">
            <w:pPr>
              <w:pStyle w:val="P68B1DB1-Normal5"/>
              <w:spacing w:after="0" w:line="240" w:lineRule="auto"/>
              <w:jc w:val="both"/>
              <w:rPr>
                <w:rFonts w:cs="Times New Roman"/>
                <w:noProof/>
              </w:rPr>
            </w:pPr>
            <w:r>
              <w:rPr>
                <w:noProof/>
              </w:rPr>
              <w:t>Kantine izgrađene ili modernizirane i u uporabi</w:t>
            </w:r>
          </w:p>
        </w:tc>
        <w:tc>
          <w:tcPr>
            <w:tcW w:w="1383" w:type="dxa"/>
            <w:tcBorders>
              <w:top w:val="single" w:sz="4" w:space="0" w:color="auto"/>
              <w:left w:val="nil"/>
              <w:bottom w:val="single" w:sz="4" w:space="0" w:color="auto"/>
              <w:right w:val="single" w:sz="4" w:space="0" w:color="auto"/>
            </w:tcBorders>
            <w:shd w:val="clear" w:color="auto" w:fill="C6EFCE"/>
            <w:noWrap/>
          </w:tcPr>
          <w:p w14:paraId="6EE233B4"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76E670B5"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017EB463"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0D835D59" w14:textId="77777777" w:rsidR="003F46B9" w:rsidRDefault="0065662E">
            <w:pPr>
              <w:pStyle w:val="P68B1DB1-Normal5"/>
              <w:spacing w:after="0" w:line="240" w:lineRule="auto"/>
              <w:jc w:val="center"/>
              <w:rPr>
                <w:rFonts w:cs="Times New Roman"/>
                <w:noProof/>
              </w:rPr>
            </w:pPr>
            <w:r>
              <w:rPr>
                <w:noProof/>
              </w:rPr>
              <w:t>5 275</w:t>
            </w:r>
          </w:p>
        </w:tc>
        <w:tc>
          <w:tcPr>
            <w:tcW w:w="1124" w:type="dxa"/>
            <w:tcBorders>
              <w:top w:val="single" w:sz="4" w:space="0" w:color="auto"/>
              <w:left w:val="nil"/>
              <w:bottom w:val="single" w:sz="4" w:space="0" w:color="auto"/>
              <w:right w:val="single" w:sz="4" w:space="0" w:color="auto"/>
            </w:tcBorders>
            <w:shd w:val="clear" w:color="auto" w:fill="C6EFCE"/>
            <w:noWrap/>
          </w:tcPr>
          <w:p w14:paraId="03A0DE33" w14:textId="543A1339"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4D790D37" w14:textId="5300451A" w:rsidR="003F46B9" w:rsidRDefault="0065662E">
            <w:pPr>
              <w:pStyle w:val="P68B1DB1-Normal5"/>
              <w:spacing w:after="0" w:line="240" w:lineRule="auto"/>
              <w:jc w:val="center"/>
              <w:rPr>
                <w:rFonts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37FCC3C8" w14:textId="5894F0E9" w:rsidR="003F46B9" w:rsidRDefault="0065662E">
            <w:pPr>
              <w:pStyle w:val="P68B1DB1-Normal5"/>
              <w:spacing w:after="0" w:line="240" w:lineRule="auto"/>
              <w:jc w:val="both"/>
              <w:rPr>
                <w:rFonts w:cs="Times New Roman"/>
                <w:noProof/>
              </w:rPr>
            </w:pPr>
            <w:r>
              <w:rPr>
                <w:noProof/>
              </w:rPr>
              <w:t xml:space="preserve">Izgradnja 2787 kantina i proširenje/modernizacija 2488 kantina na sveučilišnim kampusima. </w:t>
            </w:r>
          </w:p>
          <w:p w14:paraId="76EFB076" w14:textId="77777777" w:rsidR="003F46B9" w:rsidRDefault="0065662E">
            <w:pPr>
              <w:pStyle w:val="P68B1DB1-Normal5"/>
              <w:spacing w:after="0" w:line="240" w:lineRule="auto"/>
              <w:jc w:val="both"/>
              <w:rPr>
                <w:rFonts w:cs="Times New Roman"/>
                <w:noProof/>
              </w:rPr>
            </w:pPr>
            <w:r>
              <w:rPr>
                <w:noProof/>
              </w:rPr>
              <w:t>Ugovori uključuju minimalni zahtjev za smanjenje potrošnje energije za grijanje za najmanje 50 % u usporedbi s godišnjom potrošnjom energije za grijanje prije obnove</w:t>
            </w:r>
            <w:r>
              <w:rPr>
                <w:noProof/>
              </w:rPr>
              <w:t xml:space="preserve"> zgrade, čime se ostvaruje povećanje od 30 % uštede primarne energije u odnosu na stanje prije obnove. U tom kontekstu najmanje 90 % troškova povezanih s obnovom odnosi se na poboljšanja energetske učinkovitosti. </w:t>
            </w:r>
          </w:p>
          <w:p w14:paraId="645192C8" w14:textId="77777777" w:rsidR="003F46B9" w:rsidRDefault="0065662E">
            <w:pPr>
              <w:pStyle w:val="P68B1DB1-Normal5"/>
              <w:spacing w:after="0" w:line="240" w:lineRule="auto"/>
              <w:jc w:val="both"/>
              <w:rPr>
                <w:rFonts w:cs="Times New Roman"/>
                <w:noProof/>
              </w:rPr>
            </w:pPr>
            <w:r>
              <w:rPr>
                <w:noProof/>
              </w:rPr>
              <w:t>Novoizgrađene zgrade moraju biti usklađene</w:t>
            </w:r>
            <w:r>
              <w:rPr>
                <w:noProof/>
              </w:rPr>
              <w:t xml:space="preserve"> s ciljem postizanja potražnje za primarnom energijom (PED) koja je najmanje 20 % niža od zahtjeva za zgrade gotovo nulte energije u skladu s nacionalnim smjernicama, što se osigurava energetskim certifikatima. </w:t>
            </w:r>
          </w:p>
        </w:tc>
      </w:tr>
      <w:tr w:rsidR="003F46B9" w14:paraId="026CA5FC"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3FAFC5CF" w14:textId="77777777" w:rsidR="003F46B9" w:rsidRDefault="0065662E">
            <w:pPr>
              <w:pStyle w:val="P68B1DB1-Normal5"/>
              <w:spacing w:after="0" w:line="240" w:lineRule="auto"/>
              <w:jc w:val="center"/>
              <w:rPr>
                <w:rFonts w:cs="Times New Roman"/>
                <w:noProof/>
              </w:rPr>
            </w:pPr>
            <w:r>
              <w:rPr>
                <w:noProof/>
              </w:rPr>
              <w:t>505</w:t>
            </w:r>
          </w:p>
        </w:tc>
        <w:tc>
          <w:tcPr>
            <w:tcW w:w="1795" w:type="dxa"/>
            <w:tcBorders>
              <w:top w:val="single" w:sz="4" w:space="0" w:color="auto"/>
              <w:left w:val="nil"/>
              <w:bottom w:val="single" w:sz="4" w:space="0" w:color="auto"/>
              <w:right w:val="single" w:sz="4" w:space="0" w:color="auto"/>
            </w:tcBorders>
            <w:shd w:val="clear" w:color="auto" w:fill="C6EFCE"/>
            <w:noWrap/>
          </w:tcPr>
          <w:p w14:paraId="55446F96" w14:textId="77777777" w:rsidR="003F46B9" w:rsidRDefault="0065662E">
            <w:pPr>
              <w:pStyle w:val="P68B1DB1-Normal5"/>
              <w:spacing w:after="0" w:line="240" w:lineRule="auto"/>
              <w:jc w:val="both"/>
              <w:rPr>
                <w:rFonts w:cs="Times New Roman"/>
                <w:noProof/>
              </w:rPr>
            </w:pPr>
            <w:r>
              <w:rPr>
                <w:noProof/>
              </w:rPr>
              <w:t xml:space="preserve">Ulaganje 17. Osiguravanje sveučilišne </w:t>
            </w:r>
            <w:r>
              <w:rPr>
                <w:noProof/>
              </w:rPr>
              <w:t>infrastrukture (home, kantine i rekreacijska postrojenja)</w:t>
            </w:r>
          </w:p>
        </w:tc>
        <w:tc>
          <w:tcPr>
            <w:tcW w:w="1106" w:type="dxa"/>
            <w:tcBorders>
              <w:top w:val="single" w:sz="4" w:space="0" w:color="auto"/>
              <w:left w:val="nil"/>
              <w:bottom w:val="single" w:sz="4" w:space="0" w:color="auto"/>
              <w:right w:val="single" w:sz="4" w:space="0" w:color="auto"/>
            </w:tcBorders>
            <w:shd w:val="clear" w:color="auto" w:fill="C6EFCE"/>
            <w:noWrap/>
          </w:tcPr>
          <w:p w14:paraId="3D79C215"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03176B63" w14:textId="77777777" w:rsidR="003F46B9" w:rsidRDefault="0065662E">
            <w:pPr>
              <w:pStyle w:val="P68B1DB1-Normal5"/>
              <w:spacing w:after="0" w:line="240" w:lineRule="auto"/>
              <w:jc w:val="both"/>
              <w:rPr>
                <w:rFonts w:cs="Times New Roman"/>
                <w:noProof/>
              </w:rPr>
            </w:pPr>
            <w:r>
              <w:rPr>
                <w:noProof/>
              </w:rPr>
              <w:t>Novostvorena ili nadograđena mjesta za smještaj pri uporabi</w:t>
            </w:r>
          </w:p>
        </w:tc>
        <w:tc>
          <w:tcPr>
            <w:tcW w:w="1383" w:type="dxa"/>
            <w:tcBorders>
              <w:top w:val="single" w:sz="4" w:space="0" w:color="auto"/>
              <w:left w:val="nil"/>
              <w:bottom w:val="single" w:sz="4" w:space="0" w:color="auto"/>
              <w:right w:val="single" w:sz="4" w:space="0" w:color="auto"/>
            </w:tcBorders>
            <w:shd w:val="clear" w:color="auto" w:fill="C6EFCE"/>
            <w:noWrap/>
          </w:tcPr>
          <w:p w14:paraId="347F5A94" w14:textId="77777777" w:rsidR="003F46B9" w:rsidRDefault="0065662E">
            <w:pPr>
              <w:pStyle w:val="P68B1DB1-Normal5"/>
              <w:spacing w:after="0" w:line="240" w:lineRule="auto"/>
              <w:jc w:val="center"/>
              <w:rPr>
                <w:rFonts w:cs="Times New Roman"/>
                <w:noProof/>
              </w:rPr>
            </w:pPr>
            <w:r>
              <w:rPr>
                <w:noProof/>
              </w:rPr>
              <w:t xml:space="preserve"> </w:t>
            </w:r>
          </w:p>
        </w:tc>
        <w:tc>
          <w:tcPr>
            <w:tcW w:w="968" w:type="dxa"/>
            <w:tcBorders>
              <w:top w:val="single" w:sz="4" w:space="0" w:color="auto"/>
              <w:left w:val="nil"/>
              <w:bottom w:val="single" w:sz="4" w:space="0" w:color="auto"/>
              <w:right w:val="single" w:sz="4" w:space="0" w:color="auto"/>
            </w:tcBorders>
            <w:shd w:val="clear" w:color="auto" w:fill="C6EFCE"/>
            <w:noWrap/>
          </w:tcPr>
          <w:p w14:paraId="14C2C0A7"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0E658BD5"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12336320" w14:textId="77777777" w:rsidR="003F46B9" w:rsidRDefault="0065662E">
            <w:pPr>
              <w:pStyle w:val="P68B1DB1-Normal5"/>
              <w:spacing w:after="0" w:line="240" w:lineRule="auto"/>
              <w:rPr>
                <w:rFonts w:cs="Times New Roman"/>
                <w:noProof/>
              </w:rPr>
            </w:pPr>
            <w:r>
              <w:rPr>
                <w:noProof/>
              </w:rPr>
              <w:t>15 320</w:t>
            </w:r>
          </w:p>
        </w:tc>
        <w:tc>
          <w:tcPr>
            <w:tcW w:w="1124" w:type="dxa"/>
            <w:tcBorders>
              <w:top w:val="single" w:sz="4" w:space="0" w:color="auto"/>
              <w:left w:val="nil"/>
              <w:bottom w:val="single" w:sz="4" w:space="0" w:color="auto"/>
              <w:right w:val="single" w:sz="4" w:space="0" w:color="auto"/>
            </w:tcBorders>
            <w:shd w:val="clear" w:color="auto" w:fill="C6EFCE"/>
            <w:noWrap/>
          </w:tcPr>
          <w:p w14:paraId="586E762D" w14:textId="4F472325" w:rsidR="003F46B9" w:rsidRDefault="0065662E">
            <w:pPr>
              <w:pStyle w:val="P68B1DB1-Normal5"/>
              <w:spacing w:after="0" w:line="240" w:lineRule="auto"/>
              <w:jc w:val="center"/>
              <w:rPr>
                <w:rFonts w:cs="Times New Roman"/>
                <w:noProof/>
              </w:rPr>
            </w:pPr>
            <w:r>
              <w:rPr>
                <w:noProof/>
              </w:rPr>
              <w:t>ČETVRTO 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20B874FD" w14:textId="771C1E00" w:rsidR="003F46B9" w:rsidRDefault="0065662E">
            <w:pPr>
              <w:pStyle w:val="P68B1DB1-Normal5"/>
              <w:spacing w:after="0" w:line="240" w:lineRule="auto"/>
              <w:jc w:val="center"/>
              <w:rPr>
                <w:rFonts w:eastAsia="Times New Roman" w:cs="Times New Roman"/>
                <w:noProof/>
              </w:rPr>
            </w:pPr>
            <w:r>
              <w:rPr>
                <w:noProof/>
              </w:rPr>
              <w:t>2025</w:t>
            </w:r>
          </w:p>
        </w:tc>
        <w:tc>
          <w:tcPr>
            <w:tcW w:w="3407" w:type="dxa"/>
            <w:tcBorders>
              <w:top w:val="single" w:sz="4" w:space="0" w:color="auto"/>
              <w:left w:val="nil"/>
              <w:bottom w:val="single" w:sz="4" w:space="0" w:color="auto"/>
              <w:right w:val="single" w:sz="4" w:space="0" w:color="auto"/>
            </w:tcBorders>
            <w:shd w:val="clear" w:color="auto" w:fill="C6EFCE"/>
            <w:noWrap/>
          </w:tcPr>
          <w:p w14:paraId="5F6CE32D" w14:textId="2B3F15AE" w:rsidR="003F46B9" w:rsidRDefault="0065662E">
            <w:pPr>
              <w:pStyle w:val="P68B1DB1-Normal5"/>
              <w:spacing w:after="0" w:line="240" w:lineRule="auto"/>
              <w:jc w:val="both"/>
              <w:rPr>
                <w:rFonts w:cs="Times New Roman"/>
                <w:noProof/>
              </w:rPr>
            </w:pPr>
            <w:r>
              <w:rPr>
                <w:noProof/>
              </w:rPr>
              <w:t>Izgradnja 3749 i proširenje/modernizacija 11571 smještajnih mjesta na sveučilišnim kampusima za studente u nepovoljnom socioekonomskom položaju, osobe s invaliditetom, neke etničke manjine ili samohrane roditelje, kojima će se dati prednost pri dobivanju m</w:t>
            </w:r>
            <w:r>
              <w:rPr>
                <w:noProof/>
              </w:rPr>
              <w:t xml:space="preserve">jesta na novoizgrađenim sveučilišnim kampusima </w:t>
            </w:r>
          </w:p>
          <w:p w14:paraId="6F542A4F" w14:textId="77777777" w:rsidR="003F46B9" w:rsidRDefault="0065662E">
            <w:pPr>
              <w:pStyle w:val="P68B1DB1-Normal5"/>
              <w:spacing w:after="0" w:line="240" w:lineRule="auto"/>
              <w:jc w:val="both"/>
              <w:rPr>
                <w:rFonts w:cs="Times New Roman"/>
                <w:noProof/>
              </w:rPr>
            </w:pPr>
            <w:r>
              <w:rPr>
                <w:noProof/>
              </w:rPr>
              <w:t>Ugovori uključuju minimalni zahtjev za smanjenje potrošnje energije za grijanje za najmanje 50 % u usporedbi s godišnjom potrošnjom energije za grijanje prije obnove zgrade, čime se ostvaruje povećanje od 30 </w:t>
            </w:r>
            <w:r>
              <w:rPr>
                <w:noProof/>
              </w:rPr>
              <w:t xml:space="preserve">% uštede primarne energije u odnosu na stanje prije obnove. U tom kontekstu najmanje 90 % troškova povezanih s obnovom odnosi se na poboljšanja energetske učinkovitosti. </w:t>
            </w:r>
          </w:p>
          <w:p w14:paraId="0AE8074C" w14:textId="77777777" w:rsidR="003F46B9" w:rsidRDefault="0065662E">
            <w:pPr>
              <w:pStyle w:val="P68B1DB1-Normal5"/>
              <w:spacing w:after="0" w:line="240" w:lineRule="auto"/>
              <w:jc w:val="both"/>
              <w:rPr>
                <w:rFonts w:cs="Times New Roman"/>
                <w:noProof/>
              </w:rPr>
            </w:pPr>
            <w:r>
              <w:rPr>
                <w:noProof/>
              </w:rPr>
              <w:t xml:space="preserve">Novoizgrađena mjesta moraju biti u skladu s ciljem postizanja potražnje za primarnom </w:t>
            </w:r>
            <w:r>
              <w:rPr>
                <w:noProof/>
              </w:rPr>
              <w:t xml:space="preserve">energijom (PED) koja je najmanje 20 % niža od zahtjeva za zgrade gotovo nulte energije u skladu s nacionalnim smjernicama, što se osigurava energetskim certifikatima. </w:t>
            </w:r>
          </w:p>
        </w:tc>
      </w:tr>
      <w:tr w:rsidR="003F46B9" w14:paraId="51373685"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1D2870F1" w14:textId="77777777" w:rsidR="003F46B9" w:rsidRDefault="0065662E">
            <w:pPr>
              <w:pStyle w:val="P68B1DB1-Normal5"/>
              <w:spacing w:after="0" w:line="240" w:lineRule="auto"/>
              <w:jc w:val="center"/>
              <w:rPr>
                <w:rFonts w:cs="Times New Roman"/>
                <w:noProof/>
              </w:rPr>
            </w:pPr>
            <w:r>
              <w:rPr>
                <w:noProof/>
              </w:rPr>
              <w:t>506</w:t>
            </w:r>
          </w:p>
        </w:tc>
        <w:tc>
          <w:tcPr>
            <w:tcW w:w="1795" w:type="dxa"/>
            <w:tcBorders>
              <w:top w:val="single" w:sz="4" w:space="0" w:color="auto"/>
              <w:left w:val="nil"/>
              <w:bottom w:val="single" w:sz="4" w:space="0" w:color="auto"/>
              <w:right w:val="single" w:sz="4" w:space="0" w:color="auto"/>
            </w:tcBorders>
            <w:shd w:val="clear" w:color="auto" w:fill="C6EFCE"/>
            <w:noWrap/>
          </w:tcPr>
          <w:p w14:paraId="33819077" w14:textId="77777777" w:rsidR="003F46B9" w:rsidRDefault="0065662E">
            <w:pPr>
              <w:pStyle w:val="P68B1DB1-Normal5"/>
              <w:spacing w:after="0" w:line="240" w:lineRule="auto"/>
              <w:jc w:val="both"/>
              <w:rPr>
                <w:rFonts w:cs="Times New Roman"/>
                <w:noProof/>
              </w:rPr>
            </w:pPr>
            <w:r>
              <w:rPr>
                <w:noProof/>
              </w:rPr>
              <w:t xml:space="preserve">Ulaganje 17. Osiguravanje sveučilišne infrastrukture (home, kantine i rekreacijska </w:t>
            </w:r>
            <w:r>
              <w:rPr>
                <w:noProof/>
              </w:rPr>
              <w:t>postrojenja)</w:t>
            </w:r>
          </w:p>
        </w:tc>
        <w:tc>
          <w:tcPr>
            <w:tcW w:w="1106" w:type="dxa"/>
            <w:tcBorders>
              <w:top w:val="single" w:sz="4" w:space="0" w:color="auto"/>
              <w:left w:val="nil"/>
              <w:bottom w:val="single" w:sz="4" w:space="0" w:color="auto"/>
              <w:right w:val="single" w:sz="4" w:space="0" w:color="auto"/>
            </w:tcBorders>
            <w:shd w:val="clear" w:color="auto" w:fill="C6EFCE"/>
            <w:noWrap/>
          </w:tcPr>
          <w:p w14:paraId="0C8FF795"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0A19B426" w14:textId="77777777" w:rsidR="003F46B9" w:rsidRDefault="0065662E">
            <w:pPr>
              <w:pStyle w:val="P68B1DB1-Normal5"/>
              <w:spacing w:after="0" w:line="240" w:lineRule="auto"/>
              <w:jc w:val="both"/>
              <w:rPr>
                <w:rFonts w:cs="Times New Roman"/>
                <w:noProof/>
              </w:rPr>
            </w:pPr>
            <w:r>
              <w:rPr>
                <w:noProof/>
              </w:rPr>
              <w:t>Najmanje 40 % novih i moderniziranih objekata namijenjenih studentima u nepovoljnom položaju</w:t>
            </w:r>
          </w:p>
          <w:p w14:paraId="1720BEF1" w14:textId="77777777" w:rsidR="003F46B9" w:rsidRDefault="003F46B9">
            <w:pPr>
              <w:spacing w:after="0" w:line="240" w:lineRule="auto"/>
              <w:jc w:val="both"/>
              <w:rPr>
                <w:rFonts w:ascii="Times New Roman" w:hAnsi="Times New Roman" w:cs="Times New Roman"/>
                <w:noProof/>
                <w:sz w:val="24"/>
              </w:rPr>
            </w:pPr>
          </w:p>
        </w:tc>
        <w:tc>
          <w:tcPr>
            <w:tcW w:w="1383" w:type="dxa"/>
            <w:tcBorders>
              <w:top w:val="single" w:sz="4" w:space="0" w:color="auto"/>
              <w:left w:val="nil"/>
              <w:bottom w:val="single" w:sz="4" w:space="0" w:color="auto"/>
              <w:right w:val="single" w:sz="4" w:space="0" w:color="auto"/>
            </w:tcBorders>
            <w:shd w:val="clear" w:color="auto" w:fill="C6EFCE"/>
            <w:noWrap/>
          </w:tcPr>
          <w:p w14:paraId="5E49F2AC"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55EFA97E" w14:textId="77777777" w:rsidR="003F46B9" w:rsidRDefault="0065662E">
            <w:pPr>
              <w:pStyle w:val="P68B1DB1-Normal5"/>
              <w:spacing w:after="0" w:line="240" w:lineRule="auto"/>
              <w:rPr>
                <w:rFonts w:eastAsia="Times New Roman" w:cs="Times New Roman"/>
                <w:noProof/>
              </w:rPr>
            </w:pPr>
            <w:r>
              <w:rPr>
                <w:noProof/>
              </w:rPr>
              <w:t>Postotak (%)</w:t>
            </w:r>
          </w:p>
          <w:p w14:paraId="66462E06" w14:textId="77777777" w:rsidR="003F46B9" w:rsidRDefault="003F46B9">
            <w:pPr>
              <w:spacing w:after="0" w:line="240" w:lineRule="auto"/>
              <w:jc w:val="center"/>
              <w:rPr>
                <w:rFonts w:ascii="Times New Roman" w:hAnsi="Times New Roman" w:cs="Times New Roman"/>
                <w:noProof/>
                <w:sz w:val="24"/>
              </w:rPr>
            </w:pPr>
          </w:p>
        </w:tc>
        <w:tc>
          <w:tcPr>
            <w:tcW w:w="1272" w:type="dxa"/>
            <w:tcBorders>
              <w:top w:val="single" w:sz="4" w:space="0" w:color="auto"/>
              <w:left w:val="nil"/>
              <w:bottom w:val="single" w:sz="4" w:space="0" w:color="auto"/>
              <w:right w:val="single" w:sz="4" w:space="0" w:color="auto"/>
            </w:tcBorders>
            <w:shd w:val="clear" w:color="auto" w:fill="C6EFCE"/>
            <w:noWrap/>
          </w:tcPr>
          <w:p w14:paraId="2D60818F"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6A571B92" w14:textId="77777777" w:rsidR="003F46B9" w:rsidRDefault="0065662E">
            <w:pPr>
              <w:pStyle w:val="P68B1DB1-Normal5"/>
              <w:spacing w:after="0" w:line="240" w:lineRule="auto"/>
              <w:jc w:val="center"/>
              <w:rPr>
                <w:rFonts w:cs="Times New Roman"/>
                <w:noProof/>
              </w:rPr>
            </w:pPr>
            <w:r>
              <w:rPr>
                <w:noProof/>
              </w:rPr>
              <w:t>40 %</w:t>
            </w:r>
          </w:p>
        </w:tc>
        <w:tc>
          <w:tcPr>
            <w:tcW w:w="1124" w:type="dxa"/>
            <w:tcBorders>
              <w:top w:val="single" w:sz="4" w:space="0" w:color="auto"/>
              <w:left w:val="nil"/>
              <w:bottom w:val="single" w:sz="4" w:space="0" w:color="auto"/>
              <w:right w:val="single" w:sz="4" w:space="0" w:color="auto"/>
            </w:tcBorders>
            <w:shd w:val="clear" w:color="auto" w:fill="C6EFCE"/>
            <w:noWrap/>
          </w:tcPr>
          <w:p w14:paraId="2AC99AF7" w14:textId="46C0012D"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134AB0ED" w14:textId="4EFA066C" w:rsidR="003F46B9" w:rsidRDefault="0065662E">
            <w:pPr>
              <w:pStyle w:val="P68B1DB1-Normal5"/>
              <w:spacing w:after="0" w:line="240" w:lineRule="auto"/>
              <w:jc w:val="center"/>
              <w:rPr>
                <w:rFonts w:cs="Times New Roman"/>
                <w:noProof/>
              </w:rPr>
            </w:pPr>
            <w:r>
              <w:rPr>
                <w:noProof/>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33723A9B" w14:textId="18700C4B" w:rsidR="003F46B9" w:rsidRDefault="0065662E">
            <w:pPr>
              <w:pStyle w:val="P68B1DB1-Normal5"/>
              <w:spacing w:after="0" w:line="240" w:lineRule="auto"/>
              <w:jc w:val="both"/>
              <w:rPr>
                <w:rFonts w:cs="Times New Roman"/>
                <w:noProof/>
              </w:rPr>
            </w:pPr>
            <w:r>
              <w:rPr>
                <w:noProof/>
              </w:rPr>
              <w:t xml:space="preserve">Najmanje 40 % od 15545 prostora za rekreaciju, 5276 kantina i 15320 mjesta za smještaj bit će </w:t>
            </w:r>
            <w:r>
              <w:rPr>
                <w:noProof/>
              </w:rPr>
              <w:t>namijenjeno studentima u nepovoljnom položaju.</w:t>
            </w:r>
          </w:p>
          <w:p w14:paraId="403F233A" w14:textId="77777777" w:rsidR="003F46B9" w:rsidRDefault="0065662E">
            <w:pPr>
              <w:pStyle w:val="P68B1DB1-Normal5"/>
              <w:spacing w:after="0" w:line="240" w:lineRule="auto"/>
              <w:jc w:val="both"/>
              <w:rPr>
                <w:rFonts w:cs="Times New Roman"/>
                <w:noProof/>
              </w:rPr>
            </w:pPr>
            <w:r>
              <w:rPr>
                <w:noProof/>
              </w:rPr>
              <w:t>Studenti koji primaju socijalnu stipendiju imaju prednost pri dobivanju mjesta u moderniziranoj sveučilišnoj infrastrukturi. Taj se uvjet navodi kao obvezan za javna sveučilišta u vodiču za financiranje poziva</w:t>
            </w:r>
            <w:r>
              <w:rPr>
                <w:noProof/>
              </w:rPr>
              <w:t xml:space="preserve"> na podnošenje projekata za modernizaciju sveučilišne infrastrukture. Sveučilišta će Ministarstvu obrazovanja dostavljati godišnja izvješća o korištenju modernizirane infrastrukture.</w:t>
            </w:r>
          </w:p>
        </w:tc>
      </w:tr>
      <w:tr w:rsidR="003F46B9" w14:paraId="61B096DF" w14:textId="77777777">
        <w:trPr>
          <w:trHeight w:val="309"/>
          <w:jc w:val="center"/>
        </w:trPr>
        <w:tc>
          <w:tcPr>
            <w:tcW w:w="1244" w:type="dxa"/>
            <w:tcBorders>
              <w:top w:val="single" w:sz="4" w:space="0" w:color="auto"/>
              <w:left w:val="single" w:sz="4" w:space="0" w:color="auto"/>
              <w:bottom w:val="single" w:sz="4" w:space="0" w:color="auto"/>
              <w:right w:val="single" w:sz="4" w:space="0" w:color="auto"/>
            </w:tcBorders>
            <w:shd w:val="clear" w:color="auto" w:fill="C6EFCE"/>
            <w:noWrap/>
          </w:tcPr>
          <w:p w14:paraId="4E336CF9" w14:textId="77777777" w:rsidR="003F46B9" w:rsidRDefault="0065662E">
            <w:pPr>
              <w:pStyle w:val="P68B1DB1-Normal5"/>
              <w:spacing w:after="0" w:line="240" w:lineRule="auto"/>
              <w:jc w:val="center"/>
              <w:rPr>
                <w:rFonts w:cs="Times New Roman"/>
                <w:noProof/>
              </w:rPr>
            </w:pPr>
            <w:r>
              <w:rPr>
                <w:noProof/>
              </w:rPr>
              <w:t>507</w:t>
            </w:r>
          </w:p>
        </w:tc>
        <w:tc>
          <w:tcPr>
            <w:tcW w:w="1795" w:type="dxa"/>
            <w:tcBorders>
              <w:top w:val="single" w:sz="4" w:space="0" w:color="auto"/>
              <w:left w:val="nil"/>
              <w:bottom w:val="single" w:sz="4" w:space="0" w:color="auto"/>
              <w:right w:val="single" w:sz="4" w:space="0" w:color="auto"/>
            </w:tcBorders>
            <w:shd w:val="clear" w:color="auto" w:fill="C6EFCE"/>
            <w:noWrap/>
          </w:tcPr>
          <w:p w14:paraId="25E87270" w14:textId="77777777" w:rsidR="003F46B9" w:rsidRDefault="0065662E">
            <w:pPr>
              <w:pStyle w:val="P68B1DB1-Normal5"/>
              <w:spacing w:after="0" w:line="240" w:lineRule="auto"/>
              <w:jc w:val="both"/>
              <w:rPr>
                <w:rFonts w:cs="Times New Roman"/>
                <w:noProof/>
              </w:rPr>
            </w:pPr>
            <w:r>
              <w:rPr>
                <w:noProof/>
              </w:rPr>
              <w:t xml:space="preserve">Ulaganje 18. Program osposobljavanja i obuke za ravnatelje škola i inspektore </w:t>
            </w:r>
          </w:p>
        </w:tc>
        <w:tc>
          <w:tcPr>
            <w:tcW w:w="1106" w:type="dxa"/>
            <w:tcBorders>
              <w:top w:val="single" w:sz="4" w:space="0" w:color="auto"/>
              <w:left w:val="nil"/>
              <w:bottom w:val="single" w:sz="4" w:space="0" w:color="auto"/>
              <w:right w:val="single" w:sz="4" w:space="0" w:color="auto"/>
            </w:tcBorders>
            <w:shd w:val="clear" w:color="auto" w:fill="C6EFCE"/>
            <w:noWrap/>
          </w:tcPr>
          <w:p w14:paraId="617AEE54" w14:textId="77777777" w:rsidR="003F46B9" w:rsidRDefault="0065662E">
            <w:pPr>
              <w:pStyle w:val="P68B1DB1-Normal5"/>
              <w:spacing w:after="0" w:line="240" w:lineRule="auto"/>
              <w:jc w:val="both"/>
              <w:rPr>
                <w:rFonts w:cs="Times New Roman"/>
                <w:noProof/>
              </w:rPr>
            </w:pPr>
            <w:r>
              <w:rPr>
                <w:noProof/>
              </w:rPr>
              <w:t>Ciljna</w:t>
            </w:r>
          </w:p>
        </w:tc>
        <w:tc>
          <w:tcPr>
            <w:tcW w:w="1658" w:type="dxa"/>
            <w:tcBorders>
              <w:top w:val="single" w:sz="4" w:space="0" w:color="auto"/>
              <w:left w:val="nil"/>
              <w:bottom w:val="single" w:sz="4" w:space="0" w:color="auto"/>
              <w:right w:val="single" w:sz="4" w:space="0" w:color="auto"/>
            </w:tcBorders>
            <w:shd w:val="clear" w:color="auto" w:fill="C6EFCE"/>
            <w:noWrap/>
          </w:tcPr>
          <w:p w14:paraId="4415FCD5" w14:textId="77777777" w:rsidR="003F46B9" w:rsidRDefault="0065662E">
            <w:pPr>
              <w:pStyle w:val="P68B1DB1-Normal5"/>
              <w:spacing w:after="0" w:line="240" w:lineRule="auto"/>
              <w:jc w:val="both"/>
              <w:rPr>
                <w:rFonts w:cs="Times New Roman"/>
                <w:noProof/>
              </w:rPr>
            </w:pPr>
            <w:r>
              <w:rPr>
                <w:noProof/>
              </w:rPr>
              <w:t>Ravnatelji, zamjenici direktora i inspektori s završenim programom osposobljavanja i obuke</w:t>
            </w:r>
          </w:p>
        </w:tc>
        <w:tc>
          <w:tcPr>
            <w:tcW w:w="1383" w:type="dxa"/>
            <w:tcBorders>
              <w:top w:val="single" w:sz="4" w:space="0" w:color="auto"/>
              <w:left w:val="nil"/>
              <w:bottom w:val="single" w:sz="4" w:space="0" w:color="auto"/>
              <w:right w:val="single" w:sz="4" w:space="0" w:color="auto"/>
            </w:tcBorders>
            <w:shd w:val="clear" w:color="auto" w:fill="C6EFCE"/>
            <w:noWrap/>
          </w:tcPr>
          <w:p w14:paraId="1A915BEF" w14:textId="77777777" w:rsidR="003F46B9" w:rsidRDefault="003F46B9">
            <w:pPr>
              <w:spacing w:after="0" w:line="240" w:lineRule="auto"/>
              <w:jc w:val="center"/>
              <w:rPr>
                <w:rFonts w:ascii="Times New Roman" w:hAnsi="Times New Roman" w:cs="Times New Roman"/>
                <w:noProof/>
                <w:sz w:val="24"/>
              </w:rPr>
            </w:pPr>
          </w:p>
        </w:tc>
        <w:tc>
          <w:tcPr>
            <w:tcW w:w="968" w:type="dxa"/>
            <w:tcBorders>
              <w:top w:val="single" w:sz="4" w:space="0" w:color="auto"/>
              <w:left w:val="nil"/>
              <w:bottom w:val="single" w:sz="4" w:space="0" w:color="auto"/>
              <w:right w:val="single" w:sz="4" w:space="0" w:color="auto"/>
            </w:tcBorders>
            <w:shd w:val="clear" w:color="auto" w:fill="C6EFCE"/>
            <w:noWrap/>
          </w:tcPr>
          <w:p w14:paraId="5580B085" w14:textId="77777777" w:rsidR="003F46B9" w:rsidRDefault="0065662E">
            <w:pPr>
              <w:pStyle w:val="P68B1DB1-Normal5"/>
              <w:spacing w:after="0" w:line="240" w:lineRule="auto"/>
              <w:jc w:val="center"/>
              <w:rPr>
                <w:rFonts w:cs="Times New Roman"/>
                <w:noProof/>
              </w:rPr>
            </w:pPr>
            <w:r>
              <w:rPr>
                <w:noProof/>
              </w:rPr>
              <w:t>Broj</w:t>
            </w:r>
          </w:p>
        </w:tc>
        <w:tc>
          <w:tcPr>
            <w:tcW w:w="1272" w:type="dxa"/>
            <w:tcBorders>
              <w:top w:val="single" w:sz="4" w:space="0" w:color="auto"/>
              <w:left w:val="nil"/>
              <w:bottom w:val="single" w:sz="4" w:space="0" w:color="auto"/>
              <w:right w:val="single" w:sz="4" w:space="0" w:color="auto"/>
            </w:tcBorders>
            <w:shd w:val="clear" w:color="auto" w:fill="C6EFCE"/>
            <w:noWrap/>
          </w:tcPr>
          <w:p w14:paraId="4500D035" w14:textId="77777777" w:rsidR="003F46B9" w:rsidRDefault="0065662E">
            <w:pPr>
              <w:pStyle w:val="P68B1DB1-Normal5"/>
              <w:spacing w:after="0" w:line="240" w:lineRule="auto"/>
              <w:jc w:val="center"/>
              <w:rPr>
                <w:rFonts w:cs="Times New Roman"/>
                <w:noProof/>
              </w:rPr>
            </w:pPr>
            <w:r>
              <w:rPr>
                <w:noProof/>
              </w:rPr>
              <w:t>0</w:t>
            </w:r>
          </w:p>
        </w:tc>
        <w:tc>
          <w:tcPr>
            <w:tcW w:w="909" w:type="dxa"/>
            <w:tcBorders>
              <w:top w:val="single" w:sz="4" w:space="0" w:color="auto"/>
              <w:left w:val="nil"/>
              <w:bottom w:val="single" w:sz="4" w:space="0" w:color="auto"/>
              <w:right w:val="single" w:sz="4" w:space="0" w:color="auto"/>
            </w:tcBorders>
            <w:shd w:val="clear" w:color="auto" w:fill="C6EFCE"/>
            <w:noWrap/>
          </w:tcPr>
          <w:p w14:paraId="4B405EB0" w14:textId="77777777" w:rsidR="003F46B9" w:rsidRDefault="0065662E">
            <w:pPr>
              <w:pStyle w:val="P68B1DB1-Normal5"/>
              <w:spacing w:after="0" w:line="240" w:lineRule="auto"/>
              <w:jc w:val="center"/>
              <w:rPr>
                <w:rFonts w:cs="Times New Roman"/>
                <w:noProof/>
              </w:rPr>
            </w:pPr>
            <w:r>
              <w:rPr>
                <w:noProof/>
              </w:rPr>
              <w:t>10 000</w:t>
            </w:r>
          </w:p>
        </w:tc>
        <w:tc>
          <w:tcPr>
            <w:tcW w:w="1124" w:type="dxa"/>
            <w:tcBorders>
              <w:top w:val="single" w:sz="4" w:space="0" w:color="auto"/>
              <w:left w:val="nil"/>
              <w:bottom w:val="single" w:sz="4" w:space="0" w:color="auto"/>
              <w:right w:val="single" w:sz="4" w:space="0" w:color="auto"/>
            </w:tcBorders>
            <w:shd w:val="clear" w:color="auto" w:fill="C6EFCE"/>
            <w:noWrap/>
          </w:tcPr>
          <w:p w14:paraId="7F7D732E" w14:textId="77777777" w:rsidR="003F46B9" w:rsidRDefault="0065662E">
            <w:pPr>
              <w:pStyle w:val="P68B1DB1-Normal5"/>
              <w:spacing w:after="0" w:line="240" w:lineRule="auto"/>
              <w:jc w:val="center"/>
              <w:rPr>
                <w:rFonts w:cs="Times New Roman"/>
                <w:noProof/>
              </w:rPr>
            </w:pPr>
            <w:r>
              <w:rPr>
                <w:noProof/>
              </w:rPr>
              <w:t>TROMJESEČJE</w:t>
            </w:r>
          </w:p>
        </w:tc>
        <w:tc>
          <w:tcPr>
            <w:tcW w:w="1106" w:type="dxa"/>
            <w:tcBorders>
              <w:top w:val="single" w:sz="4" w:space="0" w:color="auto"/>
              <w:left w:val="nil"/>
              <w:bottom w:val="single" w:sz="4" w:space="0" w:color="auto"/>
              <w:right w:val="single" w:sz="4" w:space="0" w:color="auto"/>
            </w:tcBorders>
            <w:shd w:val="clear" w:color="auto" w:fill="C6EFCE"/>
            <w:noWrap/>
          </w:tcPr>
          <w:p w14:paraId="0AB8A579" w14:textId="77777777" w:rsidR="003F46B9" w:rsidRDefault="0065662E">
            <w:pPr>
              <w:pStyle w:val="P68B1DB1-Normal5"/>
              <w:spacing w:after="0" w:line="240" w:lineRule="auto"/>
              <w:jc w:val="center"/>
              <w:rPr>
                <w:rFonts w:cs="Times New Roman"/>
                <w:noProof/>
              </w:rPr>
            </w:pPr>
            <w:r>
              <w:rPr>
                <w:noProof/>
              </w:rPr>
              <w:t>2026</w:t>
            </w:r>
          </w:p>
        </w:tc>
        <w:tc>
          <w:tcPr>
            <w:tcW w:w="3407" w:type="dxa"/>
            <w:tcBorders>
              <w:top w:val="single" w:sz="4" w:space="0" w:color="auto"/>
              <w:left w:val="nil"/>
              <w:bottom w:val="single" w:sz="4" w:space="0" w:color="auto"/>
              <w:right w:val="single" w:sz="4" w:space="0" w:color="auto"/>
            </w:tcBorders>
            <w:shd w:val="clear" w:color="auto" w:fill="C6EFCE"/>
            <w:noWrap/>
          </w:tcPr>
          <w:p w14:paraId="68B0CCE0" w14:textId="6CABAE9D" w:rsidR="003F46B9" w:rsidRDefault="0065662E">
            <w:pPr>
              <w:pStyle w:val="P68B1DB1-Normal5"/>
              <w:spacing w:after="0" w:line="240" w:lineRule="auto"/>
              <w:jc w:val="both"/>
              <w:rPr>
                <w:rFonts w:cs="Times New Roman"/>
                <w:noProof/>
              </w:rPr>
            </w:pPr>
            <w:r>
              <w:rPr>
                <w:noProof/>
              </w:rPr>
              <w:t>Procijenjeni broj od 10000 direktora, zamjenika</w:t>
            </w:r>
            <w:r>
              <w:rPr>
                <w:noProof/>
              </w:rPr>
              <w:t xml:space="preserve"> direktora i inspektora s upravljačkim funkcijama sudjeluje u programu osposobljavanja. Program osposobljavanja uključuje institucionalno i financijsko vodstvo i upravljanje ljudskim resursima, administraciju i zakonodavstvo te pomaže u razvoju kapaciteta </w:t>
            </w:r>
            <w:r>
              <w:rPr>
                <w:noProof/>
              </w:rPr>
              <w:t>njihove obrazovne ustanove za povećanje uspješnosti učenika. Program osposobljavanja izrađuje se na temelju preporuka stručnjaka koji provode funkcionalnu analizu upravljanja obrazovnim sustavom i najboljih europskih praksi.</w:t>
            </w:r>
          </w:p>
        </w:tc>
      </w:tr>
    </w:tbl>
    <w:p w14:paraId="4E98DF9F" w14:textId="77777777" w:rsidR="003F46B9" w:rsidRDefault="003F46B9">
      <w:pPr>
        <w:spacing w:before="120" w:after="120" w:line="240" w:lineRule="auto"/>
        <w:ind w:left="850"/>
        <w:jc w:val="both"/>
        <w:rPr>
          <w:rFonts w:ascii="Times New Roman" w:hAnsi="Times New Roman" w:cs="Times New Roman"/>
          <w:noProof/>
          <w:sz w:val="24"/>
        </w:rPr>
      </w:pPr>
    </w:p>
    <w:p w14:paraId="59C7C534" w14:textId="77777777" w:rsidR="003F46B9" w:rsidRDefault="003F46B9">
      <w:pPr>
        <w:spacing w:before="120" w:after="120" w:line="240" w:lineRule="auto"/>
        <w:ind w:left="850"/>
        <w:jc w:val="both"/>
        <w:rPr>
          <w:rFonts w:ascii="Times New Roman" w:hAnsi="Times New Roman" w:cs="Times New Roman"/>
          <w:noProof/>
          <w:sz w:val="24"/>
        </w:rPr>
        <w:sectPr w:rsidR="003F46B9">
          <w:headerReference w:type="even" r:id="rId319"/>
          <w:headerReference w:type="default" r:id="rId320"/>
          <w:footerReference w:type="even" r:id="rId321"/>
          <w:footerReference w:type="default" r:id="rId322"/>
          <w:headerReference w:type="first" r:id="rId323"/>
          <w:footerReference w:type="first" r:id="rId324"/>
          <w:pgSz w:w="16839" w:h="11907" w:orient="landscape"/>
          <w:pgMar w:top="720" w:right="720" w:bottom="720" w:left="720" w:header="709" w:footer="709" w:gutter="0"/>
          <w:cols w:space="720"/>
          <w:docGrid w:linePitch="360"/>
        </w:sectPr>
      </w:pPr>
    </w:p>
    <w:p w14:paraId="23A7B6C0" w14:textId="5C5714E7" w:rsidR="003F46B9" w:rsidRDefault="0065662E">
      <w:pPr>
        <w:pStyle w:val="P68B1DB1-Normal4"/>
        <w:keepNext/>
        <w:numPr>
          <w:ilvl w:val="0"/>
          <w:numId w:val="130"/>
        </w:numPr>
        <w:tabs>
          <w:tab w:val="left" w:pos="850"/>
        </w:tabs>
        <w:spacing w:before="360" w:after="120" w:line="240" w:lineRule="auto"/>
        <w:jc w:val="both"/>
        <w:outlineLvl w:val="0"/>
        <w:rPr>
          <w:rFonts w:cs="Times New Roman"/>
          <w:noProof/>
        </w:rPr>
      </w:pPr>
      <w:r>
        <w:rPr>
          <w:noProof/>
        </w:rPr>
        <w:t>SASTAVNI DIO: Plan REPowerEU</w:t>
      </w:r>
    </w:p>
    <w:p w14:paraId="51241326" w14:textId="6A1A4C26" w:rsidR="003F46B9" w:rsidRDefault="0065662E">
      <w:pPr>
        <w:pStyle w:val="P68B1DB1-Normal21"/>
        <w:tabs>
          <w:tab w:val="left" w:pos="312"/>
        </w:tabs>
        <w:spacing w:before="120" w:after="120" w:line="240" w:lineRule="auto"/>
        <w:jc w:val="both"/>
        <w:rPr>
          <w:rFonts w:eastAsia="Times New Roman"/>
          <w:noProof/>
        </w:rPr>
      </w:pPr>
      <w:r>
        <w:rPr>
          <w:noProof/>
        </w:rPr>
        <w:t>Cilj je poglavlja o planu REPowerEU pridonijeti smanjenju ovisnosti o fosilnim gorivima u Rumunjskoj podupiranjem uvođenja obnovljivih izvora energije i obnovama energetske učinkovitosti, posebno usm</w:t>
      </w:r>
      <w:r>
        <w:rPr>
          <w:noProof/>
        </w:rPr>
        <w:t xml:space="preserve">jerenih na najranjivije potrošače, i povećanjem kapaciteta mreže za prijenos električne energije za integraciju obnovljivih izvora energije. </w:t>
      </w:r>
    </w:p>
    <w:p w14:paraId="6FFF8453" w14:textId="77777777" w:rsidR="003F46B9" w:rsidRDefault="0065662E">
      <w:pPr>
        <w:pStyle w:val="P68B1DB1-Normal21"/>
        <w:spacing w:before="120" w:after="120" w:line="240" w:lineRule="auto"/>
        <w:jc w:val="both"/>
        <w:rPr>
          <w:rFonts w:eastAsia="Times New Roman"/>
          <w:noProof/>
        </w:rPr>
      </w:pPr>
      <w:r>
        <w:rPr>
          <w:noProof/>
        </w:rPr>
        <w:t xml:space="preserve">Komponenta se odnosi na preporuke za Rumunjsku za smanjenje ukupne ovisnosti o fosilnim gorivima upućene </w:t>
      </w:r>
      <w:r>
        <w:rPr>
          <w:noProof/>
        </w:rPr>
        <w:t>Rumunjskoj 2022. i 2023. Konkretno, pomaže ubrzati prelazak na čistu energiju, posebno bržim uvođenjem energije iz obnovljivih izvora i poboljšanjem kapaciteta mreže kako bi novoizgrađeni kapacitet mogao funkcionirati na tržištu. Pomaže i u povećanju brzin</w:t>
      </w:r>
      <w:r>
        <w:rPr>
          <w:noProof/>
        </w:rPr>
        <w:t>e i ambicije energetskih obnova kako bi se poboljšala energetska učinkovitost fonda zgrada, među ostalim osiguravanjem boljeg pristupa informacijama i mogućnostima održivog financiranja. Naposljetku, doprinosi pružanju i stjecanju vještina i kompetencija p</w:t>
      </w:r>
      <w:r>
        <w:rPr>
          <w:noProof/>
        </w:rPr>
        <w:t>otrebnih za zelenu tranziciju (preporuke za pojedine zemlje 3. 2022. i 3. 2023.).</w:t>
      </w:r>
    </w:p>
    <w:p w14:paraId="38845718" w14:textId="77777777" w:rsidR="003F46B9" w:rsidRDefault="0065662E">
      <w:pPr>
        <w:pStyle w:val="P68B1DB1-Normal21"/>
        <w:spacing w:before="120" w:after="120" w:line="240" w:lineRule="auto"/>
        <w:jc w:val="both"/>
        <w:rPr>
          <w:rFonts w:eastAsia="Times New Roman"/>
          <w:noProof/>
        </w:rPr>
      </w:pPr>
      <w:r>
        <w:rPr>
          <w:noProof/>
        </w:rPr>
        <w:t>Očekuje se da se nijednom mjerom iz te komponente ne nanosi bitna šteta okolišnim ciljevima u smislu članka 17. Uredbe (EU) 2020/852, uzimajući u obzir opis mjera i korake za</w:t>
      </w:r>
      <w:r>
        <w:rPr>
          <w:noProof/>
        </w:rPr>
        <w:t xml:space="preserve"> ublažavanje utvrđene u planu za oporavak i otpornost u skladu s Tehničkim smjernicama o primjeni načela nenanošenja bitne štete (C(2023) 6454 final).</w:t>
      </w:r>
    </w:p>
    <w:p w14:paraId="480DFFC5" w14:textId="01060115" w:rsidR="003F46B9" w:rsidRDefault="0065662E">
      <w:pPr>
        <w:pStyle w:val="P68B1DB1-Normal17"/>
        <w:keepNext/>
        <w:spacing w:before="120" w:after="120" w:line="240" w:lineRule="auto"/>
        <w:jc w:val="both"/>
        <w:outlineLvl w:val="1"/>
        <w:rPr>
          <w:rFonts w:ascii="Times New Roman" w:eastAsiaTheme="majorEastAsia" w:hAnsi="Times New Roman" w:cs="Times New Roman"/>
          <w:b/>
          <w:noProof/>
        </w:rPr>
      </w:pPr>
      <w:r>
        <w:rPr>
          <w:rFonts w:ascii="Times New Roman" w:hAnsi="Times New Roman"/>
          <w:b/>
          <w:noProof/>
        </w:rPr>
        <w:t>P.1.</w:t>
      </w:r>
      <w:r>
        <w:rPr>
          <w:rFonts w:ascii="Times New Roman" w:hAnsi="Times New Roman" w:cs="Times New Roman"/>
          <w:noProof/>
        </w:rPr>
        <w:tab/>
      </w:r>
      <w:r>
        <w:rPr>
          <w:rFonts w:ascii="Times New Roman" w:hAnsi="Times New Roman"/>
          <w:b/>
          <w:noProof/>
        </w:rPr>
        <w:t>Opis reformi i ulaganja za programe bespovratne financijske potpore</w:t>
      </w:r>
    </w:p>
    <w:p w14:paraId="5C1A106A" w14:textId="77777777" w:rsidR="003F46B9" w:rsidRDefault="0065662E">
      <w:pPr>
        <w:pStyle w:val="P68B1DB1-Normal28"/>
        <w:spacing w:before="120" w:after="120" w:line="240" w:lineRule="auto"/>
        <w:jc w:val="both"/>
        <w:rPr>
          <w:rFonts w:eastAsia="Times New Roman"/>
          <w:noProof/>
        </w:rPr>
      </w:pPr>
      <w:r>
        <w:rPr>
          <w:noProof/>
        </w:rPr>
        <w:t>Reforma 1.: Stvaranje pravnog ok</w:t>
      </w:r>
      <w:r>
        <w:rPr>
          <w:noProof/>
        </w:rPr>
        <w:t xml:space="preserve">vira za korištenje državnog zemljišta kao područja ubrzavanja za ulaganja u obnovljive izvore energije </w:t>
      </w:r>
    </w:p>
    <w:p w14:paraId="6EF4A944" w14:textId="5DFB0665" w:rsidR="003F46B9" w:rsidRDefault="0065662E">
      <w:pPr>
        <w:pStyle w:val="P68B1DB1-Normal21"/>
        <w:spacing w:before="120" w:after="120" w:line="240" w:lineRule="auto"/>
        <w:jc w:val="both"/>
        <w:rPr>
          <w:rFonts w:eastAsia="Times New Roman"/>
          <w:noProof/>
        </w:rPr>
      </w:pPr>
      <w:r>
        <w:rPr>
          <w:noProof/>
        </w:rPr>
        <w:t>Cilj je te reforme uspostaviti posebna područja ubrzanja za obnovljive izvore energije, s posebno kratkim i jednostavnim postupcima izdavanja dozvola, k</w:t>
      </w:r>
      <w:r>
        <w:rPr>
          <w:noProof/>
        </w:rPr>
        <w:t xml:space="preserve">oji za nove kapacitete ne smiju trajati dulje od šest mjeseci, uz iznimku projekata za koje su potrebni potpuni postupci procjene utjecaja na okoliš. Reformom se utvrđuju odgovarajući alati i skupovi podataka za utvrđivanje područja za brzo uvođenje novih </w:t>
      </w:r>
      <w:r>
        <w:rPr>
          <w:noProof/>
        </w:rPr>
        <w:t>postrojenja za proizvodnju energije iz vjetra i solarne energije uz istodobno osiguravanje usklađenosti s načelom „ne nanosi bitnu štetu”. Jednaki uvjeti za javne i privatne ulagače osiguravaju se redovitim konkurentnim pozivom na podnošenje ponuda za konc</w:t>
      </w:r>
      <w:r>
        <w:rPr>
          <w:noProof/>
        </w:rPr>
        <w:t>esije.</w:t>
      </w:r>
    </w:p>
    <w:p w14:paraId="3B0E9216" w14:textId="77777777" w:rsidR="003F46B9" w:rsidRDefault="0065662E">
      <w:pPr>
        <w:pStyle w:val="P68B1DB1-Normal21"/>
        <w:spacing w:before="120" w:after="120" w:line="240" w:lineRule="auto"/>
        <w:jc w:val="both"/>
        <w:rPr>
          <w:rFonts w:eastAsia="Times New Roman"/>
          <w:noProof/>
        </w:rPr>
      </w:pPr>
      <w:r>
        <w:rPr>
          <w:noProof/>
        </w:rPr>
        <w:t>Provedba reforme mora biti dovršena do 31. prosinca 2025.</w:t>
      </w:r>
    </w:p>
    <w:p w14:paraId="39071D8D" w14:textId="77777777" w:rsidR="003F46B9" w:rsidRDefault="0065662E">
      <w:pPr>
        <w:pStyle w:val="P68B1DB1-Normal28"/>
        <w:keepNext/>
        <w:spacing w:before="120" w:after="120" w:line="240" w:lineRule="auto"/>
        <w:jc w:val="both"/>
        <w:rPr>
          <w:rFonts w:eastAsia="Times New Roman"/>
          <w:noProof/>
        </w:rPr>
      </w:pPr>
      <w:r>
        <w:rPr>
          <w:noProof/>
        </w:rPr>
        <w:t xml:space="preserve">Ulaganje 1: Osposobljavanje za vještine povezane sa zelenom energijom </w:t>
      </w:r>
    </w:p>
    <w:p w14:paraId="61056F9B" w14:textId="77777777" w:rsidR="003F46B9" w:rsidRDefault="0065662E">
      <w:pPr>
        <w:pStyle w:val="P68B1DB1-Normal21"/>
        <w:spacing w:before="120" w:after="120" w:line="240" w:lineRule="auto"/>
        <w:jc w:val="both"/>
        <w:rPr>
          <w:rFonts w:eastAsia="Times New Roman"/>
          <w:noProof/>
        </w:rPr>
      </w:pPr>
      <w:r>
        <w:rPr>
          <w:noProof/>
        </w:rPr>
        <w:t>Cilj je ove mjere dopuniti ulaganja u proizvodnju energije iz obnovljivih izvora jačanjem potrebnih vještina i kapacitet</w:t>
      </w:r>
      <w:r>
        <w:rPr>
          <w:noProof/>
        </w:rPr>
        <w:t xml:space="preserve">a radne snage u energetskom sektoru, što je potrebno za postizanje potrebnog prijelaza na uvođenje energije iz obnovljivih izvora. </w:t>
      </w:r>
    </w:p>
    <w:p w14:paraId="28976ECB" w14:textId="2D19D9E9" w:rsidR="003F46B9" w:rsidRDefault="0065662E">
      <w:pPr>
        <w:pStyle w:val="P68B1DB1-Normal21"/>
        <w:spacing w:before="120" w:after="120" w:line="240" w:lineRule="auto"/>
        <w:jc w:val="both"/>
        <w:rPr>
          <w:rFonts w:eastAsia="Times New Roman"/>
          <w:noProof/>
        </w:rPr>
      </w:pPr>
      <w:r>
        <w:rPr>
          <w:noProof/>
        </w:rPr>
        <w:t>Programi osposobljavanja sastoje se od tečajeva za poboljšanje vještina radne snage u području proizvodnje energije iz obnov</w:t>
      </w:r>
      <w:r>
        <w:rPr>
          <w:noProof/>
        </w:rPr>
        <w:t xml:space="preserve">ljivih izvora. Tim se ulaganjem osposobi najmanje 4000 stručnjaka za čiste tehnologije koje upotrebljavaju obnovljivu ili održivu energiju. Nadalje, definira se ili ažurira devet standarda zanimanja u području proizvodnje energije iz obnovljivih izvora za </w:t>
      </w:r>
      <w:r>
        <w:rPr>
          <w:noProof/>
        </w:rPr>
        <w:t xml:space="preserve">stručnjake i kvalifikacije građevinskih radnika za rumunjsku klasifikaciju zanimanja na temelju mapiranja potreba za osposobljavanjem. </w:t>
      </w:r>
    </w:p>
    <w:p w14:paraId="54822149" w14:textId="77777777" w:rsidR="003F46B9" w:rsidRDefault="0065662E">
      <w:pPr>
        <w:pStyle w:val="P68B1DB1-Normal21"/>
        <w:spacing w:before="120" w:after="120" w:line="240" w:lineRule="auto"/>
        <w:jc w:val="both"/>
        <w:rPr>
          <w:rFonts w:eastAsia="Times New Roman"/>
          <w:noProof/>
        </w:rPr>
      </w:pPr>
      <w:r>
        <w:rPr>
          <w:noProof/>
        </w:rPr>
        <w:t>Provedba ulaganja mora biti dovršena do 30. lipnja 2026.</w:t>
      </w:r>
    </w:p>
    <w:p w14:paraId="1F43C88F" w14:textId="77777777" w:rsidR="003F46B9" w:rsidRDefault="0065662E">
      <w:pPr>
        <w:pStyle w:val="P68B1DB1-Normal28"/>
        <w:spacing w:before="120" w:after="120" w:line="240" w:lineRule="auto"/>
        <w:rPr>
          <w:rFonts w:eastAsia="Times New Roman"/>
          <w:noProof/>
        </w:rPr>
      </w:pPr>
      <w:r>
        <w:rPr>
          <w:noProof/>
        </w:rPr>
        <w:t xml:space="preserve">Ulaganje 2: Novi kapaciteti za proizvodnju električne energije </w:t>
      </w:r>
      <w:r>
        <w:rPr>
          <w:noProof/>
        </w:rPr>
        <w:t xml:space="preserve">iz obnovljivih izvora </w:t>
      </w:r>
    </w:p>
    <w:p w14:paraId="0671E407" w14:textId="6DEAFEF4" w:rsidR="003F46B9" w:rsidRDefault="0065662E">
      <w:pPr>
        <w:pStyle w:val="P68B1DB1-Normal21"/>
        <w:spacing w:before="120" w:after="120" w:line="240" w:lineRule="auto"/>
        <w:jc w:val="both"/>
        <w:rPr>
          <w:rFonts w:eastAsia="Times New Roman"/>
          <w:noProof/>
        </w:rPr>
      </w:pPr>
      <w:r>
        <w:rPr>
          <w:noProof/>
        </w:rPr>
        <w:t>Cilj je ulaganja postavljanje novih kapaciteta za proizvodnju energije iz obnovljivih izvora putem konkurentnog javnog poziva na podnošenje ponuda. Ulaganjem se postiže instaliranje novih kapaciteta za proizvodnju energije iz obnovlj</w:t>
      </w:r>
      <w:r>
        <w:rPr>
          <w:noProof/>
        </w:rPr>
        <w:t xml:space="preserve">ivih izvora snage 950 MW putem tehnološki neutralnog konkurentnog javnog natječaja za različite tehnologije (vjetar i solarna energija), kako je prethodno uključeno u ulaganje 1. u komponentu C6 – Energetika. </w:t>
      </w:r>
      <w:bookmarkStart w:id="17" w:name="_Hlk147481190"/>
    </w:p>
    <w:p w14:paraId="5A459E5C" w14:textId="09208E02" w:rsidR="003F46B9" w:rsidRDefault="0065662E">
      <w:pPr>
        <w:pStyle w:val="P68B1DB1-Normal21"/>
        <w:spacing w:before="120" w:after="120" w:line="240" w:lineRule="auto"/>
        <w:jc w:val="both"/>
        <w:rPr>
          <w:rFonts w:eastAsia="Times New Roman"/>
          <w:noProof/>
        </w:rPr>
      </w:pPr>
      <w:r>
        <w:rPr>
          <w:noProof/>
        </w:rPr>
        <w:t>Ulaganje mora biti u skladu s relevantnim pril</w:t>
      </w:r>
      <w:r>
        <w:rPr>
          <w:noProof/>
        </w:rPr>
        <w:t>ozima Delegiranoj uredbi Komisije (EU) (C(2021) 2800/3) u skladu s Uredbom o taksonomiji (EU) (2020/852).</w:t>
      </w:r>
      <w:bookmarkEnd w:id="17"/>
      <w:r>
        <w:rPr>
          <w:noProof/>
        </w:rPr>
        <w:t xml:space="preserve"> </w:t>
      </w:r>
    </w:p>
    <w:p w14:paraId="3BD903A4" w14:textId="7EDAA401" w:rsidR="003F46B9" w:rsidRDefault="0065662E">
      <w:pPr>
        <w:pStyle w:val="P68B1DB1-Normal21"/>
        <w:spacing w:before="120" w:after="120" w:line="240" w:lineRule="auto"/>
        <w:jc w:val="both"/>
        <w:rPr>
          <w:noProof/>
        </w:rPr>
      </w:pPr>
      <w:r>
        <w:rPr>
          <w:noProof/>
        </w:rPr>
        <w:t>Provedba ulaganja mora biti dovršena do 31. prosinca 2024.</w:t>
      </w:r>
    </w:p>
    <w:p w14:paraId="0F6D8AB7" w14:textId="77777777" w:rsidR="003F46B9" w:rsidRDefault="0065662E">
      <w:pPr>
        <w:pStyle w:val="P68B1DB1-Normal28"/>
        <w:spacing w:before="120" w:after="120" w:line="240" w:lineRule="auto"/>
        <w:jc w:val="both"/>
        <w:rPr>
          <w:rFonts w:eastAsia="Times New Roman"/>
          <w:noProof/>
        </w:rPr>
      </w:pPr>
      <w:r>
        <w:rPr>
          <w:noProof/>
        </w:rPr>
        <w:t>Ulaganje 3: Povećanje energetske učinkovitosti javnih zgrada</w:t>
      </w:r>
    </w:p>
    <w:p w14:paraId="786F43AD" w14:textId="77D984E6" w:rsidR="003F46B9" w:rsidRDefault="0065662E">
      <w:pPr>
        <w:pStyle w:val="P68B1DB1-Normal21"/>
        <w:spacing w:before="120" w:after="120" w:line="240" w:lineRule="auto"/>
        <w:jc w:val="both"/>
        <w:rPr>
          <w:rFonts w:eastAsia="Times New Roman"/>
          <w:noProof/>
        </w:rPr>
      </w:pPr>
      <w:r>
        <w:rPr>
          <w:noProof/>
        </w:rPr>
        <w:t>Cilj je ove mjere povećati os</w:t>
      </w:r>
      <w:r>
        <w:rPr>
          <w:noProof/>
        </w:rPr>
        <w:t xml:space="preserve"> 2 – ulaganja u javne zgrade za zelenu i otpornu tranziciju – ulaganja 1 – Uspostava Fonda za val obnove radi financiranja radova na poboljšanju energetske učinkovitosti postojećeg fonda zgrada – u okviru komponente 5 – Val obnove. Povećanjem mjere povećav</w:t>
      </w:r>
      <w:r>
        <w:rPr>
          <w:noProof/>
        </w:rPr>
        <w:t>a se površina obnovljenih javnih zgrada radi energetske učinkovitosti za 466 510 m 2 u odnosu na polaznu vrijednost</w:t>
      </w:r>
      <w:r>
        <w:rPr>
          <w:noProof/>
          <w:vertAlign w:val="superscript"/>
        </w:rPr>
        <w:t>od</w:t>
      </w:r>
      <w:r>
        <w:rPr>
          <w:noProof/>
        </w:rPr>
        <w:t xml:space="preserve"> 1797841 m 2 u okviru</w:t>
      </w:r>
      <w:r>
        <w:rPr>
          <w:noProof/>
          <w:vertAlign w:val="superscript"/>
        </w:rPr>
        <w:t xml:space="preserve">prethodno navedenog </w:t>
      </w:r>
      <w:r>
        <w:rPr>
          <w:noProof/>
        </w:rPr>
        <w:t>ulaganja u sastavnicu 5.</w:t>
      </w:r>
    </w:p>
    <w:p w14:paraId="5F8442B3" w14:textId="77777777" w:rsidR="003F46B9" w:rsidRDefault="0065662E">
      <w:pPr>
        <w:pStyle w:val="P68B1DB1-Normal21"/>
        <w:spacing w:before="120" w:after="120" w:line="240" w:lineRule="auto"/>
        <w:jc w:val="both"/>
        <w:rPr>
          <w:rFonts w:eastAsia="Times New Roman"/>
          <w:noProof/>
        </w:rPr>
      </w:pPr>
      <w:r>
        <w:rPr>
          <w:noProof/>
        </w:rPr>
        <w:t>Provedba ulaganja mora biti dovršena do 30. lipnja 2026.</w:t>
      </w:r>
    </w:p>
    <w:p w14:paraId="6FFFBACB" w14:textId="77777777" w:rsidR="003F46B9" w:rsidRDefault="0065662E">
      <w:pPr>
        <w:pStyle w:val="P68B1DB1-Normal28"/>
        <w:spacing w:before="120" w:after="120" w:line="240" w:lineRule="auto"/>
        <w:jc w:val="both"/>
        <w:rPr>
          <w:rFonts w:eastAsia="Times New Roman"/>
          <w:noProof/>
        </w:rPr>
      </w:pPr>
      <w:r>
        <w:rPr>
          <w:noProof/>
        </w:rPr>
        <w:t>Ulaganje 4: Prog</w:t>
      </w:r>
      <w:r>
        <w:rPr>
          <w:noProof/>
        </w:rPr>
        <w:t xml:space="preserve">ram dodjele kupona kako bi se ubrzalo uvođenje energije iz obnovljivih izvora u kućanstvima </w:t>
      </w:r>
    </w:p>
    <w:p w14:paraId="2965E306" w14:textId="77777777" w:rsidR="003F46B9" w:rsidRDefault="0065662E">
      <w:pPr>
        <w:pStyle w:val="P68B1DB1-Normal21"/>
        <w:spacing w:before="120" w:after="120" w:line="240" w:lineRule="auto"/>
        <w:jc w:val="both"/>
        <w:rPr>
          <w:noProof/>
        </w:rPr>
      </w:pPr>
      <w:r>
        <w:rPr>
          <w:noProof/>
        </w:rPr>
        <w:t>Cilj je tog ulaganja povećati uvođenje i uporabu energije iz obnovljivih izvora pružanjem financijske potpore vlasnicima kuća u obliku vaučera za ugradnju novih solarnih ploča (s neto kapacitetom od najmanje 3 kW) ili sustava za skladištenje električne ene</w:t>
      </w:r>
      <w:r>
        <w:rPr>
          <w:noProof/>
        </w:rPr>
        <w:t>rgije (s iskoristivim kapacitetom za skladištenje električne energije od najmanje 5 kWh), od kojih svaki iznosi 5 000 EUR. Samostalni sustavi za skladištenje električne energije (s iskoristivim kapacitetom skladištenja električne energije od najmanje 5 kW)</w:t>
      </w:r>
      <w:r>
        <w:rPr>
          <w:noProof/>
        </w:rPr>
        <w:t xml:space="preserve"> prihvatljivi su za potporu samo ako vlasnici nekretnina već posjeduju sustav solarnih ploča (s neto kapacitetom od najmanje 3 kW). </w:t>
      </w:r>
    </w:p>
    <w:p w14:paraId="6E8C7E18" w14:textId="7CC840AB" w:rsidR="003F46B9" w:rsidRDefault="0065662E">
      <w:pPr>
        <w:pStyle w:val="P68B1DB1-Normal21"/>
        <w:spacing w:before="120" w:after="120" w:line="240" w:lineRule="auto"/>
        <w:jc w:val="both"/>
        <w:rPr>
          <w:rFonts w:eastAsia="Times New Roman"/>
          <w:noProof/>
        </w:rPr>
      </w:pPr>
      <w:r>
        <w:rPr>
          <w:noProof/>
        </w:rPr>
        <w:t>Provedba ulaganja mora biti dovršena do 31. prosinca 2025.</w:t>
      </w:r>
    </w:p>
    <w:p w14:paraId="1ECE43E0" w14:textId="77777777" w:rsidR="003F46B9" w:rsidRDefault="0065662E">
      <w:pPr>
        <w:pStyle w:val="P68B1DB1-Normal28"/>
        <w:spacing w:before="120" w:after="120" w:line="240" w:lineRule="auto"/>
        <w:jc w:val="both"/>
        <w:rPr>
          <w:rFonts w:eastAsia="Times New Roman"/>
          <w:noProof/>
        </w:rPr>
      </w:pPr>
      <w:r>
        <w:rPr>
          <w:noProof/>
        </w:rPr>
        <w:t>Ulaganje 5: Digitalizacija, učinkovitost i modernizacija naciona</w:t>
      </w:r>
      <w:r>
        <w:rPr>
          <w:noProof/>
        </w:rPr>
        <w:t>lne mreže za prijenos električne energije</w:t>
      </w:r>
    </w:p>
    <w:p w14:paraId="6A0EA43E" w14:textId="2BE2A470" w:rsidR="003F46B9" w:rsidRDefault="0065662E">
      <w:pPr>
        <w:pStyle w:val="P68B1DB1-Normal21"/>
        <w:spacing w:before="120" w:after="120" w:line="240" w:lineRule="auto"/>
        <w:jc w:val="both"/>
        <w:rPr>
          <w:rFonts w:eastAsia="Times New Roman"/>
          <w:noProof/>
        </w:rPr>
      </w:pPr>
      <w:r>
        <w:rPr>
          <w:noProof/>
        </w:rPr>
        <w:t>Cilj je ulaganja povećati fleksibilnost i ukloniti uska grla elektroenergetske mreže kako bi se ubrzala integracija dodatnih kapaciteta za proizvodnju energije iz obnovljivih izvora i povećala otpornost mreže, uz i</w:t>
      </w:r>
      <w:r>
        <w:rPr>
          <w:noProof/>
        </w:rPr>
        <w:t>stodobno jačanje kibersigurnosti boljim kapacitetom za odgovor na kibernapade.</w:t>
      </w:r>
    </w:p>
    <w:p w14:paraId="4EBFBD62" w14:textId="77777777" w:rsidR="003F46B9" w:rsidRDefault="0065662E">
      <w:pPr>
        <w:pStyle w:val="P68B1DB1-Normal21"/>
        <w:spacing w:before="120" w:after="120" w:line="240" w:lineRule="auto"/>
        <w:jc w:val="both"/>
        <w:rPr>
          <w:rFonts w:eastAsia="Times New Roman"/>
          <w:noProof/>
        </w:rPr>
      </w:pPr>
      <w:r>
        <w:rPr>
          <w:noProof/>
        </w:rPr>
        <w:t>Ulaganje se sastoji od tri podulaganja:</w:t>
      </w:r>
    </w:p>
    <w:p w14:paraId="2CD130CB" w14:textId="77777777" w:rsidR="003F46B9" w:rsidRDefault="0065662E">
      <w:pPr>
        <w:pStyle w:val="P68B1DB1-ListParagraph25"/>
        <w:numPr>
          <w:ilvl w:val="0"/>
          <w:numId w:val="126"/>
        </w:numPr>
        <w:spacing w:before="120" w:after="120" w:line="240" w:lineRule="auto"/>
        <w:jc w:val="both"/>
        <w:rPr>
          <w:rFonts w:eastAsia="Times New Roman"/>
          <w:noProof/>
        </w:rPr>
      </w:pPr>
      <w:bookmarkStart w:id="18" w:name="_Hlk147406971"/>
      <w:r>
        <w:rPr>
          <w:noProof/>
        </w:rPr>
        <w:t xml:space="preserve">Cilj je prvog podulaganja </w:t>
      </w:r>
      <w:bookmarkEnd w:id="18"/>
      <w:r>
        <w:rPr>
          <w:noProof/>
        </w:rPr>
        <w:t>postići smanjenje vlastite potrošnje električne energije društva Transelectrica za najmanje 50 % u usporedbi s 2022. uvođenjem sustava solarnih ploča izvan mreže koji se sjedinjuju sa skladištenjem električne energije u elektroenergetskim trafostanicama di</w:t>
      </w:r>
      <w:r>
        <w:rPr>
          <w:noProof/>
        </w:rPr>
        <w:t xml:space="preserve">ljem mreže elektroenergetskog prijenosnog sustava. </w:t>
      </w:r>
    </w:p>
    <w:p w14:paraId="7049AD91" w14:textId="77777777" w:rsidR="003F46B9" w:rsidRDefault="0065662E">
      <w:pPr>
        <w:pStyle w:val="P68B1DB1-ListParagraph25"/>
        <w:spacing w:before="120" w:after="120" w:line="240" w:lineRule="auto"/>
        <w:contextualSpacing w:val="0"/>
        <w:jc w:val="both"/>
        <w:rPr>
          <w:rFonts w:eastAsia="Times New Roman"/>
          <w:noProof/>
        </w:rPr>
      </w:pPr>
      <w:r>
        <w:rPr>
          <w:noProof/>
        </w:rPr>
        <w:t>Provedba tog podulaganja mora biti dovršena do 30. lipnja 2026.</w:t>
      </w:r>
    </w:p>
    <w:p w14:paraId="55947B00" w14:textId="77777777" w:rsidR="003F46B9" w:rsidRDefault="0065662E">
      <w:pPr>
        <w:pStyle w:val="P68B1DB1-ListParagraph25"/>
        <w:numPr>
          <w:ilvl w:val="0"/>
          <w:numId w:val="126"/>
        </w:numPr>
        <w:spacing w:before="120" w:after="120" w:line="240" w:lineRule="auto"/>
        <w:jc w:val="both"/>
        <w:rPr>
          <w:rFonts w:eastAsia="Times New Roman"/>
          <w:noProof/>
        </w:rPr>
      </w:pPr>
      <w:r>
        <w:rPr>
          <w:noProof/>
        </w:rPr>
        <w:t>Drugim podulaganjem osiguravaju se nova digitalna rješenja i oprema kako bi se prosječni broj sati intervencije na prijenosnoj elektroenerge</w:t>
      </w:r>
      <w:r>
        <w:rPr>
          <w:noProof/>
        </w:rPr>
        <w:t xml:space="preserve">tskoj mreži smanjio za 50 % u odnosu na 2022. i olakšalo priključivanje novih postrojenja za proizvodnju energije iz obnovljivih izvora na mrežu. </w:t>
      </w:r>
    </w:p>
    <w:p w14:paraId="3C3F9B6C" w14:textId="77777777" w:rsidR="003F46B9" w:rsidRDefault="0065662E">
      <w:pPr>
        <w:pStyle w:val="P68B1DB1-ListParagraph25"/>
        <w:spacing w:before="120" w:after="120" w:line="240" w:lineRule="auto"/>
        <w:contextualSpacing w:val="0"/>
        <w:jc w:val="both"/>
        <w:rPr>
          <w:rFonts w:eastAsia="Times New Roman"/>
          <w:noProof/>
        </w:rPr>
      </w:pPr>
      <w:r>
        <w:rPr>
          <w:noProof/>
        </w:rPr>
        <w:t>Provedba tog podulaganja mora biti dovršena do 31. prosinca 2025.</w:t>
      </w:r>
    </w:p>
    <w:p w14:paraId="6F3A51B4" w14:textId="77777777" w:rsidR="003F46B9" w:rsidRDefault="0065662E">
      <w:pPr>
        <w:pStyle w:val="P68B1DB1-ListParagraph25"/>
        <w:numPr>
          <w:ilvl w:val="0"/>
          <w:numId w:val="126"/>
        </w:numPr>
        <w:spacing w:before="120" w:after="120" w:line="240" w:lineRule="auto"/>
        <w:contextualSpacing w:val="0"/>
        <w:jc w:val="both"/>
        <w:rPr>
          <w:rFonts w:eastAsia="Times New Roman"/>
          <w:noProof/>
        </w:rPr>
      </w:pPr>
      <w:r>
        <w:rPr>
          <w:noProof/>
        </w:rPr>
        <w:t>Treće podulaganje usmjereno je na postizanj</w:t>
      </w:r>
      <w:r>
        <w:rPr>
          <w:noProof/>
        </w:rPr>
        <w:t xml:space="preserve">e kiberotpornosti mreže sustava za prijenos električne energije nadogradnjom upravljanja sigurnošću mreže (oprema i softver). </w:t>
      </w:r>
    </w:p>
    <w:p w14:paraId="0F402775" w14:textId="77777777" w:rsidR="003F46B9" w:rsidRDefault="0065662E">
      <w:pPr>
        <w:pStyle w:val="P68B1DB1-ListParagraph25"/>
        <w:spacing w:before="120" w:after="120" w:line="240" w:lineRule="auto"/>
        <w:contextualSpacing w:val="0"/>
        <w:jc w:val="both"/>
        <w:rPr>
          <w:noProof/>
        </w:rPr>
        <w:sectPr w:rsidR="003F46B9" w:rsidSect="00716D2B">
          <w:headerReference w:type="even" r:id="rId325"/>
          <w:headerReference w:type="default" r:id="rId326"/>
          <w:footerReference w:type="even" r:id="rId327"/>
          <w:footerReference w:type="default" r:id="rId328"/>
          <w:headerReference w:type="first" r:id="rId329"/>
          <w:footerReference w:type="first" r:id="rId330"/>
          <w:pgSz w:w="11906" w:h="16838"/>
          <w:pgMar w:top="1440" w:right="1440" w:bottom="1440" w:left="1440" w:header="708" w:footer="708" w:gutter="0"/>
          <w:cols w:space="708"/>
          <w:docGrid w:linePitch="360"/>
        </w:sectPr>
      </w:pPr>
      <w:r>
        <w:rPr>
          <w:noProof/>
        </w:rPr>
        <w:t>Provedba tog podulaganja mora biti dovršena do 31. ožujka 2026.</w:t>
      </w:r>
    </w:p>
    <w:p w14:paraId="59E2662B" w14:textId="6D0E7923" w:rsidR="003F46B9" w:rsidRDefault="0065662E">
      <w:pPr>
        <w:pStyle w:val="P68B1DB1-Normal1"/>
        <w:keepNext/>
        <w:spacing w:before="120" w:after="120" w:line="240" w:lineRule="auto"/>
        <w:jc w:val="both"/>
        <w:outlineLvl w:val="1"/>
        <w:rPr>
          <w:rFonts w:eastAsiaTheme="majorEastAsia" w:cs="Times New Roman"/>
          <w:noProof/>
        </w:rPr>
      </w:pPr>
      <w:r>
        <w:rPr>
          <w:noProof/>
        </w:rPr>
        <w:t xml:space="preserve">P.2. Ključne etape, ciljne vrijednosti i vremenski raspored za praćenje i provedbu programa bespovratne financijske potpore </w:t>
      </w:r>
    </w:p>
    <w:tbl>
      <w:tblPr>
        <w:tblW w:w="1525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A0" w:firstRow="1" w:lastRow="0" w:firstColumn="1" w:lastColumn="0" w:noHBand="1" w:noVBand="1"/>
      </w:tblPr>
      <w:tblGrid>
        <w:gridCol w:w="728"/>
        <w:gridCol w:w="1714"/>
        <w:gridCol w:w="1327"/>
        <w:gridCol w:w="1661"/>
        <w:gridCol w:w="1386"/>
        <w:gridCol w:w="1101"/>
        <w:gridCol w:w="1154"/>
        <w:gridCol w:w="1074"/>
        <w:gridCol w:w="1728"/>
        <w:gridCol w:w="875"/>
        <w:gridCol w:w="2807"/>
      </w:tblGrid>
      <w:tr w:rsidR="003F46B9" w14:paraId="609C3271" w14:textId="77777777">
        <w:trPr>
          <w:trHeight w:val="585"/>
          <w:tblHeader/>
        </w:trPr>
        <w:tc>
          <w:tcPr>
            <w:tcW w:w="1571" w:type="dxa"/>
            <w:vMerge w:val="restart"/>
            <w:shd w:val="clear" w:color="auto" w:fill="C5D9F0"/>
            <w:tcMar>
              <w:left w:w="57" w:type="dxa"/>
              <w:right w:w="57" w:type="dxa"/>
            </w:tcMar>
            <w:vAlign w:val="center"/>
          </w:tcPr>
          <w:p w14:paraId="20FF4DC8" w14:textId="77777777" w:rsidR="003F46B9" w:rsidRDefault="0065662E">
            <w:pPr>
              <w:pStyle w:val="P68B1DB1-Normal1"/>
              <w:spacing w:after="0" w:line="245" w:lineRule="auto"/>
              <w:jc w:val="center"/>
              <w:rPr>
                <w:rFonts w:cs="Times New Roman"/>
                <w:noProof/>
              </w:rPr>
            </w:pPr>
            <w:r>
              <w:rPr>
                <w:noProof/>
              </w:rPr>
              <w:t>Redni broj</w:t>
            </w:r>
          </w:p>
        </w:tc>
        <w:tc>
          <w:tcPr>
            <w:tcW w:w="2490" w:type="dxa"/>
            <w:vMerge w:val="restart"/>
            <w:shd w:val="clear" w:color="auto" w:fill="C5D9F0"/>
            <w:tcMar>
              <w:left w:w="57" w:type="dxa"/>
              <w:right w:w="57" w:type="dxa"/>
            </w:tcMar>
            <w:vAlign w:val="center"/>
          </w:tcPr>
          <w:p w14:paraId="7D57B9F5" w14:textId="179AC174" w:rsidR="003F46B9" w:rsidRDefault="0065662E">
            <w:pPr>
              <w:pStyle w:val="P68B1DB1-Normal1"/>
              <w:spacing w:after="0" w:line="252" w:lineRule="auto"/>
              <w:jc w:val="center"/>
              <w:rPr>
                <w:rFonts w:cs="Times New Roman"/>
                <w:noProof/>
              </w:rPr>
            </w:pPr>
            <w:r>
              <w:rPr>
                <w:noProof/>
              </w:rPr>
              <w:t>Mjera</w:t>
            </w:r>
          </w:p>
        </w:tc>
        <w:tc>
          <w:tcPr>
            <w:tcW w:w="906" w:type="dxa"/>
            <w:vMerge w:val="restart"/>
            <w:shd w:val="clear" w:color="auto" w:fill="C5D9F0"/>
            <w:tcMar>
              <w:left w:w="57" w:type="dxa"/>
              <w:right w:w="57" w:type="dxa"/>
            </w:tcMar>
            <w:vAlign w:val="center"/>
          </w:tcPr>
          <w:p w14:paraId="2985F713" w14:textId="77777777" w:rsidR="003F46B9" w:rsidRDefault="0065662E">
            <w:pPr>
              <w:pStyle w:val="P68B1DB1-Normal17"/>
              <w:spacing w:before="142" w:after="0"/>
              <w:jc w:val="center"/>
              <w:rPr>
                <w:rFonts w:ascii="Times New Roman" w:hAnsi="Times New Roman" w:cs="Times New Roman"/>
                <w:noProof/>
              </w:rPr>
            </w:pPr>
            <w:r>
              <w:rPr>
                <w:rFonts w:ascii="Times New Roman" w:hAnsi="Times New Roman"/>
                <w:b/>
                <w:noProof/>
              </w:rPr>
              <w:t>Prekretnica</w:t>
            </w:r>
            <w:r>
              <w:rPr>
                <w:noProof/>
              </w:rPr>
              <w:t xml:space="preserve"> </w:t>
            </w:r>
            <w:r>
              <w:rPr>
                <w:noProof/>
              </w:rPr>
              <w:br/>
            </w:r>
            <w:r>
              <w:rPr>
                <w:rFonts w:ascii="Times New Roman" w:hAnsi="Times New Roman"/>
                <w:b/>
                <w:noProof/>
              </w:rPr>
              <w:t>/Ciljna vrijednost</w:t>
            </w:r>
          </w:p>
        </w:tc>
        <w:tc>
          <w:tcPr>
            <w:tcW w:w="1159" w:type="dxa"/>
            <w:vMerge w:val="restart"/>
            <w:shd w:val="clear" w:color="auto" w:fill="C5D9F0"/>
            <w:tcMar>
              <w:left w:w="57" w:type="dxa"/>
              <w:right w:w="57" w:type="dxa"/>
            </w:tcMar>
            <w:vAlign w:val="center"/>
          </w:tcPr>
          <w:p w14:paraId="13644C2D" w14:textId="77777777" w:rsidR="003F46B9" w:rsidRDefault="0065662E">
            <w:pPr>
              <w:pStyle w:val="P68B1DB1-Normal1"/>
              <w:spacing w:before="4" w:after="0" w:line="257" w:lineRule="auto"/>
              <w:jc w:val="center"/>
              <w:rPr>
                <w:rFonts w:cs="Times New Roman"/>
                <w:noProof/>
              </w:rPr>
            </w:pPr>
            <w:r>
              <w:rPr>
                <w:noProof/>
              </w:rPr>
              <w:t>Ime</w:t>
            </w:r>
          </w:p>
        </w:tc>
        <w:tc>
          <w:tcPr>
            <w:tcW w:w="1159" w:type="dxa"/>
            <w:vMerge w:val="restart"/>
            <w:shd w:val="clear" w:color="auto" w:fill="C5D9F0"/>
            <w:tcMar>
              <w:left w:w="57" w:type="dxa"/>
              <w:right w:w="57" w:type="dxa"/>
            </w:tcMar>
            <w:vAlign w:val="center"/>
          </w:tcPr>
          <w:p w14:paraId="09CB1DA3" w14:textId="77777777" w:rsidR="003F46B9" w:rsidRDefault="0065662E">
            <w:pPr>
              <w:pStyle w:val="P68B1DB1-Normal1"/>
              <w:spacing w:before="1" w:after="0" w:line="242" w:lineRule="auto"/>
              <w:ind w:firstLine="45"/>
              <w:jc w:val="center"/>
              <w:rPr>
                <w:rFonts w:cs="Times New Roman"/>
                <w:noProof/>
              </w:rPr>
            </w:pPr>
            <w:r>
              <w:rPr>
                <w:noProof/>
              </w:rPr>
              <w:t>Kvalitativni pokazatelj (za ključne etape)</w:t>
            </w:r>
          </w:p>
        </w:tc>
        <w:tc>
          <w:tcPr>
            <w:tcW w:w="3975" w:type="dxa"/>
            <w:gridSpan w:val="3"/>
            <w:shd w:val="clear" w:color="auto" w:fill="C5D9F0"/>
            <w:tcMar>
              <w:left w:w="57" w:type="dxa"/>
              <w:right w:w="57" w:type="dxa"/>
            </w:tcMar>
            <w:vAlign w:val="center"/>
          </w:tcPr>
          <w:p w14:paraId="503CAE09" w14:textId="542058FF" w:rsidR="003F46B9" w:rsidRDefault="0065662E">
            <w:pPr>
              <w:pStyle w:val="P68B1DB1-Normal17"/>
              <w:spacing w:before="142" w:after="0" w:line="223" w:lineRule="auto"/>
              <w:jc w:val="center"/>
              <w:rPr>
                <w:rFonts w:ascii="Times New Roman" w:hAnsi="Times New Roman" w:cs="Times New Roman"/>
                <w:noProof/>
              </w:rPr>
            </w:pPr>
            <w:r>
              <w:rPr>
                <w:rFonts w:ascii="Times New Roman" w:hAnsi="Times New Roman"/>
                <w:b/>
                <w:noProof/>
              </w:rPr>
              <w:t>Kvantitativni pokazatelj</w:t>
            </w:r>
            <w:r>
              <w:rPr>
                <w:noProof/>
              </w:rPr>
              <w:br/>
            </w:r>
            <w:r>
              <w:rPr>
                <w:rFonts w:ascii="Times New Roman" w:hAnsi="Times New Roman"/>
                <w:b/>
                <w:noProof/>
              </w:rPr>
              <w:t xml:space="preserve">za ciljnu </w:t>
            </w:r>
            <w:r>
              <w:rPr>
                <w:rFonts w:ascii="Times New Roman" w:hAnsi="Times New Roman"/>
                <w:b/>
                <w:noProof/>
              </w:rPr>
              <w:t>vrijednost</w:t>
            </w:r>
          </w:p>
        </w:tc>
        <w:tc>
          <w:tcPr>
            <w:tcW w:w="1782" w:type="dxa"/>
            <w:gridSpan w:val="2"/>
            <w:shd w:val="clear" w:color="auto" w:fill="C5D9F0"/>
            <w:tcMar>
              <w:left w:w="57" w:type="dxa"/>
              <w:right w:w="57" w:type="dxa"/>
            </w:tcMar>
            <w:vAlign w:val="center"/>
          </w:tcPr>
          <w:p w14:paraId="2AC07382" w14:textId="77777777" w:rsidR="003F46B9" w:rsidRDefault="0065662E">
            <w:pPr>
              <w:pStyle w:val="P68B1DB1-Normal1"/>
              <w:spacing w:before="1" w:after="0"/>
              <w:jc w:val="center"/>
              <w:rPr>
                <w:rFonts w:cs="Times New Roman"/>
                <w:noProof/>
              </w:rPr>
            </w:pPr>
            <w:r>
              <w:rPr>
                <w:noProof/>
              </w:rPr>
              <w:t>Vrijeme</w:t>
            </w:r>
          </w:p>
        </w:tc>
        <w:tc>
          <w:tcPr>
            <w:tcW w:w="2215" w:type="dxa"/>
            <w:vMerge w:val="restart"/>
            <w:shd w:val="clear" w:color="auto" w:fill="C5D9F0"/>
            <w:tcMar>
              <w:left w:w="57" w:type="dxa"/>
              <w:right w:w="57" w:type="dxa"/>
            </w:tcMar>
            <w:vAlign w:val="center"/>
          </w:tcPr>
          <w:p w14:paraId="341BFFD2" w14:textId="35007FA1" w:rsidR="003F46B9" w:rsidRDefault="003F46B9">
            <w:pPr>
              <w:spacing w:before="6" w:after="0"/>
              <w:jc w:val="center"/>
              <w:rPr>
                <w:rFonts w:ascii="Times New Roman" w:hAnsi="Times New Roman" w:cs="Times New Roman"/>
                <w:noProof/>
                <w:sz w:val="24"/>
              </w:rPr>
            </w:pPr>
          </w:p>
          <w:p w14:paraId="3131DA9B" w14:textId="77777777" w:rsidR="003F46B9" w:rsidRDefault="0065662E">
            <w:pPr>
              <w:pStyle w:val="P68B1DB1-Normal1"/>
              <w:spacing w:after="0"/>
              <w:jc w:val="center"/>
              <w:rPr>
                <w:rFonts w:cs="Times New Roman"/>
                <w:noProof/>
              </w:rPr>
            </w:pPr>
            <w:r>
              <w:rPr>
                <w:noProof/>
              </w:rPr>
              <w:t>Opis svake ključne etape i ciljne vrijednosti</w:t>
            </w:r>
          </w:p>
        </w:tc>
      </w:tr>
      <w:tr w:rsidR="003F46B9" w14:paraId="395AC8B1" w14:textId="77777777">
        <w:trPr>
          <w:trHeight w:val="585"/>
          <w:tblHeader/>
        </w:trPr>
        <w:tc>
          <w:tcPr>
            <w:tcW w:w="1571" w:type="dxa"/>
            <w:vMerge/>
            <w:tcMar>
              <w:left w:w="57" w:type="dxa"/>
              <w:right w:w="57" w:type="dxa"/>
            </w:tcMar>
            <w:vAlign w:val="center"/>
          </w:tcPr>
          <w:p w14:paraId="6347F37D" w14:textId="77777777" w:rsidR="003F46B9" w:rsidRDefault="003F46B9">
            <w:pPr>
              <w:rPr>
                <w:rFonts w:ascii="Times New Roman" w:hAnsi="Times New Roman" w:cs="Times New Roman"/>
                <w:noProof/>
                <w:sz w:val="24"/>
              </w:rPr>
            </w:pPr>
          </w:p>
        </w:tc>
        <w:tc>
          <w:tcPr>
            <w:tcW w:w="2490" w:type="dxa"/>
            <w:vMerge/>
            <w:tcMar>
              <w:left w:w="57" w:type="dxa"/>
              <w:right w:w="57" w:type="dxa"/>
            </w:tcMar>
            <w:vAlign w:val="center"/>
          </w:tcPr>
          <w:p w14:paraId="5A54E577" w14:textId="77777777" w:rsidR="003F46B9" w:rsidRDefault="003F46B9">
            <w:pPr>
              <w:rPr>
                <w:rFonts w:ascii="Times New Roman" w:hAnsi="Times New Roman" w:cs="Times New Roman"/>
                <w:noProof/>
                <w:sz w:val="24"/>
              </w:rPr>
            </w:pPr>
          </w:p>
        </w:tc>
        <w:tc>
          <w:tcPr>
            <w:tcW w:w="906" w:type="dxa"/>
            <w:vMerge/>
            <w:tcMar>
              <w:left w:w="57" w:type="dxa"/>
              <w:right w:w="57" w:type="dxa"/>
            </w:tcMar>
            <w:vAlign w:val="center"/>
          </w:tcPr>
          <w:p w14:paraId="05F3E505" w14:textId="77777777" w:rsidR="003F46B9" w:rsidRDefault="003F46B9">
            <w:pPr>
              <w:rPr>
                <w:rFonts w:ascii="Times New Roman" w:hAnsi="Times New Roman" w:cs="Times New Roman"/>
                <w:noProof/>
                <w:sz w:val="24"/>
              </w:rPr>
            </w:pPr>
          </w:p>
        </w:tc>
        <w:tc>
          <w:tcPr>
            <w:tcW w:w="1159" w:type="dxa"/>
            <w:vMerge/>
            <w:tcMar>
              <w:left w:w="57" w:type="dxa"/>
              <w:right w:w="57" w:type="dxa"/>
            </w:tcMar>
            <w:vAlign w:val="center"/>
          </w:tcPr>
          <w:p w14:paraId="78A59BAC" w14:textId="77777777" w:rsidR="003F46B9" w:rsidRDefault="003F46B9">
            <w:pPr>
              <w:rPr>
                <w:rFonts w:ascii="Times New Roman" w:hAnsi="Times New Roman" w:cs="Times New Roman"/>
                <w:noProof/>
                <w:sz w:val="24"/>
              </w:rPr>
            </w:pPr>
          </w:p>
        </w:tc>
        <w:tc>
          <w:tcPr>
            <w:tcW w:w="1159" w:type="dxa"/>
            <w:vMerge/>
            <w:tcMar>
              <w:left w:w="57" w:type="dxa"/>
              <w:right w:w="57" w:type="dxa"/>
            </w:tcMar>
            <w:vAlign w:val="center"/>
          </w:tcPr>
          <w:p w14:paraId="045211CB" w14:textId="77777777" w:rsidR="003F46B9" w:rsidRDefault="003F46B9">
            <w:pPr>
              <w:rPr>
                <w:rFonts w:ascii="Times New Roman" w:hAnsi="Times New Roman" w:cs="Times New Roman"/>
                <w:noProof/>
                <w:sz w:val="24"/>
              </w:rPr>
            </w:pPr>
          </w:p>
        </w:tc>
        <w:tc>
          <w:tcPr>
            <w:tcW w:w="1127" w:type="dxa"/>
            <w:shd w:val="clear" w:color="auto" w:fill="C5D9F0"/>
            <w:tcMar>
              <w:left w:w="57" w:type="dxa"/>
              <w:right w:w="57" w:type="dxa"/>
            </w:tcMar>
            <w:vAlign w:val="center"/>
          </w:tcPr>
          <w:p w14:paraId="5B815968" w14:textId="77777777" w:rsidR="003F46B9" w:rsidRDefault="0065662E">
            <w:pPr>
              <w:pStyle w:val="P68B1DB1-Normal1"/>
              <w:spacing w:before="142" w:after="0" w:line="223" w:lineRule="auto"/>
              <w:jc w:val="center"/>
              <w:rPr>
                <w:rFonts w:cs="Times New Roman"/>
                <w:noProof/>
              </w:rPr>
            </w:pPr>
            <w:r>
              <w:rPr>
                <w:noProof/>
              </w:rPr>
              <w:t>Odjel</w:t>
            </w:r>
          </w:p>
        </w:tc>
        <w:tc>
          <w:tcPr>
            <w:tcW w:w="1794" w:type="dxa"/>
            <w:shd w:val="clear" w:color="auto" w:fill="C5D9F0"/>
            <w:tcMar>
              <w:left w:w="57" w:type="dxa"/>
              <w:right w:w="57" w:type="dxa"/>
            </w:tcMar>
            <w:vAlign w:val="center"/>
          </w:tcPr>
          <w:p w14:paraId="0C4FE19F" w14:textId="77777777" w:rsidR="003F46B9" w:rsidRDefault="0065662E">
            <w:pPr>
              <w:pStyle w:val="P68B1DB1-Normal1"/>
              <w:spacing w:before="142" w:after="0" w:line="223" w:lineRule="auto"/>
              <w:jc w:val="center"/>
              <w:rPr>
                <w:rFonts w:cs="Times New Roman"/>
                <w:noProof/>
              </w:rPr>
            </w:pPr>
            <w:r>
              <w:rPr>
                <w:noProof/>
              </w:rPr>
              <w:t>Osnovna vrijednost</w:t>
            </w:r>
          </w:p>
        </w:tc>
        <w:tc>
          <w:tcPr>
            <w:tcW w:w="1054" w:type="dxa"/>
            <w:shd w:val="clear" w:color="auto" w:fill="C5D9F0"/>
            <w:tcMar>
              <w:left w:w="57" w:type="dxa"/>
              <w:right w:w="57" w:type="dxa"/>
            </w:tcMar>
            <w:vAlign w:val="center"/>
          </w:tcPr>
          <w:p w14:paraId="6F8F4762" w14:textId="77777777" w:rsidR="003F46B9" w:rsidRDefault="0065662E">
            <w:pPr>
              <w:pStyle w:val="P68B1DB1-Normal1"/>
              <w:spacing w:before="142" w:after="0" w:line="223" w:lineRule="auto"/>
              <w:jc w:val="center"/>
              <w:rPr>
                <w:rFonts w:cs="Times New Roman"/>
                <w:noProof/>
              </w:rPr>
            </w:pPr>
            <w:r>
              <w:rPr>
                <w:noProof/>
              </w:rPr>
              <w:t>Cilj</w:t>
            </w:r>
          </w:p>
        </w:tc>
        <w:tc>
          <w:tcPr>
            <w:tcW w:w="779" w:type="dxa"/>
            <w:shd w:val="clear" w:color="auto" w:fill="C5D9F0"/>
            <w:tcMar>
              <w:left w:w="57" w:type="dxa"/>
              <w:right w:w="57" w:type="dxa"/>
            </w:tcMar>
            <w:vAlign w:val="center"/>
          </w:tcPr>
          <w:p w14:paraId="66B26466" w14:textId="6041168B" w:rsidR="003F46B9" w:rsidRDefault="003F46B9">
            <w:pPr>
              <w:spacing w:before="3"/>
              <w:jc w:val="center"/>
              <w:rPr>
                <w:rFonts w:ascii="Times New Roman" w:hAnsi="Times New Roman" w:cs="Times New Roman"/>
                <w:noProof/>
                <w:sz w:val="24"/>
              </w:rPr>
            </w:pPr>
          </w:p>
          <w:p w14:paraId="64C2892D" w14:textId="77777777" w:rsidR="003F46B9" w:rsidRDefault="0065662E">
            <w:pPr>
              <w:pStyle w:val="P68B1DB1-Normal1"/>
              <w:spacing w:before="3"/>
              <w:jc w:val="center"/>
              <w:rPr>
                <w:rFonts w:cs="Times New Roman"/>
                <w:noProof/>
              </w:rPr>
            </w:pPr>
            <w:r>
              <w:rPr>
                <w:noProof/>
              </w:rPr>
              <w:t>Tromjesečje</w:t>
            </w:r>
          </w:p>
        </w:tc>
        <w:tc>
          <w:tcPr>
            <w:tcW w:w="1003" w:type="dxa"/>
            <w:shd w:val="clear" w:color="auto" w:fill="C5D9F0"/>
            <w:tcMar>
              <w:left w:w="57" w:type="dxa"/>
              <w:right w:w="57" w:type="dxa"/>
            </w:tcMar>
            <w:vAlign w:val="center"/>
          </w:tcPr>
          <w:p w14:paraId="16156150" w14:textId="3C0AAA16" w:rsidR="003F46B9" w:rsidRDefault="003F46B9">
            <w:pPr>
              <w:spacing w:before="3"/>
              <w:jc w:val="center"/>
              <w:rPr>
                <w:rFonts w:ascii="Times New Roman" w:hAnsi="Times New Roman" w:cs="Times New Roman"/>
                <w:noProof/>
                <w:sz w:val="24"/>
              </w:rPr>
            </w:pPr>
          </w:p>
          <w:p w14:paraId="4D42E4FF" w14:textId="77777777" w:rsidR="003F46B9" w:rsidRDefault="0065662E">
            <w:pPr>
              <w:pStyle w:val="P68B1DB1-Normal1"/>
              <w:spacing w:before="3"/>
              <w:jc w:val="center"/>
              <w:rPr>
                <w:rFonts w:cs="Times New Roman"/>
                <w:noProof/>
              </w:rPr>
            </w:pPr>
            <w:r>
              <w:rPr>
                <w:noProof/>
              </w:rPr>
              <w:t>Godina</w:t>
            </w:r>
          </w:p>
        </w:tc>
        <w:tc>
          <w:tcPr>
            <w:tcW w:w="2215" w:type="dxa"/>
            <w:vMerge/>
            <w:tcMar>
              <w:left w:w="57" w:type="dxa"/>
              <w:right w:w="57" w:type="dxa"/>
            </w:tcMar>
            <w:vAlign w:val="center"/>
          </w:tcPr>
          <w:p w14:paraId="1A57E78D" w14:textId="77777777" w:rsidR="003F46B9" w:rsidRDefault="003F46B9">
            <w:pPr>
              <w:rPr>
                <w:rFonts w:ascii="Times New Roman" w:hAnsi="Times New Roman" w:cs="Times New Roman"/>
                <w:noProof/>
                <w:sz w:val="19"/>
              </w:rPr>
            </w:pPr>
          </w:p>
        </w:tc>
      </w:tr>
      <w:tr w:rsidR="003F46B9" w14:paraId="26B7BBA5" w14:textId="77777777">
        <w:trPr>
          <w:trHeight w:val="406"/>
        </w:trPr>
        <w:tc>
          <w:tcPr>
            <w:tcW w:w="1571" w:type="dxa"/>
            <w:shd w:val="clear" w:color="auto" w:fill="C5EECE"/>
            <w:tcMar>
              <w:left w:w="57" w:type="dxa"/>
              <w:right w:w="57" w:type="dxa"/>
            </w:tcMar>
          </w:tcPr>
          <w:p w14:paraId="5839D3E1" w14:textId="2A10EDB9" w:rsidR="003F46B9" w:rsidRDefault="0065662E">
            <w:pPr>
              <w:pStyle w:val="P68B1DB1-Normal5"/>
              <w:spacing w:before="138" w:after="0"/>
              <w:jc w:val="center"/>
              <w:rPr>
                <w:noProof/>
              </w:rPr>
            </w:pPr>
            <w:r>
              <w:rPr>
                <w:noProof/>
              </w:rPr>
              <w:t>508</w:t>
            </w:r>
          </w:p>
        </w:tc>
        <w:tc>
          <w:tcPr>
            <w:tcW w:w="2490" w:type="dxa"/>
            <w:shd w:val="clear" w:color="auto" w:fill="C5EECE"/>
            <w:tcMar>
              <w:left w:w="57" w:type="dxa"/>
              <w:right w:w="57" w:type="dxa"/>
            </w:tcMar>
          </w:tcPr>
          <w:p w14:paraId="3D823761" w14:textId="1348C4C3" w:rsidR="003F46B9" w:rsidRDefault="0065662E">
            <w:pPr>
              <w:pStyle w:val="P68B1DB1-Normal5"/>
              <w:spacing w:before="141" w:after="0" w:line="245" w:lineRule="auto"/>
              <w:jc w:val="both"/>
              <w:rPr>
                <w:noProof/>
              </w:rPr>
            </w:pPr>
            <w:r>
              <w:rPr>
                <w:noProof/>
              </w:rPr>
              <w:t xml:space="preserve">Reforma 1. Stvaranje pravnog okvira za korištenje državnog zemljišta kao područja ubrzavanja za ulaganja u obnovljive izvore </w:t>
            </w:r>
            <w:r>
              <w:rPr>
                <w:noProof/>
              </w:rPr>
              <w:t>energije</w:t>
            </w:r>
          </w:p>
        </w:tc>
        <w:tc>
          <w:tcPr>
            <w:tcW w:w="906" w:type="dxa"/>
            <w:shd w:val="clear" w:color="auto" w:fill="C5EECE"/>
            <w:tcMar>
              <w:left w:w="57" w:type="dxa"/>
              <w:right w:w="57" w:type="dxa"/>
            </w:tcMar>
          </w:tcPr>
          <w:p w14:paraId="47935982" w14:textId="708A1EEA" w:rsidR="003F46B9" w:rsidRDefault="0065662E">
            <w:pPr>
              <w:pStyle w:val="P68B1DB1-Normal5"/>
              <w:spacing w:before="138" w:after="0" w:line="254" w:lineRule="auto"/>
              <w:jc w:val="both"/>
              <w:rPr>
                <w:noProof/>
              </w:rPr>
            </w:pPr>
            <w:r>
              <w:rPr>
                <w:noProof/>
              </w:rPr>
              <w:t>Prekretnica</w:t>
            </w:r>
          </w:p>
        </w:tc>
        <w:tc>
          <w:tcPr>
            <w:tcW w:w="1159" w:type="dxa"/>
            <w:shd w:val="clear" w:color="auto" w:fill="C5EECE"/>
            <w:tcMar>
              <w:left w:w="57" w:type="dxa"/>
              <w:right w:w="57" w:type="dxa"/>
            </w:tcMar>
          </w:tcPr>
          <w:p w14:paraId="7ADD9ED3" w14:textId="515725A7" w:rsidR="003F46B9" w:rsidRDefault="0065662E">
            <w:pPr>
              <w:pStyle w:val="P68B1DB1-Normal21"/>
              <w:spacing w:before="138" w:after="0" w:line="254" w:lineRule="auto"/>
              <w:jc w:val="both"/>
              <w:rPr>
                <w:noProof/>
              </w:rPr>
            </w:pPr>
            <w:r>
              <w:rPr>
                <w:noProof/>
              </w:rPr>
              <w:t>Izgradnja kapaciteta Agencije za državna područja (ADS)</w:t>
            </w:r>
          </w:p>
        </w:tc>
        <w:tc>
          <w:tcPr>
            <w:tcW w:w="1159" w:type="dxa"/>
            <w:shd w:val="clear" w:color="auto" w:fill="C5EECE"/>
            <w:tcMar>
              <w:left w:w="57" w:type="dxa"/>
              <w:right w:w="57" w:type="dxa"/>
            </w:tcMar>
          </w:tcPr>
          <w:p w14:paraId="2322F340" w14:textId="31F46E44" w:rsidR="003F46B9" w:rsidRDefault="0065662E">
            <w:pPr>
              <w:pStyle w:val="P68B1DB1-Normal5"/>
              <w:spacing w:before="138" w:after="0" w:line="254" w:lineRule="auto"/>
              <w:jc w:val="both"/>
              <w:rPr>
                <w:noProof/>
              </w:rPr>
            </w:pPr>
            <w:r>
              <w:rPr>
                <w:noProof/>
              </w:rPr>
              <w:t>Isporučena oprema</w:t>
            </w:r>
          </w:p>
        </w:tc>
        <w:tc>
          <w:tcPr>
            <w:tcW w:w="1127" w:type="dxa"/>
            <w:shd w:val="clear" w:color="auto" w:fill="C5EECE"/>
            <w:tcMar>
              <w:left w:w="57" w:type="dxa"/>
              <w:right w:w="57" w:type="dxa"/>
            </w:tcMar>
          </w:tcPr>
          <w:p w14:paraId="0EDA95A0" w14:textId="77777777" w:rsidR="003F46B9" w:rsidRDefault="003F46B9">
            <w:pPr>
              <w:spacing w:after="0"/>
              <w:jc w:val="both"/>
              <w:rPr>
                <w:rFonts w:ascii="Times New Roman" w:hAnsi="Times New Roman"/>
                <w:noProof/>
                <w:sz w:val="24"/>
              </w:rPr>
            </w:pPr>
          </w:p>
        </w:tc>
        <w:tc>
          <w:tcPr>
            <w:tcW w:w="1794" w:type="dxa"/>
            <w:shd w:val="clear" w:color="auto" w:fill="C5EECE"/>
            <w:tcMar>
              <w:left w:w="57" w:type="dxa"/>
              <w:right w:w="57" w:type="dxa"/>
            </w:tcMar>
          </w:tcPr>
          <w:p w14:paraId="72AAD784" w14:textId="77777777" w:rsidR="003F46B9" w:rsidRDefault="003F46B9">
            <w:pPr>
              <w:spacing w:after="0"/>
              <w:jc w:val="both"/>
              <w:rPr>
                <w:rFonts w:ascii="Times New Roman" w:hAnsi="Times New Roman"/>
                <w:noProof/>
                <w:sz w:val="24"/>
              </w:rPr>
            </w:pPr>
          </w:p>
        </w:tc>
        <w:tc>
          <w:tcPr>
            <w:tcW w:w="1054" w:type="dxa"/>
            <w:shd w:val="clear" w:color="auto" w:fill="C5EECE"/>
            <w:tcMar>
              <w:left w:w="57" w:type="dxa"/>
              <w:right w:w="57" w:type="dxa"/>
            </w:tcMar>
          </w:tcPr>
          <w:p w14:paraId="1F1ACC3B" w14:textId="77777777" w:rsidR="003F46B9" w:rsidRDefault="003F46B9">
            <w:pPr>
              <w:spacing w:after="0"/>
              <w:jc w:val="both"/>
              <w:rPr>
                <w:rFonts w:ascii="Times New Roman" w:hAnsi="Times New Roman"/>
                <w:noProof/>
                <w:sz w:val="24"/>
              </w:rPr>
            </w:pPr>
          </w:p>
        </w:tc>
        <w:tc>
          <w:tcPr>
            <w:tcW w:w="779" w:type="dxa"/>
            <w:shd w:val="clear" w:color="auto" w:fill="C5EECE"/>
            <w:tcMar>
              <w:left w:w="57" w:type="dxa"/>
              <w:right w:w="57" w:type="dxa"/>
            </w:tcMar>
          </w:tcPr>
          <w:p w14:paraId="6219AEDA" w14:textId="4788A8A8" w:rsidR="003F46B9" w:rsidRDefault="0065662E">
            <w:pPr>
              <w:pStyle w:val="P68B1DB1-Normal5"/>
              <w:spacing w:before="138" w:after="0"/>
              <w:jc w:val="both"/>
              <w:rPr>
                <w:noProof/>
              </w:rPr>
            </w:pPr>
            <w:r>
              <w:rPr>
                <w:noProof/>
              </w:rPr>
              <w:t>TROMJESEČJE</w:t>
            </w:r>
          </w:p>
        </w:tc>
        <w:tc>
          <w:tcPr>
            <w:tcW w:w="1003" w:type="dxa"/>
            <w:shd w:val="clear" w:color="auto" w:fill="C5EECE"/>
            <w:tcMar>
              <w:left w:w="57" w:type="dxa"/>
              <w:right w:w="57" w:type="dxa"/>
            </w:tcMar>
          </w:tcPr>
          <w:p w14:paraId="0E55BC9C" w14:textId="405501F3" w:rsidR="003F46B9" w:rsidRDefault="0065662E">
            <w:pPr>
              <w:pStyle w:val="P68B1DB1-Normal5"/>
              <w:spacing w:before="138" w:after="0"/>
              <w:jc w:val="both"/>
              <w:rPr>
                <w:noProof/>
              </w:rPr>
            </w:pPr>
            <w:r>
              <w:rPr>
                <w:noProof/>
              </w:rPr>
              <w:t>2024</w:t>
            </w:r>
          </w:p>
        </w:tc>
        <w:tc>
          <w:tcPr>
            <w:tcW w:w="2215" w:type="dxa"/>
            <w:shd w:val="clear" w:color="auto" w:fill="C5EECE"/>
            <w:tcMar>
              <w:left w:w="57" w:type="dxa"/>
              <w:right w:w="57" w:type="dxa"/>
            </w:tcMar>
          </w:tcPr>
          <w:p w14:paraId="133F70C4" w14:textId="77777777" w:rsidR="003F46B9" w:rsidRDefault="0065662E">
            <w:pPr>
              <w:pStyle w:val="P68B1DB1-Normal5"/>
              <w:jc w:val="both"/>
              <w:rPr>
                <w:noProof/>
              </w:rPr>
            </w:pPr>
            <w:r>
              <w:rPr>
                <w:noProof/>
              </w:rPr>
              <w:t xml:space="preserve">Sljedeća oprema mora biti isporučena ADS-u: </w:t>
            </w:r>
          </w:p>
          <w:p w14:paraId="03D5BCB0" w14:textId="03F881DA" w:rsidR="003F46B9" w:rsidRDefault="0065662E">
            <w:pPr>
              <w:pStyle w:val="P68B1DB1-Normal5"/>
              <w:jc w:val="both"/>
              <w:rPr>
                <w:noProof/>
              </w:rPr>
            </w:pPr>
            <w:r>
              <w:rPr>
                <w:noProof/>
              </w:rPr>
              <w:t>1.</w:t>
            </w:r>
            <w:r>
              <w:rPr>
                <w:noProof/>
              </w:rPr>
              <w:tab/>
              <w:t>najmanje dva poslužitelja koji podržavaju novi učinkoviti digitalni sustav i četiri prijenosn</w:t>
            </w:r>
            <w:r>
              <w:rPr>
                <w:noProof/>
              </w:rPr>
              <w:t>a računala opremljena potrebnim softverom (npr. Self-CAD, TopoLT, DIGI I Terra);</w:t>
            </w:r>
          </w:p>
          <w:p w14:paraId="39B4693B" w14:textId="77777777" w:rsidR="003F46B9" w:rsidRDefault="0065662E">
            <w:pPr>
              <w:pStyle w:val="P68B1DB1-Normal5"/>
              <w:jc w:val="both"/>
              <w:rPr>
                <w:noProof/>
              </w:rPr>
            </w:pPr>
            <w:r>
              <w:rPr>
                <w:noProof/>
              </w:rPr>
              <w:t>2.</w:t>
            </w:r>
            <w:r>
              <w:rPr>
                <w:noProof/>
              </w:rPr>
              <w:tab/>
              <w:t>najmanje četiri bespilotne letjelice s odašiljačkim stanicama RTK;</w:t>
            </w:r>
          </w:p>
          <w:p w14:paraId="0A31773B" w14:textId="5935C63D" w:rsidR="003F46B9" w:rsidRDefault="0065662E">
            <w:pPr>
              <w:pStyle w:val="P68B1DB1-Normal5"/>
              <w:jc w:val="both"/>
              <w:rPr>
                <w:noProof/>
              </w:rPr>
            </w:pPr>
            <w:r>
              <w:rPr>
                <w:noProof/>
              </w:rPr>
              <w:t>3.</w:t>
            </w:r>
            <w:r>
              <w:rPr>
                <w:noProof/>
              </w:rPr>
              <w:tab/>
              <w:t>najmanje četiri terenska vozila s nultim emisijama.</w:t>
            </w:r>
          </w:p>
        </w:tc>
      </w:tr>
      <w:tr w:rsidR="003F46B9" w14:paraId="38327E26" w14:textId="77777777">
        <w:trPr>
          <w:trHeight w:val="406"/>
        </w:trPr>
        <w:tc>
          <w:tcPr>
            <w:tcW w:w="1571" w:type="dxa"/>
            <w:shd w:val="clear" w:color="auto" w:fill="C5EECE"/>
            <w:tcMar>
              <w:left w:w="57" w:type="dxa"/>
              <w:right w:w="57" w:type="dxa"/>
            </w:tcMar>
          </w:tcPr>
          <w:p w14:paraId="142ADA4D" w14:textId="62FB39FC" w:rsidR="003F46B9" w:rsidRDefault="0065662E">
            <w:pPr>
              <w:pStyle w:val="P68B1DB1-Normal5"/>
              <w:spacing w:before="138" w:after="0"/>
              <w:jc w:val="center"/>
              <w:rPr>
                <w:rFonts w:cs="Times New Roman"/>
                <w:noProof/>
              </w:rPr>
            </w:pPr>
            <w:r>
              <w:rPr>
                <w:noProof/>
              </w:rPr>
              <w:t>509</w:t>
            </w:r>
          </w:p>
        </w:tc>
        <w:tc>
          <w:tcPr>
            <w:tcW w:w="2490" w:type="dxa"/>
            <w:shd w:val="clear" w:color="auto" w:fill="C5EECE"/>
            <w:tcMar>
              <w:left w:w="57" w:type="dxa"/>
              <w:right w:w="57" w:type="dxa"/>
            </w:tcMar>
          </w:tcPr>
          <w:p w14:paraId="4B056A81" w14:textId="77777777" w:rsidR="003F46B9" w:rsidRDefault="0065662E">
            <w:pPr>
              <w:pStyle w:val="P68B1DB1-Normal5"/>
              <w:spacing w:before="141" w:after="0" w:line="245" w:lineRule="auto"/>
              <w:jc w:val="both"/>
              <w:rPr>
                <w:rFonts w:cs="Times New Roman"/>
                <w:noProof/>
              </w:rPr>
            </w:pPr>
            <w:r>
              <w:rPr>
                <w:noProof/>
              </w:rPr>
              <w:t xml:space="preserve">Reforma 1. Stvaranje pravnog okvira za </w:t>
            </w:r>
            <w:r>
              <w:rPr>
                <w:noProof/>
              </w:rPr>
              <w:t>korištenje državnog zemljišta kao područja ubrzavanja za ulaganja u obnovljive izvore energije</w:t>
            </w:r>
          </w:p>
        </w:tc>
        <w:tc>
          <w:tcPr>
            <w:tcW w:w="906" w:type="dxa"/>
            <w:shd w:val="clear" w:color="auto" w:fill="C5EECE"/>
            <w:tcMar>
              <w:left w:w="57" w:type="dxa"/>
              <w:right w:w="57" w:type="dxa"/>
            </w:tcMar>
          </w:tcPr>
          <w:p w14:paraId="29D3A8FD" w14:textId="77777777" w:rsidR="003F46B9" w:rsidRDefault="0065662E">
            <w:pPr>
              <w:pStyle w:val="P68B1DB1-Normal5"/>
              <w:spacing w:before="138" w:after="0" w:line="254" w:lineRule="auto"/>
              <w:jc w:val="both"/>
              <w:rPr>
                <w:rFonts w:cs="Times New Roman"/>
                <w:noProof/>
              </w:rPr>
            </w:pPr>
            <w:r>
              <w:rPr>
                <w:noProof/>
              </w:rPr>
              <w:t>Prekretnica</w:t>
            </w:r>
          </w:p>
        </w:tc>
        <w:tc>
          <w:tcPr>
            <w:tcW w:w="1159" w:type="dxa"/>
            <w:shd w:val="clear" w:color="auto" w:fill="C5EECE"/>
            <w:tcMar>
              <w:left w:w="57" w:type="dxa"/>
              <w:right w:w="57" w:type="dxa"/>
            </w:tcMar>
          </w:tcPr>
          <w:p w14:paraId="3806A862" w14:textId="77777777" w:rsidR="003F46B9" w:rsidRDefault="0065662E">
            <w:pPr>
              <w:pStyle w:val="P68B1DB1-Normal5"/>
              <w:spacing w:before="138" w:after="0" w:line="254" w:lineRule="auto"/>
              <w:jc w:val="both"/>
              <w:rPr>
                <w:rFonts w:cs="Times New Roman"/>
                <w:noProof/>
              </w:rPr>
            </w:pPr>
            <w:r>
              <w:rPr>
                <w:noProof/>
              </w:rPr>
              <w:t>Stupanje na snagu pravnog okvira</w:t>
            </w:r>
          </w:p>
        </w:tc>
        <w:tc>
          <w:tcPr>
            <w:tcW w:w="1159" w:type="dxa"/>
            <w:shd w:val="clear" w:color="auto" w:fill="C5EECE"/>
            <w:tcMar>
              <w:left w:w="57" w:type="dxa"/>
              <w:right w:w="57" w:type="dxa"/>
            </w:tcMar>
          </w:tcPr>
          <w:p w14:paraId="72769376" w14:textId="77777777" w:rsidR="003F46B9" w:rsidRDefault="0065662E">
            <w:pPr>
              <w:pStyle w:val="P68B1DB1-Normal5"/>
              <w:spacing w:before="138" w:after="0" w:line="254" w:lineRule="auto"/>
              <w:jc w:val="both"/>
              <w:rPr>
                <w:rFonts w:cs="Times New Roman"/>
                <w:noProof/>
              </w:rPr>
            </w:pPr>
            <w:r>
              <w:rPr>
                <w:noProof/>
              </w:rPr>
              <w:t>Odredba o stupanju na snagu</w:t>
            </w:r>
          </w:p>
        </w:tc>
        <w:tc>
          <w:tcPr>
            <w:tcW w:w="1127" w:type="dxa"/>
            <w:shd w:val="clear" w:color="auto" w:fill="C5EECE"/>
            <w:tcMar>
              <w:left w:w="57" w:type="dxa"/>
              <w:right w:w="57" w:type="dxa"/>
            </w:tcMar>
          </w:tcPr>
          <w:p w14:paraId="4A040A3B" w14:textId="77777777" w:rsidR="003F46B9" w:rsidRDefault="0065662E">
            <w:pPr>
              <w:pStyle w:val="P68B1DB1-Normal5"/>
              <w:spacing w:after="0"/>
              <w:jc w:val="both"/>
              <w:rPr>
                <w:rFonts w:cs="Times New Roman"/>
                <w:noProof/>
              </w:rPr>
            </w:pPr>
            <w:r>
              <w:rPr>
                <w:noProof/>
              </w:rPr>
              <w:t xml:space="preserve"> </w:t>
            </w:r>
          </w:p>
        </w:tc>
        <w:tc>
          <w:tcPr>
            <w:tcW w:w="1794" w:type="dxa"/>
            <w:shd w:val="clear" w:color="auto" w:fill="C5EECE"/>
            <w:tcMar>
              <w:left w:w="57" w:type="dxa"/>
              <w:right w:w="57" w:type="dxa"/>
            </w:tcMar>
          </w:tcPr>
          <w:p w14:paraId="180956B9" w14:textId="77777777" w:rsidR="003F46B9" w:rsidRDefault="0065662E">
            <w:pPr>
              <w:pStyle w:val="P68B1DB1-Normal5"/>
              <w:spacing w:after="0"/>
              <w:jc w:val="both"/>
              <w:rPr>
                <w:rFonts w:cs="Times New Roman"/>
                <w:noProof/>
              </w:rPr>
            </w:pPr>
            <w:r>
              <w:rPr>
                <w:noProof/>
              </w:rPr>
              <w:t xml:space="preserve"> </w:t>
            </w:r>
          </w:p>
        </w:tc>
        <w:tc>
          <w:tcPr>
            <w:tcW w:w="1054" w:type="dxa"/>
            <w:shd w:val="clear" w:color="auto" w:fill="C5EECE"/>
            <w:tcMar>
              <w:left w:w="57" w:type="dxa"/>
              <w:right w:w="57" w:type="dxa"/>
            </w:tcMar>
          </w:tcPr>
          <w:p w14:paraId="3950B027" w14:textId="77777777" w:rsidR="003F46B9" w:rsidRDefault="0065662E">
            <w:pPr>
              <w:pStyle w:val="P68B1DB1-Normal5"/>
              <w:spacing w:after="0"/>
              <w:jc w:val="both"/>
              <w:rPr>
                <w:rFonts w:cs="Times New Roman"/>
                <w:noProof/>
              </w:rPr>
            </w:pPr>
            <w:r>
              <w:rPr>
                <w:noProof/>
              </w:rPr>
              <w:t xml:space="preserve"> </w:t>
            </w:r>
          </w:p>
        </w:tc>
        <w:tc>
          <w:tcPr>
            <w:tcW w:w="779" w:type="dxa"/>
            <w:shd w:val="clear" w:color="auto" w:fill="C5EECE"/>
            <w:tcMar>
              <w:left w:w="57" w:type="dxa"/>
              <w:right w:w="57" w:type="dxa"/>
            </w:tcMar>
          </w:tcPr>
          <w:p w14:paraId="6782A3CE" w14:textId="77777777" w:rsidR="003F46B9" w:rsidRDefault="0065662E">
            <w:pPr>
              <w:pStyle w:val="P68B1DB1-Normal5"/>
              <w:spacing w:before="138" w:after="0"/>
              <w:jc w:val="both"/>
              <w:rPr>
                <w:rFonts w:cs="Times New Roman"/>
                <w:noProof/>
              </w:rPr>
            </w:pPr>
            <w:r>
              <w:rPr>
                <w:noProof/>
              </w:rPr>
              <w:t>ČETVRTO TROMJESEČJE</w:t>
            </w:r>
          </w:p>
        </w:tc>
        <w:tc>
          <w:tcPr>
            <w:tcW w:w="1003" w:type="dxa"/>
            <w:shd w:val="clear" w:color="auto" w:fill="C5EECE"/>
            <w:tcMar>
              <w:left w:w="57" w:type="dxa"/>
              <w:right w:w="57" w:type="dxa"/>
            </w:tcMar>
          </w:tcPr>
          <w:p w14:paraId="19D2F54C" w14:textId="77777777" w:rsidR="003F46B9" w:rsidRDefault="0065662E">
            <w:pPr>
              <w:pStyle w:val="P68B1DB1-Normal5"/>
              <w:spacing w:before="138" w:after="0"/>
              <w:jc w:val="both"/>
              <w:rPr>
                <w:rFonts w:cs="Times New Roman"/>
                <w:noProof/>
              </w:rPr>
            </w:pPr>
            <w:r>
              <w:rPr>
                <w:noProof/>
              </w:rPr>
              <w:t>2024</w:t>
            </w:r>
          </w:p>
        </w:tc>
        <w:tc>
          <w:tcPr>
            <w:tcW w:w="2215" w:type="dxa"/>
            <w:shd w:val="clear" w:color="auto" w:fill="C5EECE"/>
            <w:tcMar>
              <w:left w:w="57" w:type="dxa"/>
              <w:right w:w="57" w:type="dxa"/>
            </w:tcMar>
          </w:tcPr>
          <w:p w14:paraId="4D1927D2" w14:textId="33073F8E" w:rsidR="003F46B9" w:rsidRDefault="0065662E">
            <w:pPr>
              <w:jc w:val="both"/>
              <w:rPr>
                <w:noProof/>
                <w:sz w:val="24"/>
              </w:rPr>
            </w:pPr>
            <w:r>
              <w:rPr>
                <w:rFonts w:ascii="Times New Roman" w:hAnsi="Times New Roman"/>
                <w:noProof/>
                <w:sz w:val="24"/>
              </w:rPr>
              <w:t>Izmjene relevantnog primarnog ili sekundarnog zakonodavst</w:t>
            </w:r>
            <w:r>
              <w:rPr>
                <w:rFonts w:ascii="Times New Roman" w:hAnsi="Times New Roman"/>
                <w:noProof/>
                <w:sz w:val="24"/>
              </w:rPr>
              <w:t>va, uključujući akte nacionalnog regulatornog tijela, stupaju na snagu i uvode poseban regulatorni okvir i okvir potpore za razvoj i uporabu državnog zemljišta pod upravom Agencije za državnapodručja (ADS) kao područja ubrzavanja ulaganja u obnovljive izvo</w:t>
            </w:r>
            <w:r>
              <w:rPr>
                <w:rFonts w:ascii="Times New Roman" w:hAnsi="Times New Roman"/>
                <w:noProof/>
                <w:sz w:val="24"/>
              </w:rPr>
              <w:t>re energije, uključujući, ali ne ograničavajući se na:</w:t>
            </w:r>
          </w:p>
          <w:p w14:paraId="59197A81" w14:textId="77777777" w:rsidR="003F46B9" w:rsidRDefault="0065662E">
            <w:pPr>
              <w:pStyle w:val="P68B1DB1-ListParagraph13"/>
              <w:numPr>
                <w:ilvl w:val="0"/>
                <w:numId w:val="127"/>
              </w:numPr>
              <w:jc w:val="both"/>
              <w:rPr>
                <w:rFonts w:cs="Times New Roman"/>
                <w:noProof/>
              </w:rPr>
            </w:pPr>
            <w:r>
              <w:rPr>
                <w:noProof/>
              </w:rPr>
              <w:t>određivanje područja za ubrzanje proizvodnje energije iz obnovljivih izvora na degradiranom zemljištu koje se ne upotrebljava za poljoprivredu, uključujući dostupne kapacitete za ugradnju obnovljivih i</w:t>
            </w:r>
            <w:r>
              <w:rPr>
                <w:noProof/>
              </w:rPr>
              <w:t>zvora energije;</w:t>
            </w:r>
          </w:p>
          <w:p w14:paraId="417D9130" w14:textId="77777777" w:rsidR="003F46B9" w:rsidRDefault="0065662E">
            <w:pPr>
              <w:pStyle w:val="P68B1DB1-ListParagraph29"/>
              <w:numPr>
                <w:ilvl w:val="0"/>
                <w:numId w:val="127"/>
              </w:numPr>
              <w:jc w:val="both"/>
              <w:rPr>
                <w:rFonts w:ascii="Times New Roman" w:hAnsi="Times New Roman" w:cs="Times New Roman"/>
                <w:noProof/>
              </w:rPr>
            </w:pPr>
            <w:r>
              <w:rPr>
                <w:rFonts w:ascii="Times New Roman" w:hAnsi="Times New Roman"/>
                <w:noProof/>
              </w:rPr>
              <w:t>smanjeni pravni zahtjevi i kraći, pojednostavljeni postupci izdavanja dozvola</w:t>
            </w:r>
            <w:r>
              <w:rPr>
                <w:noProof/>
              </w:rPr>
              <w:t xml:space="preserve"> </w:t>
            </w:r>
            <w:r>
              <w:rPr>
                <w:rFonts w:ascii="Times New Roman" w:hAnsi="Times New Roman"/>
                <w:noProof/>
              </w:rPr>
              <w:t>kako bi se novi kapaciteti mogli odobriti u roku od šest mjeseci;</w:t>
            </w:r>
          </w:p>
          <w:p w14:paraId="0937AE9D" w14:textId="77777777" w:rsidR="003F46B9" w:rsidRDefault="0065662E">
            <w:pPr>
              <w:pStyle w:val="P68B1DB1-ListParagraph13"/>
              <w:numPr>
                <w:ilvl w:val="0"/>
                <w:numId w:val="127"/>
              </w:numPr>
              <w:jc w:val="both"/>
              <w:rPr>
                <w:rFonts w:cs="Times New Roman"/>
                <w:noProof/>
              </w:rPr>
            </w:pPr>
            <w:r>
              <w:rPr>
                <w:noProof/>
              </w:rPr>
              <w:t>digitalizacija izdavanja dozvola.</w:t>
            </w:r>
          </w:p>
        </w:tc>
      </w:tr>
      <w:tr w:rsidR="003F46B9" w14:paraId="203349BB" w14:textId="77777777">
        <w:trPr>
          <w:trHeight w:val="1826"/>
        </w:trPr>
        <w:tc>
          <w:tcPr>
            <w:tcW w:w="1571" w:type="dxa"/>
            <w:shd w:val="clear" w:color="auto" w:fill="C5EECE"/>
            <w:tcMar>
              <w:left w:w="57" w:type="dxa"/>
              <w:right w:w="57" w:type="dxa"/>
            </w:tcMar>
          </w:tcPr>
          <w:p w14:paraId="041E4BBA" w14:textId="5AEC5289" w:rsidR="003F46B9" w:rsidRDefault="0065662E">
            <w:pPr>
              <w:pStyle w:val="P68B1DB1-Normal5"/>
              <w:spacing w:before="138" w:after="0"/>
              <w:jc w:val="center"/>
              <w:rPr>
                <w:rFonts w:cs="Times New Roman"/>
                <w:noProof/>
              </w:rPr>
            </w:pPr>
            <w:r>
              <w:rPr>
                <w:noProof/>
              </w:rPr>
              <w:t>510</w:t>
            </w:r>
          </w:p>
        </w:tc>
        <w:tc>
          <w:tcPr>
            <w:tcW w:w="2490" w:type="dxa"/>
            <w:shd w:val="clear" w:color="auto" w:fill="C5EECE"/>
            <w:tcMar>
              <w:left w:w="57" w:type="dxa"/>
              <w:right w:w="57" w:type="dxa"/>
            </w:tcMar>
          </w:tcPr>
          <w:p w14:paraId="194BE2D5" w14:textId="77777777" w:rsidR="003F46B9" w:rsidRDefault="0065662E">
            <w:pPr>
              <w:pStyle w:val="P68B1DB1-Normal5"/>
              <w:spacing w:before="141" w:after="0" w:line="245" w:lineRule="auto"/>
              <w:jc w:val="both"/>
              <w:rPr>
                <w:rFonts w:cs="Times New Roman"/>
                <w:noProof/>
              </w:rPr>
            </w:pPr>
            <w:r>
              <w:rPr>
                <w:noProof/>
              </w:rPr>
              <w:t xml:space="preserve">Reforma 1. Stvaranje pravnog okvira za korištenje </w:t>
            </w:r>
            <w:r>
              <w:rPr>
                <w:noProof/>
              </w:rPr>
              <w:t>državnog zemljišta kao područja ubrzavanja za ulaganja u obnovljive izvore energije</w:t>
            </w:r>
          </w:p>
          <w:p w14:paraId="0F49CB11" w14:textId="77777777" w:rsidR="003F46B9" w:rsidRDefault="003F46B9">
            <w:pPr>
              <w:spacing w:before="141" w:after="0" w:line="245" w:lineRule="auto"/>
              <w:ind w:firstLine="4"/>
              <w:jc w:val="both"/>
              <w:rPr>
                <w:rFonts w:ascii="Times New Roman" w:hAnsi="Times New Roman" w:cs="Times New Roman"/>
                <w:noProof/>
                <w:sz w:val="24"/>
              </w:rPr>
            </w:pPr>
          </w:p>
        </w:tc>
        <w:tc>
          <w:tcPr>
            <w:tcW w:w="906" w:type="dxa"/>
            <w:shd w:val="clear" w:color="auto" w:fill="C5EECE"/>
            <w:tcMar>
              <w:left w:w="57" w:type="dxa"/>
              <w:right w:w="57" w:type="dxa"/>
            </w:tcMar>
          </w:tcPr>
          <w:p w14:paraId="1CFFFBCF" w14:textId="77777777" w:rsidR="003F46B9" w:rsidRDefault="0065662E">
            <w:pPr>
              <w:pStyle w:val="P68B1DB1-Normal5"/>
              <w:spacing w:before="138" w:after="0" w:line="254" w:lineRule="auto"/>
              <w:jc w:val="both"/>
              <w:rPr>
                <w:rFonts w:cs="Times New Roman"/>
                <w:noProof/>
              </w:rPr>
            </w:pPr>
            <w:r>
              <w:rPr>
                <w:noProof/>
              </w:rPr>
              <w:t>Prekretnica</w:t>
            </w:r>
          </w:p>
        </w:tc>
        <w:tc>
          <w:tcPr>
            <w:tcW w:w="1159" w:type="dxa"/>
            <w:shd w:val="clear" w:color="auto" w:fill="C5EECE"/>
            <w:tcMar>
              <w:left w:w="57" w:type="dxa"/>
              <w:right w:w="57" w:type="dxa"/>
            </w:tcMar>
          </w:tcPr>
          <w:p w14:paraId="236BE342" w14:textId="77777777" w:rsidR="003F46B9" w:rsidRDefault="0065662E">
            <w:pPr>
              <w:pStyle w:val="P68B1DB1-Normal5"/>
              <w:spacing w:before="138" w:after="0" w:line="254" w:lineRule="auto"/>
              <w:jc w:val="both"/>
              <w:rPr>
                <w:rFonts w:eastAsia="Times New Roman" w:cs="Times New Roman"/>
                <w:noProof/>
              </w:rPr>
            </w:pPr>
            <w:r>
              <w:rPr>
                <w:noProof/>
              </w:rPr>
              <w:t>Uspostava jedinstvenog nacionalnog registra zemljišta u državnom vlasništvu</w:t>
            </w:r>
          </w:p>
        </w:tc>
        <w:tc>
          <w:tcPr>
            <w:tcW w:w="1159" w:type="dxa"/>
            <w:shd w:val="clear" w:color="auto" w:fill="C5EECE"/>
            <w:tcMar>
              <w:left w:w="57" w:type="dxa"/>
              <w:right w:w="57" w:type="dxa"/>
            </w:tcMar>
          </w:tcPr>
          <w:p w14:paraId="7CFA1125" w14:textId="759E2762" w:rsidR="003F46B9" w:rsidRDefault="0065662E">
            <w:pPr>
              <w:pStyle w:val="P68B1DB1-Normal5"/>
              <w:spacing w:before="138" w:after="0" w:line="254" w:lineRule="auto"/>
              <w:jc w:val="both"/>
              <w:rPr>
                <w:rFonts w:cs="Times New Roman"/>
                <w:noProof/>
              </w:rPr>
            </w:pPr>
            <w:r>
              <w:rPr>
                <w:noProof/>
              </w:rPr>
              <w:t xml:space="preserve">Uspostavljen i operativan jedinstveni nacionalni registar </w:t>
            </w:r>
          </w:p>
        </w:tc>
        <w:tc>
          <w:tcPr>
            <w:tcW w:w="1127" w:type="dxa"/>
            <w:shd w:val="clear" w:color="auto" w:fill="C5EECE"/>
            <w:tcMar>
              <w:left w:w="57" w:type="dxa"/>
              <w:right w:w="57" w:type="dxa"/>
            </w:tcMar>
          </w:tcPr>
          <w:p w14:paraId="2070C529" w14:textId="77777777" w:rsidR="003F46B9" w:rsidRDefault="003F46B9">
            <w:pPr>
              <w:spacing w:after="0"/>
              <w:jc w:val="both"/>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21486E2B" w14:textId="77777777" w:rsidR="003F46B9" w:rsidRDefault="003F46B9">
            <w:pPr>
              <w:pStyle w:val="ListParagraph"/>
              <w:spacing w:after="0"/>
              <w:ind w:left="360"/>
              <w:jc w:val="both"/>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72B72AE7" w14:textId="77777777" w:rsidR="003F46B9" w:rsidRDefault="003F46B9">
            <w:pPr>
              <w:spacing w:after="0"/>
              <w:jc w:val="both"/>
              <w:rPr>
                <w:rFonts w:ascii="Times New Roman" w:eastAsia="Times New Roman" w:hAnsi="Times New Roman" w:cs="Times New Roman"/>
                <w:noProof/>
                <w:sz w:val="24"/>
              </w:rPr>
            </w:pPr>
          </w:p>
        </w:tc>
        <w:tc>
          <w:tcPr>
            <w:tcW w:w="779" w:type="dxa"/>
            <w:shd w:val="clear" w:color="auto" w:fill="C5EECE"/>
            <w:tcMar>
              <w:left w:w="57" w:type="dxa"/>
              <w:right w:w="57" w:type="dxa"/>
            </w:tcMar>
          </w:tcPr>
          <w:p w14:paraId="77F5E477" w14:textId="77777777" w:rsidR="003F46B9" w:rsidRDefault="0065662E">
            <w:pPr>
              <w:pStyle w:val="P68B1DB1-Normal5"/>
              <w:spacing w:before="138" w:after="0"/>
              <w:jc w:val="both"/>
              <w:rPr>
                <w:rFonts w:eastAsia="Times New Roman" w:cs="Times New Roman"/>
                <w:noProof/>
              </w:rPr>
            </w:pPr>
            <w:r>
              <w:rPr>
                <w:noProof/>
              </w:rPr>
              <w:t>ČETVRTO TROMJESEČJE</w:t>
            </w:r>
          </w:p>
        </w:tc>
        <w:tc>
          <w:tcPr>
            <w:tcW w:w="1003" w:type="dxa"/>
            <w:shd w:val="clear" w:color="auto" w:fill="C5EECE"/>
            <w:tcMar>
              <w:left w:w="57" w:type="dxa"/>
              <w:right w:w="57" w:type="dxa"/>
            </w:tcMar>
          </w:tcPr>
          <w:p w14:paraId="2F4A8F82" w14:textId="77777777" w:rsidR="003F46B9" w:rsidRDefault="0065662E">
            <w:pPr>
              <w:pStyle w:val="P68B1DB1-Normal5"/>
              <w:spacing w:before="138" w:after="0"/>
              <w:jc w:val="both"/>
              <w:rPr>
                <w:rFonts w:eastAsia="Times New Roman" w:cs="Times New Roman"/>
                <w:noProof/>
              </w:rPr>
            </w:pPr>
            <w:r>
              <w:rPr>
                <w:noProof/>
              </w:rPr>
              <w:t>2024</w:t>
            </w:r>
          </w:p>
        </w:tc>
        <w:tc>
          <w:tcPr>
            <w:tcW w:w="2215" w:type="dxa"/>
            <w:shd w:val="clear" w:color="auto" w:fill="C5EECE"/>
            <w:tcMar>
              <w:left w:w="57" w:type="dxa"/>
              <w:right w:w="57" w:type="dxa"/>
            </w:tcMar>
          </w:tcPr>
          <w:p w14:paraId="5A7045D1" w14:textId="651EEB79" w:rsidR="003F46B9" w:rsidRDefault="0065662E">
            <w:pPr>
              <w:pStyle w:val="P68B1DB1-Normal5"/>
              <w:spacing w:before="138" w:after="0" w:line="252" w:lineRule="auto"/>
              <w:jc w:val="both"/>
              <w:rPr>
                <w:rFonts w:cs="Times New Roman"/>
                <w:noProof/>
              </w:rPr>
            </w:pPr>
            <w:r>
              <w:rPr>
                <w:noProof/>
              </w:rPr>
              <w:t>Uspostavlja se jedinstveni nacionalni registar zemljišta u državnom vlasništvu koji se upotpunjuje relevantnim podacima. Zemljište se klasificira na temelju jasnih kriterija za klasifikaciju i utvrđivanje kategorija korištenja zemljišta, uključujući 8</w:t>
            </w:r>
            <w:r>
              <w:rPr>
                <w:noProof/>
              </w:rPr>
              <w:t>4000 hektara zemljišta (koje je prethodno utvrđeno kao degradirano/neproduktivno) označeno kao područja ubrzavanja za obnovljive izvore energije, osim ako se neovisnim pedološkim studijama potvrdi neprikladnost.</w:t>
            </w:r>
          </w:p>
        </w:tc>
      </w:tr>
      <w:tr w:rsidR="003F46B9" w14:paraId="21E6739A" w14:textId="77777777">
        <w:trPr>
          <w:trHeight w:val="2040"/>
        </w:trPr>
        <w:tc>
          <w:tcPr>
            <w:tcW w:w="1571" w:type="dxa"/>
            <w:shd w:val="clear" w:color="auto" w:fill="C5EECE"/>
            <w:tcMar>
              <w:left w:w="57" w:type="dxa"/>
              <w:right w:w="57" w:type="dxa"/>
            </w:tcMar>
          </w:tcPr>
          <w:p w14:paraId="6AA04680" w14:textId="6E1D40C3" w:rsidR="003F46B9" w:rsidRDefault="0065662E">
            <w:pPr>
              <w:pStyle w:val="P68B1DB1-Normal5"/>
              <w:spacing w:before="138" w:after="0"/>
              <w:jc w:val="center"/>
              <w:rPr>
                <w:rFonts w:cs="Times New Roman"/>
                <w:noProof/>
              </w:rPr>
            </w:pPr>
            <w:r>
              <w:rPr>
                <w:noProof/>
              </w:rPr>
              <w:t>511</w:t>
            </w:r>
          </w:p>
        </w:tc>
        <w:tc>
          <w:tcPr>
            <w:tcW w:w="2490" w:type="dxa"/>
            <w:shd w:val="clear" w:color="auto" w:fill="C5EECE"/>
            <w:tcMar>
              <w:left w:w="57" w:type="dxa"/>
              <w:right w:w="57" w:type="dxa"/>
            </w:tcMar>
          </w:tcPr>
          <w:p w14:paraId="21BD85DA" w14:textId="77777777" w:rsidR="003F46B9" w:rsidRDefault="0065662E">
            <w:pPr>
              <w:pStyle w:val="P68B1DB1-Normal5"/>
              <w:spacing w:before="141" w:after="0" w:line="245" w:lineRule="auto"/>
              <w:ind w:firstLine="4"/>
              <w:jc w:val="both"/>
              <w:rPr>
                <w:rFonts w:cs="Times New Roman"/>
                <w:noProof/>
              </w:rPr>
            </w:pPr>
            <w:r>
              <w:rPr>
                <w:noProof/>
              </w:rPr>
              <w:t xml:space="preserve">Reforma 1. Stvaranje pravnog okvira za </w:t>
            </w:r>
            <w:r>
              <w:rPr>
                <w:noProof/>
              </w:rPr>
              <w:t>korištenje državnog zemljišta kao područja ubrzavanja za ulaganja u obnovljive izvore energije</w:t>
            </w:r>
          </w:p>
          <w:p w14:paraId="7EC4BE81" w14:textId="77777777" w:rsidR="003F46B9" w:rsidRDefault="003F46B9">
            <w:pPr>
              <w:spacing w:before="141" w:after="0" w:line="245" w:lineRule="auto"/>
              <w:ind w:firstLine="4"/>
              <w:jc w:val="both"/>
              <w:rPr>
                <w:rFonts w:ascii="Times New Roman" w:hAnsi="Times New Roman" w:cs="Times New Roman"/>
                <w:noProof/>
                <w:sz w:val="24"/>
              </w:rPr>
            </w:pPr>
          </w:p>
        </w:tc>
        <w:tc>
          <w:tcPr>
            <w:tcW w:w="906" w:type="dxa"/>
            <w:shd w:val="clear" w:color="auto" w:fill="C5EECE"/>
            <w:tcMar>
              <w:left w:w="57" w:type="dxa"/>
              <w:right w:w="57" w:type="dxa"/>
            </w:tcMar>
          </w:tcPr>
          <w:p w14:paraId="5CCD518C" w14:textId="77777777" w:rsidR="003F46B9" w:rsidRDefault="0065662E">
            <w:pPr>
              <w:pStyle w:val="P68B1DB1-Normal5"/>
              <w:spacing w:before="138" w:after="0" w:line="254" w:lineRule="auto"/>
              <w:rPr>
                <w:rFonts w:cs="Times New Roman"/>
                <w:noProof/>
              </w:rPr>
            </w:pPr>
            <w:r>
              <w:rPr>
                <w:noProof/>
              </w:rPr>
              <w:t>Prekretnica</w:t>
            </w:r>
          </w:p>
        </w:tc>
        <w:tc>
          <w:tcPr>
            <w:tcW w:w="1159" w:type="dxa"/>
            <w:shd w:val="clear" w:color="auto" w:fill="C5EECE"/>
            <w:tcMar>
              <w:left w:w="57" w:type="dxa"/>
              <w:right w:w="57" w:type="dxa"/>
            </w:tcMar>
          </w:tcPr>
          <w:p w14:paraId="4BBE5D46" w14:textId="77777777" w:rsidR="003F46B9" w:rsidRDefault="0065662E">
            <w:pPr>
              <w:pStyle w:val="P68B1DB1-Normal5"/>
              <w:spacing w:before="138" w:after="0" w:line="254" w:lineRule="auto"/>
              <w:jc w:val="both"/>
              <w:rPr>
                <w:rFonts w:eastAsia="Times New Roman" w:cs="Times New Roman"/>
                <w:noProof/>
              </w:rPr>
            </w:pPr>
            <w:r>
              <w:rPr>
                <w:noProof/>
              </w:rPr>
              <w:t xml:space="preserve">Potpisivanje ugovora o koncesiji u područjima ubrzavanja </w:t>
            </w:r>
          </w:p>
        </w:tc>
        <w:tc>
          <w:tcPr>
            <w:tcW w:w="1159" w:type="dxa"/>
            <w:shd w:val="clear" w:color="auto" w:fill="C5EECE"/>
            <w:tcMar>
              <w:left w:w="57" w:type="dxa"/>
              <w:right w:w="57" w:type="dxa"/>
            </w:tcMar>
          </w:tcPr>
          <w:p w14:paraId="610D121B" w14:textId="77777777" w:rsidR="003F46B9" w:rsidRDefault="0065662E">
            <w:pPr>
              <w:pStyle w:val="P68B1DB1-Normal5"/>
              <w:spacing w:before="138" w:after="0" w:line="254" w:lineRule="auto"/>
              <w:jc w:val="both"/>
              <w:rPr>
                <w:rFonts w:cs="Times New Roman"/>
                <w:noProof/>
              </w:rPr>
            </w:pPr>
            <w:r>
              <w:rPr>
                <w:noProof/>
              </w:rPr>
              <w:t xml:space="preserve">Potpisivanje ugovora </w:t>
            </w:r>
          </w:p>
        </w:tc>
        <w:tc>
          <w:tcPr>
            <w:tcW w:w="1127" w:type="dxa"/>
            <w:shd w:val="clear" w:color="auto" w:fill="C5EECE"/>
            <w:tcMar>
              <w:left w:w="57" w:type="dxa"/>
              <w:right w:w="57" w:type="dxa"/>
            </w:tcMar>
          </w:tcPr>
          <w:p w14:paraId="4D7C812E" w14:textId="77777777" w:rsidR="003F46B9" w:rsidRDefault="003F46B9">
            <w:pPr>
              <w:spacing w:after="0"/>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3C74A6B7" w14:textId="77777777" w:rsidR="003F46B9" w:rsidRDefault="003F46B9">
            <w:pPr>
              <w:spacing w:after="0"/>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622C8EA0" w14:textId="77777777" w:rsidR="003F46B9" w:rsidRDefault="003F46B9">
            <w:pPr>
              <w:spacing w:after="0"/>
              <w:rPr>
                <w:rFonts w:ascii="Times New Roman" w:eastAsia="Times New Roman" w:hAnsi="Times New Roman" w:cs="Times New Roman"/>
                <w:noProof/>
                <w:sz w:val="24"/>
              </w:rPr>
            </w:pPr>
          </w:p>
        </w:tc>
        <w:tc>
          <w:tcPr>
            <w:tcW w:w="779" w:type="dxa"/>
            <w:shd w:val="clear" w:color="auto" w:fill="C5EECE"/>
            <w:tcMar>
              <w:left w:w="57" w:type="dxa"/>
              <w:right w:w="57" w:type="dxa"/>
            </w:tcMar>
          </w:tcPr>
          <w:p w14:paraId="6268694A" w14:textId="77777777" w:rsidR="003F46B9" w:rsidRDefault="0065662E">
            <w:pPr>
              <w:pStyle w:val="P68B1DB1-Normal5"/>
              <w:spacing w:before="138" w:after="0"/>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5A9C1B91" w14:textId="77777777" w:rsidR="003F46B9" w:rsidRDefault="0065662E">
            <w:pPr>
              <w:pStyle w:val="P68B1DB1-Normal5"/>
              <w:spacing w:before="138" w:after="0"/>
              <w:rPr>
                <w:rFonts w:eastAsia="Times New Roman" w:cs="Times New Roman"/>
                <w:noProof/>
              </w:rPr>
            </w:pPr>
            <w:r>
              <w:rPr>
                <w:noProof/>
              </w:rPr>
              <w:t>2025</w:t>
            </w:r>
          </w:p>
        </w:tc>
        <w:tc>
          <w:tcPr>
            <w:tcW w:w="2215" w:type="dxa"/>
            <w:shd w:val="clear" w:color="auto" w:fill="C5EECE"/>
            <w:tcMar>
              <w:left w:w="57" w:type="dxa"/>
              <w:right w:w="57" w:type="dxa"/>
            </w:tcMar>
          </w:tcPr>
          <w:p w14:paraId="31DA61CB" w14:textId="77777777" w:rsidR="003F46B9" w:rsidRDefault="0065662E">
            <w:pPr>
              <w:pStyle w:val="P68B1DB1-Normal5"/>
              <w:spacing w:before="138" w:after="0" w:line="252" w:lineRule="auto"/>
              <w:jc w:val="both"/>
              <w:rPr>
                <w:rFonts w:cs="Times New Roman"/>
                <w:noProof/>
              </w:rPr>
            </w:pPr>
            <w:r>
              <w:rPr>
                <w:noProof/>
              </w:rPr>
              <w:t xml:space="preserve">Nakon prvog kruga natječajnih postupaka </w:t>
            </w:r>
            <w:r>
              <w:rPr>
                <w:noProof/>
              </w:rPr>
              <w:t>potpisuju se ugovori o koncesiji za zemljište za uvođenje novih proizvodnih kapaciteta iz obnovljivih izvora u područjima ubrzavanja.</w:t>
            </w:r>
          </w:p>
        </w:tc>
      </w:tr>
      <w:tr w:rsidR="003F46B9" w14:paraId="5C4462B8" w14:textId="77777777">
        <w:trPr>
          <w:trHeight w:val="1065"/>
        </w:trPr>
        <w:tc>
          <w:tcPr>
            <w:tcW w:w="1571" w:type="dxa"/>
            <w:shd w:val="clear" w:color="auto" w:fill="C5EECE"/>
            <w:tcMar>
              <w:left w:w="57" w:type="dxa"/>
              <w:right w:w="57" w:type="dxa"/>
            </w:tcMar>
          </w:tcPr>
          <w:p w14:paraId="20EDA008" w14:textId="734A6123" w:rsidR="003F46B9" w:rsidRDefault="0065662E">
            <w:pPr>
              <w:pStyle w:val="P68B1DB1-Normal21"/>
              <w:spacing w:before="138" w:after="0"/>
              <w:jc w:val="center"/>
              <w:rPr>
                <w:noProof/>
              </w:rPr>
            </w:pPr>
            <w:r>
              <w:rPr>
                <w:noProof/>
              </w:rPr>
              <w:t>512</w:t>
            </w:r>
          </w:p>
        </w:tc>
        <w:tc>
          <w:tcPr>
            <w:tcW w:w="2490" w:type="dxa"/>
            <w:shd w:val="clear" w:color="auto" w:fill="C5EECE"/>
            <w:tcMar>
              <w:left w:w="57" w:type="dxa"/>
              <w:right w:w="57" w:type="dxa"/>
            </w:tcMar>
          </w:tcPr>
          <w:p w14:paraId="57211883" w14:textId="77777777" w:rsidR="003F46B9" w:rsidRDefault="0065662E">
            <w:pPr>
              <w:pStyle w:val="P68B1DB1-P68B1DB1-Normal830"/>
              <w:spacing w:before="120" w:after="120" w:line="276" w:lineRule="auto"/>
              <w:jc w:val="both"/>
              <w:rPr>
                <w:rFonts w:cs="Times New Roman"/>
                <w:noProof/>
              </w:rPr>
            </w:pPr>
            <w:r>
              <w:rPr>
                <w:noProof/>
              </w:rPr>
              <w:t>Ulaganje 1. Osposobljavanje za vještine povezane sa zelenom energijom</w:t>
            </w:r>
          </w:p>
        </w:tc>
        <w:tc>
          <w:tcPr>
            <w:tcW w:w="906" w:type="dxa"/>
            <w:shd w:val="clear" w:color="auto" w:fill="C5EECE"/>
            <w:tcMar>
              <w:left w:w="57" w:type="dxa"/>
              <w:right w:w="57" w:type="dxa"/>
            </w:tcMar>
          </w:tcPr>
          <w:p w14:paraId="2BB64FFA" w14:textId="77777777" w:rsidR="003F46B9" w:rsidRDefault="0065662E">
            <w:pPr>
              <w:pStyle w:val="P68B1DB1-Normal5"/>
              <w:spacing w:before="153" w:after="0" w:line="245" w:lineRule="auto"/>
              <w:ind w:left="316" w:hanging="316"/>
              <w:rPr>
                <w:rFonts w:cs="Times New Roman"/>
                <w:noProof/>
              </w:rPr>
            </w:pPr>
            <w:r>
              <w:rPr>
                <w:noProof/>
              </w:rPr>
              <w:t>Ciljna</w:t>
            </w:r>
          </w:p>
        </w:tc>
        <w:tc>
          <w:tcPr>
            <w:tcW w:w="1159" w:type="dxa"/>
            <w:shd w:val="clear" w:color="auto" w:fill="C5EECE"/>
            <w:tcMar>
              <w:left w:w="57" w:type="dxa"/>
              <w:right w:w="57" w:type="dxa"/>
            </w:tcMar>
          </w:tcPr>
          <w:p w14:paraId="0C27035D" w14:textId="2629F059" w:rsidR="003F46B9" w:rsidRDefault="0065662E">
            <w:pPr>
              <w:pStyle w:val="P68B1DB1-Normal5"/>
              <w:spacing w:before="138" w:after="0" w:line="254" w:lineRule="auto"/>
              <w:jc w:val="both"/>
              <w:rPr>
                <w:rFonts w:cs="Times New Roman"/>
                <w:noProof/>
              </w:rPr>
            </w:pPr>
            <w:r>
              <w:rPr>
                <w:noProof/>
              </w:rPr>
              <w:t xml:space="preserve">Odobreni standardi zanimanja u području proizvodnje obnovljive energije </w:t>
            </w:r>
          </w:p>
        </w:tc>
        <w:tc>
          <w:tcPr>
            <w:tcW w:w="1159" w:type="dxa"/>
            <w:shd w:val="clear" w:color="auto" w:fill="C5EECE"/>
            <w:tcMar>
              <w:left w:w="57" w:type="dxa"/>
              <w:right w:w="57" w:type="dxa"/>
            </w:tcMar>
          </w:tcPr>
          <w:p w14:paraId="4FB8BC95" w14:textId="77777777" w:rsidR="003F46B9" w:rsidRDefault="003F46B9">
            <w:pPr>
              <w:spacing w:before="153" w:after="0" w:line="245" w:lineRule="auto"/>
              <w:ind w:left="195" w:hanging="195"/>
              <w:jc w:val="both"/>
              <w:rPr>
                <w:rFonts w:ascii="Times New Roman" w:hAnsi="Times New Roman" w:cs="Times New Roman"/>
                <w:noProof/>
                <w:sz w:val="24"/>
              </w:rPr>
            </w:pPr>
          </w:p>
        </w:tc>
        <w:tc>
          <w:tcPr>
            <w:tcW w:w="1127" w:type="dxa"/>
            <w:shd w:val="clear" w:color="auto" w:fill="C5EECE"/>
            <w:tcMar>
              <w:left w:w="57" w:type="dxa"/>
              <w:right w:w="57" w:type="dxa"/>
            </w:tcMar>
          </w:tcPr>
          <w:p w14:paraId="7D278A00" w14:textId="77777777" w:rsidR="003F46B9" w:rsidRDefault="0065662E">
            <w:pPr>
              <w:pStyle w:val="P68B1DB1-Normal5"/>
              <w:spacing w:before="138" w:after="0"/>
              <w:rPr>
                <w:rFonts w:cs="Times New Roman"/>
                <w:noProof/>
              </w:rPr>
            </w:pPr>
            <w:r>
              <w:rPr>
                <w:noProof/>
              </w:rPr>
              <w:t xml:space="preserve">Standardi zanimanja </w:t>
            </w:r>
          </w:p>
        </w:tc>
        <w:tc>
          <w:tcPr>
            <w:tcW w:w="1794" w:type="dxa"/>
            <w:shd w:val="clear" w:color="auto" w:fill="C5EECE"/>
            <w:tcMar>
              <w:left w:w="57" w:type="dxa"/>
              <w:right w:w="57" w:type="dxa"/>
            </w:tcMar>
          </w:tcPr>
          <w:p w14:paraId="70E61516" w14:textId="77777777" w:rsidR="003F46B9" w:rsidRDefault="003F46B9">
            <w:pPr>
              <w:spacing w:before="138" w:after="0"/>
              <w:rPr>
                <w:rFonts w:ascii="Times New Roman" w:hAnsi="Times New Roman" w:cs="Times New Roman"/>
                <w:noProof/>
                <w:sz w:val="24"/>
              </w:rPr>
            </w:pPr>
          </w:p>
        </w:tc>
        <w:tc>
          <w:tcPr>
            <w:tcW w:w="1054" w:type="dxa"/>
            <w:shd w:val="clear" w:color="auto" w:fill="C5EECE"/>
            <w:tcMar>
              <w:left w:w="57" w:type="dxa"/>
              <w:right w:w="57" w:type="dxa"/>
            </w:tcMar>
          </w:tcPr>
          <w:p w14:paraId="45C3ED32" w14:textId="77777777" w:rsidR="003F46B9" w:rsidRDefault="0065662E">
            <w:pPr>
              <w:pStyle w:val="P68B1DB1-Normal5"/>
              <w:spacing w:before="138" w:after="0"/>
              <w:rPr>
                <w:rFonts w:cs="Times New Roman"/>
                <w:noProof/>
              </w:rPr>
            </w:pPr>
            <w:r>
              <w:rPr>
                <w:noProof/>
              </w:rPr>
              <w:t>9</w:t>
            </w:r>
          </w:p>
        </w:tc>
        <w:tc>
          <w:tcPr>
            <w:tcW w:w="779" w:type="dxa"/>
            <w:shd w:val="clear" w:color="auto" w:fill="C5EECE"/>
            <w:tcMar>
              <w:left w:w="57" w:type="dxa"/>
              <w:right w:w="57" w:type="dxa"/>
            </w:tcMar>
          </w:tcPr>
          <w:p w14:paraId="086F68EA" w14:textId="77777777" w:rsidR="003F46B9" w:rsidRDefault="0065662E">
            <w:pPr>
              <w:pStyle w:val="P68B1DB1-Normal5"/>
              <w:spacing w:before="153" w:after="0"/>
              <w:jc w:val="center"/>
              <w:rPr>
                <w:rFonts w:cs="Times New Roman"/>
                <w:noProof/>
              </w:rPr>
            </w:pPr>
            <w:r>
              <w:rPr>
                <w:noProof/>
              </w:rPr>
              <w:t>ČETVRTO TROMJESEČJE</w:t>
            </w:r>
          </w:p>
        </w:tc>
        <w:tc>
          <w:tcPr>
            <w:tcW w:w="1003" w:type="dxa"/>
            <w:shd w:val="clear" w:color="auto" w:fill="C5EECE"/>
            <w:tcMar>
              <w:left w:w="57" w:type="dxa"/>
              <w:right w:w="57" w:type="dxa"/>
            </w:tcMar>
          </w:tcPr>
          <w:p w14:paraId="35189301" w14:textId="77777777" w:rsidR="003F46B9" w:rsidRDefault="0065662E">
            <w:pPr>
              <w:pStyle w:val="P68B1DB1-Normal5"/>
              <w:spacing w:before="153" w:after="0"/>
              <w:rPr>
                <w:rFonts w:cs="Times New Roman"/>
                <w:noProof/>
              </w:rPr>
            </w:pPr>
            <w:r>
              <w:rPr>
                <w:noProof/>
              </w:rPr>
              <w:t>2024</w:t>
            </w:r>
          </w:p>
        </w:tc>
        <w:tc>
          <w:tcPr>
            <w:tcW w:w="2215" w:type="dxa"/>
            <w:shd w:val="clear" w:color="auto" w:fill="C5EECE"/>
            <w:tcMar>
              <w:left w:w="57" w:type="dxa"/>
              <w:right w:w="57" w:type="dxa"/>
            </w:tcMar>
          </w:tcPr>
          <w:p w14:paraId="0ACC5779" w14:textId="7321C276" w:rsidR="003F46B9" w:rsidRDefault="0065662E">
            <w:pPr>
              <w:pStyle w:val="P68B1DB1-Normal5"/>
              <w:spacing w:before="153" w:after="0" w:line="252" w:lineRule="auto"/>
              <w:jc w:val="both"/>
              <w:rPr>
                <w:noProof/>
              </w:rPr>
            </w:pPr>
            <w:r>
              <w:rPr>
                <w:noProof/>
              </w:rPr>
              <w:t>Utvrđuje se najmanje sedam novih standarda zanimanja, a najmanje dva već odobrena standarda zanimanja moraju se revidirati na temelju</w:t>
            </w:r>
            <w:r>
              <w:rPr>
                <w:noProof/>
              </w:rPr>
              <w:t xml:space="preserve"> mapiranja potreba za osposobljavanjem.</w:t>
            </w:r>
          </w:p>
        </w:tc>
      </w:tr>
      <w:tr w:rsidR="003F46B9" w14:paraId="42E588A2" w14:textId="77777777">
        <w:trPr>
          <w:trHeight w:val="750"/>
        </w:trPr>
        <w:tc>
          <w:tcPr>
            <w:tcW w:w="1571" w:type="dxa"/>
            <w:shd w:val="clear" w:color="auto" w:fill="C5EECE"/>
            <w:tcMar>
              <w:left w:w="57" w:type="dxa"/>
              <w:right w:w="57" w:type="dxa"/>
            </w:tcMar>
          </w:tcPr>
          <w:p w14:paraId="468C1BAA" w14:textId="712E2000" w:rsidR="003F46B9" w:rsidRDefault="0065662E">
            <w:pPr>
              <w:pStyle w:val="P68B1DB1-Normal21"/>
              <w:spacing w:before="138" w:after="0"/>
              <w:jc w:val="center"/>
              <w:rPr>
                <w:noProof/>
              </w:rPr>
            </w:pPr>
            <w:r>
              <w:rPr>
                <w:noProof/>
              </w:rPr>
              <w:t>513</w:t>
            </w:r>
          </w:p>
        </w:tc>
        <w:tc>
          <w:tcPr>
            <w:tcW w:w="2490" w:type="dxa"/>
            <w:shd w:val="clear" w:color="auto" w:fill="C5EECE"/>
            <w:tcMar>
              <w:left w:w="57" w:type="dxa"/>
              <w:right w:w="57" w:type="dxa"/>
            </w:tcMar>
          </w:tcPr>
          <w:p w14:paraId="080E150A" w14:textId="77777777" w:rsidR="003F46B9" w:rsidRDefault="0065662E">
            <w:pPr>
              <w:pStyle w:val="P68B1DB1-P68B1DB1-Normal830"/>
              <w:spacing w:before="120" w:after="120" w:line="276" w:lineRule="auto"/>
              <w:jc w:val="both"/>
              <w:rPr>
                <w:rFonts w:cs="Times New Roman"/>
                <w:noProof/>
              </w:rPr>
            </w:pPr>
            <w:r>
              <w:rPr>
                <w:noProof/>
              </w:rPr>
              <w:t>Ulaganje 1. Osposobljavanje za vještine povezane sa zelenom energijom</w:t>
            </w:r>
          </w:p>
        </w:tc>
        <w:tc>
          <w:tcPr>
            <w:tcW w:w="906" w:type="dxa"/>
            <w:shd w:val="clear" w:color="auto" w:fill="C5EECE"/>
            <w:tcMar>
              <w:left w:w="57" w:type="dxa"/>
              <w:right w:w="57" w:type="dxa"/>
            </w:tcMar>
          </w:tcPr>
          <w:p w14:paraId="1F49D0AA" w14:textId="77777777" w:rsidR="003F46B9" w:rsidRDefault="0065662E">
            <w:pPr>
              <w:pStyle w:val="P68B1DB1-Normal5"/>
              <w:spacing w:before="153" w:after="0" w:line="245" w:lineRule="auto"/>
              <w:ind w:left="316" w:hanging="316"/>
              <w:rPr>
                <w:rFonts w:cs="Times New Roman"/>
                <w:noProof/>
              </w:rPr>
            </w:pPr>
            <w:r>
              <w:rPr>
                <w:noProof/>
              </w:rPr>
              <w:t>Ciljna</w:t>
            </w:r>
          </w:p>
        </w:tc>
        <w:tc>
          <w:tcPr>
            <w:tcW w:w="1159" w:type="dxa"/>
            <w:shd w:val="clear" w:color="auto" w:fill="C5EECE"/>
            <w:tcMar>
              <w:left w:w="57" w:type="dxa"/>
              <w:right w:w="57" w:type="dxa"/>
            </w:tcMar>
          </w:tcPr>
          <w:p w14:paraId="6DD6CDCA" w14:textId="118E9903" w:rsidR="003F46B9" w:rsidRDefault="0065662E">
            <w:pPr>
              <w:pStyle w:val="P68B1DB1-Normal5"/>
              <w:spacing w:before="153" w:after="0" w:line="252" w:lineRule="auto"/>
              <w:jc w:val="both"/>
              <w:rPr>
                <w:rFonts w:cs="Times New Roman"/>
                <w:noProof/>
              </w:rPr>
            </w:pPr>
            <w:r>
              <w:rPr>
                <w:noProof/>
              </w:rPr>
              <w:t>Najmanje 4000 radnika koji su završili tečajeve osposobljavanja u području proizvodnje energije iz obnovljivih izvora</w:t>
            </w:r>
          </w:p>
        </w:tc>
        <w:tc>
          <w:tcPr>
            <w:tcW w:w="1159" w:type="dxa"/>
            <w:shd w:val="clear" w:color="auto" w:fill="C5EECE"/>
            <w:tcMar>
              <w:left w:w="57" w:type="dxa"/>
              <w:right w:w="57" w:type="dxa"/>
            </w:tcMar>
          </w:tcPr>
          <w:p w14:paraId="64A1BBE3" w14:textId="77777777" w:rsidR="003F46B9" w:rsidRDefault="003F46B9">
            <w:pPr>
              <w:spacing w:before="153" w:after="0" w:line="245" w:lineRule="auto"/>
              <w:ind w:left="195" w:hanging="195"/>
              <w:jc w:val="both"/>
              <w:rPr>
                <w:rFonts w:ascii="Times New Roman" w:hAnsi="Times New Roman" w:cs="Times New Roman"/>
                <w:noProof/>
                <w:sz w:val="24"/>
              </w:rPr>
            </w:pPr>
          </w:p>
        </w:tc>
        <w:tc>
          <w:tcPr>
            <w:tcW w:w="1127" w:type="dxa"/>
            <w:shd w:val="clear" w:color="auto" w:fill="C5EECE"/>
            <w:tcMar>
              <w:left w:w="57" w:type="dxa"/>
              <w:right w:w="57" w:type="dxa"/>
            </w:tcMar>
          </w:tcPr>
          <w:p w14:paraId="2BB1D6E5" w14:textId="77777777" w:rsidR="003F46B9" w:rsidRDefault="0065662E">
            <w:pPr>
              <w:pStyle w:val="P68B1DB1-Normal5"/>
              <w:spacing w:before="138" w:after="0"/>
              <w:rPr>
                <w:rFonts w:cs="Times New Roman"/>
                <w:noProof/>
              </w:rPr>
            </w:pPr>
            <w:r>
              <w:rPr>
                <w:noProof/>
              </w:rPr>
              <w:t>Broj</w:t>
            </w:r>
          </w:p>
        </w:tc>
        <w:tc>
          <w:tcPr>
            <w:tcW w:w="1794" w:type="dxa"/>
            <w:shd w:val="clear" w:color="auto" w:fill="C5EECE"/>
            <w:tcMar>
              <w:left w:w="57" w:type="dxa"/>
              <w:right w:w="57" w:type="dxa"/>
            </w:tcMar>
          </w:tcPr>
          <w:p w14:paraId="608DEA74" w14:textId="77777777" w:rsidR="003F46B9" w:rsidRDefault="0065662E">
            <w:pPr>
              <w:pStyle w:val="P68B1DB1-Normal5"/>
              <w:spacing w:before="138" w:after="0"/>
              <w:rPr>
                <w:rFonts w:cs="Times New Roman"/>
                <w:noProof/>
              </w:rPr>
            </w:pPr>
            <w:r>
              <w:rPr>
                <w:noProof/>
              </w:rPr>
              <w:t>0</w:t>
            </w:r>
          </w:p>
        </w:tc>
        <w:tc>
          <w:tcPr>
            <w:tcW w:w="1054" w:type="dxa"/>
            <w:shd w:val="clear" w:color="auto" w:fill="C5EECE"/>
            <w:tcMar>
              <w:left w:w="57" w:type="dxa"/>
              <w:right w:w="57" w:type="dxa"/>
            </w:tcMar>
          </w:tcPr>
          <w:p w14:paraId="3F68471F" w14:textId="77777777" w:rsidR="003F46B9" w:rsidRDefault="0065662E">
            <w:pPr>
              <w:pStyle w:val="P68B1DB1-Normal5"/>
              <w:spacing w:before="153" w:after="0"/>
              <w:jc w:val="center"/>
              <w:rPr>
                <w:rFonts w:cs="Times New Roman"/>
                <w:noProof/>
              </w:rPr>
            </w:pPr>
            <w:r>
              <w:rPr>
                <w:noProof/>
              </w:rPr>
              <w:t>4 000</w:t>
            </w:r>
          </w:p>
        </w:tc>
        <w:tc>
          <w:tcPr>
            <w:tcW w:w="779" w:type="dxa"/>
            <w:shd w:val="clear" w:color="auto" w:fill="C5EECE"/>
            <w:tcMar>
              <w:left w:w="57" w:type="dxa"/>
              <w:right w:w="57" w:type="dxa"/>
            </w:tcMar>
          </w:tcPr>
          <w:p w14:paraId="1E7D4814" w14:textId="77777777" w:rsidR="003F46B9" w:rsidRDefault="0065662E">
            <w:pPr>
              <w:pStyle w:val="P68B1DB1-Normal5"/>
              <w:spacing w:before="153" w:after="0"/>
              <w:jc w:val="center"/>
              <w:rPr>
                <w:rFonts w:cs="Times New Roman"/>
                <w:noProof/>
              </w:rPr>
            </w:pPr>
            <w:r>
              <w:rPr>
                <w:noProof/>
              </w:rPr>
              <w:t xml:space="preserve">TROMJESEČJE </w:t>
            </w:r>
          </w:p>
        </w:tc>
        <w:tc>
          <w:tcPr>
            <w:tcW w:w="1003" w:type="dxa"/>
            <w:shd w:val="clear" w:color="auto" w:fill="C5EECE"/>
            <w:tcMar>
              <w:left w:w="57" w:type="dxa"/>
              <w:right w:w="57" w:type="dxa"/>
            </w:tcMar>
          </w:tcPr>
          <w:p w14:paraId="4742FC9C" w14:textId="77777777" w:rsidR="003F46B9" w:rsidRDefault="0065662E">
            <w:pPr>
              <w:pStyle w:val="P68B1DB1-Normal5"/>
              <w:spacing w:before="153" w:after="0"/>
              <w:rPr>
                <w:rFonts w:cs="Times New Roman"/>
                <w:noProof/>
              </w:rPr>
            </w:pPr>
            <w:r>
              <w:rPr>
                <w:noProof/>
              </w:rPr>
              <w:t>2026</w:t>
            </w:r>
          </w:p>
        </w:tc>
        <w:tc>
          <w:tcPr>
            <w:tcW w:w="2215" w:type="dxa"/>
            <w:shd w:val="clear" w:color="auto" w:fill="C5EECE"/>
            <w:tcMar>
              <w:left w:w="57" w:type="dxa"/>
              <w:right w:w="57" w:type="dxa"/>
            </w:tcMar>
          </w:tcPr>
          <w:p w14:paraId="6FE1C23D" w14:textId="77777777" w:rsidR="003F46B9" w:rsidRDefault="0065662E">
            <w:pPr>
              <w:pStyle w:val="P68B1DB1-Normal5"/>
              <w:spacing w:before="138" w:after="0" w:line="264" w:lineRule="auto"/>
              <w:jc w:val="both"/>
              <w:rPr>
                <w:rFonts w:cs="Times New Roman"/>
                <w:noProof/>
              </w:rPr>
            </w:pPr>
            <w:r>
              <w:rPr>
                <w:noProof/>
              </w:rPr>
              <w:t>Najmanje 4000 radnika mora biti certificirano da su završili tečajeve osposobljavanja u području proizvodnje energije iz obnovljivih izvora.</w:t>
            </w:r>
          </w:p>
        </w:tc>
      </w:tr>
      <w:tr w:rsidR="003F46B9" w14:paraId="163D7A23" w14:textId="77777777">
        <w:trPr>
          <w:trHeight w:val="750"/>
        </w:trPr>
        <w:tc>
          <w:tcPr>
            <w:tcW w:w="1571" w:type="dxa"/>
            <w:shd w:val="clear" w:color="auto" w:fill="C5EECE"/>
            <w:tcMar>
              <w:left w:w="57" w:type="dxa"/>
              <w:right w:w="57" w:type="dxa"/>
            </w:tcMar>
          </w:tcPr>
          <w:p w14:paraId="7AB78D08" w14:textId="1B7DE412" w:rsidR="003F46B9" w:rsidRDefault="0065662E">
            <w:pPr>
              <w:pStyle w:val="P68B1DB1-Normal21"/>
              <w:spacing w:before="138"/>
              <w:jc w:val="center"/>
              <w:rPr>
                <w:noProof/>
              </w:rPr>
            </w:pPr>
            <w:r>
              <w:rPr>
                <w:noProof/>
              </w:rPr>
              <w:t>124</w:t>
            </w:r>
          </w:p>
        </w:tc>
        <w:tc>
          <w:tcPr>
            <w:tcW w:w="2490" w:type="dxa"/>
            <w:shd w:val="clear" w:color="auto" w:fill="C5EECE"/>
            <w:tcMar>
              <w:left w:w="57" w:type="dxa"/>
              <w:right w:w="57" w:type="dxa"/>
            </w:tcMar>
          </w:tcPr>
          <w:p w14:paraId="6EAA7878" w14:textId="77777777" w:rsidR="003F46B9" w:rsidRDefault="0065662E">
            <w:pPr>
              <w:pStyle w:val="P68B1DB1-Normal5"/>
              <w:spacing w:before="152" w:after="0"/>
              <w:jc w:val="both"/>
              <w:rPr>
                <w:rFonts w:cs="Times New Roman"/>
                <w:noProof/>
              </w:rPr>
            </w:pPr>
            <w:r>
              <w:rPr>
                <w:noProof/>
              </w:rPr>
              <w:t>Ulaganje 2. Novi kapaciteti za proizvodnju električne energije iz obnovljivih izvora</w:t>
            </w:r>
          </w:p>
        </w:tc>
        <w:tc>
          <w:tcPr>
            <w:tcW w:w="906" w:type="dxa"/>
            <w:shd w:val="clear" w:color="auto" w:fill="C5EECE"/>
            <w:tcMar>
              <w:left w:w="57" w:type="dxa"/>
              <w:right w:w="57" w:type="dxa"/>
            </w:tcMar>
          </w:tcPr>
          <w:p w14:paraId="1CDC8A82" w14:textId="77777777" w:rsidR="003F46B9" w:rsidRDefault="0065662E">
            <w:pPr>
              <w:pStyle w:val="P68B1DB1-Normal5"/>
              <w:spacing w:before="138" w:line="252" w:lineRule="auto"/>
              <w:rPr>
                <w:rFonts w:cs="Times New Roman"/>
                <w:noProof/>
              </w:rPr>
            </w:pPr>
            <w:r>
              <w:rPr>
                <w:noProof/>
              </w:rPr>
              <w:t>Prekretnica</w:t>
            </w:r>
          </w:p>
        </w:tc>
        <w:tc>
          <w:tcPr>
            <w:tcW w:w="1159" w:type="dxa"/>
            <w:shd w:val="clear" w:color="auto" w:fill="C5EECE"/>
            <w:tcMar>
              <w:left w:w="57" w:type="dxa"/>
              <w:right w:w="57" w:type="dxa"/>
            </w:tcMar>
          </w:tcPr>
          <w:p w14:paraId="53BA5AE4" w14:textId="77777777" w:rsidR="003F46B9" w:rsidRDefault="0065662E">
            <w:pPr>
              <w:pStyle w:val="P68B1DB1-Normal17"/>
              <w:spacing w:before="138" w:line="252" w:lineRule="auto"/>
              <w:jc w:val="both"/>
              <w:rPr>
                <w:rFonts w:ascii="Times New Roman" w:hAnsi="Times New Roman" w:cs="Times New Roman"/>
                <w:noProof/>
              </w:rPr>
            </w:pPr>
            <w:r>
              <w:rPr>
                <w:rFonts w:ascii="Times New Roman" w:hAnsi="Times New Roman"/>
                <w:noProof/>
              </w:rPr>
              <w:t>O otvaranju poziva na podnošenje ponuda za projekte za proizvodnju energije iz obnovljivih</w:t>
            </w:r>
            <w:r>
              <w:rPr>
                <w:noProof/>
              </w:rPr>
              <w:t xml:space="preserve"> </w:t>
            </w:r>
            <w:r>
              <w:rPr>
                <w:rFonts w:ascii="Times New Roman" w:hAnsi="Times New Roman"/>
                <w:noProof/>
              </w:rPr>
              <w:t>izvora (vjetar i solarna energija)</w:t>
            </w:r>
          </w:p>
        </w:tc>
        <w:tc>
          <w:tcPr>
            <w:tcW w:w="1159" w:type="dxa"/>
            <w:shd w:val="clear" w:color="auto" w:fill="C5EECE"/>
            <w:tcMar>
              <w:left w:w="57" w:type="dxa"/>
              <w:right w:w="57" w:type="dxa"/>
            </w:tcMar>
          </w:tcPr>
          <w:p w14:paraId="2F3DC97A" w14:textId="77777777" w:rsidR="003F46B9" w:rsidRDefault="003F46B9">
            <w:pPr>
              <w:spacing w:before="138" w:line="252" w:lineRule="auto"/>
              <w:jc w:val="both"/>
              <w:rPr>
                <w:rFonts w:ascii="Times New Roman" w:hAnsi="Times New Roman" w:cs="Times New Roman"/>
                <w:noProof/>
                <w:sz w:val="24"/>
              </w:rPr>
            </w:pPr>
          </w:p>
        </w:tc>
        <w:tc>
          <w:tcPr>
            <w:tcW w:w="1127" w:type="dxa"/>
            <w:shd w:val="clear" w:color="auto" w:fill="C5EECE"/>
            <w:tcMar>
              <w:left w:w="57" w:type="dxa"/>
              <w:right w:w="57" w:type="dxa"/>
            </w:tcMar>
          </w:tcPr>
          <w:p w14:paraId="70670F54" w14:textId="77777777" w:rsidR="003F46B9" w:rsidRDefault="003F46B9">
            <w:pPr>
              <w:spacing w:before="138"/>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3CC40AB1" w14:textId="77777777" w:rsidR="003F46B9" w:rsidRDefault="003F46B9">
            <w:pPr>
              <w:spacing w:before="138"/>
              <w:jc w:val="center"/>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47DB07D6" w14:textId="77777777" w:rsidR="003F46B9" w:rsidRDefault="003F46B9">
            <w:pPr>
              <w:spacing w:before="138"/>
              <w:jc w:val="center"/>
              <w:rPr>
                <w:rFonts w:ascii="Times New Roman" w:eastAsia="Times New Roman" w:hAnsi="Times New Roman" w:cs="Times New Roman"/>
                <w:noProof/>
                <w:sz w:val="24"/>
              </w:rPr>
            </w:pPr>
          </w:p>
        </w:tc>
        <w:tc>
          <w:tcPr>
            <w:tcW w:w="779" w:type="dxa"/>
            <w:shd w:val="clear" w:color="auto" w:fill="C5EECE"/>
            <w:tcMar>
              <w:left w:w="57" w:type="dxa"/>
              <w:right w:w="57" w:type="dxa"/>
            </w:tcMar>
          </w:tcPr>
          <w:p w14:paraId="38C866EC" w14:textId="47A3530A" w:rsidR="003F46B9" w:rsidRDefault="0065662E">
            <w:pPr>
              <w:pStyle w:val="P68B1DB1-Normal5"/>
              <w:spacing w:before="138"/>
              <w:jc w:val="center"/>
              <w:rPr>
                <w:rFonts w:eastAsia="Times New Roman" w:cs="Times New Roman"/>
                <w:noProof/>
              </w:rPr>
            </w:pPr>
            <w:r>
              <w:rPr>
                <w:noProof/>
              </w:rPr>
              <w:t>TROMJESEČJE</w:t>
            </w:r>
          </w:p>
        </w:tc>
        <w:tc>
          <w:tcPr>
            <w:tcW w:w="1003" w:type="dxa"/>
            <w:shd w:val="clear" w:color="auto" w:fill="C5EECE"/>
            <w:tcMar>
              <w:left w:w="57" w:type="dxa"/>
              <w:right w:w="57" w:type="dxa"/>
            </w:tcMar>
          </w:tcPr>
          <w:p w14:paraId="7B213ED4" w14:textId="77777777" w:rsidR="003F46B9" w:rsidRDefault="0065662E">
            <w:pPr>
              <w:pStyle w:val="P68B1DB1-Normal5"/>
              <w:spacing w:before="138"/>
              <w:rPr>
                <w:rFonts w:eastAsia="Times New Roman" w:cs="Times New Roman"/>
                <w:noProof/>
              </w:rPr>
            </w:pPr>
            <w:r>
              <w:rPr>
                <w:noProof/>
              </w:rPr>
              <w:t>2022</w:t>
            </w:r>
          </w:p>
        </w:tc>
        <w:tc>
          <w:tcPr>
            <w:tcW w:w="2215" w:type="dxa"/>
            <w:shd w:val="clear" w:color="auto" w:fill="C5EECE"/>
            <w:tcMar>
              <w:left w:w="57" w:type="dxa"/>
              <w:right w:w="57" w:type="dxa"/>
            </w:tcMar>
          </w:tcPr>
          <w:p w14:paraId="457435B7" w14:textId="53AC357F" w:rsidR="003F46B9" w:rsidRDefault="0065662E">
            <w:pPr>
              <w:pStyle w:val="P68B1DB1-Normal17"/>
              <w:spacing w:before="138" w:line="264" w:lineRule="auto"/>
              <w:jc w:val="both"/>
              <w:rPr>
                <w:rFonts w:ascii="Times New Roman" w:hAnsi="Times New Roman" w:cs="Times New Roman"/>
                <w:noProof/>
              </w:rPr>
            </w:pPr>
            <w:r>
              <w:rPr>
                <w:noProof/>
              </w:rPr>
              <w:t>Objavljen je</w:t>
            </w:r>
            <w:r>
              <w:rPr>
                <w:rFonts w:ascii="Times New Roman" w:hAnsi="Times New Roman"/>
                <w:noProof/>
              </w:rPr>
              <w:t>poziv na podnošenje ponuda za odabir projekata za proizvodnju energije iz obnovljivih</w:t>
            </w:r>
            <w:r>
              <w:rPr>
                <w:rFonts w:ascii="Times New Roman" w:hAnsi="Times New Roman"/>
                <w:noProof/>
              </w:rPr>
              <w:t xml:space="preserve"> izvora (vjetar i solarna energija). Kriterijima odabira osigurava se</w:t>
            </w:r>
            <w:r>
              <w:rPr>
                <w:noProof/>
              </w:rPr>
              <w:t xml:space="preserve"> </w:t>
            </w:r>
            <w:r>
              <w:rPr>
                <w:rFonts w:ascii="Times New Roman" w:hAnsi="Times New Roman"/>
                <w:noProof/>
              </w:rPr>
              <w:t>usklađenost s Tehničkim smjernicama o nenanošenju bitne štete (C(2023) 6454 final). Poziv je otvoren i za MSP-ove i za velike ulagače.</w:t>
            </w:r>
          </w:p>
        </w:tc>
      </w:tr>
      <w:tr w:rsidR="003F46B9" w14:paraId="05E43ADB" w14:textId="77777777">
        <w:trPr>
          <w:trHeight w:val="750"/>
        </w:trPr>
        <w:tc>
          <w:tcPr>
            <w:tcW w:w="1571" w:type="dxa"/>
            <w:shd w:val="clear" w:color="auto" w:fill="C5EECE"/>
            <w:tcMar>
              <w:left w:w="57" w:type="dxa"/>
              <w:right w:w="57" w:type="dxa"/>
            </w:tcMar>
          </w:tcPr>
          <w:p w14:paraId="4F833D39" w14:textId="77777777" w:rsidR="003F46B9" w:rsidRDefault="0065662E">
            <w:pPr>
              <w:pStyle w:val="P68B1DB1-Normal5"/>
              <w:spacing w:before="138"/>
              <w:jc w:val="center"/>
              <w:rPr>
                <w:rFonts w:cs="Times New Roman"/>
                <w:noProof/>
              </w:rPr>
            </w:pPr>
            <w:r>
              <w:rPr>
                <w:noProof/>
              </w:rPr>
              <w:t>125</w:t>
            </w:r>
          </w:p>
        </w:tc>
        <w:tc>
          <w:tcPr>
            <w:tcW w:w="2490" w:type="dxa"/>
            <w:shd w:val="clear" w:color="auto" w:fill="C5EECE"/>
            <w:tcMar>
              <w:left w:w="57" w:type="dxa"/>
              <w:right w:w="57" w:type="dxa"/>
            </w:tcMar>
          </w:tcPr>
          <w:p w14:paraId="78D0897F" w14:textId="77777777" w:rsidR="003F46B9" w:rsidRDefault="0065662E">
            <w:pPr>
              <w:pStyle w:val="P68B1DB1-Normal5"/>
              <w:spacing w:before="152" w:after="0"/>
              <w:jc w:val="both"/>
              <w:rPr>
                <w:rFonts w:cs="Times New Roman"/>
                <w:noProof/>
              </w:rPr>
            </w:pPr>
            <w:r>
              <w:rPr>
                <w:noProof/>
              </w:rPr>
              <w:t xml:space="preserve">Ulaganje 2. Novi kapaciteti za proizvodnju električne energije iz obnovljivih izvora </w:t>
            </w:r>
          </w:p>
        </w:tc>
        <w:tc>
          <w:tcPr>
            <w:tcW w:w="906" w:type="dxa"/>
            <w:shd w:val="clear" w:color="auto" w:fill="C5EECE"/>
            <w:tcMar>
              <w:left w:w="57" w:type="dxa"/>
              <w:right w:w="57" w:type="dxa"/>
            </w:tcMar>
          </w:tcPr>
          <w:p w14:paraId="7337CC83" w14:textId="77777777" w:rsidR="003F46B9" w:rsidRDefault="0065662E">
            <w:pPr>
              <w:pStyle w:val="P68B1DB1-Normal5"/>
              <w:spacing w:before="138" w:line="252" w:lineRule="auto"/>
              <w:rPr>
                <w:rFonts w:cs="Times New Roman"/>
                <w:noProof/>
              </w:rPr>
            </w:pPr>
            <w:r>
              <w:rPr>
                <w:noProof/>
              </w:rPr>
              <w:t>Ciljna</w:t>
            </w:r>
          </w:p>
        </w:tc>
        <w:tc>
          <w:tcPr>
            <w:tcW w:w="1159" w:type="dxa"/>
            <w:shd w:val="clear" w:color="auto" w:fill="C5EECE"/>
            <w:tcMar>
              <w:left w:w="57" w:type="dxa"/>
              <w:right w:w="57" w:type="dxa"/>
            </w:tcMar>
          </w:tcPr>
          <w:p w14:paraId="3EADB5B3" w14:textId="11474536" w:rsidR="003F46B9" w:rsidRDefault="0065662E">
            <w:pPr>
              <w:pStyle w:val="P68B1DB1-Normal5"/>
              <w:spacing w:before="138" w:line="252" w:lineRule="auto"/>
              <w:jc w:val="both"/>
              <w:rPr>
                <w:rFonts w:cs="Times New Roman"/>
                <w:noProof/>
              </w:rPr>
            </w:pPr>
            <w:r>
              <w:rPr>
                <w:noProof/>
              </w:rPr>
              <w:t>Instalirani kapacitet iz obnovljivih izvora (vjetar i solarna energija)</w:t>
            </w:r>
          </w:p>
        </w:tc>
        <w:tc>
          <w:tcPr>
            <w:tcW w:w="1159" w:type="dxa"/>
            <w:shd w:val="clear" w:color="auto" w:fill="C5EECE"/>
            <w:tcMar>
              <w:left w:w="57" w:type="dxa"/>
              <w:right w:w="57" w:type="dxa"/>
            </w:tcMar>
          </w:tcPr>
          <w:p w14:paraId="29207476" w14:textId="77777777" w:rsidR="003F46B9" w:rsidRDefault="003F46B9">
            <w:pPr>
              <w:spacing w:before="138" w:line="252" w:lineRule="auto"/>
              <w:jc w:val="both"/>
              <w:rPr>
                <w:rFonts w:ascii="Times New Roman" w:hAnsi="Times New Roman" w:cs="Times New Roman"/>
                <w:noProof/>
                <w:sz w:val="24"/>
              </w:rPr>
            </w:pPr>
          </w:p>
        </w:tc>
        <w:tc>
          <w:tcPr>
            <w:tcW w:w="1127" w:type="dxa"/>
            <w:shd w:val="clear" w:color="auto" w:fill="C5EECE"/>
            <w:tcMar>
              <w:left w:w="57" w:type="dxa"/>
              <w:right w:w="57" w:type="dxa"/>
            </w:tcMar>
          </w:tcPr>
          <w:p w14:paraId="5D20A3F0" w14:textId="77777777" w:rsidR="003F46B9" w:rsidRDefault="0065662E">
            <w:pPr>
              <w:pStyle w:val="P68B1DB1-Normal5"/>
              <w:spacing w:before="138"/>
              <w:rPr>
                <w:rFonts w:eastAsia="Times New Roman" w:cs="Times New Roman"/>
                <w:noProof/>
              </w:rPr>
            </w:pPr>
            <w:r>
              <w:rPr>
                <w:noProof/>
              </w:rPr>
              <w:t>Megavati (MW)</w:t>
            </w:r>
          </w:p>
        </w:tc>
        <w:tc>
          <w:tcPr>
            <w:tcW w:w="1794" w:type="dxa"/>
            <w:shd w:val="clear" w:color="auto" w:fill="C5EECE"/>
            <w:tcMar>
              <w:left w:w="57" w:type="dxa"/>
              <w:right w:w="57" w:type="dxa"/>
            </w:tcMar>
          </w:tcPr>
          <w:p w14:paraId="483E1C8F" w14:textId="77777777" w:rsidR="003F46B9" w:rsidRDefault="0065662E">
            <w:pPr>
              <w:pStyle w:val="P68B1DB1-Normal5"/>
              <w:spacing w:before="138"/>
              <w:jc w:val="center"/>
              <w:rPr>
                <w:rFonts w:eastAsia="Times New Roman" w:cs="Times New Roman"/>
                <w:noProof/>
              </w:rPr>
            </w:pPr>
            <w:r>
              <w:rPr>
                <w:noProof/>
              </w:rPr>
              <w:t>0</w:t>
            </w:r>
          </w:p>
        </w:tc>
        <w:tc>
          <w:tcPr>
            <w:tcW w:w="1054" w:type="dxa"/>
            <w:shd w:val="clear" w:color="auto" w:fill="C5EECE"/>
            <w:tcMar>
              <w:left w:w="57" w:type="dxa"/>
              <w:right w:w="57" w:type="dxa"/>
            </w:tcMar>
          </w:tcPr>
          <w:p w14:paraId="11DA62C8" w14:textId="77777777" w:rsidR="003F46B9" w:rsidRDefault="0065662E">
            <w:pPr>
              <w:pStyle w:val="P68B1DB1-Normal5"/>
              <w:spacing w:before="138"/>
              <w:jc w:val="center"/>
              <w:rPr>
                <w:rFonts w:eastAsia="Times New Roman" w:cs="Times New Roman"/>
                <w:noProof/>
              </w:rPr>
            </w:pPr>
            <w:r>
              <w:rPr>
                <w:noProof/>
              </w:rPr>
              <w:t>950</w:t>
            </w:r>
          </w:p>
        </w:tc>
        <w:tc>
          <w:tcPr>
            <w:tcW w:w="779" w:type="dxa"/>
            <w:shd w:val="clear" w:color="auto" w:fill="C5EECE"/>
            <w:tcMar>
              <w:left w:w="57" w:type="dxa"/>
              <w:right w:w="57" w:type="dxa"/>
            </w:tcMar>
          </w:tcPr>
          <w:p w14:paraId="020C5B6A" w14:textId="77777777" w:rsidR="003F46B9" w:rsidRDefault="0065662E">
            <w:pPr>
              <w:pStyle w:val="P68B1DB1-Normal5"/>
              <w:spacing w:before="138"/>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2F1BB34C" w14:textId="77777777" w:rsidR="003F46B9" w:rsidRDefault="0065662E">
            <w:pPr>
              <w:pStyle w:val="P68B1DB1-Normal5"/>
              <w:spacing w:before="138"/>
              <w:rPr>
                <w:rFonts w:eastAsia="Times New Roman" w:cs="Times New Roman"/>
                <w:noProof/>
              </w:rPr>
            </w:pPr>
            <w:r>
              <w:rPr>
                <w:noProof/>
              </w:rPr>
              <w:t>2024</w:t>
            </w:r>
          </w:p>
        </w:tc>
        <w:tc>
          <w:tcPr>
            <w:tcW w:w="2215" w:type="dxa"/>
            <w:shd w:val="clear" w:color="auto" w:fill="C5EECE"/>
            <w:tcMar>
              <w:left w:w="57" w:type="dxa"/>
              <w:right w:w="57" w:type="dxa"/>
            </w:tcMar>
          </w:tcPr>
          <w:p w14:paraId="54BA3085" w14:textId="330DA63A" w:rsidR="003F46B9" w:rsidRDefault="0065662E">
            <w:pPr>
              <w:pStyle w:val="P68B1DB1-Normal5"/>
              <w:spacing w:before="138" w:line="264" w:lineRule="auto"/>
              <w:jc w:val="both"/>
              <w:rPr>
                <w:rFonts w:cs="Times New Roman"/>
                <w:noProof/>
              </w:rPr>
            </w:pPr>
            <w:r>
              <w:rPr>
                <w:noProof/>
              </w:rPr>
              <w:t>Najmanje 950 MW kapaciteta iz obnovljivih izv</w:t>
            </w:r>
            <w:r>
              <w:rPr>
                <w:noProof/>
              </w:rPr>
              <w:t xml:space="preserve">ora (vjetar i solarna energija) stavlja se u pogon i priključuje na mrežu, u skladu s uvjetima iz ključne etape 124. </w:t>
            </w:r>
          </w:p>
        </w:tc>
      </w:tr>
      <w:tr w:rsidR="003F46B9" w14:paraId="118B1B4E" w14:textId="77777777">
        <w:trPr>
          <w:trHeight w:val="750"/>
        </w:trPr>
        <w:tc>
          <w:tcPr>
            <w:tcW w:w="1571" w:type="dxa"/>
            <w:shd w:val="clear" w:color="auto" w:fill="C5EECE"/>
            <w:tcMar>
              <w:left w:w="57" w:type="dxa"/>
              <w:right w:w="57" w:type="dxa"/>
            </w:tcMar>
          </w:tcPr>
          <w:p w14:paraId="1FB2A38D" w14:textId="2071C2F4" w:rsidR="003F46B9" w:rsidRDefault="0065662E">
            <w:pPr>
              <w:pStyle w:val="P68B1DB1-Normal21"/>
              <w:spacing w:before="138" w:after="0"/>
              <w:jc w:val="center"/>
              <w:rPr>
                <w:noProof/>
              </w:rPr>
            </w:pPr>
            <w:r>
              <w:rPr>
                <w:noProof/>
              </w:rPr>
              <w:t>514</w:t>
            </w:r>
          </w:p>
        </w:tc>
        <w:tc>
          <w:tcPr>
            <w:tcW w:w="2490" w:type="dxa"/>
            <w:shd w:val="clear" w:color="auto" w:fill="C5EECE"/>
            <w:tcMar>
              <w:left w:w="57" w:type="dxa"/>
              <w:right w:w="57" w:type="dxa"/>
            </w:tcMar>
          </w:tcPr>
          <w:p w14:paraId="23391059" w14:textId="77777777" w:rsidR="003F46B9" w:rsidRDefault="0065662E">
            <w:pPr>
              <w:pStyle w:val="P68B1DB1-Normal5"/>
              <w:spacing w:before="152" w:after="0"/>
              <w:jc w:val="both"/>
              <w:rPr>
                <w:rFonts w:cs="Times New Roman"/>
                <w:noProof/>
              </w:rPr>
            </w:pPr>
            <w:r>
              <w:rPr>
                <w:noProof/>
              </w:rPr>
              <w:t>Ulaganje 3. Povećanje energetske učinkovitosti javnih zgrada</w:t>
            </w:r>
          </w:p>
        </w:tc>
        <w:tc>
          <w:tcPr>
            <w:tcW w:w="906" w:type="dxa"/>
            <w:shd w:val="clear" w:color="auto" w:fill="C5EECE"/>
            <w:tcMar>
              <w:left w:w="57" w:type="dxa"/>
              <w:right w:w="57" w:type="dxa"/>
            </w:tcMar>
          </w:tcPr>
          <w:p w14:paraId="5F34DBAE" w14:textId="77777777" w:rsidR="003F46B9" w:rsidRDefault="0065662E">
            <w:pPr>
              <w:pStyle w:val="P68B1DB1-Normal5"/>
              <w:spacing w:before="138" w:after="0" w:line="254" w:lineRule="auto"/>
              <w:rPr>
                <w:rFonts w:cs="Times New Roman"/>
                <w:noProof/>
              </w:rPr>
            </w:pPr>
            <w:r>
              <w:rPr>
                <w:noProof/>
              </w:rPr>
              <w:t>Ciljna</w:t>
            </w:r>
          </w:p>
        </w:tc>
        <w:tc>
          <w:tcPr>
            <w:tcW w:w="1159" w:type="dxa"/>
            <w:shd w:val="clear" w:color="auto" w:fill="C5EECE"/>
            <w:tcMar>
              <w:left w:w="57" w:type="dxa"/>
              <w:right w:w="57" w:type="dxa"/>
            </w:tcMar>
          </w:tcPr>
          <w:p w14:paraId="09DC88A4" w14:textId="77777777" w:rsidR="003F46B9" w:rsidRDefault="0065662E">
            <w:pPr>
              <w:pStyle w:val="P68B1DB1-Normal5"/>
              <w:spacing w:before="153" w:after="0" w:line="252" w:lineRule="auto"/>
              <w:jc w:val="both"/>
              <w:rPr>
                <w:rFonts w:cs="Times New Roman"/>
                <w:noProof/>
              </w:rPr>
            </w:pPr>
            <w:r>
              <w:rPr>
                <w:noProof/>
              </w:rPr>
              <w:t>Dovršene energetske obnove javnih zgrada</w:t>
            </w:r>
          </w:p>
        </w:tc>
        <w:tc>
          <w:tcPr>
            <w:tcW w:w="1159" w:type="dxa"/>
            <w:shd w:val="clear" w:color="auto" w:fill="C5EECE"/>
            <w:tcMar>
              <w:left w:w="57" w:type="dxa"/>
              <w:right w:w="57" w:type="dxa"/>
            </w:tcMar>
          </w:tcPr>
          <w:p w14:paraId="6C72BAAA" w14:textId="77777777" w:rsidR="003F46B9" w:rsidRDefault="003F46B9">
            <w:pPr>
              <w:spacing w:before="153" w:after="0" w:line="245" w:lineRule="auto"/>
              <w:ind w:left="195" w:hanging="195"/>
              <w:jc w:val="both"/>
              <w:rPr>
                <w:rFonts w:ascii="Times New Roman" w:hAnsi="Times New Roman" w:cs="Times New Roman"/>
                <w:noProof/>
                <w:sz w:val="24"/>
              </w:rPr>
            </w:pPr>
          </w:p>
        </w:tc>
        <w:tc>
          <w:tcPr>
            <w:tcW w:w="1127" w:type="dxa"/>
            <w:shd w:val="clear" w:color="auto" w:fill="C5EECE"/>
            <w:tcMar>
              <w:left w:w="57" w:type="dxa"/>
              <w:right w:w="57" w:type="dxa"/>
            </w:tcMar>
          </w:tcPr>
          <w:p w14:paraId="087009B7" w14:textId="77777777" w:rsidR="003F46B9" w:rsidRDefault="0065662E">
            <w:pPr>
              <w:pStyle w:val="P68B1DB1-Normal5"/>
              <w:spacing w:before="153" w:after="0"/>
              <w:rPr>
                <w:rFonts w:cs="Times New Roman"/>
                <w:noProof/>
              </w:rPr>
            </w:pPr>
            <w:r>
              <w:rPr>
                <w:noProof/>
              </w:rPr>
              <w:t>Broj (m²)</w:t>
            </w:r>
          </w:p>
        </w:tc>
        <w:tc>
          <w:tcPr>
            <w:tcW w:w="1794" w:type="dxa"/>
            <w:shd w:val="clear" w:color="auto" w:fill="C5EECE"/>
            <w:tcMar>
              <w:left w:w="57" w:type="dxa"/>
              <w:right w:w="57" w:type="dxa"/>
            </w:tcMar>
          </w:tcPr>
          <w:p w14:paraId="4D3171FE" w14:textId="77777777" w:rsidR="003F46B9" w:rsidRDefault="0065662E">
            <w:pPr>
              <w:pStyle w:val="P68B1DB1-Normal5"/>
              <w:spacing w:before="153" w:after="0"/>
              <w:jc w:val="center"/>
              <w:rPr>
                <w:rFonts w:cs="Times New Roman"/>
                <w:noProof/>
              </w:rPr>
            </w:pPr>
            <w:r>
              <w:rPr>
                <w:noProof/>
              </w:rPr>
              <w:t>1 797 841</w:t>
            </w:r>
          </w:p>
        </w:tc>
        <w:tc>
          <w:tcPr>
            <w:tcW w:w="1054" w:type="dxa"/>
            <w:shd w:val="clear" w:color="auto" w:fill="C5EECE"/>
            <w:tcMar>
              <w:left w:w="57" w:type="dxa"/>
              <w:right w:w="57" w:type="dxa"/>
            </w:tcMar>
          </w:tcPr>
          <w:p w14:paraId="7CEF062B" w14:textId="77777777" w:rsidR="003F46B9" w:rsidRDefault="0065662E">
            <w:pPr>
              <w:pStyle w:val="P68B1DB1-Normal5"/>
              <w:spacing w:before="153" w:after="0"/>
              <w:jc w:val="center"/>
              <w:rPr>
                <w:rFonts w:cs="Times New Roman"/>
                <w:noProof/>
              </w:rPr>
            </w:pPr>
            <w:r>
              <w:rPr>
                <w:noProof/>
              </w:rPr>
              <w:t>2 264 351</w:t>
            </w:r>
          </w:p>
        </w:tc>
        <w:tc>
          <w:tcPr>
            <w:tcW w:w="779" w:type="dxa"/>
            <w:shd w:val="clear" w:color="auto" w:fill="C5EECE"/>
            <w:tcMar>
              <w:left w:w="57" w:type="dxa"/>
              <w:right w:w="57" w:type="dxa"/>
            </w:tcMar>
          </w:tcPr>
          <w:p w14:paraId="78CCAB36" w14:textId="77777777" w:rsidR="003F46B9" w:rsidRDefault="0065662E">
            <w:pPr>
              <w:pStyle w:val="P68B1DB1-Normal5"/>
              <w:spacing w:before="153" w:after="0"/>
              <w:jc w:val="center"/>
              <w:rPr>
                <w:rFonts w:cs="Times New Roman"/>
                <w:noProof/>
              </w:rPr>
            </w:pPr>
            <w:r>
              <w:rPr>
                <w:noProof/>
              </w:rPr>
              <w:t>TROMJESEČJE</w:t>
            </w:r>
          </w:p>
        </w:tc>
        <w:tc>
          <w:tcPr>
            <w:tcW w:w="1003" w:type="dxa"/>
            <w:shd w:val="clear" w:color="auto" w:fill="C5EECE"/>
            <w:tcMar>
              <w:left w:w="57" w:type="dxa"/>
              <w:right w:w="57" w:type="dxa"/>
            </w:tcMar>
          </w:tcPr>
          <w:p w14:paraId="5ED11FBD" w14:textId="77777777" w:rsidR="003F46B9" w:rsidRDefault="0065662E">
            <w:pPr>
              <w:pStyle w:val="P68B1DB1-Normal5"/>
              <w:spacing w:before="153" w:after="0"/>
              <w:rPr>
                <w:rFonts w:cs="Times New Roman"/>
                <w:noProof/>
              </w:rPr>
            </w:pPr>
            <w:r>
              <w:rPr>
                <w:noProof/>
              </w:rPr>
              <w:t>2026</w:t>
            </w:r>
          </w:p>
        </w:tc>
        <w:tc>
          <w:tcPr>
            <w:tcW w:w="2215" w:type="dxa"/>
            <w:shd w:val="clear" w:color="auto" w:fill="C5EECE"/>
            <w:tcMar>
              <w:left w:w="57" w:type="dxa"/>
              <w:right w:w="57" w:type="dxa"/>
            </w:tcMar>
          </w:tcPr>
          <w:p w14:paraId="17BB8FDF" w14:textId="55965ADE" w:rsidR="003F46B9" w:rsidRDefault="0065662E">
            <w:pPr>
              <w:pStyle w:val="P68B1DB1-Normal5"/>
              <w:spacing w:before="138" w:after="0" w:line="264" w:lineRule="auto"/>
              <w:jc w:val="both"/>
              <w:rPr>
                <w:rFonts w:cs="Times New Roman"/>
                <w:noProof/>
              </w:rPr>
            </w:pPr>
            <w:r>
              <w:rPr>
                <w:noProof/>
              </w:rPr>
              <w:t>Najmanje 2 264 351 m² javnih zgrada mora biti obnovljeno u skladu sa zahtjevima utvrđenima u ključnim etapama 96 i 98.</w:t>
            </w:r>
          </w:p>
        </w:tc>
      </w:tr>
      <w:tr w:rsidR="003F46B9" w14:paraId="00CFC171" w14:textId="77777777">
        <w:trPr>
          <w:trHeight w:val="547"/>
        </w:trPr>
        <w:tc>
          <w:tcPr>
            <w:tcW w:w="1571" w:type="dxa"/>
            <w:shd w:val="clear" w:color="auto" w:fill="C5EECE"/>
            <w:tcMar>
              <w:left w:w="57" w:type="dxa"/>
              <w:right w:w="57" w:type="dxa"/>
            </w:tcMar>
          </w:tcPr>
          <w:p w14:paraId="20A34924" w14:textId="708EFB43" w:rsidR="003F46B9" w:rsidRDefault="0065662E">
            <w:pPr>
              <w:pStyle w:val="P68B1DB1-Normal21"/>
              <w:spacing w:before="138" w:after="0"/>
              <w:jc w:val="center"/>
              <w:rPr>
                <w:noProof/>
              </w:rPr>
            </w:pPr>
            <w:r>
              <w:rPr>
                <w:noProof/>
              </w:rPr>
              <w:t>515</w:t>
            </w:r>
          </w:p>
        </w:tc>
        <w:tc>
          <w:tcPr>
            <w:tcW w:w="2490" w:type="dxa"/>
            <w:shd w:val="clear" w:color="auto" w:fill="C5EECE"/>
            <w:tcMar>
              <w:left w:w="57" w:type="dxa"/>
              <w:right w:w="57" w:type="dxa"/>
            </w:tcMar>
          </w:tcPr>
          <w:p w14:paraId="3339C0B2" w14:textId="77777777" w:rsidR="003F46B9" w:rsidRDefault="0065662E">
            <w:pPr>
              <w:pStyle w:val="P68B1DB1-Normal5"/>
              <w:spacing w:before="141" w:after="0" w:line="245" w:lineRule="auto"/>
              <w:ind w:firstLine="4"/>
              <w:jc w:val="both"/>
              <w:rPr>
                <w:rFonts w:cs="Times New Roman"/>
                <w:noProof/>
              </w:rPr>
            </w:pPr>
            <w:r>
              <w:rPr>
                <w:noProof/>
              </w:rPr>
              <w:t xml:space="preserve">Ulaganje 4. Program dodjele kupona kako bi se ubrzalo uvođenje energije iz obnovljivih izvora u </w:t>
            </w:r>
            <w:r>
              <w:rPr>
                <w:noProof/>
              </w:rPr>
              <w:t>kućanstvima</w:t>
            </w:r>
          </w:p>
        </w:tc>
        <w:tc>
          <w:tcPr>
            <w:tcW w:w="906" w:type="dxa"/>
            <w:shd w:val="clear" w:color="auto" w:fill="C5EECE"/>
            <w:tcMar>
              <w:left w:w="57" w:type="dxa"/>
              <w:right w:w="57" w:type="dxa"/>
            </w:tcMar>
          </w:tcPr>
          <w:p w14:paraId="49A2459B" w14:textId="77777777" w:rsidR="003F46B9" w:rsidRDefault="0065662E">
            <w:pPr>
              <w:pStyle w:val="P68B1DB1-Normal5"/>
              <w:spacing w:before="153" w:after="0" w:line="245" w:lineRule="auto"/>
              <w:ind w:left="316" w:hanging="316"/>
              <w:rPr>
                <w:rFonts w:cs="Times New Roman"/>
                <w:noProof/>
              </w:rPr>
            </w:pPr>
            <w:r>
              <w:rPr>
                <w:noProof/>
              </w:rPr>
              <w:t>Prekretnica</w:t>
            </w:r>
          </w:p>
        </w:tc>
        <w:tc>
          <w:tcPr>
            <w:tcW w:w="1159" w:type="dxa"/>
            <w:shd w:val="clear" w:color="auto" w:fill="C5EECE"/>
            <w:tcMar>
              <w:left w:w="57" w:type="dxa"/>
              <w:right w:w="57" w:type="dxa"/>
            </w:tcMar>
          </w:tcPr>
          <w:p w14:paraId="71551616" w14:textId="77777777" w:rsidR="003F46B9" w:rsidRDefault="0065662E">
            <w:pPr>
              <w:pStyle w:val="P68B1DB1-Normal5"/>
              <w:spacing w:before="153" w:after="0" w:line="252" w:lineRule="auto"/>
              <w:jc w:val="both"/>
              <w:rPr>
                <w:rFonts w:cs="Times New Roman"/>
                <w:noProof/>
              </w:rPr>
            </w:pPr>
            <w:r>
              <w:rPr>
                <w:noProof/>
              </w:rPr>
              <w:t>Objava poziva na podnošenje projekata</w:t>
            </w:r>
          </w:p>
        </w:tc>
        <w:tc>
          <w:tcPr>
            <w:tcW w:w="1159" w:type="dxa"/>
            <w:shd w:val="clear" w:color="auto" w:fill="C5EECE"/>
            <w:tcMar>
              <w:left w:w="57" w:type="dxa"/>
              <w:right w:w="57" w:type="dxa"/>
            </w:tcMar>
          </w:tcPr>
          <w:p w14:paraId="683D2E78" w14:textId="5355CF58" w:rsidR="003F46B9" w:rsidRDefault="0065662E">
            <w:pPr>
              <w:pStyle w:val="P68B1DB1-Normal5"/>
              <w:spacing w:before="153" w:after="0" w:line="245" w:lineRule="auto"/>
              <w:jc w:val="both"/>
              <w:rPr>
                <w:rFonts w:cs="Times New Roman"/>
                <w:noProof/>
              </w:rPr>
            </w:pPr>
            <w:r>
              <w:rPr>
                <w:noProof/>
              </w:rPr>
              <w:t xml:space="preserve">Objava specifikacija poziva </w:t>
            </w:r>
          </w:p>
        </w:tc>
        <w:tc>
          <w:tcPr>
            <w:tcW w:w="1127" w:type="dxa"/>
            <w:shd w:val="clear" w:color="auto" w:fill="C5EECE"/>
            <w:tcMar>
              <w:left w:w="57" w:type="dxa"/>
              <w:right w:w="57" w:type="dxa"/>
            </w:tcMar>
          </w:tcPr>
          <w:p w14:paraId="0E2CA1C4" w14:textId="77777777" w:rsidR="003F46B9" w:rsidRDefault="0065662E">
            <w:pPr>
              <w:pStyle w:val="P68B1DB1-Normal5"/>
              <w:spacing w:before="153" w:after="0"/>
              <w:rPr>
                <w:rFonts w:cs="Times New Roman"/>
                <w:noProof/>
              </w:rPr>
            </w:pPr>
            <w:r>
              <w:rPr>
                <w:noProof/>
              </w:rPr>
              <w:t xml:space="preserve"> </w:t>
            </w:r>
          </w:p>
        </w:tc>
        <w:tc>
          <w:tcPr>
            <w:tcW w:w="1794" w:type="dxa"/>
            <w:shd w:val="clear" w:color="auto" w:fill="C5EECE"/>
            <w:tcMar>
              <w:left w:w="57" w:type="dxa"/>
              <w:right w:w="57" w:type="dxa"/>
            </w:tcMar>
          </w:tcPr>
          <w:p w14:paraId="61468C75" w14:textId="77777777" w:rsidR="003F46B9" w:rsidRDefault="0065662E">
            <w:pPr>
              <w:pStyle w:val="P68B1DB1-Normal5"/>
              <w:spacing w:before="153" w:after="0"/>
              <w:jc w:val="center"/>
              <w:rPr>
                <w:rFonts w:cs="Times New Roman"/>
                <w:noProof/>
              </w:rPr>
            </w:pPr>
            <w:r>
              <w:rPr>
                <w:noProof/>
              </w:rPr>
              <w:t xml:space="preserve"> </w:t>
            </w:r>
          </w:p>
        </w:tc>
        <w:tc>
          <w:tcPr>
            <w:tcW w:w="1054" w:type="dxa"/>
            <w:shd w:val="clear" w:color="auto" w:fill="C5EECE"/>
            <w:tcMar>
              <w:left w:w="57" w:type="dxa"/>
              <w:right w:w="57" w:type="dxa"/>
            </w:tcMar>
          </w:tcPr>
          <w:p w14:paraId="6A873D71" w14:textId="77777777" w:rsidR="003F46B9" w:rsidRDefault="003F46B9">
            <w:pPr>
              <w:spacing w:before="153" w:after="0"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614D0931" w14:textId="2DAEC820" w:rsidR="003F46B9" w:rsidRDefault="0065662E">
            <w:pPr>
              <w:pStyle w:val="P68B1DB1-Normal5"/>
              <w:spacing w:before="153" w:after="0"/>
              <w:jc w:val="center"/>
              <w:rPr>
                <w:rFonts w:cs="Times New Roman"/>
                <w:noProof/>
              </w:rPr>
            </w:pPr>
            <w:r>
              <w:rPr>
                <w:noProof/>
              </w:rPr>
              <w:t>TROMJESEČJE</w:t>
            </w:r>
          </w:p>
        </w:tc>
        <w:tc>
          <w:tcPr>
            <w:tcW w:w="1003" w:type="dxa"/>
            <w:shd w:val="clear" w:color="auto" w:fill="C5EECE"/>
            <w:tcMar>
              <w:left w:w="57" w:type="dxa"/>
              <w:right w:w="57" w:type="dxa"/>
            </w:tcMar>
          </w:tcPr>
          <w:p w14:paraId="63668147" w14:textId="77777777" w:rsidR="003F46B9" w:rsidRDefault="0065662E">
            <w:pPr>
              <w:pStyle w:val="P68B1DB1-Normal5"/>
              <w:spacing w:before="153" w:after="0"/>
              <w:rPr>
                <w:rFonts w:cs="Times New Roman"/>
                <w:noProof/>
              </w:rPr>
            </w:pPr>
            <w:r>
              <w:rPr>
                <w:noProof/>
              </w:rPr>
              <w:t>2024</w:t>
            </w:r>
          </w:p>
        </w:tc>
        <w:tc>
          <w:tcPr>
            <w:tcW w:w="2215" w:type="dxa"/>
            <w:shd w:val="clear" w:color="auto" w:fill="C5EECE"/>
            <w:tcMar>
              <w:left w:w="57" w:type="dxa"/>
              <w:right w:w="57" w:type="dxa"/>
            </w:tcMar>
          </w:tcPr>
          <w:p w14:paraId="6E7A70E2" w14:textId="77777777" w:rsidR="003F46B9" w:rsidRDefault="0065662E">
            <w:pPr>
              <w:pStyle w:val="P68B1DB1-Normal5"/>
              <w:spacing w:before="138" w:after="0" w:line="264" w:lineRule="auto"/>
              <w:jc w:val="both"/>
              <w:rPr>
                <w:rFonts w:cs="Times New Roman"/>
                <w:noProof/>
              </w:rPr>
            </w:pPr>
            <w:r>
              <w:rPr>
                <w:noProof/>
              </w:rPr>
              <w:t>Pozivi na podnošenje projekata za vaučere koji će se upotrebljavati za ugradnju solarnih ploča i sustava za skladištenje električne energije ob</w:t>
            </w:r>
            <w:r>
              <w:rPr>
                <w:noProof/>
              </w:rPr>
              <w:t xml:space="preserve">javljuju se na internetu. </w:t>
            </w:r>
          </w:p>
          <w:p w14:paraId="6A49841D" w14:textId="2F7B394F" w:rsidR="003F46B9" w:rsidRDefault="0065662E">
            <w:pPr>
              <w:pStyle w:val="P68B1DB1-Normal5"/>
              <w:spacing w:before="138" w:after="0" w:line="264" w:lineRule="auto"/>
              <w:jc w:val="both"/>
              <w:rPr>
                <w:rFonts w:cs="Times New Roman"/>
                <w:noProof/>
              </w:rPr>
            </w:pPr>
            <w:r>
              <w:rPr>
                <w:noProof/>
              </w:rPr>
              <w:t xml:space="preserve">Vaučeri podliježu kriterijima odabira kojima je propisano da se svakim kuponom mora ugraditi novi sustavi solarnih ploča (s neto kapacitetom od najmanje 3 kW) ili sustava za skladištenje električne energije (s iskoristivim </w:t>
            </w:r>
            <w:r>
              <w:rPr>
                <w:noProof/>
              </w:rPr>
              <w:t>kapacitetom skladištenja električne energije od najmanje 5 kWh). Samostalni sustavi za skladištenje električne energije prihvatljivi su za potporu samo ako vlasnici nekretnina već posjeduju sustav solarnih ploča (s neto kapacitetom od najmanje 3 kW).</w:t>
            </w:r>
          </w:p>
          <w:p w14:paraId="34717CDC" w14:textId="226875E0" w:rsidR="003F46B9" w:rsidRDefault="003F46B9">
            <w:pPr>
              <w:rPr>
                <w:noProof/>
                <w:sz w:val="24"/>
              </w:rPr>
            </w:pPr>
          </w:p>
        </w:tc>
      </w:tr>
      <w:tr w:rsidR="003F46B9" w14:paraId="385D4936" w14:textId="77777777">
        <w:trPr>
          <w:trHeight w:val="750"/>
        </w:trPr>
        <w:tc>
          <w:tcPr>
            <w:tcW w:w="1571" w:type="dxa"/>
            <w:shd w:val="clear" w:color="auto" w:fill="C5EECE"/>
            <w:tcMar>
              <w:left w:w="57" w:type="dxa"/>
              <w:right w:w="57" w:type="dxa"/>
            </w:tcMar>
          </w:tcPr>
          <w:p w14:paraId="3D3CC466" w14:textId="2BE7896A" w:rsidR="003F46B9" w:rsidRDefault="0065662E">
            <w:pPr>
              <w:pStyle w:val="P68B1DB1-Normal21"/>
              <w:spacing w:before="138" w:after="0"/>
              <w:jc w:val="center"/>
              <w:rPr>
                <w:noProof/>
              </w:rPr>
            </w:pPr>
            <w:r>
              <w:rPr>
                <w:noProof/>
              </w:rPr>
              <w:t>516</w:t>
            </w:r>
          </w:p>
        </w:tc>
        <w:tc>
          <w:tcPr>
            <w:tcW w:w="2490" w:type="dxa"/>
            <w:shd w:val="clear" w:color="auto" w:fill="C5EECE"/>
            <w:tcMar>
              <w:left w:w="57" w:type="dxa"/>
              <w:right w:w="57" w:type="dxa"/>
            </w:tcMar>
          </w:tcPr>
          <w:p w14:paraId="5F47474F" w14:textId="77777777" w:rsidR="003F46B9" w:rsidRDefault="0065662E">
            <w:pPr>
              <w:pStyle w:val="P68B1DB1-Normal5"/>
              <w:spacing w:before="141" w:after="0" w:line="245" w:lineRule="auto"/>
              <w:ind w:firstLine="4"/>
              <w:jc w:val="both"/>
              <w:rPr>
                <w:rFonts w:cs="Times New Roman"/>
                <w:noProof/>
              </w:rPr>
            </w:pPr>
            <w:r>
              <w:rPr>
                <w:noProof/>
              </w:rPr>
              <w:t>Ulaganje 4. Program dodjele kupona kako bi se ubrzalo uvođenje energije iz obnovljivih izvora u kućanstvima</w:t>
            </w:r>
          </w:p>
        </w:tc>
        <w:tc>
          <w:tcPr>
            <w:tcW w:w="906" w:type="dxa"/>
            <w:shd w:val="clear" w:color="auto" w:fill="C5EECE"/>
            <w:tcMar>
              <w:left w:w="57" w:type="dxa"/>
              <w:right w:w="57" w:type="dxa"/>
            </w:tcMar>
          </w:tcPr>
          <w:p w14:paraId="4C87873A" w14:textId="77777777" w:rsidR="003F46B9" w:rsidRDefault="0065662E">
            <w:pPr>
              <w:pStyle w:val="P68B1DB1-Normal5"/>
              <w:spacing w:before="153" w:after="0" w:line="245" w:lineRule="auto"/>
              <w:ind w:left="316" w:hanging="316"/>
              <w:rPr>
                <w:rFonts w:cs="Times New Roman"/>
                <w:noProof/>
              </w:rPr>
            </w:pPr>
            <w:r>
              <w:rPr>
                <w:noProof/>
              </w:rPr>
              <w:t>Ciljna</w:t>
            </w:r>
          </w:p>
        </w:tc>
        <w:tc>
          <w:tcPr>
            <w:tcW w:w="1159" w:type="dxa"/>
            <w:shd w:val="clear" w:color="auto" w:fill="C5EECE"/>
            <w:tcMar>
              <w:left w:w="57" w:type="dxa"/>
              <w:right w:w="57" w:type="dxa"/>
            </w:tcMar>
          </w:tcPr>
          <w:p w14:paraId="065B9AA2" w14:textId="4D6955AB" w:rsidR="003F46B9" w:rsidRDefault="0065662E">
            <w:pPr>
              <w:pStyle w:val="P68B1DB1-Normal5"/>
              <w:spacing w:before="153" w:after="0" w:line="252" w:lineRule="auto"/>
              <w:jc w:val="both"/>
              <w:rPr>
                <w:rFonts w:cs="Times New Roman"/>
                <w:noProof/>
              </w:rPr>
            </w:pPr>
            <w:r>
              <w:rPr>
                <w:noProof/>
              </w:rPr>
              <w:t xml:space="preserve">Proizvodni kapacitet kućanstava iz obnovljivih izvora solarne energije i sustava za skladištenje električne energije </w:t>
            </w:r>
          </w:p>
        </w:tc>
        <w:tc>
          <w:tcPr>
            <w:tcW w:w="1159" w:type="dxa"/>
            <w:shd w:val="clear" w:color="auto" w:fill="C5EECE"/>
            <w:tcMar>
              <w:left w:w="57" w:type="dxa"/>
              <w:right w:w="57" w:type="dxa"/>
            </w:tcMar>
          </w:tcPr>
          <w:p w14:paraId="0347F52C" w14:textId="77777777" w:rsidR="003F46B9" w:rsidRDefault="003F46B9">
            <w:pPr>
              <w:spacing w:before="153" w:after="0" w:line="245" w:lineRule="auto"/>
              <w:ind w:left="195" w:hanging="195"/>
              <w:jc w:val="both"/>
              <w:rPr>
                <w:rFonts w:ascii="Times New Roman" w:hAnsi="Times New Roman" w:cs="Times New Roman"/>
                <w:noProof/>
                <w:sz w:val="24"/>
              </w:rPr>
            </w:pPr>
          </w:p>
        </w:tc>
        <w:tc>
          <w:tcPr>
            <w:tcW w:w="1127" w:type="dxa"/>
            <w:shd w:val="clear" w:color="auto" w:fill="C5EECE"/>
            <w:tcMar>
              <w:left w:w="57" w:type="dxa"/>
              <w:right w:w="57" w:type="dxa"/>
            </w:tcMar>
          </w:tcPr>
          <w:p w14:paraId="7A9554EC" w14:textId="069A524F" w:rsidR="003F46B9" w:rsidRDefault="0065662E">
            <w:pPr>
              <w:pStyle w:val="P68B1DB1-Normal5"/>
              <w:spacing w:before="153" w:after="0"/>
              <w:rPr>
                <w:rFonts w:eastAsia="Times New Roman" w:cs="Times New Roman"/>
                <w:noProof/>
              </w:rPr>
            </w:pPr>
            <w:r>
              <w:rPr>
                <w:noProof/>
              </w:rPr>
              <w:t xml:space="preserve">Broj </w:t>
            </w:r>
          </w:p>
        </w:tc>
        <w:tc>
          <w:tcPr>
            <w:tcW w:w="1794" w:type="dxa"/>
            <w:shd w:val="clear" w:color="auto" w:fill="C5EECE"/>
            <w:tcMar>
              <w:left w:w="57" w:type="dxa"/>
              <w:right w:w="57" w:type="dxa"/>
            </w:tcMar>
          </w:tcPr>
          <w:p w14:paraId="559F882B" w14:textId="77777777" w:rsidR="003F46B9" w:rsidRDefault="0065662E">
            <w:pPr>
              <w:pStyle w:val="P68B1DB1-Normal5"/>
              <w:spacing w:before="153" w:after="0"/>
              <w:jc w:val="center"/>
              <w:rPr>
                <w:rFonts w:eastAsia="Times New Roman" w:cs="Times New Roman"/>
                <w:noProof/>
              </w:rPr>
            </w:pPr>
            <w:r>
              <w:rPr>
                <w:noProof/>
              </w:rPr>
              <w:t>0</w:t>
            </w:r>
          </w:p>
        </w:tc>
        <w:tc>
          <w:tcPr>
            <w:tcW w:w="1054" w:type="dxa"/>
            <w:shd w:val="clear" w:color="auto" w:fill="C5EECE"/>
            <w:tcMar>
              <w:left w:w="57" w:type="dxa"/>
              <w:right w:w="57" w:type="dxa"/>
            </w:tcMar>
          </w:tcPr>
          <w:p w14:paraId="6437C91D" w14:textId="5D086466" w:rsidR="003F46B9" w:rsidRDefault="0065662E">
            <w:pPr>
              <w:pStyle w:val="P68B1DB1-Normal5"/>
              <w:spacing w:before="153" w:after="0" w:line="257" w:lineRule="auto"/>
              <w:jc w:val="center"/>
              <w:rPr>
                <w:rFonts w:cs="Times New Roman"/>
                <w:noProof/>
              </w:rPr>
            </w:pPr>
            <w:r>
              <w:rPr>
                <w:noProof/>
              </w:rPr>
              <w:t>122 000</w:t>
            </w:r>
          </w:p>
          <w:p w14:paraId="4B2B422A" w14:textId="23C0DC8F" w:rsidR="003F46B9" w:rsidRDefault="003F46B9">
            <w:pPr>
              <w:spacing w:before="153" w:after="0"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55961CEC" w14:textId="77777777" w:rsidR="003F46B9" w:rsidRDefault="0065662E">
            <w:pPr>
              <w:pStyle w:val="P68B1DB1-Normal5"/>
              <w:spacing w:before="153" w:after="0"/>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7AE07780" w14:textId="77777777" w:rsidR="003F46B9" w:rsidRDefault="0065662E">
            <w:pPr>
              <w:pStyle w:val="P68B1DB1-Normal5"/>
              <w:spacing w:before="153" w:after="0"/>
              <w:rPr>
                <w:rFonts w:eastAsia="Times New Roman" w:cs="Times New Roman"/>
                <w:noProof/>
              </w:rPr>
            </w:pPr>
            <w:r>
              <w:rPr>
                <w:noProof/>
              </w:rPr>
              <w:t>2025</w:t>
            </w:r>
          </w:p>
        </w:tc>
        <w:tc>
          <w:tcPr>
            <w:tcW w:w="2215" w:type="dxa"/>
            <w:shd w:val="clear" w:color="auto" w:fill="C5EECE"/>
            <w:tcMar>
              <w:left w:w="57" w:type="dxa"/>
              <w:right w:w="57" w:type="dxa"/>
            </w:tcMar>
          </w:tcPr>
          <w:p w14:paraId="10556DAD" w14:textId="4993EC18" w:rsidR="003F46B9" w:rsidRDefault="0065662E">
            <w:pPr>
              <w:pStyle w:val="P68B1DB1-Normal5"/>
              <w:spacing w:before="138" w:after="0" w:line="264" w:lineRule="auto"/>
              <w:jc w:val="both"/>
              <w:rPr>
                <w:rFonts w:cs="Times New Roman"/>
                <w:noProof/>
              </w:rPr>
            </w:pPr>
            <w:r>
              <w:rPr>
                <w:noProof/>
              </w:rPr>
              <w:t>Isplaćeno je 122000 vaučera za solarne ploče i/ili sustave za skladištenje električne energije.</w:t>
            </w:r>
          </w:p>
        </w:tc>
      </w:tr>
      <w:tr w:rsidR="003F46B9" w14:paraId="738C21E7" w14:textId="77777777">
        <w:trPr>
          <w:trHeight w:val="750"/>
        </w:trPr>
        <w:tc>
          <w:tcPr>
            <w:tcW w:w="1571" w:type="dxa"/>
            <w:shd w:val="clear" w:color="auto" w:fill="C5EECE"/>
            <w:tcMar>
              <w:left w:w="57" w:type="dxa"/>
              <w:right w:w="57" w:type="dxa"/>
            </w:tcMar>
          </w:tcPr>
          <w:p w14:paraId="6DCE5B68" w14:textId="43C688B6" w:rsidR="003F46B9" w:rsidRDefault="0065662E">
            <w:pPr>
              <w:pStyle w:val="P68B1DB1-Normal21"/>
              <w:jc w:val="center"/>
              <w:rPr>
                <w:noProof/>
              </w:rPr>
            </w:pPr>
            <w:r>
              <w:rPr>
                <w:noProof/>
              </w:rPr>
              <w:t>517</w:t>
            </w:r>
          </w:p>
        </w:tc>
        <w:tc>
          <w:tcPr>
            <w:tcW w:w="2490" w:type="dxa"/>
            <w:shd w:val="clear" w:color="auto" w:fill="C5EECE"/>
            <w:tcMar>
              <w:left w:w="57" w:type="dxa"/>
              <w:right w:w="57" w:type="dxa"/>
            </w:tcMar>
          </w:tcPr>
          <w:p w14:paraId="209586DD" w14:textId="77777777" w:rsidR="003F46B9" w:rsidRDefault="0065662E">
            <w:pPr>
              <w:pStyle w:val="P68B1DB1-Normal5"/>
              <w:spacing w:line="245" w:lineRule="auto"/>
              <w:jc w:val="both"/>
              <w:rPr>
                <w:rFonts w:cs="Times New Roman"/>
                <w:noProof/>
              </w:rPr>
            </w:pPr>
            <w:r>
              <w:rPr>
                <w:noProof/>
              </w:rPr>
              <w:t>Ulaganje 5a. Ugradnja solarnih ploča i objekata za skladištenje električne energije u elektranama Transelectrica</w:t>
            </w:r>
          </w:p>
        </w:tc>
        <w:tc>
          <w:tcPr>
            <w:tcW w:w="906" w:type="dxa"/>
            <w:shd w:val="clear" w:color="auto" w:fill="C5EECE"/>
            <w:tcMar>
              <w:left w:w="57" w:type="dxa"/>
              <w:right w:w="57" w:type="dxa"/>
            </w:tcMar>
          </w:tcPr>
          <w:p w14:paraId="23639D49" w14:textId="77777777" w:rsidR="003F46B9" w:rsidRDefault="0065662E">
            <w:pPr>
              <w:pStyle w:val="P68B1DB1-Normal5"/>
              <w:spacing w:line="245" w:lineRule="auto"/>
              <w:rPr>
                <w:rFonts w:cs="Times New Roman"/>
                <w:noProof/>
              </w:rPr>
            </w:pPr>
            <w:r>
              <w:rPr>
                <w:noProof/>
              </w:rPr>
              <w:t>Prekretnica</w:t>
            </w:r>
          </w:p>
        </w:tc>
        <w:tc>
          <w:tcPr>
            <w:tcW w:w="1159" w:type="dxa"/>
            <w:shd w:val="clear" w:color="auto" w:fill="C5EECE"/>
            <w:tcMar>
              <w:left w:w="57" w:type="dxa"/>
              <w:right w:w="57" w:type="dxa"/>
            </w:tcMar>
          </w:tcPr>
          <w:p w14:paraId="3F95BA8F" w14:textId="77777777" w:rsidR="003F46B9" w:rsidRDefault="0065662E">
            <w:pPr>
              <w:pStyle w:val="P68B1DB1-Normal5"/>
              <w:spacing w:line="252" w:lineRule="auto"/>
              <w:jc w:val="both"/>
              <w:rPr>
                <w:rFonts w:cs="Times New Roman"/>
                <w:noProof/>
              </w:rPr>
            </w:pPr>
            <w:r>
              <w:rPr>
                <w:noProof/>
              </w:rPr>
              <w:t>Potpisivanje ugovora</w:t>
            </w:r>
          </w:p>
        </w:tc>
        <w:tc>
          <w:tcPr>
            <w:tcW w:w="1159" w:type="dxa"/>
            <w:shd w:val="clear" w:color="auto" w:fill="C5EECE"/>
            <w:tcMar>
              <w:left w:w="57" w:type="dxa"/>
              <w:right w:w="57" w:type="dxa"/>
            </w:tcMar>
          </w:tcPr>
          <w:p w14:paraId="6E22CCE6" w14:textId="77777777" w:rsidR="003F46B9" w:rsidRDefault="0065662E">
            <w:pPr>
              <w:pStyle w:val="P68B1DB1-Normal5"/>
              <w:spacing w:line="245" w:lineRule="auto"/>
              <w:jc w:val="both"/>
              <w:rPr>
                <w:rFonts w:cs="Times New Roman"/>
                <w:noProof/>
              </w:rPr>
            </w:pPr>
            <w:r>
              <w:rPr>
                <w:noProof/>
              </w:rPr>
              <w:t>Broj potpisanih ugovora</w:t>
            </w:r>
          </w:p>
        </w:tc>
        <w:tc>
          <w:tcPr>
            <w:tcW w:w="1127" w:type="dxa"/>
            <w:shd w:val="clear" w:color="auto" w:fill="C5EECE"/>
            <w:tcMar>
              <w:left w:w="57" w:type="dxa"/>
              <w:right w:w="57" w:type="dxa"/>
            </w:tcMar>
          </w:tcPr>
          <w:p w14:paraId="481B824C" w14:textId="77777777" w:rsidR="003F46B9" w:rsidRDefault="003F46B9">
            <w:pPr>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6262896E" w14:textId="77777777" w:rsidR="003F46B9" w:rsidRDefault="003F46B9">
            <w:pPr>
              <w:jc w:val="center"/>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793F2968" w14:textId="77777777" w:rsidR="003F46B9" w:rsidRDefault="003F46B9">
            <w:pPr>
              <w:spacing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072482EE" w14:textId="77777777" w:rsidR="003F46B9" w:rsidRDefault="0065662E">
            <w:pPr>
              <w:pStyle w:val="P68B1DB1-Normal5"/>
              <w:jc w:val="center"/>
              <w:rPr>
                <w:rFonts w:eastAsia="Times New Roman" w:cs="Times New Roman"/>
                <w:noProof/>
              </w:rPr>
            </w:pPr>
            <w:r>
              <w:rPr>
                <w:noProof/>
              </w:rPr>
              <w:t>TROMJESEČJE</w:t>
            </w:r>
          </w:p>
        </w:tc>
        <w:tc>
          <w:tcPr>
            <w:tcW w:w="1003" w:type="dxa"/>
            <w:shd w:val="clear" w:color="auto" w:fill="C5EECE"/>
            <w:tcMar>
              <w:left w:w="57" w:type="dxa"/>
              <w:right w:w="57" w:type="dxa"/>
            </w:tcMar>
          </w:tcPr>
          <w:p w14:paraId="1EBF9996" w14:textId="77777777" w:rsidR="003F46B9" w:rsidRDefault="0065662E">
            <w:pPr>
              <w:pStyle w:val="P68B1DB1-Normal5"/>
              <w:rPr>
                <w:rFonts w:eastAsia="Times New Roman" w:cs="Times New Roman"/>
                <w:noProof/>
              </w:rPr>
            </w:pPr>
            <w:r>
              <w:rPr>
                <w:noProof/>
              </w:rPr>
              <w:t>2025</w:t>
            </w:r>
          </w:p>
        </w:tc>
        <w:tc>
          <w:tcPr>
            <w:tcW w:w="2215" w:type="dxa"/>
            <w:shd w:val="clear" w:color="auto" w:fill="C5EECE"/>
            <w:tcMar>
              <w:left w:w="57" w:type="dxa"/>
              <w:right w:w="57" w:type="dxa"/>
            </w:tcMar>
          </w:tcPr>
          <w:p w14:paraId="3773E104" w14:textId="77777777" w:rsidR="003F46B9" w:rsidRDefault="0065662E">
            <w:pPr>
              <w:pStyle w:val="P68B1DB1-Normal5"/>
              <w:spacing w:line="264" w:lineRule="auto"/>
              <w:jc w:val="both"/>
              <w:rPr>
                <w:rFonts w:cs="Times New Roman"/>
                <w:noProof/>
              </w:rPr>
            </w:pPr>
            <w:r>
              <w:rPr>
                <w:noProof/>
              </w:rPr>
              <w:t>Potpisani su ugovori za instalacije instaliranog kapaciteta solarnih ploča od najmanje 11,25 MW i skladištenja 5 MW u 29 trafostanica.</w:t>
            </w:r>
          </w:p>
        </w:tc>
      </w:tr>
      <w:tr w:rsidR="003F46B9" w14:paraId="1C667FD9" w14:textId="77777777">
        <w:trPr>
          <w:trHeight w:val="750"/>
        </w:trPr>
        <w:tc>
          <w:tcPr>
            <w:tcW w:w="1571" w:type="dxa"/>
            <w:shd w:val="clear" w:color="auto" w:fill="C5EECE"/>
            <w:tcMar>
              <w:left w:w="57" w:type="dxa"/>
              <w:right w:w="57" w:type="dxa"/>
            </w:tcMar>
          </w:tcPr>
          <w:p w14:paraId="61FD97BF" w14:textId="3481CE4A" w:rsidR="003F46B9" w:rsidRDefault="0065662E">
            <w:pPr>
              <w:pStyle w:val="P68B1DB1-Normal21"/>
              <w:jc w:val="center"/>
              <w:rPr>
                <w:noProof/>
              </w:rPr>
            </w:pPr>
            <w:r>
              <w:rPr>
                <w:noProof/>
              </w:rPr>
              <w:t>518</w:t>
            </w:r>
          </w:p>
        </w:tc>
        <w:tc>
          <w:tcPr>
            <w:tcW w:w="2490" w:type="dxa"/>
            <w:shd w:val="clear" w:color="auto" w:fill="C5EECE"/>
            <w:tcMar>
              <w:left w:w="57" w:type="dxa"/>
              <w:right w:w="57" w:type="dxa"/>
            </w:tcMar>
          </w:tcPr>
          <w:p w14:paraId="58B36BE7" w14:textId="77777777" w:rsidR="003F46B9" w:rsidRDefault="0065662E">
            <w:pPr>
              <w:pStyle w:val="P68B1DB1-Normal5"/>
              <w:spacing w:line="245" w:lineRule="auto"/>
              <w:jc w:val="both"/>
              <w:rPr>
                <w:rFonts w:cs="Times New Roman"/>
                <w:noProof/>
              </w:rPr>
            </w:pPr>
            <w:r>
              <w:rPr>
                <w:noProof/>
              </w:rPr>
              <w:t xml:space="preserve">Ulaganje 5a. Ugradnja solarnih ploča i objekata za </w:t>
            </w:r>
            <w:r>
              <w:rPr>
                <w:noProof/>
              </w:rPr>
              <w:t>skladištenje električne energije u elektranama Transelectrica</w:t>
            </w:r>
          </w:p>
        </w:tc>
        <w:tc>
          <w:tcPr>
            <w:tcW w:w="906" w:type="dxa"/>
            <w:shd w:val="clear" w:color="auto" w:fill="C5EECE"/>
            <w:tcMar>
              <w:left w:w="57" w:type="dxa"/>
              <w:right w:w="57" w:type="dxa"/>
            </w:tcMar>
          </w:tcPr>
          <w:p w14:paraId="763F5DDF" w14:textId="77777777" w:rsidR="003F46B9" w:rsidRDefault="0065662E">
            <w:pPr>
              <w:pStyle w:val="P68B1DB1-Normal5"/>
              <w:spacing w:line="245" w:lineRule="auto"/>
              <w:rPr>
                <w:rFonts w:cs="Times New Roman"/>
                <w:noProof/>
              </w:rPr>
            </w:pPr>
            <w:r>
              <w:rPr>
                <w:noProof/>
              </w:rPr>
              <w:t>Ciljna</w:t>
            </w:r>
          </w:p>
        </w:tc>
        <w:tc>
          <w:tcPr>
            <w:tcW w:w="1159" w:type="dxa"/>
            <w:shd w:val="clear" w:color="auto" w:fill="C5EECE"/>
            <w:tcMar>
              <w:left w:w="57" w:type="dxa"/>
              <w:right w:w="57" w:type="dxa"/>
            </w:tcMar>
          </w:tcPr>
          <w:p w14:paraId="780135DC" w14:textId="77777777" w:rsidR="003F46B9" w:rsidRDefault="0065662E">
            <w:pPr>
              <w:pStyle w:val="P68B1DB1-Normal5"/>
              <w:spacing w:line="252" w:lineRule="auto"/>
              <w:jc w:val="both"/>
              <w:rPr>
                <w:rFonts w:cs="Times New Roman"/>
                <w:noProof/>
              </w:rPr>
            </w:pPr>
            <w:r>
              <w:rPr>
                <w:noProof/>
              </w:rPr>
              <w:t>Smanjenje godišnje potrošnje električne energije</w:t>
            </w:r>
          </w:p>
        </w:tc>
        <w:tc>
          <w:tcPr>
            <w:tcW w:w="1159" w:type="dxa"/>
            <w:shd w:val="clear" w:color="auto" w:fill="C5EECE"/>
            <w:tcMar>
              <w:left w:w="57" w:type="dxa"/>
              <w:right w:w="57" w:type="dxa"/>
            </w:tcMar>
          </w:tcPr>
          <w:p w14:paraId="617C30E1" w14:textId="77777777" w:rsidR="003F46B9" w:rsidRDefault="0065662E">
            <w:pPr>
              <w:pStyle w:val="P68B1DB1-Normal5"/>
              <w:spacing w:line="252" w:lineRule="auto"/>
              <w:jc w:val="both"/>
              <w:rPr>
                <w:rFonts w:cs="Times New Roman"/>
                <w:noProof/>
              </w:rPr>
            </w:pPr>
            <w:r>
              <w:rPr>
                <w:noProof/>
              </w:rPr>
              <w:t>Godišnja potrošnja električne energije</w:t>
            </w:r>
          </w:p>
        </w:tc>
        <w:tc>
          <w:tcPr>
            <w:tcW w:w="1127" w:type="dxa"/>
            <w:shd w:val="clear" w:color="auto" w:fill="C5EECE"/>
            <w:tcMar>
              <w:left w:w="57" w:type="dxa"/>
              <w:right w:w="57" w:type="dxa"/>
            </w:tcMar>
          </w:tcPr>
          <w:p w14:paraId="746C2098" w14:textId="77777777" w:rsidR="003F46B9" w:rsidRDefault="0065662E">
            <w:pPr>
              <w:pStyle w:val="P68B1DB1-Normal5"/>
              <w:rPr>
                <w:rFonts w:eastAsia="Times New Roman" w:cs="Times New Roman"/>
                <w:noProof/>
              </w:rPr>
            </w:pPr>
            <w:r>
              <w:rPr>
                <w:noProof/>
              </w:rPr>
              <w:t>GWh</w:t>
            </w:r>
          </w:p>
        </w:tc>
        <w:tc>
          <w:tcPr>
            <w:tcW w:w="1794" w:type="dxa"/>
            <w:shd w:val="clear" w:color="auto" w:fill="C5EECE"/>
            <w:tcMar>
              <w:left w:w="57" w:type="dxa"/>
              <w:right w:w="57" w:type="dxa"/>
            </w:tcMar>
          </w:tcPr>
          <w:p w14:paraId="732B66E5" w14:textId="77777777" w:rsidR="003F46B9" w:rsidRDefault="0065662E">
            <w:pPr>
              <w:pStyle w:val="P68B1DB1-Normal5"/>
              <w:jc w:val="center"/>
              <w:rPr>
                <w:rFonts w:eastAsia="Times New Roman" w:cs="Times New Roman"/>
                <w:noProof/>
              </w:rPr>
            </w:pPr>
            <w:r>
              <w:rPr>
                <w:noProof/>
              </w:rPr>
              <w:t>18</w:t>
            </w:r>
          </w:p>
        </w:tc>
        <w:tc>
          <w:tcPr>
            <w:tcW w:w="1054" w:type="dxa"/>
            <w:shd w:val="clear" w:color="auto" w:fill="C5EECE"/>
            <w:tcMar>
              <w:left w:w="57" w:type="dxa"/>
              <w:right w:w="57" w:type="dxa"/>
            </w:tcMar>
          </w:tcPr>
          <w:p w14:paraId="63174CCF" w14:textId="77777777" w:rsidR="003F46B9" w:rsidRDefault="0065662E">
            <w:pPr>
              <w:pStyle w:val="P68B1DB1-Normal5"/>
              <w:spacing w:line="257" w:lineRule="auto"/>
              <w:jc w:val="center"/>
              <w:rPr>
                <w:rFonts w:cs="Times New Roman"/>
                <w:noProof/>
              </w:rPr>
            </w:pPr>
            <w:r>
              <w:rPr>
                <w:noProof/>
              </w:rPr>
              <w:t>9</w:t>
            </w:r>
          </w:p>
        </w:tc>
        <w:tc>
          <w:tcPr>
            <w:tcW w:w="779" w:type="dxa"/>
            <w:shd w:val="clear" w:color="auto" w:fill="C5EECE"/>
            <w:tcMar>
              <w:left w:w="57" w:type="dxa"/>
              <w:right w:w="57" w:type="dxa"/>
            </w:tcMar>
          </w:tcPr>
          <w:p w14:paraId="0FEA9784" w14:textId="77777777" w:rsidR="003F46B9" w:rsidRDefault="0065662E">
            <w:pPr>
              <w:pStyle w:val="P68B1DB1-Normal5"/>
              <w:jc w:val="center"/>
              <w:rPr>
                <w:rFonts w:eastAsia="Times New Roman" w:cs="Times New Roman"/>
                <w:noProof/>
              </w:rPr>
            </w:pPr>
            <w:r>
              <w:rPr>
                <w:noProof/>
              </w:rPr>
              <w:t>TROMJESEČJE</w:t>
            </w:r>
          </w:p>
        </w:tc>
        <w:tc>
          <w:tcPr>
            <w:tcW w:w="1003" w:type="dxa"/>
            <w:shd w:val="clear" w:color="auto" w:fill="C5EECE"/>
            <w:tcMar>
              <w:left w:w="57" w:type="dxa"/>
              <w:right w:w="57" w:type="dxa"/>
            </w:tcMar>
          </w:tcPr>
          <w:p w14:paraId="35C34F29" w14:textId="77777777" w:rsidR="003F46B9" w:rsidRDefault="0065662E">
            <w:pPr>
              <w:pStyle w:val="P68B1DB1-Normal5"/>
              <w:rPr>
                <w:rFonts w:eastAsia="Times New Roman" w:cs="Times New Roman"/>
                <w:noProof/>
              </w:rPr>
            </w:pPr>
            <w:r>
              <w:rPr>
                <w:noProof/>
              </w:rPr>
              <w:t>2026</w:t>
            </w:r>
          </w:p>
        </w:tc>
        <w:tc>
          <w:tcPr>
            <w:tcW w:w="2215" w:type="dxa"/>
            <w:shd w:val="clear" w:color="auto" w:fill="C5EECE"/>
            <w:tcMar>
              <w:left w:w="57" w:type="dxa"/>
              <w:right w:w="57" w:type="dxa"/>
            </w:tcMar>
          </w:tcPr>
          <w:p w14:paraId="20C0B82E" w14:textId="08D7BE1B" w:rsidR="003F46B9" w:rsidRDefault="0065662E">
            <w:pPr>
              <w:pStyle w:val="P68B1DB1-Normal5"/>
              <w:spacing w:line="252" w:lineRule="auto"/>
              <w:jc w:val="both"/>
              <w:rPr>
                <w:rFonts w:cs="Times New Roman"/>
                <w:noProof/>
              </w:rPr>
            </w:pPr>
            <w:r>
              <w:rPr>
                <w:noProof/>
              </w:rPr>
              <w:t xml:space="preserve">Godišnja potrošnja električne energije 29 trafostanica Transelectrica </w:t>
            </w:r>
            <w:r>
              <w:rPr>
                <w:noProof/>
              </w:rPr>
              <w:t>smanjuje se s 18 GWh 2022. na 9 GWh.</w:t>
            </w:r>
          </w:p>
        </w:tc>
      </w:tr>
      <w:tr w:rsidR="003F46B9" w14:paraId="0AA1F6ED" w14:textId="77777777">
        <w:trPr>
          <w:trHeight w:val="750"/>
        </w:trPr>
        <w:tc>
          <w:tcPr>
            <w:tcW w:w="1571" w:type="dxa"/>
            <w:shd w:val="clear" w:color="auto" w:fill="C5EECE"/>
            <w:tcMar>
              <w:left w:w="57" w:type="dxa"/>
              <w:right w:w="57" w:type="dxa"/>
            </w:tcMar>
          </w:tcPr>
          <w:p w14:paraId="23437815" w14:textId="541AF0F4" w:rsidR="003F46B9" w:rsidRDefault="0065662E">
            <w:pPr>
              <w:pStyle w:val="P68B1DB1-Normal5"/>
              <w:jc w:val="center"/>
              <w:rPr>
                <w:rFonts w:cs="Times New Roman"/>
                <w:noProof/>
              </w:rPr>
            </w:pPr>
            <w:r>
              <w:rPr>
                <w:noProof/>
              </w:rPr>
              <w:t>519</w:t>
            </w:r>
          </w:p>
        </w:tc>
        <w:tc>
          <w:tcPr>
            <w:tcW w:w="2490" w:type="dxa"/>
            <w:shd w:val="clear" w:color="auto" w:fill="C5EECE"/>
            <w:tcMar>
              <w:left w:w="57" w:type="dxa"/>
              <w:right w:w="57" w:type="dxa"/>
            </w:tcMar>
          </w:tcPr>
          <w:p w14:paraId="6E6285B5" w14:textId="77777777" w:rsidR="003F46B9" w:rsidRDefault="0065662E">
            <w:pPr>
              <w:pStyle w:val="P68B1DB1-Normal5"/>
              <w:spacing w:line="245" w:lineRule="auto"/>
              <w:jc w:val="both"/>
              <w:rPr>
                <w:rFonts w:cs="Times New Roman"/>
                <w:noProof/>
              </w:rPr>
            </w:pPr>
            <w:r>
              <w:rPr>
                <w:noProof/>
              </w:rPr>
              <w:t>Ulaganje 5b. Obnova kapaciteta SMART SA</w:t>
            </w:r>
          </w:p>
        </w:tc>
        <w:tc>
          <w:tcPr>
            <w:tcW w:w="906" w:type="dxa"/>
            <w:shd w:val="clear" w:color="auto" w:fill="C5EECE"/>
            <w:tcMar>
              <w:left w:w="57" w:type="dxa"/>
              <w:right w:w="57" w:type="dxa"/>
            </w:tcMar>
          </w:tcPr>
          <w:p w14:paraId="54B066EA" w14:textId="77777777" w:rsidR="003F46B9" w:rsidRDefault="0065662E">
            <w:pPr>
              <w:pStyle w:val="P68B1DB1-Normal5"/>
              <w:spacing w:line="245" w:lineRule="auto"/>
              <w:rPr>
                <w:rFonts w:cs="Times New Roman"/>
                <w:noProof/>
              </w:rPr>
            </w:pPr>
            <w:r>
              <w:rPr>
                <w:noProof/>
              </w:rPr>
              <w:t>Prekretnica</w:t>
            </w:r>
          </w:p>
        </w:tc>
        <w:tc>
          <w:tcPr>
            <w:tcW w:w="1159" w:type="dxa"/>
            <w:shd w:val="clear" w:color="auto" w:fill="C5EECE"/>
            <w:tcMar>
              <w:left w:w="57" w:type="dxa"/>
              <w:right w:w="57" w:type="dxa"/>
            </w:tcMar>
          </w:tcPr>
          <w:p w14:paraId="0E690A15" w14:textId="77777777" w:rsidR="003F46B9" w:rsidRDefault="0065662E">
            <w:pPr>
              <w:pStyle w:val="P68B1DB1-Normal5"/>
              <w:spacing w:line="252" w:lineRule="auto"/>
              <w:jc w:val="both"/>
              <w:rPr>
                <w:rFonts w:cs="Times New Roman"/>
                <w:noProof/>
              </w:rPr>
            </w:pPr>
            <w:r>
              <w:rPr>
                <w:noProof/>
              </w:rPr>
              <w:t>Potpisivanje ugovora o nabavi robe</w:t>
            </w:r>
          </w:p>
        </w:tc>
        <w:tc>
          <w:tcPr>
            <w:tcW w:w="1159" w:type="dxa"/>
            <w:shd w:val="clear" w:color="auto" w:fill="C5EECE"/>
            <w:tcMar>
              <w:left w:w="57" w:type="dxa"/>
              <w:right w:w="57" w:type="dxa"/>
            </w:tcMar>
          </w:tcPr>
          <w:p w14:paraId="6EB490C2" w14:textId="77777777" w:rsidR="003F46B9" w:rsidRDefault="0065662E">
            <w:pPr>
              <w:pStyle w:val="P68B1DB1-Normal5"/>
              <w:spacing w:line="252" w:lineRule="auto"/>
              <w:jc w:val="both"/>
              <w:rPr>
                <w:rFonts w:cs="Times New Roman"/>
                <w:noProof/>
              </w:rPr>
            </w:pPr>
            <w:r>
              <w:rPr>
                <w:noProof/>
              </w:rPr>
              <w:t>Broj potpisanih ugovora</w:t>
            </w:r>
          </w:p>
        </w:tc>
        <w:tc>
          <w:tcPr>
            <w:tcW w:w="1127" w:type="dxa"/>
            <w:shd w:val="clear" w:color="auto" w:fill="C5EECE"/>
            <w:tcMar>
              <w:left w:w="57" w:type="dxa"/>
              <w:right w:w="57" w:type="dxa"/>
            </w:tcMar>
          </w:tcPr>
          <w:p w14:paraId="2022471C" w14:textId="77777777" w:rsidR="003F46B9" w:rsidRDefault="003F46B9">
            <w:pPr>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5E0EAE8C" w14:textId="77777777" w:rsidR="003F46B9" w:rsidRDefault="003F46B9">
            <w:pPr>
              <w:jc w:val="center"/>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744B2598" w14:textId="77777777" w:rsidR="003F46B9" w:rsidRDefault="003F46B9">
            <w:pPr>
              <w:spacing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01EE3846" w14:textId="77777777" w:rsidR="003F46B9" w:rsidRDefault="0065662E">
            <w:pPr>
              <w:pStyle w:val="P68B1DB1-Normal5"/>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2AF1993E" w14:textId="77777777" w:rsidR="003F46B9" w:rsidRDefault="0065662E">
            <w:pPr>
              <w:pStyle w:val="P68B1DB1-Normal5"/>
              <w:rPr>
                <w:rFonts w:eastAsia="Times New Roman" w:cs="Times New Roman"/>
                <w:noProof/>
              </w:rPr>
            </w:pPr>
            <w:r>
              <w:rPr>
                <w:noProof/>
              </w:rPr>
              <w:t>2023</w:t>
            </w:r>
          </w:p>
        </w:tc>
        <w:tc>
          <w:tcPr>
            <w:tcW w:w="2215" w:type="dxa"/>
            <w:shd w:val="clear" w:color="auto" w:fill="C5EECE"/>
            <w:tcMar>
              <w:left w:w="57" w:type="dxa"/>
              <w:right w:w="57" w:type="dxa"/>
            </w:tcMar>
          </w:tcPr>
          <w:p w14:paraId="7E38793A" w14:textId="6CA9ED80" w:rsidR="003F46B9" w:rsidRDefault="0065662E">
            <w:pPr>
              <w:pStyle w:val="P68B1DB1-Normal21"/>
              <w:spacing w:line="252" w:lineRule="auto"/>
              <w:jc w:val="both"/>
              <w:rPr>
                <w:noProof/>
              </w:rPr>
            </w:pPr>
            <w:r>
              <w:rPr>
                <w:noProof/>
              </w:rPr>
              <w:t>Potpisani su ugovori za isporuku SMART-u i ugradnju i. opreme za održavanje prijenosnih vodova i trafostanica (kao što su mjerni i kontrolni uređaji električnih vodova, transformatora, izolacija, električnih uzemljenja i mobilnih povišenih radnih platformi</w:t>
            </w:r>
            <w:r>
              <w:rPr>
                <w:noProof/>
              </w:rPr>
              <w:t xml:space="preserve"> i dizalica) i ii. softvera za digitalizaciju usluga održavanja (kao što je SCADA). </w:t>
            </w:r>
          </w:p>
          <w:p w14:paraId="749EC96B" w14:textId="77777777" w:rsidR="003F46B9" w:rsidRDefault="0065662E">
            <w:pPr>
              <w:pStyle w:val="P68B1DB1-Normal21"/>
              <w:spacing w:after="0" w:line="252" w:lineRule="auto"/>
              <w:jc w:val="both"/>
              <w:rPr>
                <w:noProof/>
              </w:rPr>
            </w:pPr>
            <w:r>
              <w:rPr>
                <w:noProof/>
              </w:rPr>
              <w:t>Sva vozila moraju imati nultu stopu emisija.</w:t>
            </w:r>
          </w:p>
        </w:tc>
      </w:tr>
      <w:tr w:rsidR="003F46B9" w14:paraId="62031BF5" w14:textId="77777777">
        <w:trPr>
          <w:trHeight w:val="750"/>
        </w:trPr>
        <w:tc>
          <w:tcPr>
            <w:tcW w:w="1571" w:type="dxa"/>
            <w:shd w:val="clear" w:color="auto" w:fill="C5EECE"/>
            <w:tcMar>
              <w:left w:w="57" w:type="dxa"/>
              <w:right w:w="57" w:type="dxa"/>
            </w:tcMar>
          </w:tcPr>
          <w:p w14:paraId="028A88B1" w14:textId="3663F947" w:rsidR="003F46B9" w:rsidRDefault="0065662E">
            <w:pPr>
              <w:pStyle w:val="P68B1DB1-Normal21"/>
              <w:jc w:val="center"/>
              <w:rPr>
                <w:noProof/>
              </w:rPr>
            </w:pPr>
            <w:r>
              <w:rPr>
                <w:noProof/>
              </w:rPr>
              <w:t>520</w:t>
            </w:r>
          </w:p>
        </w:tc>
        <w:tc>
          <w:tcPr>
            <w:tcW w:w="2490" w:type="dxa"/>
            <w:shd w:val="clear" w:color="auto" w:fill="C5EECE"/>
            <w:tcMar>
              <w:left w:w="57" w:type="dxa"/>
              <w:right w:w="57" w:type="dxa"/>
            </w:tcMar>
          </w:tcPr>
          <w:p w14:paraId="17AA9052" w14:textId="77777777" w:rsidR="003F46B9" w:rsidRDefault="0065662E">
            <w:pPr>
              <w:pStyle w:val="P68B1DB1-Normal5"/>
              <w:spacing w:line="245" w:lineRule="auto"/>
              <w:jc w:val="both"/>
              <w:rPr>
                <w:rFonts w:cs="Times New Roman"/>
                <w:noProof/>
              </w:rPr>
            </w:pPr>
            <w:r>
              <w:rPr>
                <w:noProof/>
              </w:rPr>
              <w:t>Ulaganje 5b. Obnova kapaciteta SMART SA</w:t>
            </w:r>
          </w:p>
        </w:tc>
        <w:tc>
          <w:tcPr>
            <w:tcW w:w="906" w:type="dxa"/>
            <w:shd w:val="clear" w:color="auto" w:fill="C5EECE"/>
            <w:tcMar>
              <w:left w:w="57" w:type="dxa"/>
              <w:right w:w="57" w:type="dxa"/>
            </w:tcMar>
          </w:tcPr>
          <w:p w14:paraId="056F5F1B" w14:textId="77777777" w:rsidR="003F46B9" w:rsidRDefault="0065662E">
            <w:pPr>
              <w:pStyle w:val="P68B1DB1-Normal5"/>
              <w:spacing w:line="245" w:lineRule="auto"/>
              <w:rPr>
                <w:rFonts w:cs="Times New Roman"/>
                <w:noProof/>
              </w:rPr>
            </w:pPr>
            <w:r>
              <w:rPr>
                <w:noProof/>
              </w:rPr>
              <w:t>Ciljna</w:t>
            </w:r>
          </w:p>
        </w:tc>
        <w:tc>
          <w:tcPr>
            <w:tcW w:w="1159" w:type="dxa"/>
            <w:shd w:val="clear" w:color="auto" w:fill="C5EECE"/>
            <w:tcMar>
              <w:left w:w="57" w:type="dxa"/>
              <w:right w:w="57" w:type="dxa"/>
            </w:tcMar>
          </w:tcPr>
          <w:p w14:paraId="1CA0339A" w14:textId="77777777" w:rsidR="003F46B9" w:rsidRDefault="0065662E">
            <w:pPr>
              <w:pStyle w:val="P68B1DB1-Normal5"/>
              <w:spacing w:line="252" w:lineRule="auto"/>
              <w:jc w:val="both"/>
              <w:rPr>
                <w:rFonts w:cs="Times New Roman"/>
                <w:noProof/>
              </w:rPr>
            </w:pPr>
            <w:r>
              <w:rPr>
                <w:noProof/>
              </w:rPr>
              <w:t>Prosječna duljina intervencija na mreži operatora prijenosnog sustava</w:t>
            </w:r>
          </w:p>
        </w:tc>
        <w:tc>
          <w:tcPr>
            <w:tcW w:w="1159" w:type="dxa"/>
            <w:shd w:val="clear" w:color="auto" w:fill="C5EECE"/>
            <w:tcMar>
              <w:left w:w="57" w:type="dxa"/>
              <w:right w:w="57" w:type="dxa"/>
            </w:tcMar>
          </w:tcPr>
          <w:p w14:paraId="48E8558A" w14:textId="77777777" w:rsidR="003F46B9" w:rsidRDefault="003F46B9">
            <w:pPr>
              <w:spacing w:line="252" w:lineRule="auto"/>
              <w:jc w:val="both"/>
              <w:rPr>
                <w:rFonts w:ascii="Times New Roman" w:hAnsi="Times New Roman" w:cs="Times New Roman"/>
                <w:noProof/>
                <w:sz w:val="24"/>
              </w:rPr>
            </w:pPr>
          </w:p>
        </w:tc>
        <w:tc>
          <w:tcPr>
            <w:tcW w:w="1127" w:type="dxa"/>
            <w:shd w:val="clear" w:color="auto" w:fill="C5EECE"/>
            <w:tcMar>
              <w:left w:w="57" w:type="dxa"/>
              <w:right w:w="57" w:type="dxa"/>
            </w:tcMar>
          </w:tcPr>
          <w:p w14:paraId="14266AA0" w14:textId="07288C1E" w:rsidR="003F46B9" w:rsidRDefault="0065662E">
            <w:pPr>
              <w:pStyle w:val="P68B1DB1-Normal6"/>
              <w:rPr>
                <w:noProof/>
              </w:rPr>
            </w:pPr>
            <w:r>
              <w:rPr>
                <w:noProof/>
              </w:rPr>
              <w:t>Postotak (%)</w:t>
            </w:r>
          </w:p>
        </w:tc>
        <w:tc>
          <w:tcPr>
            <w:tcW w:w="1794" w:type="dxa"/>
            <w:shd w:val="clear" w:color="auto" w:fill="C5EECE"/>
            <w:tcMar>
              <w:left w:w="57" w:type="dxa"/>
              <w:right w:w="57" w:type="dxa"/>
            </w:tcMar>
          </w:tcPr>
          <w:p w14:paraId="20D52749" w14:textId="77777777" w:rsidR="003F46B9" w:rsidRDefault="0065662E">
            <w:pPr>
              <w:pStyle w:val="P68B1DB1-Normal5"/>
              <w:jc w:val="center"/>
              <w:rPr>
                <w:rFonts w:eastAsia="Times New Roman" w:cs="Times New Roman"/>
                <w:noProof/>
              </w:rPr>
            </w:pPr>
            <w:r>
              <w:rPr>
                <w:noProof/>
              </w:rPr>
              <w:t xml:space="preserve">100 % </w:t>
            </w:r>
          </w:p>
        </w:tc>
        <w:tc>
          <w:tcPr>
            <w:tcW w:w="1054" w:type="dxa"/>
            <w:shd w:val="clear" w:color="auto" w:fill="C5EECE"/>
            <w:tcMar>
              <w:left w:w="57" w:type="dxa"/>
              <w:right w:w="57" w:type="dxa"/>
            </w:tcMar>
          </w:tcPr>
          <w:p w14:paraId="2C50E6F9" w14:textId="77777777" w:rsidR="003F46B9" w:rsidRDefault="0065662E">
            <w:pPr>
              <w:pStyle w:val="P68B1DB1-Normal5"/>
              <w:spacing w:line="257" w:lineRule="auto"/>
              <w:jc w:val="center"/>
              <w:rPr>
                <w:rFonts w:cs="Times New Roman"/>
                <w:noProof/>
              </w:rPr>
            </w:pPr>
            <w:r>
              <w:rPr>
                <w:noProof/>
              </w:rPr>
              <w:t xml:space="preserve">50 % </w:t>
            </w:r>
          </w:p>
        </w:tc>
        <w:tc>
          <w:tcPr>
            <w:tcW w:w="779" w:type="dxa"/>
            <w:shd w:val="clear" w:color="auto" w:fill="C5EECE"/>
            <w:tcMar>
              <w:left w:w="57" w:type="dxa"/>
              <w:right w:w="57" w:type="dxa"/>
            </w:tcMar>
          </w:tcPr>
          <w:p w14:paraId="36B9B4ED" w14:textId="77777777" w:rsidR="003F46B9" w:rsidRDefault="0065662E">
            <w:pPr>
              <w:pStyle w:val="P68B1DB1-Normal5"/>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0D5EB31B" w14:textId="77777777" w:rsidR="003F46B9" w:rsidRDefault="0065662E">
            <w:pPr>
              <w:pStyle w:val="P68B1DB1-Normal5"/>
              <w:rPr>
                <w:rFonts w:eastAsia="Times New Roman" w:cs="Times New Roman"/>
                <w:noProof/>
              </w:rPr>
            </w:pPr>
            <w:r>
              <w:rPr>
                <w:noProof/>
              </w:rPr>
              <w:t>2024</w:t>
            </w:r>
          </w:p>
        </w:tc>
        <w:tc>
          <w:tcPr>
            <w:tcW w:w="2215" w:type="dxa"/>
            <w:shd w:val="clear" w:color="auto" w:fill="C5EECE"/>
            <w:tcMar>
              <w:left w:w="57" w:type="dxa"/>
              <w:right w:w="57" w:type="dxa"/>
            </w:tcMar>
          </w:tcPr>
          <w:p w14:paraId="0509BF78" w14:textId="77777777" w:rsidR="003F46B9" w:rsidRDefault="0065662E">
            <w:pPr>
              <w:pStyle w:val="P68B1DB1-Normal5"/>
              <w:spacing w:line="252" w:lineRule="auto"/>
              <w:jc w:val="both"/>
              <w:rPr>
                <w:rFonts w:cs="Times New Roman"/>
                <w:noProof/>
              </w:rPr>
            </w:pPr>
            <w:r>
              <w:rPr>
                <w:noProof/>
              </w:rPr>
              <w:t>Prosječno vrijeme intervencija na mreži Transelectrica smanjuje se za najmanje 50 % u odnosu na 2022.</w:t>
            </w:r>
          </w:p>
        </w:tc>
      </w:tr>
      <w:tr w:rsidR="003F46B9" w14:paraId="24E5A585" w14:textId="77777777">
        <w:trPr>
          <w:trHeight w:val="750"/>
        </w:trPr>
        <w:tc>
          <w:tcPr>
            <w:tcW w:w="1571" w:type="dxa"/>
            <w:shd w:val="clear" w:color="auto" w:fill="C5EECE"/>
            <w:tcMar>
              <w:left w:w="57" w:type="dxa"/>
              <w:right w:w="57" w:type="dxa"/>
            </w:tcMar>
          </w:tcPr>
          <w:p w14:paraId="2C547D24" w14:textId="219F12BC" w:rsidR="003F46B9" w:rsidRDefault="0065662E">
            <w:pPr>
              <w:pStyle w:val="P68B1DB1-Normal21"/>
              <w:jc w:val="center"/>
              <w:rPr>
                <w:noProof/>
              </w:rPr>
            </w:pPr>
            <w:r>
              <w:rPr>
                <w:noProof/>
              </w:rPr>
              <w:t>521</w:t>
            </w:r>
          </w:p>
        </w:tc>
        <w:tc>
          <w:tcPr>
            <w:tcW w:w="2490" w:type="dxa"/>
            <w:shd w:val="clear" w:color="auto" w:fill="C5EECE"/>
            <w:tcMar>
              <w:left w:w="57" w:type="dxa"/>
              <w:right w:w="57" w:type="dxa"/>
            </w:tcMar>
          </w:tcPr>
          <w:p w14:paraId="4051A093" w14:textId="77777777" w:rsidR="003F46B9" w:rsidRDefault="0065662E">
            <w:pPr>
              <w:pStyle w:val="P68B1DB1-Normal5"/>
              <w:spacing w:line="245" w:lineRule="auto"/>
              <w:jc w:val="both"/>
              <w:rPr>
                <w:rFonts w:cs="Times New Roman"/>
                <w:noProof/>
              </w:rPr>
            </w:pPr>
            <w:r>
              <w:rPr>
                <w:noProof/>
              </w:rPr>
              <w:t xml:space="preserve">Ulaganje 5c. Optimizacija komunikacijske mreže i stvaranje podatkovnog centra – Teletrans SA </w:t>
            </w:r>
          </w:p>
        </w:tc>
        <w:tc>
          <w:tcPr>
            <w:tcW w:w="906" w:type="dxa"/>
            <w:shd w:val="clear" w:color="auto" w:fill="C5EECE"/>
            <w:tcMar>
              <w:left w:w="57" w:type="dxa"/>
              <w:right w:w="57" w:type="dxa"/>
            </w:tcMar>
          </w:tcPr>
          <w:p w14:paraId="168A00B8" w14:textId="77777777" w:rsidR="003F46B9" w:rsidRDefault="0065662E">
            <w:pPr>
              <w:pStyle w:val="P68B1DB1-Normal5"/>
              <w:spacing w:line="245" w:lineRule="auto"/>
              <w:rPr>
                <w:rFonts w:cs="Times New Roman"/>
                <w:noProof/>
              </w:rPr>
            </w:pPr>
            <w:r>
              <w:rPr>
                <w:noProof/>
              </w:rPr>
              <w:t>Prekretnica</w:t>
            </w:r>
          </w:p>
        </w:tc>
        <w:tc>
          <w:tcPr>
            <w:tcW w:w="1159" w:type="dxa"/>
            <w:shd w:val="clear" w:color="auto" w:fill="C5EECE"/>
            <w:tcMar>
              <w:left w:w="57" w:type="dxa"/>
              <w:right w:w="57" w:type="dxa"/>
            </w:tcMar>
          </w:tcPr>
          <w:p w14:paraId="474A5A1A" w14:textId="77777777" w:rsidR="003F46B9" w:rsidRDefault="0065662E">
            <w:pPr>
              <w:pStyle w:val="P68B1DB1-Normal5"/>
              <w:spacing w:line="252" w:lineRule="auto"/>
              <w:jc w:val="both"/>
              <w:rPr>
                <w:rFonts w:cs="Times New Roman"/>
                <w:noProof/>
              </w:rPr>
            </w:pPr>
            <w:r>
              <w:rPr>
                <w:noProof/>
              </w:rPr>
              <w:t>Potpisivanje ugovora o nabavi robe</w:t>
            </w:r>
          </w:p>
        </w:tc>
        <w:tc>
          <w:tcPr>
            <w:tcW w:w="1159" w:type="dxa"/>
            <w:shd w:val="clear" w:color="auto" w:fill="C5EECE"/>
            <w:tcMar>
              <w:left w:w="57" w:type="dxa"/>
              <w:right w:w="57" w:type="dxa"/>
            </w:tcMar>
          </w:tcPr>
          <w:p w14:paraId="0A6F6753" w14:textId="77777777" w:rsidR="003F46B9" w:rsidRDefault="0065662E">
            <w:pPr>
              <w:pStyle w:val="P68B1DB1-Normal5"/>
              <w:spacing w:line="252" w:lineRule="auto"/>
              <w:jc w:val="both"/>
              <w:rPr>
                <w:rFonts w:cs="Times New Roman"/>
                <w:noProof/>
              </w:rPr>
            </w:pPr>
            <w:r>
              <w:rPr>
                <w:noProof/>
              </w:rPr>
              <w:t>Potpisani ugovori</w:t>
            </w:r>
          </w:p>
        </w:tc>
        <w:tc>
          <w:tcPr>
            <w:tcW w:w="1127" w:type="dxa"/>
            <w:shd w:val="clear" w:color="auto" w:fill="C5EECE"/>
            <w:tcMar>
              <w:left w:w="57" w:type="dxa"/>
              <w:right w:w="57" w:type="dxa"/>
            </w:tcMar>
          </w:tcPr>
          <w:p w14:paraId="6EDB8064" w14:textId="77777777" w:rsidR="003F46B9" w:rsidRDefault="003F46B9">
            <w:pPr>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75D960BB" w14:textId="77777777" w:rsidR="003F46B9" w:rsidRDefault="003F46B9">
            <w:pPr>
              <w:jc w:val="center"/>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2F60CF0F" w14:textId="77777777" w:rsidR="003F46B9" w:rsidRDefault="003F46B9">
            <w:pPr>
              <w:spacing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2FF4464C" w14:textId="77777777" w:rsidR="003F46B9" w:rsidRDefault="0065662E">
            <w:pPr>
              <w:pStyle w:val="P68B1DB1-Normal5"/>
              <w:jc w:val="center"/>
              <w:rPr>
                <w:rFonts w:eastAsia="Times New Roman" w:cs="Times New Roman"/>
                <w:noProof/>
              </w:rPr>
            </w:pPr>
            <w:r>
              <w:rPr>
                <w:noProof/>
              </w:rPr>
              <w:t>ČETVRTO TROMJESEČJE</w:t>
            </w:r>
          </w:p>
        </w:tc>
        <w:tc>
          <w:tcPr>
            <w:tcW w:w="1003" w:type="dxa"/>
            <w:shd w:val="clear" w:color="auto" w:fill="C5EECE"/>
            <w:tcMar>
              <w:left w:w="57" w:type="dxa"/>
              <w:right w:w="57" w:type="dxa"/>
            </w:tcMar>
          </w:tcPr>
          <w:p w14:paraId="49398EE7" w14:textId="77777777" w:rsidR="003F46B9" w:rsidRDefault="0065662E">
            <w:pPr>
              <w:pStyle w:val="P68B1DB1-Normal5"/>
              <w:rPr>
                <w:rFonts w:eastAsia="Times New Roman" w:cs="Times New Roman"/>
                <w:noProof/>
              </w:rPr>
            </w:pPr>
            <w:r>
              <w:rPr>
                <w:noProof/>
              </w:rPr>
              <w:t>2024</w:t>
            </w:r>
          </w:p>
        </w:tc>
        <w:tc>
          <w:tcPr>
            <w:tcW w:w="2215" w:type="dxa"/>
            <w:shd w:val="clear" w:color="auto" w:fill="C5EECE"/>
            <w:tcMar>
              <w:left w:w="57" w:type="dxa"/>
              <w:right w:w="57" w:type="dxa"/>
            </w:tcMar>
          </w:tcPr>
          <w:p w14:paraId="2EE40513" w14:textId="0E45B38B" w:rsidR="003F46B9" w:rsidRDefault="0065662E">
            <w:pPr>
              <w:pStyle w:val="P68B1DB1-Normal5"/>
              <w:spacing w:after="0" w:line="252" w:lineRule="auto"/>
              <w:jc w:val="both"/>
              <w:rPr>
                <w:rFonts w:cs="Times New Roman"/>
                <w:noProof/>
              </w:rPr>
            </w:pPr>
            <w:r>
              <w:rPr>
                <w:noProof/>
              </w:rPr>
              <w:t>Ugovori o isporuci Teletransa informatičkom opremom i softverom za uspostavu novog podatkovnog centra (kao što su poslužitelji, usmjerivači, vatrozidovi, spremnici</w:t>
            </w:r>
            <w:r>
              <w:rPr>
                <w:noProof/>
              </w:rPr>
              <w:t xml:space="preserve"> za napajanje), analiza mrežnog prometa (kao što je analizator prometa L2 – 7; 4 luke SFP-a; moraju biti potpisani višestruki SFP i SFP primopredaji u jednom načinu rada) i mrežna sigurnost (kao što su vatrozidovi, sklopke PoE, distribucijski usmjerivači).</w:t>
            </w:r>
          </w:p>
          <w:p w14:paraId="7CA36EFC" w14:textId="1C12AD66" w:rsidR="003F46B9" w:rsidRDefault="003F46B9">
            <w:pPr>
              <w:spacing w:line="252" w:lineRule="auto"/>
              <w:jc w:val="both"/>
              <w:rPr>
                <w:rFonts w:ascii="Times New Roman" w:hAnsi="Times New Roman" w:cs="Times New Roman"/>
                <w:noProof/>
                <w:sz w:val="24"/>
              </w:rPr>
            </w:pPr>
          </w:p>
        </w:tc>
      </w:tr>
      <w:tr w:rsidR="003F46B9" w14:paraId="11710D96" w14:textId="77777777">
        <w:trPr>
          <w:trHeight w:val="750"/>
        </w:trPr>
        <w:tc>
          <w:tcPr>
            <w:tcW w:w="1571" w:type="dxa"/>
            <w:shd w:val="clear" w:color="auto" w:fill="C5EECE"/>
            <w:tcMar>
              <w:left w:w="57" w:type="dxa"/>
              <w:right w:w="57" w:type="dxa"/>
            </w:tcMar>
          </w:tcPr>
          <w:p w14:paraId="190BAF6B" w14:textId="61975551" w:rsidR="003F46B9" w:rsidRDefault="0065662E">
            <w:pPr>
              <w:pStyle w:val="P68B1DB1-Normal21"/>
              <w:jc w:val="center"/>
              <w:rPr>
                <w:noProof/>
              </w:rPr>
            </w:pPr>
            <w:r>
              <w:rPr>
                <w:noProof/>
              </w:rPr>
              <w:t>522</w:t>
            </w:r>
          </w:p>
        </w:tc>
        <w:tc>
          <w:tcPr>
            <w:tcW w:w="2490" w:type="dxa"/>
            <w:shd w:val="clear" w:color="auto" w:fill="C5EECE"/>
            <w:tcMar>
              <w:left w:w="57" w:type="dxa"/>
              <w:right w:w="57" w:type="dxa"/>
            </w:tcMar>
          </w:tcPr>
          <w:p w14:paraId="70555603" w14:textId="77777777" w:rsidR="003F46B9" w:rsidRDefault="0065662E">
            <w:pPr>
              <w:pStyle w:val="P68B1DB1-Normal5"/>
              <w:spacing w:line="245" w:lineRule="auto"/>
              <w:jc w:val="both"/>
              <w:rPr>
                <w:rFonts w:cs="Times New Roman"/>
                <w:noProof/>
              </w:rPr>
            </w:pPr>
            <w:r>
              <w:rPr>
                <w:noProof/>
              </w:rPr>
              <w:t>Ulaganje 5c. Optimizacija komunikacijske mreže i stvaranje podatkovnog centra – Teletrans SA</w:t>
            </w:r>
          </w:p>
        </w:tc>
        <w:tc>
          <w:tcPr>
            <w:tcW w:w="906" w:type="dxa"/>
            <w:shd w:val="clear" w:color="auto" w:fill="C5EECE"/>
            <w:tcMar>
              <w:left w:w="57" w:type="dxa"/>
              <w:right w:w="57" w:type="dxa"/>
            </w:tcMar>
          </w:tcPr>
          <w:p w14:paraId="14D1AF7F" w14:textId="1392F035" w:rsidR="003F46B9" w:rsidRDefault="0065662E">
            <w:pPr>
              <w:pStyle w:val="P68B1DB1-Normal5"/>
              <w:spacing w:line="245" w:lineRule="auto"/>
              <w:rPr>
                <w:noProof/>
              </w:rPr>
            </w:pPr>
            <w:r>
              <w:rPr>
                <w:noProof/>
              </w:rPr>
              <w:t>Prekretnica</w:t>
            </w:r>
          </w:p>
        </w:tc>
        <w:tc>
          <w:tcPr>
            <w:tcW w:w="1159" w:type="dxa"/>
            <w:shd w:val="clear" w:color="auto" w:fill="C5EECE"/>
            <w:tcMar>
              <w:left w:w="57" w:type="dxa"/>
              <w:right w:w="57" w:type="dxa"/>
            </w:tcMar>
          </w:tcPr>
          <w:p w14:paraId="4B465F19" w14:textId="77777777" w:rsidR="003F46B9" w:rsidRDefault="0065662E">
            <w:pPr>
              <w:pStyle w:val="P68B1DB1-Normal5"/>
              <w:spacing w:line="252" w:lineRule="auto"/>
              <w:jc w:val="both"/>
              <w:rPr>
                <w:rFonts w:cs="Times New Roman"/>
                <w:noProof/>
              </w:rPr>
            </w:pPr>
            <w:r>
              <w:rPr>
                <w:noProof/>
              </w:rPr>
              <w:t>Završetak podatkovnog centra</w:t>
            </w:r>
          </w:p>
        </w:tc>
        <w:tc>
          <w:tcPr>
            <w:tcW w:w="1159" w:type="dxa"/>
            <w:shd w:val="clear" w:color="auto" w:fill="C5EECE"/>
            <w:tcMar>
              <w:left w:w="57" w:type="dxa"/>
              <w:right w:w="57" w:type="dxa"/>
            </w:tcMar>
          </w:tcPr>
          <w:p w14:paraId="65BB1241" w14:textId="0F89CCFD" w:rsidR="003F46B9" w:rsidRDefault="0065662E">
            <w:pPr>
              <w:pStyle w:val="P68B1DB1-Normal21"/>
              <w:spacing w:line="252" w:lineRule="auto"/>
              <w:jc w:val="both"/>
              <w:rPr>
                <w:noProof/>
              </w:rPr>
            </w:pPr>
            <w:r>
              <w:rPr>
                <w:noProof/>
              </w:rPr>
              <w:t>Uspostava i rad podatkovnog centra</w:t>
            </w:r>
          </w:p>
        </w:tc>
        <w:tc>
          <w:tcPr>
            <w:tcW w:w="1127" w:type="dxa"/>
            <w:shd w:val="clear" w:color="auto" w:fill="C5EECE"/>
            <w:tcMar>
              <w:left w:w="57" w:type="dxa"/>
              <w:right w:w="57" w:type="dxa"/>
            </w:tcMar>
          </w:tcPr>
          <w:p w14:paraId="54B82F17" w14:textId="14E22573" w:rsidR="003F46B9" w:rsidRDefault="003F46B9">
            <w:pPr>
              <w:rPr>
                <w:rFonts w:ascii="Times New Roman" w:eastAsia="Times New Roman" w:hAnsi="Times New Roman" w:cs="Times New Roman"/>
                <w:noProof/>
                <w:sz w:val="24"/>
              </w:rPr>
            </w:pPr>
          </w:p>
        </w:tc>
        <w:tc>
          <w:tcPr>
            <w:tcW w:w="1794" w:type="dxa"/>
            <w:shd w:val="clear" w:color="auto" w:fill="C5EECE"/>
            <w:tcMar>
              <w:left w:w="57" w:type="dxa"/>
              <w:right w:w="57" w:type="dxa"/>
            </w:tcMar>
          </w:tcPr>
          <w:p w14:paraId="38F35947" w14:textId="492627CA" w:rsidR="003F46B9" w:rsidRDefault="003F46B9">
            <w:pPr>
              <w:jc w:val="center"/>
              <w:rPr>
                <w:rFonts w:ascii="Times New Roman" w:eastAsia="Times New Roman" w:hAnsi="Times New Roman" w:cs="Times New Roman"/>
                <w:noProof/>
                <w:sz w:val="24"/>
              </w:rPr>
            </w:pPr>
          </w:p>
        </w:tc>
        <w:tc>
          <w:tcPr>
            <w:tcW w:w="1054" w:type="dxa"/>
            <w:shd w:val="clear" w:color="auto" w:fill="C5EECE"/>
            <w:tcMar>
              <w:left w:w="57" w:type="dxa"/>
              <w:right w:w="57" w:type="dxa"/>
            </w:tcMar>
          </w:tcPr>
          <w:p w14:paraId="6AB4BD0D" w14:textId="04E2F7D3" w:rsidR="003F46B9" w:rsidRDefault="003F46B9">
            <w:pPr>
              <w:spacing w:line="257" w:lineRule="auto"/>
              <w:jc w:val="center"/>
              <w:rPr>
                <w:rFonts w:ascii="Times New Roman" w:hAnsi="Times New Roman" w:cs="Times New Roman"/>
                <w:noProof/>
                <w:sz w:val="24"/>
              </w:rPr>
            </w:pPr>
          </w:p>
        </w:tc>
        <w:tc>
          <w:tcPr>
            <w:tcW w:w="779" w:type="dxa"/>
            <w:shd w:val="clear" w:color="auto" w:fill="C5EECE"/>
            <w:tcMar>
              <w:left w:w="57" w:type="dxa"/>
              <w:right w:w="57" w:type="dxa"/>
            </w:tcMar>
          </w:tcPr>
          <w:p w14:paraId="32C587C5" w14:textId="77777777" w:rsidR="003F46B9" w:rsidRDefault="0065662E">
            <w:pPr>
              <w:pStyle w:val="P68B1DB1-Normal5"/>
              <w:spacing w:line="252" w:lineRule="auto"/>
              <w:jc w:val="center"/>
              <w:rPr>
                <w:rFonts w:cs="Times New Roman"/>
                <w:noProof/>
              </w:rPr>
            </w:pPr>
            <w:r>
              <w:rPr>
                <w:noProof/>
              </w:rPr>
              <w:t>TROMJESEČJE</w:t>
            </w:r>
          </w:p>
          <w:p w14:paraId="5EF6678E" w14:textId="77777777" w:rsidR="003F46B9" w:rsidRDefault="003F46B9">
            <w:pPr>
              <w:jc w:val="center"/>
              <w:rPr>
                <w:rFonts w:ascii="Times New Roman" w:eastAsia="Times New Roman" w:hAnsi="Times New Roman" w:cs="Times New Roman"/>
                <w:noProof/>
                <w:sz w:val="24"/>
              </w:rPr>
            </w:pPr>
          </w:p>
        </w:tc>
        <w:tc>
          <w:tcPr>
            <w:tcW w:w="1003" w:type="dxa"/>
            <w:shd w:val="clear" w:color="auto" w:fill="C5EECE"/>
            <w:tcMar>
              <w:left w:w="57" w:type="dxa"/>
              <w:right w:w="57" w:type="dxa"/>
            </w:tcMar>
          </w:tcPr>
          <w:p w14:paraId="2DEFAE5E" w14:textId="77777777" w:rsidR="003F46B9" w:rsidRDefault="0065662E">
            <w:pPr>
              <w:pStyle w:val="P68B1DB1-Normal5"/>
              <w:spacing w:line="252" w:lineRule="auto"/>
              <w:jc w:val="center"/>
              <w:rPr>
                <w:rFonts w:cs="Times New Roman"/>
                <w:noProof/>
              </w:rPr>
            </w:pPr>
            <w:r>
              <w:rPr>
                <w:noProof/>
              </w:rPr>
              <w:t>2026</w:t>
            </w:r>
          </w:p>
          <w:p w14:paraId="5F0128AF" w14:textId="77777777" w:rsidR="003F46B9" w:rsidRDefault="003F46B9">
            <w:pPr>
              <w:rPr>
                <w:rFonts w:ascii="Times New Roman" w:eastAsia="Times New Roman" w:hAnsi="Times New Roman" w:cs="Times New Roman"/>
                <w:noProof/>
                <w:sz w:val="24"/>
              </w:rPr>
            </w:pPr>
          </w:p>
        </w:tc>
        <w:tc>
          <w:tcPr>
            <w:tcW w:w="2215" w:type="dxa"/>
            <w:shd w:val="clear" w:color="auto" w:fill="C5EECE"/>
            <w:tcMar>
              <w:left w:w="57" w:type="dxa"/>
              <w:right w:w="57" w:type="dxa"/>
            </w:tcMar>
          </w:tcPr>
          <w:p w14:paraId="4A82A7ED" w14:textId="77777777" w:rsidR="003F46B9" w:rsidRDefault="0065662E">
            <w:pPr>
              <w:pStyle w:val="P68B1DB1-Normal5"/>
              <w:spacing w:line="252" w:lineRule="auto"/>
              <w:jc w:val="both"/>
              <w:rPr>
                <w:rFonts w:cs="Times New Roman"/>
                <w:noProof/>
              </w:rPr>
            </w:pPr>
            <w:r>
              <w:rPr>
                <w:noProof/>
              </w:rPr>
              <w:t xml:space="preserve">Podatkovni centar Teletrans mora biti potpuno operativan. </w:t>
            </w:r>
            <w:r>
              <w:rPr>
                <w:noProof/>
              </w:rPr>
              <w:t>Podatkovni centar poštuje „Europski kodeks ponašanja za energetsku učinkovitost podatkovnog centra”.</w:t>
            </w:r>
          </w:p>
        </w:tc>
      </w:tr>
    </w:tbl>
    <w:p w14:paraId="3922E8D8" w14:textId="77777777" w:rsidR="003F46B9" w:rsidRDefault="003F46B9">
      <w:pPr>
        <w:spacing w:before="20" w:after="20" w:line="257" w:lineRule="auto"/>
        <w:jc w:val="both"/>
        <w:rPr>
          <w:rFonts w:ascii="Times New Roman" w:eastAsia="Times New Roman" w:hAnsi="Times New Roman" w:cs="Times New Roman"/>
          <w:noProof/>
          <w:sz w:val="24"/>
        </w:rPr>
      </w:pPr>
    </w:p>
    <w:p w14:paraId="0B4B6689" w14:textId="77777777" w:rsidR="003F46B9" w:rsidRDefault="003F46B9">
      <w:pPr>
        <w:spacing w:before="20" w:after="20" w:line="257" w:lineRule="auto"/>
        <w:jc w:val="both"/>
        <w:rPr>
          <w:rFonts w:ascii="Times New Roman" w:eastAsia="Times New Roman" w:hAnsi="Times New Roman" w:cs="Times New Roman"/>
          <w:noProof/>
          <w:sz w:val="24"/>
        </w:rPr>
        <w:sectPr w:rsidR="003F46B9">
          <w:headerReference w:type="even" r:id="rId331"/>
          <w:headerReference w:type="default" r:id="rId332"/>
          <w:footerReference w:type="even" r:id="rId333"/>
          <w:footerReference w:type="default" r:id="rId334"/>
          <w:headerReference w:type="first" r:id="rId335"/>
          <w:footerReference w:type="first" r:id="rId336"/>
          <w:pgSz w:w="15840" w:h="12240" w:orient="landscape" w:code="1"/>
          <w:pgMar w:top="1440" w:right="1440" w:bottom="1440" w:left="1440" w:header="720" w:footer="720" w:gutter="0"/>
          <w:cols w:space="720"/>
          <w:docGrid w:linePitch="360"/>
        </w:sectPr>
      </w:pPr>
    </w:p>
    <w:p w14:paraId="66A954DB" w14:textId="6A08A344" w:rsidR="003F46B9" w:rsidRDefault="0065662E">
      <w:pPr>
        <w:pStyle w:val="P68B1DB1-Normal31"/>
        <w:keepNext/>
        <w:spacing w:before="120" w:after="120" w:line="240" w:lineRule="auto"/>
        <w:jc w:val="both"/>
        <w:outlineLvl w:val="1"/>
        <w:rPr>
          <w:rFonts w:eastAsiaTheme="majorEastAsia"/>
          <w:noProof/>
        </w:rPr>
      </w:pPr>
      <w:r>
        <w:rPr>
          <w:noProof/>
        </w:rPr>
        <w:t>P.3. Opis reformi i ulaganja za zajam</w:t>
      </w:r>
    </w:p>
    <w:p w14:paraId="09295384" w14:textId="106D72D6" w:rsidR="003F46B9" w:rsidRDefault="0065662E">
      <w:pPr>
        <w:pStyle w:val="P68B1DB1-Normal28"/>
        <w:spacing w:before="120" w:after="120" w:line="240" w:lineRule="auto"/>
        <w:jc w:val="both"/>
        <w:rPr>
          <w:rFonts w:eastAsia="Times New Roman"/>
          <w:noProof/>
        </w:rPr>
      </w:pPr>
      <w:r>
        <w:rPr>
          <w:noProof/>
        </w:rPr>
        <w:t xml:space="preserve">Reforma br. 2: Uspostava jedinstvenih kontaktnih točaka (OSS) za pružanje energetskih savjetodavnih usluga za energetske obnove i proizvodnju energije iz obnovljivih izvora za proizvođače-potrošače </w:t>
      </w:r>
    </w:p>
    <w:p w14:paraId="1175AF65" w14:textId="32AD2230" w:rsidR="003F46B9" w:rsidRDefault="0065662E">
      <w:pPr>
        <w:pStyle w:val="P68B1DB1-Normal21"/>
        <w:spacing w:before="120" w:after="120" w:line="240" w:lineRule="auto"/>
        <w:jc w:val="both"/>
        <w:rPr>
          <w:rFonts w:eastAsia="Times New Roman"/>
          <w:noProof/>
        </w:rPr>
      </w:pPr>
      <w:r>
        <w:rPr>
          <w:noProof/>
        </w:rPr>
        <w:t xml:space="preserve">Cilj je te reforme uspostaviti namjenske urede koji će </w:t>
      </w:r>
      <w:r>
        <w:rPr>
          <w:noProof/>
        </w:rPr>
        <w:t>služiti kao jedinstvene kontaktne točke (OSS) za pružanje savjetodavnih usluga u području energije za obnovu energetske učinkovitosti i uvođenje novih postrojenja za proizvodnju energije iz obnovljivih izvora energije. Reformom se nastoji podići svijest vl</w:t>
      </w:r>
      <w:r>
        <w:rPr>
          <w:noProof/>
        </w:rPr>
        <w:t xml:space="preserve">asnika nekretnina o koristima energetske obnove i ugradnje obnovljivih izvora energije, pružiti opće informacije o praktičnim aspektima i mogućnostima potpore te time olakšati radove energetske obnove i ugradnju obnovljivih izvora energije. Reformom će se </w:t>
      </w:r>
      <w:r>
        <w:rPr>
          <w:noProof/>
        </w:rPr>
        <w:t>uspostaviti i internetska kontaktna točka koja će služiti kao jedinstvena točka za usmjeravanje izrade potrebne dokumentacije za energetsku obnovu i uvođenje obnovljivih izvora energije, posebno za energetski siromašne i ranjive potrošače energije.</w:t>
      </w:r>
    </w:p>
    <w:p w14:paraId="6AD67142" w14:textId="6419B154" w:rsidR="003F46B9" w:rsidRDefault="0065662E">
      <w:pPr>
        <w:pStyle w:val="P68B1DB1-Normal21"/>
        <w:spacing w:before="120" w:after="120" w:line="240" w:lineRule="auto"/>
        <w:jc w:val="both"/>
        <w:rPr>
          <w:rFonts w:eastAsia="Times New Roman"/>
          <w:noProof/>
        </w:rPr>
      </w:pPr>
      <w:r>
        <w:rPr>
          <w:noProof/>
        </w:rPr>
        <w:t>Provedb</w:t>
      </w:r>
      <w:r>
        <w:rPr>
          <w:noProof/>
        </w:rPr>
        <w:t>a reforme mora biti dovršena do 31. ožujka 2024.</w:t>
      </w:r>
    </w:p>
    <w:p w14:paraId="3FC3DA53" w14:textId="77777777" w:rsidR="003F46B9" w:rsidRDefault="0065662E">
      <w:pPr>
        <w:pStyle w:val="P68B1DB1-Normal28"/>
        <w:spacing w:before="120" w:after="120" w:line="240" w:lineRule="auto"/>
        <w:jc w:val="both"/>
        <w:rPr>
          <w:rFonts w:eastAsia="Times New Roman"/>
          <w:noProof/>
        </w:rPr>
      </w:pPr>
      <w:r>
        <w:rPr>
          <w:noProof/>
        </w:rPr>
        <w:t>Ulaganje 6: Pilot-projekt za ugradnju 20 MW plutajućih solarnih ploča na kanale navodnjavanja</w:t>
      </w:r>
    </w:p>
    <w:p w14:paraId="579B8AFA" w14:textId="48B4BDCE" w:rsidR="003F46B9" w:rsidRDefault="0065662E">
      <w:pPr>
        <w:pStyle w:val="P68B1DB1-Normal21"/>
        <w:spacing w:before="120" w:after="120" w:line="240" w:lineRule="auto"/>
        <w:jc w:val="both"/>
        <w:rPr>
          <w:noProof/>
        </w:rPr>
      </w:pPr>
      <w:r>
        <w:rPr>
          <w:noProof/>
        </w:rPr>
        <w:t>Cilj je ulaganja postavljanje i priključivanje na električnu mrežu 20 MW plutajućih solarnih ploča na već obnovlj</w:t>
      </w:r>
      <w:r>
        <w:rPr>
          <w:noProof/>
        </w:rPr>
        <w:t xml:space="preserve">enim kanalima navodnjavanja (tj. mrežu kanala za navodnjavanje Gălățui – Călărași) u vlasništvu države. Ulaganje provodi nacionalna agencija za poboljšanje zemljišta. </w:t>
      </w:r>
    </w:p>
    <w:p w14:paraId="052F7716" w14:textId="77777777" w:rsidR="003F46B9" w:rsidRDefault="0065662E">
      <w:pPr>
        <w:pStyle w:val="P68B1DB1-Normal21"/>
        <w:spacing w:before="120" w:after="120" w:line="240" w:lineRule="auto"/>
        <w:jc w:val="both"/>
        <w:rPr>
          <w:rFonts w:eastAsia="Times New Roman"/>
          <w:noProof/>
        </w:rPr>
      </w:pPr>
      <w:r>
        <w:rPr>
          <w:noProof/>
        </w:rPr>
        <w:t>Provedba ulaganja mora biti dovršena do 31. prosinca 2025.</w:t>
      </w:r>
    </w:p>
    <w:p w14:paraId="08F82771" w14:textId="2C887FBD" w:rsidR="003F46B9" w:rsidRDefault="0065662E">
      <w:pPr>
        <w:pStyle w:val="P68B1DB1-Normal28"/>
        <w:spacing w:before="120" w:after="120" w:line="240" w:lineRule="auto"/>
        <w:jc w:val="both"/>
        <w:rPr>
          <w:rFonts w:eastAsia="Times New Roman"/>
          <w:noProof/>
        </w:rPr>
      </w:pPr>
      <w:r>
        <w:rPr>
          <w:noProof/>
        </w:rPr>
        <w:t>Ulaganje 7: Program dodjele k</w:t>
      </w:r>
      <w:r>
        <w:rPr>
          <w:noProof/>
        </w:rPr>
        <w:t>upona za poboljšanje energetske učinkovitosti u kućanstvima</w:t>
      </w:r>
    </w:p>
    <w:p w14:paraId="330DC01E" w14:textId="277712EE" w:rsidR="003F46B9" w:rsidRDefault="0065662E">
      <w:pPr>
        <w:pStyle w:val="P68B1DB1-Normal21"/>
        <w:spacing w:before="120" w:after="120" w:line="240" w:lineRule="auto"/>
        <w:jc w:val="both"/>
        <w:rPr>
          <w:rFonts w:eastAsia="Times New Roman"/>
          <w:noProof/>
        </w:rPr>
      </w:pPr>
      <w:r>
        <w:rPr>
          <w:noProof/>
        </w:rPr>
        <w:t>Cilj je tog ulaganja smanjiti potražnju za primarnom energijom pružanjem financijske potpore vlasnicima nekretnina u obliku vaučera za poboljšanje energetske učinkovitosti u njihovim domovima. Sva</w:t>
      </w:r>
      <w:r>
        <w:rPr>
          <w:noProof/>
        </w:rPr>
        <w:t xml:space="preserve">kom obnovom ostvaruje se ušteda primarne energije od najmanje 30 % u usporedbi sa stanjem prije obnove. Stambeni objekti razvrstani u razrede seizmičkog rizika RsI i RsII isključuju se iz financiranja intervencija energetske učinkovitosti. Prihvatljive su </w:t>
      </w:r>
      <w:r>
        <w:rPr>
          <w:noProof/>
        </w:rPr>
        <w:t>samo zgrade kategorija energetske učinkovitosti G, F, E ili D.</w:t>
      </w:r>
    </w:p>
    <w:p w14:paraId="318FFCDE" w14:textId="77777777" w:rsidR="003F46B9" w:rsidRDefault="0065662E">
      <w:pPr>
        <w:pStyle w:val="P68B1DB1-Normal21"/>
        <w:spacing w:before="120" w:after="120" w:line="240" w:lineRule="auto"/>
        <w:jc w:val="both"/>
        <w:rPr>
          <w:rFonts w:eastAsia="Times New Roman"/>
          <w:noProof/>
        </w:rPr>
      </w:pPr>
      <w:r>
        <w:rPr>
          <w:noProof/>
        </w:rPr>
        <w:t>Ulaganje se provodi na dvije osi:</w:t>
      </w:r>
    </w:p>
    <w:p w14:paraId="7BE48C70" w14:textId="2567CDDC" w:rsidR="003F46B9" w:rsidRDefault="0065662E">
      <w:pPr>
        <w:pStyle w:val="P68B1DB1-ListParagraph25"/>
        <w:numPr>
          <w:ilvl w:val="0"/>
          <w:numId w:val="131"/>
        </w:numPr>
        <w:jc w:val="both"/>
        <w:rPr>
          <w:rFonts w:eastAsia="Times New Roman"/>
          <w:noProof/>
        </w:rPr>
      </w:pPr>
      <w:r>
        <w:rPr>
          <w:noProof/>
        </w:rPr>
        <w:t>Os I. – kombinirana obnova radi energetske učinkovitosti i ugradnja solarnih ploča u stambene zgrade jednoobitelja samo za energetski siromašna kućanstva i ran</w:t>
      </w:r>
      <w:r>
        <w:rPr>
          <w:noProof/>
        </w:rPr>
        <w:t xml:space="preserve">jive potrošače energije. Svaka obnova radi povećanja energetske učinkovitosti dopunjuje se ugradnjom solarnih ploča neto kapaciteta od najmanje 3 kW, koje se priključuju na mrežu. </w:t>
      </w:r>
      <w:bookmarkStart w:id="19" w:name="_Hlk150509306"/>
      <w:r>
        <w:rPr>
          <w:noProof/>
        </w:rPr>
        <w:t>Vaučeri su ograničeni na maksimalni financijski doprinos od 14 000 EUR za po</w:t>
      </w:r>
      <w:r>
        <w:rPr>
          <w:noProof/>
        </w:rPr>
        <w:t xml:space="preserve">boljšanje energetske učinkovitosti, 5 000 EUR za ugradnju solarnih ploča i 1 200 EUR za energetske certifikate i energetske preglede. </w:t>
      </w:r>
    </w:p>
    <w:bookmarkEnd w:id="19"/>
    <w:p w14:paraId="09ECA2F2" w14:textId="3621EC66" w:rsidR="003F46B9" w:rsidRDefault="0065662E">
      <w:pPr>
        <w:pStyle w:val="P68B1DB1-ListParagraph25"/>
        <w:numPr>
          <w:ilvl w:val="0"/>
          <w:numId w:val="131"/>
        </w:numPr>
        <w:jc w:val="both"/>
        <w:rPr>
          <w:rFonts w:eastAsia="Times New Roman"/>
          <w:noProof/>
        </w:rPr>
      </w:pPr>
      <w:r>
        <w:rPr>
          <w:noProof/>
        </w:rPr>
        <w:t>Os II – Obnova radi povećanja energetske učinkovitosti stambenih zgrada jednoobiteljske obitelji. Vaučeri su ograničeni n</w:t>
      </w:r>
      <w:r>
        <w:rPr>
          <w:noProof/>
        </w:rPr>
        <w:t>a maksimalni financijski doprinos od 14 000 EUR za poboljšanje energetske učinkovitosti i 100 EUR za energetske certifikate.</w:t>
      </w:r>
    </w:p>
    <w:p w14:paraId="5633D3F0" w14:textId="3C2F7CB3" w:rsidR="003F46B9" w:rsidRDefault="0065662E">
      <w:pPr>
        <w:pStyle w:val="P68B1DB1-Normal21"/>
        <w:spacing w:before="120" w:after="120" w:line="240" w:lineRule="auto"/>
        <w:jc w:val="both"/>
        <w:rPr>
          <w:rFonts w:eastAsia="Times New Roman"/>
          <w:noProof/>
        </w:rPr>
      </w:pPr>
      <w:r>
        <w:rPr>
          <w:noProof/>
        </w:rPr>
        <w:t>Pozivi na podnošenje prijedloga osi II objavljuju se nakon onih objavljenih u okviru osi I. Najmanje 50 % proračuna mjere dodjeljuj</w:t>
      </w:r>
      <w:r>
        <w:rPr>
          <w:noProof/>
        </w:rPr>
        <w:t xml:space="preserve">e se osi I. </w:t>
      </w:r>
    </w:p>
    <w:p w14:paraId="1D56769B" w14:textId="77777777" w:rsidR="003F46B9" w:rsidRDefault="0065662E">
      <w:pPr>
        <w:pStyle w:val="P68B1DB1-Normal21"/>
        <w:spacing w:before="120" w:after="120" w:line="240" w:lineRule="auto"/>
        <w:jc w:val="both"/>
        <w:rPr>
          <w:rFonts w:eastAsia="Times New Roman"/>
          <w:noProof/>
        </w:rPr>
      </w:pPr>
      <w:r>
        <w:rPr>
          <w:noProof/>
        </w:rPr>
        <w:t>Provedba ulaganja mora biti dovršena do 31. kolovoza 2026.</w:t>
      </w:r>
    </w:p>
    <w:p w14:paraId="1910D8AD" w14:textId="77777777" w:rsidR="003F46B9" w:rsidRDefault="003F46B9">
      <w:pPr>
        <w:spacing w:before="120" w:after="120" w:line="240" w:lineRule="auto"/>
        <w:jc w:val="both"/>
        <w:rPr>
          <w:rFonts w:ascii="Times New Roman" w:eastAsia="Times New Roman" w:hAnsi="Times New Roman" w:cs="Times New Roman"/>
          <w:b/>
          <w:noProof/>
          <w:u w:val="single"/>
        </w:rPr>
        <w:sectPr w:rsidR="003F46B9">
          <w:headerReference w:type="even" r:id="rId337"/>
          <w:headerReference w:type="default" r:id="rId338"/>
          <w:footerReference w:type="even" r:id="rId339"/>
          <w:footerReference w:type="default" r:id="rId340"/>
          <w:headerReference w:type="first" r:id="rId341"/>
          <w:footerReference w:type="first" r:id="rId342"/>
          <w:pgSz w:w="12240" w:h="15840" w:code="1"/>
          <w:pgMar w:top="1440" w:right="1440" w:bottom="1440" w:left="1440" w:header="720" w:footer="720" w:gutter="0"/>
          <w:cols w:space="720"/>
          <w:docGrid w:linePitch="360"/>
        </w:sectPr>
      </w:pPr>
    </w:p>
    <w:p w14:paraId="36551973" w14:textId="6644B6D8" w:rsidR="003F46B9" w:rsidRDefault="0065662E">
      <w:pPr>
        <w:pStyle w:val="P68B1DB1-Normal1"/>
        <w:keepNext/>
        <w:spacing w:before="120" w:after="120" w:line="240" w:lineRule="auto"/>
        <w:jc w:val="both"/>
        <w:outlineLvl w:val="1"/>
        <w:rPr>
          <w:rFonts w:eastAsiaTheme="majorEastAsia" w:cs="Times New Roman"/>
          <w:noProof/>
        </w:rPr>
      </w:pPr>
      <w:r>
        <w:rPr>
          <w:noProof/>
        </w:rPr>
        <w:t>P.4. Ključne etape, ciljne vrijednosti, pokazatelji i vremenski raspored za praćenje i provedbu zajma</w:t>
      </w:r>
    </w:p>
    <w:tbl>
      <w:tblPr>
        <w:tblW w:w="149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A0" w:firstRow="1" w:lastRow="0" w:firstColumn="1" w:lastColumn="0" w:noHBand="1" w:noVBand="1"/>
      </w:tblPr>
      <w:tblGrid>
        <w:gridCol w:w="928"/>
        <w:gridCol w:w="1882"/>
        <w:gridCol w:w="1207"/>
        <w:gridCol w:w="1461"/>
        <w:gridCol w:w="1608"/>
        <w:gridCol w:w="1095"/>
        <w:gridCol w:w="1261"/>
        <w:gridCol w:w="857"/>
        <w:gridCol w:w="1728"/>
        <w:gridCol w:w="861"/>
        <w:gridCol w:w="2069"/>
      </w:tblGrid>
      <w:tr w:rsidR="003F46B9" w14:paraId="780FC657" w14:textId="77777777">
        <w:trPr>
          <w:trHeight w:val="585"/>
          <w:tblHeader/>
        </w:trPr>
        <w:tc>
          <w:tcPr>
            <w:tcW w:w="1247" w:type="dxa"/>
            <w:vMerge w:val="restart"/>
            <w:shd w:val="clear" w:color="auto" w:fill="C5D9F0"/>
            <w:tcMar>
              <w:left w:w="57" w:type="dxa"/>
              <w:right w:w="57" w:type="dxa"/>
            </w:tcMar>
            <w:vAlign w:val="center"/>
          </w:tcPr>
          <w:p w14:paraId="79BE17E2" w14:textId="77777777" w:rsidR="003F46B9" w:rsidRDefault="0065662E">
            <w:pPr>
              <w:pStyle w:val="P68B1DB1-Normal32"/>
              <w:spacing w:after="0" w:line="245" w:lineRule="auto"/>
              <w:jc w:val="center"/>
              <w:rPr>
                <w:rFonts w:cs="Times New Roman"/>
                <w:noProof/>
              </w:rPr>
            </w:pPr>
            <w:r>
              <w:rPr>
                <w:noProof/>
              </w:rPr>
              <w:t>Redni broj</w:t>
            </w:r>
          </w:p>
        </w:tc>
        <w:tc>
          <w:tcPr>
            <w:tcW w:w="2243" w:type="dxa"/>
            <w:vMerge w:val="restart"/>
            <w:shd w:val="clear" w:color="auto" w:fill="C5D9F0"/>
            <w:tcMar>
              <w:left w:w="57" w:type="dxa"/>
              <w:right w:w="57" w:type="dxa"/>
            </w:tcMar>
            <w:vAlign w:val="center"/>
          </w:tcPr>
          <w:p w14:paraId="0CA72168" w14:textId="76957738" w:rsidR="003F46B9" w:rsidRDefault="0065662E">
            <w:pPr>
              <w:pStyle w:val="P68B1DB1-Normal32"/>
              <w:spacing w:after="0" w:line="252" w:lineRule="auto"/>
              <w:jc w:val="center"/>
              <w:rPr>
                <w:rFonts w:cs="Times New Roman"/>
                <w:noProof/>
              </w:rPr>
            </w:pPr>
            <w:r>
              <w:rPr>
                <w:noProof/>
              </w:rPr>
              <w:t>Mjera</w:t>
            </w:r>
          </w:p>
        </w:tc>
        <w:tc>
          <w:tcPr>
            <w:tcW w:w="940" w:type="dxa"/>
            <w:vMerge w:val="restart"/>
            <w:shd w:val="clear" w:color="auto" w:fill="C5D9F0"/>
            <w:tcMar>
              <w:left w:w="57" w:type="dxa"/>
              <w:right w:w="57" w:type="dxa"/>
            </w:tcMar>
            <w:vAlign w:val="center"/>
          </w:tcPr>
          <w:p w14:paraId="02B94044" w14:textId="77777777" w:rsidR="003F46B9" w:rsidRDefault="0065662E">
            <w:pPr>
              <w:spacing w:before="142" w:after="0"/>
              <w:jc w:val="center"/>
              <w:rPr>
                <w:rFonts w:ascii="Times New Roman" w:hAnsi="Times New Roman" w:cs="Times New Roman"/>
                <w:noProof/>
                <w:sz w:val="19"/>
              </w:rPr>
            </w:pPr>
            <w:r>
              <w:rPr>
                <w:rFonts w:ascii="Times New Roman" w:hAnsi="Times New Roman"/>
                <w:b/>
                <w:noProof/>
                <w:sz w:val="19"/>
              </w:rPr>
              <w:t>Prekretnica</w:t>
            </w:r>
            <w:r>
              <w:rPr>
                <w:noProof/>
              </w:rPr>
              <w:t xml:space="preserve"> </w:t>
            </w:r>
            <w:r>
              <w:rPr>
                <w:noProof/>
              </w:rPr>
              <w:br/>
            </w:r>
            <w:r>
              <w:rPr>
                <w:rFonts w:ascii="Times New Roman" w:hAnsi="Times New Roman"/>
                <w:b/>
                <w:noProof/>
                <w:sz w:val="19"/>
              </w:rPr>
              <w:t xml:space="preserve">/Ciljna </w:t>
            </w:r>
            <w:r>
              <w:rPr>
                <w:rFonts w:ascii="Times New Roman" w:hAnsi="Times New Roman"/>
                <w:b/>
                <w:noProof/>
                <w:sz w:val="19"/>
              </w:rPr>
              <w:t>vrijednost</w:t>
            </w:r>
          </w:p>
        </w:tc>
        <w:tc>
          <w:tcPr>
            <w:tcW w:w="1258" w:type="dxa"/>
            <w:vMerge w:val="restart"/>
            <w:shd w:val="clear" w:color="auto" w:fill="C5D9F0"/>
            <w:tcMar>
              <w:left w:w="57" w:type="dxa"/>
              <w:right w:w="57" w:type="dxa"/>
            </w:tcMar>
            <w:vAlign w:val="center"/>
          </w:tcPr>
          <w:p w14:paraId="17E32DFF" w14:textId="77777777" w:rsidR="003F46B9" w:rsidRDefault="0065662E">
            <w:pPr>
              <w:pStyle w:val="P68B1DB1-Normal32"/>
              <w:spacing w:before="4" w:after="0" w:line="257" w:lineRule="auto"/>
              <w:jc w:val="center"/>
              <w:rPr>
                <w:rFonts w:cs="Times New Roman"/>
                <w:noProof/>
              </w:rPr>
            </w:pPr>
            <w:r>
              <w:rPr>
                <w:noProof/>
              </w:rPr>
              <w:t>Ime</w:t>
            </w:r>
          </w:p>
        </w:tc>
        <w:tc>
          <w:tcPr>
            <w:tcW w:w="1202" w:type="dxa"/>
            <w:vMerge w:val="restart"/>
            <w:shd w:val="clear" w:color="auto" w:fill="C5D9F0"/>
            <w:tcMar>
              <w:left w:w="57" w:type="dxa"/>
              <w:right w:w="57" w:type="dxa"/>
            </w:tcMar>
            <w:vAlign w:val="center"/>
          </w:tcPr>
          <w:p w14:paraId="01685973" w14:textId="77777777" w:rsidR="003F46B9" w:rsidRDefault="0065662E">
            <w:pPr>
              <w:pStyle w:val="P68B1DB1-Normal32"/>
              <w:spacing w:before="1" w:after="0" w:line="242" w:lineRule="auto"/>
              <w:ind w:firstLine="45"/>
              <w:jc w:val="center"/>
              <w:rPr>
                <w:rFonts w:cs="Times New Roman"/>
                <w:noProof/>
              </w:rPr>
            </w:pPr>
            <w:r>
              <w:rPr>
                <w:noProof/>
              </w:rPr>
              <w:t>Kvalitativni pokazatelj (za ključne etape)</w:t>
            </w:r>
          </w:p>
        </w:tc>
        <w:tc>
          <w:tcPr>
            <w:tcW w:w="3645" w:type="dxa"/>
            <w:gridSpan w:val="3"/>
            <w:shd w:val="clear" w:color="auto" w:fill="C5D9F0"/>
            <w:tcMar>
              <w:left w:w="57" w:type="dxa"/>
              <w:right w:w="57" w:type="dxa"/>
            </w:tcMar>
            <w:vAlign w:val="center"/>
          </w:tcPr>
          <w:p w14:paraId="1B3C31AC" w14:textId="41A2453E" w:rsidR="003F46B9" w:rsidRDefault="0065662E">
            <w:pPr>
              <w:spacing w:before="142" w:after="0" w:line="223" w:lineRule="auto"/>
              <w:jc w:val="center"/>
              <w:rPr>
                <w:rFonts w:ascii="Times New Roman" w:hAnsi="Times New Roman" w:cs="Times New Roman"/>
                <w:noProof/>
                <w:sz w:val="19"/>
              </w:rPr>
            </w:pPr>
            <w:r>
              <w:rPr>
                <w:rFonts w:ascii="Times New Roman" w:hAnsi="Times New Roman"/>
                <w:b/>
                <w:noProof/>
                <w:sz w:val="19"/>
              </w:rPr>
              <w:t>Kvantitativni pokazatelj</w:t>
            </w:r>
            <w:r>
              <w:rPr>
                <w:noProof/>
              </w:rPr>
              <w:br/>
            </w:r>
            <w:r>
              <w:rPr>
                <w:rFonts w:ascii="Times New Roman" w:hAnsi="Times New Roman"/>
                <w:b/>
                <w:noProof/>
                <w:sz w:val="19"/>
              </w:rPr>
              <w:t>za ciljnu vrijednost</w:t>
            </w:r>
          </w:p>
        </w:tc>
        <w:tc>
          <w:tcPr>
            <w:tcW w:w="2228" w:type="dxa"/>
            <w:gridSpan w:val="2"/>
            <w:shd w:val="clear" w:color="auto" w:fill="C5D9F0"/>
            <w:tcMar>
              <w:left w:w="57" w:type="dxa"/>
              <w:right w:w="57" w:type="dxa"/>
            </w:tcMar>
            <w:vAlign w:val="center"/>
          </w:tcPr>
          <w:p w14:paraId="13D29787" w14:textId="139EBD25" w:rsidR="003F46B9" w:rsidRDefault="0065662E">
            <w:pPr>
              <w:pStyle w:val="P68B1DB1-Normal32"/>
              <w:spacing w:before="3"/>
              <w:jc w:val="center"/>
              <w:rPr>
                <w:rFonts w:cs="Times New Roman"/>
                <w:noProof/>
              </w:rPr>
            </w:pPr>
            <w:r>
              <w:rPr>
                <w:noProof/>
              </w:rPr>
              <w:t>Vrijeme</w:t>
            </w:r>
          </w:p>
        </w:tc>
        <w:tc>
          <w:tcPr>
            <w:tcW w:w="2194" w:type="dxa"/>
            <w:vMerge w:val="restart"/>
            <w:shd w:val="clear" w:color="auto" w:fill="C5D9F0"/>
            <w:tcMar>
              <w:left w:w="57" w:type="dxa"/>
              <w:right w:w="57" w:type="dxa"/>
            </w:tcMar>
            <w:vAlign w:val="center"/>
          </w:tcPr>
          <w:p w14:paraId="110BE2D9" w14:textId="77777777" w:rsidR="003F46B9" w:rsidRDefault="0065662E">
            <w:pPr>
              <w:pStyle w:val="P68B1DB1-Normal33"/>
              <w:spacing w:before="6" w:after="0"/>
              <w:jc w:val="center"/>
              <w:rPr>
                <w:rFonts w:cs="Times New Roman"/>
                <w:noProof/>
              </w:rPr>
            </w:pPr>
            <w:r>
              <w:rPr>
                <w:noProof/>
              </w:rPr>
              <w:t xml:space="preserve"> </w:t>
            </w:r>
          </w:p>
          <w:p w14:paraId="100A5948" w14:textId="77777777" w:rsidR="003F46B9" w:rsidRDefault="0065662E">
            <w:pPr>
              <w:pStyle w:val="P68B1DB1-Normal32"/>
              <w:spacing w:after="0"/>
              <w:jc w:val="center"/>
              <w:rPr>
                <w:rFonts w:cs="Times New Roman"/>
                <w:noProof/>
              </w:rPr>
            </w:pPr>
            <w:r>
              <w:rPr>
                <w:noProof/>
              </w:rPr>
              <w:t>Opis svake ključne etape i ciljne vrijednosti</w:t>
            </w:r>
          </w:p>
        </w:tc>
      </w:tr>
      <w:tr w:rsidR="003F46B9" w14:paraId="42E750B6" w14:textId="77777777">
        <w:trPr>
          <w:trHeight w:val="585"/>
          <w:tblHeader/>
        </w:trPr>
        <w:tc>
          <w:tcPr>
            <w:tcW w:w="1247" w:type="dxa"/>
            <w:vMerge/>
            <w:tcMar>
              <w:left w:w="57" w:type="dxa"/>
              <w:right w:w="57" w:type="dxa"/>
            </w:tcMar>
            <w:vAlign w:val="center"/>
          </w:tcPr>
          <w:p w14:paraId="1038F7BC" w14:textId="77777777" w:rsidR="003F46B9" w:rsidRDefault="003F46B9">
            <w:pPr>
              <w:rPr>
                <w:rFonts w:ascii="Times New Roman" w:hAnsi="Times New Roman" w:cs="Times New Roman"/>
                <w:noProof/>
                <w:sz w:val="19"/>
              </w:rPr>
            </w:pPr>
          </w:p>
        </w:tc>
        <w:tc>
          <w:tcPr>
            <w:tcW w:w="2243" w:type="dxa"/>
            <w:vMerge/>
            <w:tcMar>
              <w:left w:w="57" w:type="dxa"/>
              <w:right w:w="57" w:type="dxa"/>
            </w:tcMar>
            <w:vAlign w:val="center"/>
          </w:tcPr>
          <w:p w14:paraId="7484B226" w14:textId="77777777" w:rsidR="003F46B9" w:rsidRDefault="003F46B9">
            <w:pPr>
              <w:rPr>
                <w:rFonts w:ascii="Times New Roman" w:hAnsi="Times New Roman" w:cs="Times New Roman"/>
                <w:noProof/>
                <w:sz w:val="19"/>
              </w:rPr>
            </w:pPr>
          </w:p>
        </w:tc>
        <w:tc>
          <w:tcPr>
            <w:tcW w:w="940" w:type="dxa"/>
            <w:vMerge/>
            <w:tcMar>
              <w:left w:w="57" w:type="dxa"/>
              <w:right w:w="57" w:type="dxa"/>
            </w:tcMar>
            <w:vAlign w:val="center"/>
          </w:tcPr>
          <w:p w14:paraId="21B34741" w14:textId="77777777" w:rsidR="003F46B9" w:rsidRDefault="003F46B9">
            <w:pPr>
              <w:rPr>
                <w:rFonts w:ascii="Times New Roman" w:hAnsi="Times New Roman" w:cs="Times New Roman"/>
                <w:noProof/>
                <w:sz w:val="19"/>
              </w:rPr>
            </w:pPr>
          </w:p>
        </w:tc>
        <w:tc>
          <w:tcPr>
            <w:tcW w:w="1258" w:type="dxa"/>
            <w:vMerge/>
            <w:tcMar>
              <w:left w:w="57" w:type="dxa"/>
              <w:right w:w="57" w:type="dxa"/>
            </w:tcMar>
            <w:vAlign w:val="center"/>
          </w:tcPr>
          <w:p w14:paraId="75C14E5E" w14:textId="77777777" w:rsidR="003F46B9" w:rsidRDefault="003F46B9">
            <w:pPr>
              <w:rPr>
                <w:rFonts w:ascii="Times New Roman" w:hAnsi="Times New Roman" w:cs="Times New Roman"/>
                <w:noProof/>
                <w:sz w:val="19"/>
              </w:rPr>
            </w:pPr>
          </w:p>
        </w:tc>
        <w:tc>
          <w:tcPr>
            <w:tcW w:w="1202" w:type="dxa"/>
            <w:vMerge/>
            <w:tcMar>
              <w:left w:w="57" w:type="dxa"/>
              <w:right w:w="57" w:type="dxa"/>
            </w:tcMar>
            <w:vAlign w:val="center"/>
          </w:tcPr>
          <w:p w14:paraId="13E8707A" w14:textId="77777777" w:rsidR="003F46B9" w:rsidRDefault="003F46B9">
            <w:pPr>
              <w:rPr>
                <w:rFonts w:ascii="Times New Roman" w:hAnsi="Times New Roman" w:cs="Times New Roman"/>
                <w:noProof/>
                <w:sz w:val="19"/>
              </w:rPr>
            </w:pPr>
          </w:p>
        </w:tc>
        <w:tc>
          <w:tcPr>
            <w:tcW w:w="1128" w:type="dxa"/>
            <w:shd w:val="clear" w:color="auto" w:fill="C5D9F0"/>
            <w:tcMar>
              <w:left w:w="57" w:type="dxa"/>
              <w:right w:w="57" w:type="dxa"/>
            </w:tcMar>
            <w:vAlign w:val="center"/>
          </w:tcPr>
          <w:p w14:paraId="572FA367" w14:textId="77777777" w:rsidR="003F46B9" w:rsidRDefault="0065662E">
            <w:pPr>
              <w:pStyle w:val="P68B1DB1-Normal32"/>
              <w:spacing w:before="142" w:after="0" w:line="223" w:lineRule="auto"/>
              <w:jc w:val="center"/>
              <w:rPr>
                <w:rFonts w:cs="Times New Roman"/>
                <w:noProof/>
              </w:rPr>
            </w:pPr>
            <w:r>
              <w:rPr>
                <w:noProof/>
              </w:rPr>
              <w:t>Odjel</w:t>
            </w:r>
          </w:p>
        </w:tc>
        <w:tc>
          <w:tcPr>
            <w:tcW w:w="1578" w:type="dxa"/>
            <w:shd w:val="clear" w:color="auto" w:fill="C5D9F0"/>
            <w:tcMar>
              <w:left w:w="57" w:type="dxa"/>
              <w:right w:w="57" w:type="dxa"/>
            </w:tcMar>
            <w:vAlign w:val="center"/>
          </w:tcPr>
          <w:p w14:paraId="599C9144" w14:textId="77777777" w:rsidR="003F46B9" w:rsidRDefault="0065662E">
            <w:pPr>
              <w:pStyle w:val="P68B1DB1-Normal32"/>
              <w:spacing w:before="142" w:after="0" w:line="223" w:lineRule="auto"/>
              <w:jc w:val="center"/>
              <w:rPr>
                <w:rFonts w:cs="Times New Roman"/>
                <w:noProof/>
              </w:rPr>
            </w:pPr>
            <w:r>
              <w:rPr>
                <w:noProof/>
              </w:rPr>
              <w:t>Osnovna vrijednost</w:t>
            </w:r>
          </w:p>
        </w:tc>
        <w:tc>
          <w:tcPr>
            <w:tcW w:w="939" w:type="dxa"/>
            <w:shd w:val="clear" w:color="auto" w:fill="C5D9F0"/>
            <w:tcMar>
              <w:left w:w="57" w:type="dxa"/>
              <w:right w:w="57" w:type="dxa"/>
            </w:tcMar>
            <w:vAlign w:val="center"/>
          </w:tcPr>
          <w:p w14:paraId="667DB84A" w14:textId="77777777" w:rsidR="003F46B9" w:rsidRDefault="0065662E">
            <w:pPr>
              <w:pStyle w:val="P68B1DB1-Normal32"/>
              <w:spacing w:before="142" w:after="0" w:line="223" w:lineRule="auto"/>
              <w:jc w:val="center"/>
              <w:rPr>
                <w:rFonts w:cs="Times New Roman"/>
                <w:noProof/>
              </w:rPr>
            </w:pPr>
            <w:r>
              <w:rPr>
                <w:noProof/>
              </w:rPr>
              <w:t>Cilj</w:t>
            </w:r>
          </w:p>
        </w:tc>
        <w:tc>
          <w:tcPr>
            <w:tcW w:w="1225" w:type="dxa"/>
            <w:shd w:val="clear" w:color="auto" w:fill="C5D9F0"/>
            <w:tcMar>
              <w:left w:w="57" w:type="dxa"/>
              <w:right w:w="57" w:type="dxa"/>
            </w:tcMar>
            <w:vAlign w:val="center"/>
          </w:tcPr>
          <w:p w14:paraId="15806AEC" w14:textId="77777777" w:rsidR="003F46B9" w:rsidRDefault="0065662E">
            <w:pPr>
              <w:pStyle w:val="P68B1DB1-Normal32"/>
              <w:spacing w:before="142" w:after="0" w:line="223" w:lineRule="auto"/>
              <w:jc w:val="center"/>
              <w:rPr>
                <w:rFonts w:eastAsia="Times New Roman" w:cs="Times New Roman"/>
                <w:noProof/>
              </w:rPr>
            </w:pPr>
            <w:r>
              <w:rPr>
                <w:noProof/>
              </w:rPr>
              <w:t>Tromjesečje</w:t>
            </w:r>
          </w:p>
        </w:tc>
        <w:tc>
          <w:tcPr>
            <w:tcW w:w="1003" w:type="dxa"/>
            <w:shd w:val="clear" w:color="auto" w:fill="C5D9F0"/>
            <w:tcMar>
              <w:left w:w="57" w:type="dxa"/>
              <w:right w:w="57" w:type="dxa"/>
            </w:tcMar>
            <w:vAlign w:val="center"/>
          </w:tcPr>
          <w:p w14:paraId="62F88B86" w14:textId="2DED95B1" w:rsidR="003F46B9" w:rsidRDefault="0065662E">
            <w:pPr>
              <w:pStyle w:val="P68B1DB1-Normal32"/>
              <w:spacing w:before="142" w:after="0" w:line="223" w:lineRule="auto"/>
              <w:jc w:val="center"/>
              <w:rPr>
                <w:rFonts w:eastAsia="Times New Roman" w:cs="Times New Roman"/>
                <w:noProof/>
              </w:rPr>
            </w:pPr>
            <w:r>
              <w:rPr>
                <w:noProof/>
              </w:rPr>
              <w:t>Godina</w:t>
            </w:r>
          </w:p>
        </w:tc>
        <w:tc>
          <w:tcPr>
            <w:tcW w:w="2194" w:type="dxa"/>
            <w:vMerge/>
            <w:tcMar>
              <w:left w:w="57" w:type="dxa"/>
              <w:right w:w="57" w:type="dxa"/>
            </w:tcMar>
            <w:vAlign w:val="center"/>
          </w:tcPr>
          <w:p w14:paraId="740D7250" w14:textId="77777777" w:rsidR="003F46B9" w:rsidRDefault="003F46B9">
            <w:pPr>
              <w:rPr>
                <w:rFonts w:ascii="Times New Roman" w:hAnsi="Times New Roman" w:cs="Times New Roman"/>
                <w:noProof/>
                <w:sz w:val="19"/>
              </w:rPr>
            </w:pPr>
          </w:p>
        </w:tc>
      </w:tr>
      <w:tr w:rsidR="003F46B9" w14:paraId="3E46A365" w14:textId="77777777">
        <w:trPr>
          <w:trHeight w:val="406"/>
        </w:trPr>
        <w:tc>
          <w:tcPr>
            <w:tcW w:w="1247" w:type="dxa"/>
            <w:shd w:val="clear" w:color="auto" w:fill="C5EECE"/>
            <w:tcMar>
              <w:left w:w="57" w:type="dxa"/>
              <w:right w:w="57" w:type="dxa"/>
            </w:tcMar>
          </w:tcPr>
          <w:p w14:paraId="3F103474" w14:textId="5BDEDCCC" w:rsidR="003F46B9" w:rsidRDefault="0065662E">
            <w:pPr>
              <w:pStyle w:val="P68B1DB1-Normal5"/>
              <w:spacing w:after="0"/>
              <w:jc w:val="center"/>
              <w:rPr>
                <w:rFonts w:eastAsia="Times New Roman" w:cs="Times New Roman"/>
                <w:noProof/>
              </w:rPr>
            </w:pPr>
            <w:r>
              <w:rPr>
                <w:noProof/>
              </w:rPr>
              <w:t>523</w:t>
            </w:r>
          </w:p>
        </w:tc>
        <w:tc>
          <w:tcPr>
            <w:tcW w:w="2243" w:type="dxa"/>
            <w:shd w:val="clear" w:color="auto" w:fill="C5EECE"/>
            <w:tcMar>
              <w:left w:w="57" w:type="dxa"/>
              <w:right w:w="57" w:type="dxa"/>
            </w:tcMar>
          </w:tcPr>
          <w:p w14:paraId="6BB913EA" w14:textId="7E12D844" w:rsidR="003F46B9" w:rsidRDefault="0065662E">
            <w:pPr>
              <w:pStyle w:val="P68B1DB1-Normal5"/>
              <w:spacing w:after="0" w:line="245" w:lineRule="auto"/>
              <w:jc w:val="both"/>
              <w:rPr>
                <w:rFonts w:eastAsia="Times New Roman" w:cs="Times New Roman"/>
                <w:noProof/>
              </w:rPr>
            </w:pPr>
            <w:r>
              <w:rPr>
                <w:noProof/>
              </w:rPr>
              <w:t xml:space="preserve">Reforma 2. Uspostava jedinstvenih </w:t>
            </w:r>
            <w:r>
              <w:rPr>
                <w:noProof/>
              </w:rPr>
              <w:t>kontaktnih točaka (OSS) za pružanje energetskih savjetodavnih usluga za energetske obnove i proizvodnju energije iz obnovljivih izvora za proizvođače-potrošače</w:t>
            </w:r>
          </w:p>
        </w:tc>
        <w:tc>
          <w:tcPr>
            <w:tcW w:w="940" w:type="dxa"/>
            <w:shd w:val="clear" w:color="auto" w:fill="C5EECE"/>
            <w:tcMar>
              <w:left w:w="57" w:type="dxa"/>
              <w:right w:w="57" w:type="dxa"/>
            </w:tcMar>
          </w:tcPr>
          <w:p w14:paraId="363DE6AE" w14:textId="77777777" w:rsidR="003F46B9" w:rsidRDefault="0065662E">
            <w:pPr>
              <w:pStyle w:val="P68B1DB1-Normal5"/>
              <w:spacing w:after="0" w:line="254" w:lineRule="auto"/>
              <w:jc w:val="both"/>
              <w:rPr>
                <w:rFonts w:eastAsia="Times New Roman" w:cs="Times New Roman"/>
                <w:noProof/>
              </w:rPr>
            </w:pPr>
            <w:r>
              <w:rPr>
                <w:noProof/>
              </w:rPr>
              <w:t>Prekretnica</w:t>
            </w:r>
          </w:p>
        </w:tc>
        <w:tc>
          <w:tcPr>
            <w:tcW w:w="1258" w:type="dxa"/>
            <w:shd w:val="clear" w:color="auto" w:fill="C5EECE"/>
            <w:tcMar>
              <w:left w:w="57" w:type="dxa"/>
              <w:right w:w="57" w:type="dxa"/>
            </w:tcMar>
          </w:tcPr>
          <w:p w14:paraId="7FC75F9F" w14:textId="77777777" w:rsidR="003F46B9" w:rsidRDefault="0065662E">
            <w:pPr>
              <w:pStyle w:val="P68B1DB1-Normal5"/>
              <w:spacing w:after="0" w:line="254" w:lineRule="auto"/>
              <w:jc w:val="both"/>
              <w:rPr>
                <w:rFonts w:eastAsia="Times New Roman" w:cs="Times New Roman"/>
                <w:noProof/>
              </w:rPr>
            </w:pPr>
            <w:r>
              <w:rPr>
                <w:noProof/>
              </w:rPr>
              <w:t>Stupanje na snagu zakonodavnih izmjena za uspostavu i razvoj ureda jedinstvene konta</w:t>
            </w:r>
            <w:r>
              <w:rPr>
                <w:noProof/>
              </w:rPr>
              <w:t>ktne točke za pružanje savjetodavnih usluga u području energetike</w:t>
            </w:r>
          </w:p>
        </w:tc>
        <w:tc>
          <w:tcPr>
            <w:tcW w:w="1202" w:type="dxa"/>
            <w:shd w:val="clear" w:color="auto" w:fill="C5EECE"/>
            <w:tcMar>
              <w:left w:w="57" w:type="dxa"/>
              <w:right w:w="57" w:type="dxa"/>
            </w:tcMar>
          </w:tcPr>
          <w:p w14:paraId="1EAC62BB" w14:textId="77777777" w:rsidR="003F46B9" w:rsidRDefault="0065662E">
            <w:pPr>
              <w:pStyle w:val="P68B1DB1-Normal5"/>
              <w:spacing w:after="0" w:line="254" w:lineRule="auto"/>
              <w:jc w:val="both"/>
              <w:rPr>
                <w:rFonts w:eastAsia="Times New Roman" w:cs="Times New Roman"/>
                <w:noProof/>
              </w:rPr>
            </w:pPr>
            <w:r>
              <w:rPr>
                <w:noProof/>
              </w:rPr>
              <w:t>Odredba o stupanju na snagu</w:t>
            </w:r>
          </w:p>
        </w:tc>
        <w:tc>
          <w:tcPr>
            <w:tcW w:w="1128" w:type="dxa"/>
            <w:shd w:val="clear" w:color="auto" w:fill="C5EECE"/>
            <w:tcMar>
              <w:left w:w="57" w:type="dxa"/>
              <w:right w:w="57" w:type="dxa"/>
            </w:tcMar>
          </w:tcPr>
          <w:p w14:paraId="56545F19" w14:textId="77777777" w:rsidR="003F46B9" w:rsidRDefault="003F46B9">
            <w:pPr>
              <w:spacing w:after="0"/>
              <w:jc w:val="both"/>
              <w:rPr>
                <w:rFonts w:ascii="Times New Roman" w:eastAsia="Times New Roman" w:hAnsi="Times New Roman" w:cs="Times New Roman"/>
                <w:noProof/>
                <w:sz w:val="24"/>
              </w:rPr>
            </w:pPr>
          </w:p>
        </w:tc>
        <w:tc>
          <w:tcPr>
            <w:tcW w:w="1578" w:type="dxa"/>
            <w:shd w:val="clear" w:color="auto" w:fill="C5EECE"/>
            <w:tcMar>
              <w:left w:w="57" w:type="dxa"/>
              <w:right w:w="57" w:type="dxa"/>
            </w:tcMar>
            <w:vAlign w:val="center"/>
          </w:tcPr>
          <w:p w14:paraId="7DD120A3" w14:textId="77777777" w:rsidR="003F46B9" w:rsidRDefault="003F46B9">
            <w:pPr>
              <w:spacing w:after="0"/>
              <w:jc w:val="center"/>
              <w:rPr>
                <w:rFonts w:ascii="Times New Roman" w:eastAsia="Times New Roman" w:hAnsi="Times New Roman" w:cs="Times New Roman"/>
                <w:noProof/>
                <w:sz w:val="24"/>
              </w:rPr>
            </w:pPr>
          </w:p>
        </w:tc>
        <w:tc>
          <w:tcPr>
            <w:tcW w:w="939" w:type="dxa"/>
            <w:shd w:val="clear" w:color="auto" w:fill="C5EECE"/>
            <w:tcMar>
              <w:left w:w="57" w:type="dxa"/>
              <w:right w:w="57" w:type="dxa"/>
            </w:tcMar>
          </w:tcPr>
          <w:p w14:paraId="5ADE1642" w14:textId="77777777" w:rsidR="003F46B9" w:rsidRDefault="003F46B9">
            <w:pPr>
              <w:spacing w:after="0"/>
              <w:jc w:val="both"/>
              <w:rPr>
                <w:rFonts w:ascii="Times New Roman" w:eastAsia="Times New Roman" w:hAnsi="Times New Roman" w:cs="Times New Roman"/>
                <w:noProof/>
                <w:sz w:val="24"/>
              </w:rPr>
            </w:pPr>
          </w:p>
        </w:tc>
        <w:tc>
          <w:tcPr>
            <w:tcW w:w="1225" w:type="dxa"/>
            <w:shd w:val="clear" w:color="auto" w:fill="C5EECE"/>
            <w:tcMar>
              <w:left w:w="57" w:type="dxa"/>
              <w:right w:w="57" w:type="dxa"/>
            </w:tcMar>
          </w:tcPr>
          <w:p w14:paraId="1508C45C" w14:textId="04CFC41C"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0C61C3DC" w14:textId="31A31AEC" w:rsidR="003F46B9" w:rsidRDefault="0065662E">
            <w:pPr>
              <w:pStyle w:val="P68B1DB1-Normal5"/>
              <w:spacing w:after="0"/>
              <w:jc w:val="both"/>
              <w:rPr>
                <w:rFonts w:eastAsia="Times New Roman" w:cs="Times New Roman"/>
                <w:noProof/>
              </w:rPr>
            </w:pPr>
            <w:r>
              <w:rPr>
                <w:noProof/>
              </w:rPr>
              <w:t>2024</w:t>
            </w:r>
          </w:p>
        </w:tc>
        <w:tc>
          <w:tcPr>
            <w:tcW w:w="2194" w:type="dxa"/>
            <w:shd w:val="clear" w:color="auto" w:fill="C5EECE"/>
            <w:tcMar>
              <w:left w:w="57" w:type="dxa"/>
              <w:right w:w="57" w:type="dxa"/>
            </w:tcMar>
          </w:tcPr>
          <w:p w14:paraId="1DA37882" w14:textId="325BA6C1" w:rsidR="003F46B9" w:rsidRDefault="0065662E">
            <w:pPr>
              <w:pStyle w:val="P68B1DB1-Normal5"/>
              <w:spacing w:after="0" w:line="252" w:lineRule="auto"/>
              <w:jc w:val="both"/>
              <w:rPr>
                <w:rFonts w:cs="Times New Roman"/>
                <w:noProof/>
              </w:rPr>
            </w:pPr>
            <w:r>
              <w:rPr>
                <w:noProof/>
              </w:rPr>
              <w:t>Na snagu je stupilo zakonodavstvo kojim se osigurava pravni okvir za uspostavu i razvoj ureda jedinstvene kontaktne točke koji vlasnicima nekr</w:t>
            </w:r>
            <w:r>
              <w:rPr>
                <w:noProof/>
              </w:rPr>
              <w:t>etnina pružaju savjetodavne usluge u području energetike.</w:t>
            </w:r>
          </w:p>
          <w:p w14:paraId="2352E5CD" w14:textId="77777777" w:rsidR="003F46B9" w:rsidRDefault="0065662E">
            <w:pPr>
              <w:pStyle w:val="P68B1DB1-Normal5"/>
              <w:jc w:val="both"/>
              <w:rPr>
                <w:rFonts w:cs="Times New Roman"/>
                <w:noProof/>
              </w:rPr>
            </w:pPr>
            <w:r>
              <w:rPr>
                <w:noProof/>
              </w:rPr>
              <w:t>Sadržava odredbe kojima se utvrđuju zadaće, upravljanje i struktura financiranja ureda jedinstvene kontaktne točke.</w:t>
            </w:r>
          </w:p>
        </w:tc>
      </w:tr>
      <w:tr w:rsidR="003F46B9" w14:paraId="7120DF06" w14:textId="77777777">
        <w:trPr>
          <w:trHeight w:val="406"/>
        </w:trPr>
        <w:tc>
          <w:tcPr>
            <w:tcW w:w="1247" w:type="dxa"/>
            <w:shd w:val="clear" w:color="auto" w:fill="C5EECE"/>
            <w:tcMar>
              <w:left w:w="57" w:type="dxa"/>
              <w:right w:w="57" w:type="dxa"/>
            </w:tcMar>
          </w:tcPr>
          <w:p w14:paraId="36F71CD4" w14:textId="5857B73B" w:rsidR="003F46B9" w:rsidRDefault="0065662E">
            <w:pPr>
              <w:pStyle w:val="P68B1DB1-Normal6"/>
              <w:spacing w:after="0"/>
              <w:jc w:val="center"/>
              <w:rPr>
                <w:noProof/>
              </w:rPr>
            </w:pPr>
            <w:r>
              <w:rPr>
                <w:noProof/>
              </w:rPr>
              <w:t>524</w:t>
            </w:r>
          </w:p>
        </w:tc>
        <w:tc>
          <w:tcPr>
            <w:tcW w:w="2243" w:type="dxa"/>
            <w:shd w:val="clear" w:color="auto" w:fill="C5EECE"/>
            <w:tcMar>
              <w:left w:w="57" w:type="dxa"/>
              <w:right w:w="57" w:type="dxa"/>
            </w:tcMar>
          </w:tcPr>
          <w:p w14:paraId="4119C144" w14:textId="77D71ABC" w:rsidR="003F46B9" w:rsidRDefault="0065662E">
            <w:pPr>
              <w:pStyle w:val="P68B1DB1-Normal5"/>
              <w:spacing w:after="0" w:line="245" w:lineRule="auto"/>
              <w:jc w:val="both"/>
              <w:rPr>
                <w:rFonts w:eastAsia="Times New Roman" w:cs="Times New Roman"/>
                <w:noProof/>
              </w:rPr>
            </w:pPr>
            <w:r>
              <w:rPr>
                <w:noProof/>
              </w:rPr>
              <w:t xml:space="preserve">Reforma 2. Uspostava jedinstvenih kontaktnih točaka (OSS) za pružanje </w:t>
            </w:r>
            <w:r>
              <w:rPr>
                <w:noProof/>
              </w:rPr>
              <w:t>energetskih savjetodavnih usluga za energetske obnove i proizvodnju energije iz obnovljivih izvora za proizvođače-potrošače</w:t>
            </w:r>
          </w:p>
        </w:tc>
        <w:tc>
          <w:tcPr>
            <w:tcW w:w="940" w:type="dxa"/>
            <w:shd w:val="clear" w:color="auto" w:fill="C5EECE"/>
            <w:tcMar>
              <w:left w:w="57" w:type="dxa"/>
              <w:right w:w="57" w:type="dxa"/>
            </w:tcMar>
          </w:tcPr>
          <w:p w14:paraId="141815CA" w14:textId="77777777" w:rsidR="003F46B9" w:rsidRDefault="0065662E">
            <w:pPr>
              <w:pStyle w:val="P68B1DB1-Normal5"/>
              <w:spacing w:after="0" w:line="254" w:lineRule="auto"/>
              <w:jc w:val="both"/>
              <w:rPr>
                <w:rFonts w:eastAsia="Times New Roman" w:cs="Times New Roman"/>
                <w:noProof/>
              </w:rPr>
            </w:pPr>
            <w:r>
              <w:rPr>
                <w:noProof/>
              </w:rPr>
              <w:t>Ciljna</w:t>
            </w:r>
          </w:p>
        </w:tc>
        <w:tc>
          <w:tcPr>
            <w:tcW w:w="1258" w:type="dxa"/>
            <w:shd w:val="clear" w:color="auto" w:fill="C5EECE"/>
            <w:tcMar>
              <w:left w:w="57" w:type="dxa"/>
              <w:right w:w="57" w:type="dxa"/>
            </w:tcMar>
          </w:tcPr>
          <w:p w14:paraId="7B088FD1" w14:textId="77777777" w:rsidR="003F46B9" w:rsidRDefault="0065662E">
            <w:pPr>
              <w:pStyle w:val="P68B1DB1-Normal5"/>
              <w:spacing w:after="0" w:line="254" w:lineRule="auto"/>
              <w:jc w:val="both"/>
              <w:rPr>
                <w:rFonts w:eastAsia="Times New Roman" w:cs="Times New Roman"/>
                <w:noProof/>
              </w:rPr>
            </w:pPr>
            <w:r>
              <w:rPr>
                <w:noProof/>
              </w:rPr>
              <w:t>Mjere za izgradnju kapaciteta</w:t>
            </w:r>
          </w:p>
        </w:tc>
        <w:tc>
          <w:tcPr>
            <w:tcW w:w="1202" w:type="dxa"/>
            <w:shd w:val="clear" w:color="auto" w:fill="C5EECE"/>
            <w:tcMar>
              <w:left w:w="57" w:type="dxa"/>
              <w:right w:w="57" w:type="dxa"/>
            </w:tcMar>
          </w:tcPr>
          <w:p w14:paraId="12822FED" w14:textId="77777777" w:rsidR="003F46B9" w:rsidRDefault="003F46B9">
            <w:pPr>
              <w:spacing w:after="0" w:line="254" w:lineRule="auto"/>
              <w:jc w:val="both"/>
              <w:rPr>
                <w:rFonts w:ascii="Times New Roman" w:eastAsia="Times New Roman" w:hAnsi="Times New Roman" w:cs="Times New Roman"/>
                <w:noProof/>
                <w:sz w:val="24"/>
              </w:rPr>
            </w:pPr>
          </w:p>
        </w:tc>
        <w:tc>
          <w:tcPr>
            <w:tcW w:w="1128" w:type="dxa"/>
            <w:shd w:val="clear" w:color="auto" w:fill="C5EECE"/>
            <w:tcMar>
              <w:left w:w="57" w:type="dxa"/>
              <w:right w:w="57" w:type="dxa"/>
            </w:tcMar>
          </w:tcPr>
          <w:p w14:paraId="27755943" w14:textId="77777777" w:rsidR="003F46B9" w:rsidRDefault="0065662E">
            <w:pPr>
              <w:pStyle w:val="P68B1DB1-Normal5"/>
              <w:spacing w:after="0"/>
              <w:jc w:val="both"/>
              <w:rPr>
                <w:rFonts w:eastAsia="Times New Roman" w:cs="Times New Roman"/>
                <w:noProof/>
              </w:rPr>
            </w:pPr>
            <w:r>
              <w:rPr>
                <w:noProof/>
              </w:rPr>
              <w:t>Broj</w:t>
            </w:r>
          </w:p>
        </w:tc>
        <w:tc>
          <w:tcPr>
            <w:tcW w:w="1578" w:type="dxa"/>
            <w:shd w:val="clear" w:color="auto" w:fill="C5EECE"/>
            <w:tcMar>
              <w:left w:w="57" w:type="dxa"/>
              <w:right w:w="57" w:type="dxa"/>
            </w:tcMar>
          </w:tcPr>
          <w:p w14:paraId="5BEE21BA" w14:textId="77777777" w:rsidR="003F46B9" w:rsidRDefault="0065662E">
            <w:pPr>
              <w:pStyle w:val="P68B1DB1-Normal5"/>
              <w:spacing w:after="0"/>
              <w:jc w:val="both"/>
              <w:rPr>
                <w:rFonts w:eastAsia="Times New Roman" w:cs="Times New Roman"/>
                <w:noProof/>
              </w:rPr>
            </w:pPr>
            <w:r>
              <w:rPr>
                <w:noProof/>
              </w:rPr>
              <w:t>0</w:t>
            </w:r>
          </w:p>
        </w:tc>
        <w:tc>
          <w:tcPr>
            <w:tcW w:w="939" w:type="dxa"/>
            <w:shd w:val="clear" w:color="auto" w:fill="C5EECE"/>
            <w:tcMar>
              <w:left w:w="57" w:type="dxa"/>
              <w:right w:w="57" w:type="dxa"/>
            </w:tcMar>
          </w:tcPr>
          <w:p w14:paraId="5990B3DC" w14:textId="77777777" w:rsidR="003F46B9" w:rsidRDefault="0065662E">
            <w:pPr>
              <w:pStyle w:val="P68B1DB1-Normal5"/>
              <w:spacing w:after="0"/>
              <w:jc w:val="both"/>
              <w:rPr>
                <w:rFonts w:eastAsia="Times New Roman" w:cs="Times New Roman"/>
                <w:noProof/>
              </w:rPr>
            </w:pPr>
            <w:r>
              <w:rPr>
                <w:noProof/>
              </w:rPr>
              <w:t>84</w:t>
            </w:r>
          </w:p>
        </w:tc>
        <w:tc>
          <w:tcPr>
            <w:tcW w:w="1225" w:type="dxa"/>
            <w:shd w:val="clear" w:color="auto" w:fill="C5EECE"/>
            <w:tcMar>
              <w:left w:w="57" w:type="dxa"/>
              <w:right w:w="57" w:type="dxa"/>
            </w:tcMar>
          </w:tcPr>
          <w:p w14:paraId="1F50F037" w14:textId="594CA4C7"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7F1C3A07" w14:textId="6C5A4659" w:rsidR="003F46B9" w:rsidRDefault="0065662E">
            <w:pPr>
              <w:pStyle w:val="P68B1DB1-Normal5"/>
              <w:spacing w:after="0"/>
              <w:jc w:val="both"/>
              <w:rPr>
                <w:rFonts w:eastAsia="Times New Roman" w:cs="Times New Roman"/>
                <w:noProof/>
              </w:rPr>
            </w:pPr>
            <w:r>
              <w:rPr>
                <w:noProof/>
              </w:rPr>
              <w:t>2024</w:t>
            </w:r>
          </w:p>
        </w:tc>
        <w:tc>
          <w:tcPr>
            <w:tcW w:w="2194" w:type="dxa"/>
            <w:shd w:val="clear" w:color="auto" w:fill="C5EECE"/>
            <w:tcMar>
              <w:left w:w="57" w:type="dxa"/>
              <w:right w:w="57" w:type="dxa"/>
            </w:tcMar>
          </w:tcPr>
          <w:p w14:paraId="78EB2CC1" w14:textId="5E49BF4A" w:rsidR="003F46B9" w:rsidRDefault="0065662E">
            <w:pPr>
              <w:pStyle w:val="P68B1DB1-Normal5"/>
              <w:jc w:val="both"/>
              <w:rPr>
                <w:rFonts w:cs="Times New Roman"/>
                <w:noProof/>
              </w:rPr>
            </w:pPr>
            <w:r>
              <w:rPr>
                <w:noProof/>
              </w:rPr>
              <w:t>Osoblje OSS-a mora proći osposobljavanje za obavljanje različitih u</w:t>
            </w:r>
            <w:r>
              <w:rPr>
                <w:noProof/>
              </w:rPr>
              <w:t>loga u uredima OSS-a.</w:t>
            </w:r>
          </w:p>
        </w:tc>
      </w:tr>
      <w:tr w:rsidR="003F46B9" w14:paraId="78013D9A" w14:textId="77777777">
        <w:trPr>
          <w:trHeight w:val="406"/>
        </w:trPr>
        <w:tc>
          <w:tcPr>
            <w:tcW w:w="1247" w:type="dxa"/>
            <w:shd w:val="clear" w:color="auto" w:fill="C5EECE"/>
            <w:tcMar>
              <w:left w:w="57" w:type="dxa"/>
              <w:right w:w="57" w:type="dxa"/>
            </w:tcMar>
          </w:tcPr>
          <w:p w14:paraId="1518CD36" w14:textId="1AFFB7FF" w:rsidR="003F46B9" w:rsidRDefault="0065662E">
            <w:pPr>
              <w:pStyle w:val="P68B1DB1-Normal6"/>
              <w:spacing w:after="0"/>
              <w:jc w:val="center"/>
              <w:rPr>
                <w:noProof/>
              </w:rPr>
            </w:pPr>
            <w:r>
              <w:rPr>
                <w:noProof/>
              </w:rPr>
              <w:t>525</w:t>
            </w:r>
          </w:p>
        </w:tc>
        <w:tc>
          <w:tcPr>
            <w:tcW w:w="2243" w:type="dxa"/>
            <w:shd w:val="clear" w:color="auto" w:fill="C5EECE"/>
            <w:tcMar>
              <w:left w:w="57" w:type="dxa"/>
              <w:right w:w="57" w:type="dxa"/>
            </w:tcMar>
          </w:tcPr>
          <w:p w14:paraId="738556F9" w14:textId="4E3C5692" w:rsidR="003F46B9" w:rsidRDefault="0065662E">
            <w:pPr>
              <w:pStyle w:val="P68B1DB1-Normal5"/>
              <w:spacing w:after="0" w:line="245" w:lineRule="auto"/>
              <w:jc w:val="both"/>
              <w:rPr>
                <w:rFonts w:eastAsia="Times New Roman" w:cs="Times New Roman"/>
                <w:noProof/>
              </w:rPr>
            </w:pPr>
            <w:r>
              <w:rPr>
                <w:noProof/>
              </w:rPr>
              <w:t>Reforma 2. Uspostava jedinstvenih kontaktnih točaka (OSS) za pružanje energetskih savjetodavnih usluga za energetske obnove i proizvodnju energije iz obnovljivih izvora za proizvođače-potrošače</w:t>
            </w:r>
          </w:p>
        </w:tc>
        <w:tc>
          <w:tcPr>
            <w:tcW w:w="940" w:type="dxa"/>
            <w:shd w:val="clear" w:color="auto" w:fill="C5EECE"/>
            <w:tcMar>
              <w:left w:w="57" w:type="dxa"/>
              <w:right w:w="57" w:type="dxa"/>
            </w:tcMar>
          </w:tcPr>
          <w:p w14:paraId="5D667DCD" w14:textId="77777777" w:rsidR="003F46B9" w:rsidRDefault="0065662E">
            <w:pPr>
              <w:pStyle w:val="P68B1DB1-Normal5"/>
              <w:spacing w:after="0" w:line="254" w:lineRule="auto"/>
              <w:jc w:val="both"/>
              <w:rPr>
                <w:rFonts w:eastAsia="Times New Roman" w:cs="Times New Roman"/>
                <w:noProof/>
              </w:rPr>
            </w:pPr>
            <w:r>
              <w:rPr>
                <w:noProof/>
              </w:rPr>
              <w:t>Ciljna</w:t>
            </w:r>
          </w:p>
        </w:tc>
        <w:tc>
          <w:tcPr>
            <w:tcW w:w="1258" w:type="dxa"/>
            <w:shd w:val="clear" w:color="auto" w:fill="C5EECE"/>
            <w:tcMar>
              <w:left w:w="57" w:type="dxa"/>
              <w:right w:w="57" w:type="dxa"/>
            </w:tcMar>
          </w:tcPr>
          <w:p w14:paraId="3FF4F851" w14:textId="77777777" w:rsidR="003F46B9" w:rsidRDefault="0065662E">
            <w:pPr>
              <w:pStyle w:val="P68B1DB1-Normal5"/>
              <w:spacing w:after="0" w:line="254" w:lineRule="auto"/>
              <w:jc w:val="both"/>
              <w:rPr>
                <w:rFonts w:eastAsia="Times New Roman" w:cs="Times New Roman"/>
                <w:noProof/>
              </w:rPr>
            </w:pPr>
            <w:r>
              <w:rPr>
                <w:noProof/>
              </w:rPr>
              <w:t xml:space="preserve">Otvaranje fizičkih ureda </w:t>
            </w:r>
            <w:r>
              <w:rPr>
                <w:noProof/>
              </w:rPr>
              <w:t>jedinstvene kontaktne točke</w:t>
            </w:r>
          </w:p>
        </w:tc>
        <w:tc>
          <w:tcPr>
            <w:tcW w:w="1202" w:type="dxa"/>
            <w:shd w:val="clear" w:color="auto" w:fill="C5EECE"/>
            <w:tcMar>
              <w:left w:w="57" w:type="dxa"/>
              <w:right w:w="57" w:type="dxa"/>
            </w:tcMar>
          </w:tcPr>
          <w:p w14:paraId="33E702E9" w14:textId="77777777" w:rsidR="003F46B9" w:rsidRDefault="003F46B9">
            <w:pPr>
              <w:spacing w:after="0" w:line="254" w:lineRule="auto"/>
              <w:jc w:val="both"/>
              <w:rPr>
                <w:rFonts w:ascii="Times New Roman" w:eastAsia="Times New Roman" w:hAnsi="Times New Roman" w:cs="Times New Roman"/>
                <w:noProof/>
                <w:sz w:val="24"/>
              </w:rPr>
            </w:pPr>
          </w:p>
        </w:tc>
        <w:tc>
          <w:tcPr>
            <w:tcW w:w="1128" w:type="dxa"/>
            <w:shd w:val="clear" w:color="auto" w:fill="C5EECE"/>
            <w:tcMar>
              <w:left w:w="57" w:type="dxa"/>
              <w:right w:w="57" w:type="dxa"/>
            </w:tcMar>
          </w:tcPr>
          <w:p w14:paraId="4067630F" w14:textId="77777777" w:rsidR="003F46B9" w:rsidRDefault="0065662E">
            <w:pPr>
              <w:pStyle w:val="P68B1DB1-Normal5"/>
              <w:spacing w:after="0"/>
              <w:jc w:val="both"/>
              <w:rPr>
                <w:rFonts w:eastAsia="Times New Roman" w:cs="Times New Roman"/>
                <w:noProof/>
              </w:rPr>
            </w:pPr>
            <w:r>
              <w:rPr>
                <w:noProof/>
              </w:rPr>
              <w:t>Broj</w:t>
            </w:r>
          </w:p>
        </w:tc>
        <w:tc>
          <w:tcPr>
            <w:tcW w:w="1578" w:type="dxa"/>
            <w:shd w:val="clear" w:color="auto" w:fill="C5EECE"/>
            <w:tcMar>
              <w:left w:w="57" w:type="dxa"/>
              <w:right w:w="57" w:type="dxa"/>
            </w:tcMar>
          </w:tcPr>
          <w:p w14:paraId="59501C0D" w14:textId="77777777" w:rsidR="003F46B9" w:rsidRDefault="0065662E">
            <w:pPr>
              <w:pStyle w:val="P68B1DB1-Normal5"/>
              <w:spacing w:after="0"/>
              <w:jc w:val="both"/>
              <w:rPr>
                <w:rFonts w:eastAsia="Times New Roman" w:cs="Times New Roman"/>
                <w:noProof/>
              </w:rPr>
            </w:pPr>
            <w:r>
              <w:rPr>
                <w:noProof/>
              </w:rPr>
              <w:t>0</w:t>
            </w:r>
          </w:p>
        </w:tc>
        <w:tc>
          <w:tcPr>
            <w:tcW w:w="939" w:type="dxa"/>
            <w:shd w:val="clear" w:color="auto" w:fill="C5EECE"/>
            <w:tcMar>
              <w:left w:w="57" w:type="dxa"/>
              <w:right w:w="57" w:type="dxa"/>
            </w:tcMar>
          </w:tcPr>
          <w:p w14:paraId="7151043F" w14:textId="77777777" w:rsidR="003F46B9" w:rsidRDefault="0065662E">
            <w:pPr>
              <w:pStyle w:val="P68B1DB1-Normal5"/>
              <w:spacing w:after="0"/>
              <w:jc w:val="both"/>
              <w:rPr>
                <w:rFonts w:eastAsia="Times New Roman" w:cs="Times New Roman"/>
                <w:noProof/>
              </w:rPr>
            </w:pPr>
            <w:r>
              <w:rPr>
                <w:noProof/>
              </w:rPr>
              <w:t>42</w:t>
            </w:r>
          </w:p>
        </w:tc>
        <w:tc>
          <w:tcPr>
            <w:tcW w:w="1225" w:type="dxa"/>
            <w:shd w:val="clear" w:color="auto" w:fill="C5EECE"/>
            <w:tcMar>
              <w:left w:w="57" w:type="dxa"/>
              <w:right w:w="57" w:type="dxa"/>
            </w:tcMar>
          </w:tcPr>
          <w:p w14:paraId="4C1CE9CF" w14:textId="7BD1ECF6"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0C428D08" w14:textId="3F7C95F9" w:rsidR="003F46B9" w:rsidRDefault="0065662E">
            <w:pPr>
              <w:pStyle w:val="P68B1DB1-Normal5"/>
              <w:spacing w:after="0"/>
              <w:jc w:val="both"/>
              <w:rPr>
                <w:rFonts w:eastAsia="Times New Roman" w:cs="Times New Roman"/>
                <w:noProof/>
              </w:rPr>
            </w:pPr>
            <w:r>
              <w:rPr>
                <w:noProof/>
              </w:rPr>
              <w:t>2024</w:t>
            </w:r>
          </w:p>
        </w:tc>
        <w:tc>
          <w:tcPr>
            <w:tcW w:w="2194" w:type="dxa"/>
            <w:shd w:val="clear" w:color="auto" w:fill="C5EECE"/>
            <w:tcMar>
              <w:left w:w="57" w:type="dxa"/>
              <w:right w:w="57" w:type="dxa"/>
            </w:tcMar>
          </w:tcPr>
          <w:p w14:paraId="702935C8" w14:textId="32B67A94" w:rsidR="003F46B9" w:rsidRDefault="0065662E">
            <w:pPr>
              <w:pStyle w:val="P68B1DB1-Normal5"/>
              <w:jc w:val="both"/>
              <w:rPr>
                <w:rFonts w:cs="Times New Roman"/>
                <w:noProof/>
              </w:rPr>
            </w:pPr>
            <w:r>
              <w:rPr>
                <w:noProof/>
              </w:rPr>
              <w:t>42 ureda OSS-a operativna su i otvorena za građane.</w:t>
            </w:r>
          </w:p>
        </w:tc>
      </w:tr>
      <w:tr w:rsidR="003F46B9" w14:paraId="0F93FDEA" w14:textId="77777777">
        <w:trPr>
          <w:trHeight w:val="406"/>
        </w:trPr>
        <w:tc>
          <w:tcPr>
            <w:tcW w:w="1247" w:type="dxa"/>
            <w:shd w:val="clear" w:color="auto" w:fill="C5EECE"/>
            <w:tcMar>
              <w:left w:w="57" w:type="dxa"/>
              <w:right w:w="57" w:type="dxa"/>
            </w:tcMar>
          </w:tcPr>
          <w:p w14:paraId="62A53833" w14:textId="06196691" w:rsidR="003F46B9" w:rsidRDefault="0065662E">
            <w:pPr>
              <w:pStyle w:val="P68B1DB1-Normal6"/>
              <w:spacing w:after="0"/>
              <w:jc w:val="center"/>
              <w:rPr>
                <w:noProof/>
              </w:rPr>
            </w:pPr>
            <w:r>
              <w:rPr>
                <w:noProof/>
              </w:rPr>
              <w:t>526</w:t>
            </w:r>
          </w:p>
        </w:tc>
        <w:tc>
          <w:tcPr>
            <w:tcW w:w="2243" w:type="dxa"/>
            <w:shd w:val="clear" w:color="auto" w:fill="C5EECE"/>
            <w:tcMar>
              <w:left w:w="57" w:type="dxa"/>
              <w:right w:w="57" w:type="dxa"/>
            </w:tcMar>
          </w:tcPr>
          <w:p w14:paraId="7769F515" w14:textId="77777777" w:rsidR="003F46B9" w:rsidRDefault="0065662E">
            <w:pPr>
              <w:pStyle w:val="P68B1DB1-Normal5"/>
              <w:spacing w:after="0"/>
              <w:jc w:val="both"/>
              <w:rPr>
                <w:rFonts w:eastAsia="Times New Roman" w:cs="Times New Roman"/>
                <w:noProof/>
              </w:rPr>
            </w:pPr>
            <w:r>
              <w:rPr>
                <w:noProof/>
              </w:rPr>
              <w:t>Ulaganje 6. Pilot-projekt za ugradnju 20 MW plutajućih solarnih ploča na kanale navodnjavanja</w:t>
            </w:r>
          </w:p>
        </w:tc>
        <w:tc>
          <w:tcPr>
            <w:tcW w:w="940" w:type="dxa"/>
            <w:shd w:val="clear" w:color="auto" w:fill="C5EECE"/>
            <w:tcMar>
              <w:left w:w="57" w:type="dxa"/>
              <w:right w:w="57" w:type="dxa"/>
            </w:tcMar>
          </w:tcPr>
          <w:p w14:paraId="36EC30CC" w14:textId="77777777" w:rsidR="003F46B9" w:rsidRDefault="0065662E">
            <w:pPr>
              <w:pStyle w:val="P68B1DB1-Normal5"/>
              <w:spacing w:after="0"/>
              <w:jc w:val="both"/>
              <w:rPr>
                <w:rFonts w:eastAsia="Times New Roman" w:cs="Times New Roman"/>
                <w:noProof/>
              </w:rPr>
            </w:pPr>
            <w:r>
              <w:rPr>
                <w:noProof/>
              </w:rPr>
              <w:t>Prekretnica</w:t>
            </w:r>
          </w:p>
        </w:tc>
        <w:tc>
          <w:tcPr>
            <w:tcW w:w="1258" w:type="dxa"/>
            <w:shd w:val="clear" w:color="auto" w:fill="C5EECE"/>
            <w:tcMar>
              <w:left w:w="57" w:type="dxa"/>
              <w:right w:w="57" w:type="dxa"/>
            </w:tcMar>
          </w:tcPr>
          <w:p w14:paraId="1E18D9DA" w14:textId="77777777" w:rsidR="003F46B9" w:rsidRDefault="0065662E">
            <w:pPr>
              <w:pStyle w:val="P68B1DB1-Normal5"/>
              <w:spacing w:after="0"/>
              <w:rPr>
                <w:rFonts w:eastAsia="Times New Roman" w:cs="Times New Roman"/>
                <w:noProof/>
              </w:rPr>
            </w:pPr>
            <w:r>
              <w:rPr>
                <w:noProof/>
              </w:rPr>
              <w:t xml:space="preserve">Potpisivanje ugovora </w:t>
            </w:r>
          </w:p>
        </w:tc>
        <w:tc>
          <w:tcPr>
            <w:tcW w:w="1202" w:type="dxa"/>
            <w:shd w:val="clear" w:color="auto" w:fill="C5EECE"/>
            <w:tcMar>
              <w:left w:w="57" w:type="dxa"/>
              <w:right w:w="57" w:type="dxa"/>
            </w:tcMar>
          </w:tcPr>
          <w:p w14:paraId="3A6A4E92" w14:textId="77777777" w:rsidR="003F46B9" w:rsidRDefault="0065662E">
            <w:pPr>
              <w:pStyle w:val="P68B1DB1-Normal5"/>
              <w:spacing w:after="0"/>
              <w:rPr>
                <w:rFonts w:eastAsia="Times New Roman" w:cs="Times New Roman"/>
                <w:noProof/>
              </w:rPr>
            </w:pPr>
            <w:r>
              <w:rPr>
                <w:noProof/>
              </w:rPr>
              <w:t xml:space="preserve">Potpisani </w:t>
            </w:r>
            <w:r>
              <w:rPr>
                <w:noProof/>
              </w:rPr>
              <w:t>ugovor/ugovori</w:t>
            </w:r>
          </w:p>
        </w:tc>
        <w:tc>
          <w:tcPr>
            <w:tcW w:w="1128" w:type="dxa"/>
            <w:shd w:val="clear" w:color="auto" w:fill="C5EECE"/>
            <w:tcMar>
              <w:left w:w="57" w:type="dxa"/>
              <w:right w:w="57" w:type="dxa"/>
            </w:tcMar>
          </w:tcPr>
          <w:p w14:paraId="1B5510BB" w14:textId="77777777" w:rsidR="003F46B9" w:rsidRDefault="0065662E">
            <w:pPr>
              <w:pStyle w:val="P68B1DB1-Normal5"/>
              <w:spacing w:after="0"/>
              <w:jc w:val="both"/>
              <w:rPr>
                <w:rFonts w:eastAsia="Times New Roman" w:cs="Times New Roman"/>
                <w:noProof/>
              </w:rPr>
            </w:pPr>
            <w:r>
              <w:rPr>
                <w:noProof/>
              </w:rPr>
              <w:t xml:space="preserve"> </w:t>
            </w:r>
          </w:p>
        </w:tc>
        <w:tc>
          <w:tcPr>
            <w:tcW w:w="1578" w:type="dxa"/>
            <w:shd w:val="clear" w:color="auto" w:fill="C5EECE"/>
            <w:tcMar>
              <w:left w:w="57" w:type="dxa"/>
              <w:right w:w="57" w:type="dxa"/>
            </w:tcMar>
          </w:tcPr>
          <w:p w14:paraId="296F99AC" w14:textId="77777777" w:rsidR="003F46B9" w:rsidRDefault="0065662E">
            <w:pPr>
              <w:pStyle w:val="P68B1DB1-Normal5"/>
              <w:spacing w:after="0"/>
              <w:jc w:val="both"/>
              <w:rPr>
                <w:rFonts w:eastAsia="Times New Roman" w:cs="Times New Roman"/>
                <w:noProof/>
              </w:rPr>
            </w:pPr>
            <w:r>
              <w:rPr>
                <w:noProof/>
              </w:rPr>
              <w:t xml:space="preserve"> </w:t>
            </w:r>
          </w:p>
        </w:tc>
        <w:tc>
          <w:tcPr>
            <w:tcW w:w="939" w:type="dxa"/>
            <w:shd w:val="clear" w:color="auto" w:fill="C5EECE"/>
            <w:tcMar>
              <w:left w:w="57" w:type="dxa"/>
              <w:right w:w="57" w:type="dxa"/>
            </w:tcMar>
          </w:tcPr>
          <w:p w14:paraId="396716C1" w14:textId="77777777" w:rsidR="003F46B9" w:rsidRDefault="0065662E">
            <w:pPr>
              <w:pStyle w:val="P68B1DB1-Normal5"/>
              <w:spacing w:after="0"/>
              <w:jc w:val="both"/>
              <w:rPr>
                <w:rFonts w:eastAsia="Times New Roman" w:cs="Times New Roman"/>
                <w:noProof/>
              </w:rPr>
            </w:pPr>
            <w:r>
              <w:rPr>
                <w:noProof/>
              </w:rPr>
              <w:t xml:space="preserve"> </w:t>
            </w:r>
          </w:p>
        </w:tc>
        <w:tc>
          <w:tcPr>
            <w:tcW w:w="1225" w:type="dxa"/>
            <w:shd w:val="clear" w:color="auto" w:fill="C5EECE"/>
            <w:tcMar>
              <w:left w:w="57" w:type="dxa"/>
              <w:right w:w="57" w:type="dxa"/>
            </w:tcMar>
          </w:tcPr>
          <w:p w14:paraId="42E0B797" w14:textId="77777777"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41EFEEA7" w14:textId="77777777" w:rsidR="003F46B9" w:rsidRDefault="0065662E">
            <w:pPr>
              <w:pStyle w:val="P68B1DB1-Normal5"/>
              <w:spacing w:after="0"/>
              <w:jc w:val="both"/>
              <w:rPr>
                <w:rFonts w:eastAsia="Times New Roman" w:cs="Times New Roman"/>
                <w:noProof/>
              </w:rPr>
            </w:pPr>
            <w:r>
              <w:rPr>
                <w:noProof/>
              </w:rPr>
              <w:t>2024</w:t>
            </w:r>
          </w:p>
        </w:tc>
        <w:tc>
          <w:tcPr>
            <w:tcW w:w="2194" w:type="dxa"/>
            <w:shd w:val="clear" w:color="auto" w:fill="C5EECE"/>
            <w:tcMar>
              <w:left w:w="57" w:type="dxa"/>
              <w:right w:w="57" w:type="dxa"/>
            </w:tcMar>
          </w:tcPr>
          <w:p w14:paraId="2CA34B7E" w14:textId="0652DD9E" w:rsidR="003F46B9" w:rsidRDefault="0065662E">
            <w:pPr>
              <w:pStyle w:val="P68B1DB1-Normal5"/>
              <w:jc w:val="both"/>
              <w:rPr>
                <w:noProof/>
              </w:rPr>
            </w:pPr>
            <w:r>
              <w:rPr>
                <w:noProof/>
              </w:rPr>
              <w:t>Potpisani su ugovori o ugradnji plutajućih solarnih ploča od najmanje 20 MW na već obnovljene kanale za navodnjavanje.</w:t>
            </w:r>
          </w:p>
        </w:tc>
      </w:tr>
      <w:tr w:rsidR="003F46B9" w14:paraId="3D628D77" w14:textId="77777777">
        <w:trPr>
          <w:trHeight w:val="406"/>
        </w:trPr>
        <w:tc>
          <w:tcPr>
            <w:tcW w:w="1247" w:type="dxa"/>
            <w:shd w:val="clear" w:color="auto" w:fill="C5EECE"/>
            <w:tcMar>
              <w:left w:w="57" w:type="dxa"/>
              <w:right w:w="57" w:type="dxa"/>
            </w:tcMar>
          </w:tcPr>
          <w:p w14:paraId="3B80A504" w14:textId="2BA24BED" w:rsidR="003F46B9" w:rsidRDefault="0065662E">
            <w:pPr>
              <w:pStyle w:val="P68B1DB1-Normal6"/>
              <w:spacing w:after="0"/>
              <w:jc w:val="center"/>
              <w:rPr>
                <w:noProof/>
              </w:rPr>
            </w:pPr>
            <w:r>
              <w:rPr>
                <w:noProof/>
              </w:rPr>
              <w:t>527</w:t>
            </w:r>
          </w:p>
        </w:tc>
        <w:tc>
          <w:tcPr>
            <w:tcW w:w="2243" w:type="dxa"/>
            <w:shd w:val="clear" w:color="auto" w:fill="C5EECE"/>
            <w:tcMar>
              <w:left w:w="57" w:type="dxa"/>
              <w:right w:w="57" w:type="dxa"/>
            </w:tcMar>
          </w:tcPr>
          <w:p w14:paraId="3C609197" w14:textId="4A985A85" w:rsidR="003F46B9" w:rsidRDefault="0065662E">
            <w:pPr>
              <w:pStyle w:val="P68B1DB1-Normal5"/>
              <w:spacing w:after="0"/>
              <w:jc w:val="both"/>
              <w:rPr>
                <w:rFonts w:eastAsia="Times New Roman" w:cs="Times New Roman"/>
                <w:noProof/>
              </w:rPr>
            </w:pPr>
            <w:r>
              <w:rPr>
                <w:noProof/>
              </w:rPr>
              <w:t>Ulaganje 6. Pilot-projekt za ugradnju 20 MW plutajućih solarnih ploča na kanale navodnjavanja</w:t>
            </w:r>
          </w:p>
        </w:tc>
        <w:tc>
          <w:tcPr>
            <w:tcW w:w="940" w:type="dxa"/>
            <w:shd w:val="clear" w:color="auto" w:fill="C5EECE"/>
            <w:tcMar>
              <w:left w:w="57" w:type="dxa"/>
              <w:right w:w="57" w:type="dxa"/>
            </w:tcMar>
          </w:tcPr>
          <w:p w14:paraId="5FBE181C" w14:textId="77777777" w:rsidR="003F46B9" w:rsidRDefault="0065662E">
            <w:pPr>
              <w:pStyle w:val="P68B1DB1-Normal5"/>
              <w:spacing w:after="0" w:line="254" w:lineRule="auto"/>
              <w:jc w:val="both"/>
              <w:rPr>
                <w:rFonts w:eastAsia="Times New Roman" w:cs="Times New Roman"/>
                <w:noProof/>
              </w:rPr>
            </w:pPr>
            <w:r>
              <w:rPr>
                <w:noProof/>
              </w:rPr>
              <w:t>Ciljna</w:t>
            </w:r>
          </w:p>
        </w:tc>
        <w:tc>
          <w:tcPr>
            <w:tcW w:w="1258" w:type="dxa"/>
            <w:shd w:val="clear" w:color="auto" w:fill="C5EECE"/>
            <w:tcMar>
              <w:left w:w="57" w:type="dxa"/>
              <w:right w:w="57" w:type="dxa"/>
            </w:tcMar>
          </w:tcPr>
          <w:p w14:paraId="1AAFC43D" w14:textId="77777777" w:rsidR="003F46B9" w:rsidRDefault="0065662E">
            <w:pPr>
              <w:pStyle w:val="P68B1DB1-Normal5"/>
              <w:spacing w:after="0" w:line="254" w:lineRule="auto"/>
              <w:jc w:val="both"/>
              <w:rPr>
                <w:rFonts w:eastAsia="Times New Roman" w:cs="Times New Roman"/>
                <w:noProof/>
              </w:rPr>
            </w:pPr>
            <w:r>
              <w:rPr>
                <w:noProof/>
              </w:rPr>
              <w:t>20 MW instaliranog kapaciteta plutajućih solarnih ploča naručenih i priključenih na mrežu</w:t>
            </w:r>
          </w:p>
        </w:tc>
        <w:tc>
          <w:tcPr>
            <w:tcW w:w="1202" w:type="dxa"/>
            <w:shd w:val="clear" w:color="auto" w:fill="C5EECE"/>
            <w:tcMar>
              <w:left w:w="57" w:type="dxa"/>
              <w:right w:w="57" w:type="dxa"/>
            </w:tcMar>
          </w:tcPr>
          <w:p w14:paraId="6408185F" w14:textId="77777777" w:rsidR="003F46B9" w:rsidRDefault="003F46B9">
            <w:pPr>
              <w:spacing w:after="0" w:line="254" w:lineRule="auto"/>
              <w:jc w:val="both"/>
              <w:rPr>
                <w:rFonts w:ascii="Times New Roman" w:eastAsia="Times New Roman" w:hAnsi="Times New Roman" w:cs="Times New Roman"/>
                <w:noProof/>
                <w:sz w:val="24"/>
              </w:rPr>
            </w:pPr>
          </w:p>
        </w:tc>
        <w:tc>
          <w:tcPr>
            <w:tcW w:w="1128" w:type="dxa"/>
            <w:shd w:val="clear" w:color="auto" w:fill="C5EECE"/>
            <w:tcMar>
              <w:left w:w="57" w:type="dxa"/>
              <w:right w:w="57" w:type="dxa"/>
            </w:tcMar>
          </w:tcPr>
          <w:p w14:paraId="259BE7E7" w14:textId="77777777" w:rsidR="003F46B9" w:rsidRDefault="0065662E">
            <w:pPr>
              <w:pStyle w:val="P68B1DB1-Normal5"/>
              <w:spacing w:after="0"/>
              <w:jc w:val="both"/>
              <w:rPr>
                <w:rFonts w:eastAsia="Times New Roman" w:cs="Times New Roman"/>
                <w:noProof/>
              </w:rPr>
            </w:pPr>
            <w:r>
              <w:rPr>
                <w:noProof/>
              </w:rPr>
              <w:t>Megavat (MW)</w:t>
            </w:r>
          </w:p>
        </w:tc>
        <w:tc>
          <w:tcPr>
            <w:tcW w:w="1578" w:type="dxa"/>
            <w:shd w:val="clear" w:color="auto" w:fill="C5EECE"/>
            <w:tcMar>
              <w:left w:w="57" w:type="dxa"/>
              <w:right w:w="57" w:type="dxa"/>
            </w:tcMar>
          </w:tcPr>
          <w:p w14:paraId="691C5844" w14:textId="77777777" w:rsidR="003F46B9" w:rsidRDefault="0065662E">
            <w:pPr>
              <w:pStyle w:val="P68B1DB1-Normal5"/>
              <w:spacing w:after="0"/>
              <w:jc w:val="both"/>
              <w:rPr>
                <w:rFonts w:eastAsia="Times New Roman" w:cs="Times New Roman"/>
                <w:noProof/>
              </w:rPr>
            </w:pPr>
            <w:r>
              <w:rPr>
                <w:noProof/>
              </w:rPr>
              <w:t>0</w:t>
            </w:r>
          </w:p>
        </w:tc>
        <w:tc>
          <w:tcPr>
            <w:tcW w:w="939" w:type="dxa"/>
            <w:shd w:val="clear" w:color="auto" w:fill="C5EECE"/>
            <w:tcMar>
              <w:left w:w="57" w:type="dxa"/>
              <w:right w:w="57" w:type="dxa"/>
            </w:tcMar>
          </w:tcPr>
          <w:p w14:paraId="7F731040" w14:textId="77777777" w:rsidR="003F46B9" w:rsidRDefault="0065662E">
            <w:pPr>
              <w:pStyle w:val="P68B1DB1-Normal5"/>
              <w:spacing w:after="0"/>
              <w:jc w:val="both"/>
              <w:rPr>
                <w:rFonts w:eastAsia="Times New Roman" w:cs="Times New Roman"/>
                <w:noProof/>
              </w:rPr>
            </w:pPr>
            <w:r>
              <w:rPr>
                <w:noProof/>
              </w:rPr>
              <w:t>20</w:t>
            </w:r>
          </w:p>
        </w:tc>
        <w:tc>
          <w:tcPr>
            <w:tcW w:w="1225" w:type="dxa"/>
            <w:shd w:val="clear" w:color="auto" w:fill="C5EECE"/>
            <w:tcMar>
              <w:left w:w="57" w:type="dxa"/>
              <w:right w:w="57" w:type="dxa"/>
            </w:tcMar>
          </w:tcPr>
          <w:p w14:paraId="7C43687F" w14:textId="77777777" w:rsidR="003F46B9" w:rsidRDefault="0065662E">
            <w:pPr>
              <w:pStyle w:val="P68B1DB1-Normal5"/>
              <w:spacing w:after="0"/>
              <w:jc w:val="both"/>
              <w:rPr>
                <w:rFonts w:eastAsia="Times New Roman" w:cs="Times New Roman"/>
                <w:noProof/>
              </w:rPr>
            </w:pPr>
            <w:r>
              <w:rPr>
                <w:noProof/>
              </w:rPr>
              <w:t>ČETVRTO TROMJESEČJE</w:t>
            </w:r>
          </w:p>
        </w:tc>
        <w:tc>
          <w:tcPr>
            <w:tcW w:w="1003" w:type="dxa"/>
            <w:shd w:val="clear" w:color="auto" w:fill="C5EECE"/>
            <w:tcMar>
              <w:left w:w="57" w:type="dxa"/>
              <w:right w:w="57" w:type="dxa"/>
            </w:tcMar>
          </w:tcPr>
          <w:p w14:paraId="410CDD14" w14:textId="77777777" w:rsidR="003F46B9" w:rsidRDefault="0065662E">
            <w:pPr>
              <w:pStyle w:val="P68B1DB1-Normal5"/>
              <w:spacing w:after="0"/>
              <w:jc w:val="both"/>
              <w:rPr>
                <w:rFonts w:eastAsia="Times New Roman" w:cs="Times New Roman"/>
                <w:noProof/>
              </w:rPr>
            </w:pPr>
            <w:r>
              <w:rPr>
                <w:noProof/>
              </w:rPr>
              <w:t>2025</w:t>
            </w:r>
          </w:p>
        </w:tc>
        <w:tc>
          <w:tcPr>
            <w:tcW w:w="2194" w:type="dxa"/>
            <w:shd w:val="clear" w:color="auto" w:fill="C5EECE"/>
            <w:tcMar>
              <w:left w:w="57" w:type="dxa"/>
              <w:right w:w="57" w:type="dxa"/>
            </w:tcMar>
          </w:tcPr>
          <w:p w14:paraId="258A155E" w14:textId="63889CDD" w:rsidR="003F46B9" w:rsidRDefault="0065662E">
            <w:pPr>
              <w:pStyle w:val="P68B1DB1-Normal5"/>
              <w:jc w:val="both"/>
              <w:rPr>
                <w:noProof/>
              </w:rPr>
            </w:pPr>
            <w:r>
              <w:rPr>
                <w:noProof/>
              </w:rPr>
              <w:t>Kapacitet od najmanje 20 MW solarnih plutajućih ploča na obnovljenim kanalima za navodnjavanje mora biti stavljen u</w:t>
            </w:r>
            <w:r>
              <w:rPr>
                <w:noProof/>
              </w:rPr>
              <w:t xml:space="preserve"> pogon i priključen na električnu mrežu.</w:t>
            </w:r>
          </w:p>
        </w:tc>
      </w:tr>
      <w:tr w:rsidR="003F46B9" w14:paraId="49E9D145" w14:textId="77777777">
        <w:trPr>
          <w:trHeight w:val="406"/>
        </w:trPr>
        <w:tc>
          <w:tcPr>
            <w:tcW w:w="1247" w:type="dxa"/>
            <w:shd w:val="clear" w:color="auto" w:fill="C5EECE"/>
            <w:tcMar>
              <w:left w:w="57" w:type="dxa"/>
              <w:right w:w="57" w:type="dxa"/>
            </w:tcMar>
          </w:tcPr>
          <w:p w14:paraId="08D9F1AA" w14:textId="44EF4ED9" w:rsidR="003F46B9" w:rsidRDefault="0065662E">
            <w:pPr>
              <w:pStyle w:val="P68B1DB1-Normal6"/>
              <w:spacing w:after="0"/>
              <w:jc w:val="center"/>
              <w:rPr>
                <w:noProof/>
              </w:rPr>
            </w:pPr>
            <w:r>
              <w:rPr>
                <w:noProof/>
              </w:rPr>
              <w:t>528</w:t>
            </w:r>
          </w:p>
        </w:tc>
        <w:tc>
          <w:tcPr>
            <w:tcW w:w="2243" w:type="dxa"/>
            <w:shd w:val="clear" w:color="auto" w:fill="C5EECE"/>
            <w:tcMar>
              <w:left w:w="57" w:type="dxa"/>
              <w:right w:w="57" w:type="dxa"/>
            </w:tcMar>
          </w:tcPr>
          <w:p w14:paraId="2C18BBA9" w14:textId="77777777" w:rsidR="003F46B9" w:rsidRDefault="0065662E">
            <w:pPr>
              <w:pStyle w:val="P68B1DB1-Normal5"/>
              <w:spacing w:after="0" w:line="245" w:lineRule="auto"/>
              <w:jc w:val="both"/>
              <w:rPr>
                <w:rFonts w:eastAsia="Times New Roman" w:cs="Times New Roman"/>
                <w:noProof/>
              </w:rPr>
            </w:pPr>
            <w:r>
              <w:rPr>
                <w:noProof/>
              </w:rPr>
              <w:t>Ulaganje 7. Program dodjele kupona za poboljšanje energetske učinkovitosti u kućanstvima</w:t>
            </w:r>
          </w:p>
        </w:tc>
        <w:tc>
          <w:tcPr>
            <w:tcW w:w="940" w:type="dxa"/>
            <w:shd w:val="clear" w:color="auto" w:fill="C5EECE"/>
            <w:tcMar>
              <w:left w:w="57" w:type="dxa"/>
              <w:right w:w="57" w:type="dxa"/>
            </w:tcMar>
          </w:tcPr>
          <w:p w14:paraId="4BE3FF03" w14:textId="77777777" w:rsidR="003F46B9" w:rsidRDefault="0065662E">
            <w:pPr>
              <w:pStyle w:val="P68B1DB1-Normal5"/>
              <w:spacing w:after="0" w:line="254" w:lineRule="auto"/>
              <w:jc w:val="both"/>
              <w:rPr>
                <w:rFonts w:eastAsia="Times New Roman" w:cs="Times New Roman"/>
                <w:noProof/>
              </w:rPr>
            </w:pPr>
            <w:r>
              <w:rPr>
                <w:noProof/>
              </w:rPr>
              <w:t>Prekretnica</w:t>
            </w:r>
          </w:p>
        </w:tc>
        <w:tc>
          <w:tcPr>
            <w:tcW w:w="1258" w:type="dxa"/>
            <w:shd w:val="clear" w:color="auto" w:fill="C5EECE"/>
            <w:tcMar>
              <w:left w:w="57" w:type="dxa"/>
              <w:right w:w="57" w:type="dxa"/>
            </w:tcMar>
          </w:tcPr>
          <w:p w14:paraId="04BAEDE9" w14:textId="0BBA43C1" w:rsidR="003F46B9" w:rsidRDefault="0065662E">
            <w:pPr>
              <w:pStyle w:val="P68B1DB1-Normal5"/>
              <w:spacing w:after="0" w:line="254" w:lineRule="auto"/>
              <w:jc w:val="both"/>
              <w:rPr>
                <w:rFonts w:eastAsia="Times New Roman" w:cs="Times New Roman"/>
                <w:noProof/>
              </w:rPr>
            </w:pPr>
            <w:r>
              <w:rPr>
                <w:noProof/>
              </w:rPr>
              <w:t>Objava poziva na podnošenje projekata</w:t>
            </w:r>
          </w:p>
        </w:tc>
        <w:tc>
          <w:tcPr>
            <w:tcW w:w="1202" w:type="dxa"/>
            <w:shd w:val="clear" w:color="auto" w:fill="C5EECE"/>
            <w:tcMar>
              <w:left w:w="57" w:type="dxa"/>
              <w:right w:w="57" w:type="dxa"/>
            </w:tcMar>
          </w:tcPr>
          <w:p w14:paraId="1245B2A1" w14:textId="77777777" w:rsidR="003F46B9" w:rsidRDefault="0065662E">
            <w:pPr>
              <w:pStyle w:val="P68B1DB1-Normal5"/>
              <w:spacing w:after="0" w:line="254" w:lineRule="auto"/>
              <w:jc w:val="both"/>
              <w:rPr>
                <w:rFonts w:eastAsia="Times New Roman" w:cs="Times New Roman"/>
                <w:noProof/>
              </w:rPr>
            </w:pPr>
            <w:r>
              <w:rPr>
                <w:noProof/>
              </w:rPr>
              <w:t>Objava specifikacija poziva</w:t>
            </w:r>
          </w:p>
        </w:tc>
        <w:tc>
          <w:tcPr>
            <w:tcW w:w="1128" w:type="dxa"/>
            <w:shd w:val="clear" w:color="auto" w:fill="C5EECE"/>
            <w:tcMar>
              <w:left w:w="57" w:type="dxa"/>
              <w:right w:w="57" w:type="dxa"/>
            </w:tcMar>
          </w:tcPr>
          <w:p w14:paraId="16E279B2" w14:textId="77777777" w:rsidR="003F46B9" w:rsidRDefault="0065662E">
            <w:pPr>
              <w:pStyle w:val="P68B1DB1-Normal5"/>
              <w:spacing w:after="0"/>
              <w:jc w:val="both"/>
              <w:rPr>
                <w:rFonts w:eastAsia="Times New Roman" w:cs="Times New Roman"/>
                <w:noProof/>
              </w:rPr>
            </w:pPr>
            <w:r>
              <w:rPr>
                <w:noProof/>
              </w:rPr>
              <w:t xml:space="preserve"> </w:t>
            </w:r>
          </w:p>
        </w:tc>
        <w:tc>
          <w:tcPr>
            <w:tcW w:w="1578" w:type="dxa"/>
            <w:shd w:val="clear" w:color="auto" w:fill="C5EECE"/>
            <w:tcMar>
              <w:left w:w="57" w:type="dxa"/>
              <w:right w:w="57" w:type="dxa"/>
            </w:tcMar>
          </w:tcPr>
          <w:p w14:paraId="096365C7" w14:textId="77777777" w:rsidR="003F46B9" w:rsidRDefault="0065662E">
            <w:pPr>
              <w:pStyle w:val="P68B1DB1-Normal5"/>
              <w:spacing w:after="0"/>
              <w:jc w:val="both"/>
              <w:rPr>
                <w:rFonts w:eastAsia="Times New Roman" w:cs="Times New Roman"/>
                <w:noProof/>
              </w:rPr>
            </w:pPr>
            <w:r>
              <w:rPr>
                <w:noProof/>
              </w:rPr>
              <w:t xml:space="preserve"> </w:t>
            </w:r>
          </w:p>
        </w:tc>
        <w:tc>
          <w:tcPr>
            <w:tcW w:w="939" w:type="dxa"/>
            <w:shd w:val="clear" w:color="auto" w:fill="C5EECE"/>
            <w:tcMar>
              <w:left w:w="57" w:type="dxa"/>
              <w:right w:w="57" w:type="dxa"/>
            </w:tcMar>
          </w:tcPr>
          <w:p w14:paraId="45443B0A" w14:textId="77777777" w:rsidR="003F46B9" w:rsidRDefault="003F46B9">
            <w:pPr>
              <w:spacing w:after="0"/>
              <w:jc w:val="both"/>
              <w:rPr>
                <w:rFonts w:ascii="Times New Roman" w:eastAsia="Times New Roman" w:hAnsi="Times New Roman" w:cs="Times New Roman"/>
                <w:noProof/>
                <w:sz w:val="24"/>
              </w:rPr>
            </w:pPr>
          </w:p>
        </w:tc>
        <w:tc>
          <w:tcPr>
            <w:tcW w:w="1225" w:type="dxa"/>
            <w:shd w:val="clear" w:color="auto" w:fill="C5EECE"/>
            <w:tcMar>
              <w:left w:w="57" w:type="dxa"/>
              <w:right w:w="57" w:type="dxa"/>
            </w:tcMar>
          </w:tcPr>
          <w:p w14:paraId="6599CDDD" w14:textId="29924DFF"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587B9251" w14:textId="77777777" w:rsidR="003F46B9" w:rsidRDefault="0065662E">
            <w:pPr>
              <w:pStyle w:val="P68B1DB1-Normal5"/>
              <w:spacing w:after="0"/>
              <w:jc w:val="both"/>
              <w:rPr>
                <w:rFonts w:eastAsia="Times New Roman" w:cs="Times New Roman"/>
                <w:noProof/>
              </w:rPr>
            </w:pPr>
            <w:r>
              <w:rPr>
                <w:noProof/>
              </w:rPr>
              <w:t>2024</w:t>
            </w:r>
          </w:p>
        </w:tc>
        <w:tc>
          <w:tcPr>
            <w:tcW w:w="2194" w:type="dxa"/>
            <w:shd w:val="clear" w:color="auto" w:fill="C5EECE"/>
            <w:tcMar>
              <w:left w:w="57" w:type="dxa"/>
              <w:right w:w="57" w:type="dxa"/>
            </w:tcMar>
          </w:tcPr>
          <w:p w14:paraId="17A91102" w14:textId="77777777" w:rsidR="003F46B9" w:rsidRDefault="0065662E">
            <w:pPr>
              <w:pStyle w:val="P68B1DB1-Normal5"/>
              <w:spacing w:after="0" w:line="264" w:lineRule="auto"/>
              <w:jc w:val="both"/>
              <w:rPr>
                <w:rFonts w:eastAsia="Times New Roman" w:cs="Times New Roman"/>
                <w:noProof/>
              </w:rPr>
            </w:pPr>
            <w:r>
              <w:rPr>
                <w:noProof/>
              </w:rPr>
              <w:t>Pozivi na projekte za</w:t>
            </w:r>
            <w:r>
              <w:rPr>
                <w:noProof/>
              </w:rPr>
              <w:t xml:space="preserve"> vaučere koji će se koristiti za energetsku obnovu stambenih objekata objavljuju se na internetu.</w:t>
            </w:r>
          </w:p>
          <w:p w14:paraId="757299E8" w14:textId="79A2D9DB" w:rsidR="003F46B9" w:rsidRDefault="0065662E">
            <w:pPr>
              <w:pStyle w:val="P68B1DB1-Normal5"/>
              <w:spacing w:after="0" w:line="264" w:lineRule="auto"/>
              <w:ind w:left="360"/>
              <w:jc w:val="both"/>
              <w:rPr>
                <w:rFonts w:eastAsia="Times New Roman" w:cs="Times New Roman"/>
                <w:noProof/>
              </w:rPr>
            </w:pPr>
            <w:r>
              <w:rPr>
                <w:noProof/>
              </w:rPr>
              <w:t>Vaučeri podliježu kriterijima odabira kojima se propisuje da se svakom obnovom ostvaruje najmanje 30 % uštede primarne energije u usporedbi sa stanjem prije o</w:t>
            </w:r>
            <w:r>
              <w:rPr>
                <w:noProof/>
              </w:rPr>
              <w:t xml:space="preserve">bnove. Prihvatljive su samo zgrade kategorija energetske učinkovitosti G, F, E ili D. </w:t>
            </w:r>
          </w:p>
          <w:p w14:paraId="73663B0C" w14:textId="77777777" w:rsidR="003F46B9" w:rsidRDefault="0065662E">
            <w:pPr>
              <w:pStyle w:val="P68B1DB1-Normal5"/>
              <w:spacing w:after="0" w:line="264" w:lineRule="auto"/>
              <w:jc w:val="both"/>
              <w:rPr>
                <w:rFonts w:eastAsia="Times New Roman" w:cs="Times New Roman"/>
                <w:noProof/>
              </w:rPr>
            </w:pPr>
            <w:r>
              <w:rPr>
                <w:noProof/>
              </w:rPr>
              <w:t>Ulaganje se provodi na dvije osi:</w:t>
            </w:r>
          </w:p>
          <w:p w14:paraId="33F43A4A" w14:textId="6CC6EFA0" w:rsidR="003F46B9" w:rsidRDefault="0065662E">
            <w:pPr>
              <w:pStyle w:val="P68B1DB1-ListParagraph13"/>
              <w:numPr>
                <w:ilvl w:val="0"/>
                <w:numId w:val="129"/>
              </w:numPr>
              <w:spacing w:after="0" w:line="264" w:lineRule="auto"/>
              <w:jc w:val="both"/>
              <w:rPr>
                <w:rFonts w:eastAsia="Times New Roman" w:cs="Times New Roman"/>
                <w:noProof/>
              </w:rPr>
            </w:pPr>
            <w:r>
              <w:rPr>
                <w:noProof/>
              </w:rPr>
              <w:t>Os I – za koju su prihvatljiva samo energetski siromašna kućanstva i ranjivi potrošači energije. U okviru te osi ulaganjem se vlasnicim</w:t>
            </w:r>
            <w:r>
              <w:rPr>
                <w:noProof/>
              </w:rPr>
              <w:t xml:space="preserve">a nekretnina u obliku vaučera osiguravaju bespovratna sredstva za kombiniranu energetsku obnovu i ugradnju solarnih ploča u stambenim zgradama jednoobiteljske obitelji. </w:t>
            </w:r>
          </w:p>
          <w:p w14:paraId="3B6CF755" w14:textId="745B397B" w:rsidR="003F46B9" w:rsidRDefault="0065662E">
            <w:pPr>
              <w:pStyle w:val="P68B1DB1-Normal5"/>
              <w:spacing w:after="0" w:line="264" w:lineRule="auto"/>
              <w:ind w:left="360"/>
              <w:jc w:val="both"/>
              <w:rPr>
                <w:rFonts w:eastAsia="Times New Roman" w:cs="Times New Roman"/>
                <w:noProof/>
              </w:rPr>
            </w:pPr>
            <w:r>
              <w:rPr>
                <w:noProof/>
              </w:rPr>
              <w:t xml:space="preserve">U okviru osi I. svaka obnova radi povećanja energetske učinkovitosti dopunjuje se </w:t>
            </w:r>
            <w:r>
              <w:rPr>
                <w:noProof/>
              </w:rPr>
              <w:t>ugradnjom solarnih ploča neto kapaciteta od najmanje 3 kW.</w:t>
            </w:r>
          </w:p>
          <w:p w14:paraId="24A665C0" w14:textId="42F5EA20" w:rsidR="003F46B9" w:rsidRDefault="0065662E">
            <w:pPr>
              <w:pStyle w:val="P68B1DB1-ListParagraph13"/>
              <w:numPr>
                <w:ilvl w:val="0"/>
                <w:numId w:val="129"/>
              </w:numPr>
              <w:spacing w:after="0" w:line="264" w:lineRule="auto"/>
              <w:jc w:val="both"/>
              <w:rPr>
                <w:rFonts w:eastAsia="Times New Roman" w:cs="Times New Roman"/>
                <w:noProof/>
              </w:rPr>
            </w:pPr>
            <w:r>
              <w:rPr>
                <w:noProof/>
              </w:rPr>
              <w:t>Os II.: — otvoreno za sva kućanstva. U okviru te osi ulaganjem se vlasnicima nekretnina u obliku vaučera osiguravaju bespovratna sredstva za energetsku obnovu stambenih zgrada za jednoobiteljske ob</w:t>
            </w:r>
            <w:r>
              <w:rPr>
                <w:noProof/>
              </w:rPr>
              <w:t>itelji.</w:t>
            </w:r>
          </w:p>
          <w:p w14:paraId="1C8C16A6" w14:textId="77777777" w:rsidR="003F46B9" w:rsidRDefault="0065662E">
            <w:pPr>
              <w:pStyle w:val="P68B1DB1-Normal5"/>
              <w:spacing w:after="0" w:line="264" w:lineRule="auto"/>
              <w:jc w:val="both"/>
              <w:rPr>
                <w:rFonts w:eastAsia="Times New Roman" w:cs="Times New Roman"/>
                <w:noProof/>
              </w:rPr>
            </w:pPr>
            <w:r>
              <w:rPr>
                <w:noProof/>
              </w:rPr>
              <w:t xml:space="preserve">Pozivi u okviru osi II objavljuju se nakon poziva u okviru osi I. </w:t>
            </w:r>
          </w:p>
          <w:p w14:paraId="454D9C7F" w14:textId="77777777" w:rsidR="003F46B9" w:rsidRDefault="0065662E">
            <w:pPr>
              <w:pStyle w:val="P68B1DB1-Normal5"/>
              <w:spacing w:after="0" w:line="264" w:lineRule="auto"/>
              <w:jc w:val="both"/>
              <w:rPr>
                <w:rFonts w:eastAsia="Times New Roman" w:cs="Times New Roman"/>
                <w:noProof/>
              </w:rPr>
            </w:pPr>
            <w:r>
              <w:rPr>
                <w:noProof/>
              </w:rPr>
              <w:t>Najmanje 50 % proračuna mjere dodjeljuje se osi I.</w:t>
            </w:r>
          </w:p>
          <w:p w14:paraId="4D7984D6" w14:textId="77777777" w:rsidR="003F46B9" w:rsidRDefault="0065662E">
            <w:pPr>
              <w:pStyle w:val="P68B1DB1-Normal5"/>
              <w:jc w:val="both"/>
              <w:rPr>
                <w:rFonts w:eastAsia="Times New Roman" w:cs="Times New Roman"/>
                <w:noProof/>
              </w:rPr>
            </w:pPr>
            <w:r>
              <w:rPr>
                <w:noProof/>
              </w:rPr>
              <w:t>Stambeni objekti razvrstani u razrede seizmičkog rizika RsI i RsII isključuju se iz financiranja intervencija energetske učinkovit</w:t>
            </w:r>
            <w:r>
              <w:rPr>
                <w:noProof/>
              </w:rPr>
              <w:t xml:space="preserve">osti. </w:t>
            </w:r>
          </w:p>
        </w:tc>
      </w:tr>
      <w:tr w:rsidR="003F46B9" w14:paraId="7B1702E8" w14:textId="77777777">
        <w:trPr>
          <w:trHeight w:val="406"/>
        </w:trPr>
        <w:tc>
          <w:tcPr>
            <w:tcW w:w="1247" w:type="dxa"/>
            <w:shd w:val="clear" w:color="auto" w:fill="C5EECE"/>
            <w:tcMar>
              <w:left w:w="57" w:type="dxa"/>
              <w:right w:w="57" w:type="dxa"/>
            </w:tcMar>
          </w:tcPr>
          <w:p w14:paraId="2A0E2181" w14:textId="052C18CB" w:rsidR="003F46B9" w:rsidRDefault="0065662E">
            <w:pPr>
              <w:pStyle w:val="P68B1DB1-Normal5"/>
              <w:spacing w:after="0"/>
              <w:jc w:val="center"/>
              <w:rPr>
                <w:rFonts w:eastAsia="Times New Roman" w:cs="Times New Roman"/>
                <w:noProof/>
              </w:rPr>
            </w:pPr>
            <w:r>
              <w:rPr>
                <w:noProof/>
              </w:rPr>
              <w:t>529</w:t>
            </w:r>
          </w:p>
        </w:tc>
        <w:tc>
          <w:tcPr>
            <w:tcW w:w="2243" w:type="dxa"/>
            <w:shd w:val="clear" w:color="auto" w:fill="C5EECE"/>
            <w:tcMar>
              <w:left w:w="57" w:type="dxa"/>
              <w:right w:w="57" w:type="dxa"/>
            </w:tcMar>
          </w:tcPr>
          <w:p w14:paraId="7B2818BE" w14:textId="17651E45" w:rsidR="003F46B9" w:rsidRDefault="0065662E">
            <w:pPr>
              <w:pStyle w:val="P68B1DB1-Normal5"/>
              <w:spacing w:after="0" w:line="245" w:lineRule="auto"/>
              <w:jc w:val="both"/>
              <w:rPr>
                <w:rFonts w:eastAsia="Times New Roman" w:cs="Times New Roman"/>
                <w:noProof/>
              </w:rPr>
            </w:pPr>
            <w:r>
              <w:rPr>
                <w:noProof/>
              </w:rPr>
              <w:t>Ulaganje 7. Program dodjele kupona za poboljšanje energetske učinkovitosti u kućanstvima</w:t>
            </w:r>
          </w:p>
        </w:tc>
        <w:tc>
          <w:tcPr>
            <w:tcW w:w="940" w:type="dxa"/>
            <w:shd w:val="clear" w:color="auto" w:fill="C5EECE"/>
            <w:tcMar>
              <w:left w:w="57" w:type="dxa"/>
              <w:right w:w="57" w:type="dxa"/>
            </w:tcMar>
          </w:tcPr>
          <w:p w14:paraId="4C4A2AC8" w14:textId="77777777" w:rsidR="003F46B9" w:rsidRDefault="0065662E">
            <w:pPr>
              <w:pStyle w:val="P68B1DB1-Normal5"/>
              <w:spacing w:after="0" w:line="254" w:lineRule="auto"/>
              <w:jc w:val="both"/>
              <w:rPr>
                <w:rFonts w:eastAsia="Times New Roman" w:cs="Times New Roman"/>
                <w:noProof/>
              </w:rPr>
            </w:pPr>
            <w:r>
              <w:rPr>
                <w:noProof/>
              </w:rPr>
              <w:t>Ciljna</w:t>
            </w:r>
          </w:p>
        </w:tc>
        <w:tc>
          <w:tcPr>
            <w:tcW w:w="1258" w:type="dxa"/>
            <w:shd w:val="clear" w:color="auto" w:fill="C5EECE"/>
            <w:tcMar>
              <w:left w:w="57" w:type="dxa"/>
              <w:right w:w="57" w:type="dxa"/>
            </w:tcMar>
          </w:tcPr>
          <w:p w14:paraId="54581AF0" w14:textId="073B5B76" w:rsidR="003F46B9" w:rsidRDefault="0065662E">
            <w:pPr>
              <w:pStyle w:val="P68B1DB1-Normal5"/>
              <w:spacing w:after="0" w:line="254" w:lineRule="auto"/>
              <w:jc w:val="both"/>
              <w:rPr>
                <w:rFonts w:eastAsia="Times New Roman" w:cs="Times New Roman"/>
                <w:noProof/>
              </w:rPr>
            </w:pPr>
            <w:r>
              <w:rPr>
                <w:noProof/>
              </w:rPr>
              <w:t>Dovršena energetska obnova stambenih objekata</w:t>
            </w:r>
          </w:p>
        </w:tc>
        <w:tc>
          <w:tcPr>
            <w:tcW w:w="1202" w:type="dxa"/>
            <w:shd w:val="clear" w:color="auto" w:fill="C5EECE"/>
            <w:tcMar>
              <w:left w:w="57" w:type="dxa"/>
              <w:right w:w="57" w:type="dxa"/>
            </w:tcMar>
          </w:tcPr>
          <w:p w14:paraId="530E52B0" w14:textId="77777777" w:rsidR="003F46B9" w:rsidRDefault="003F46B9">
            <w:pPr>
              <w:spacing w:after="0" w:line="254" w:lineRule="auto"/>
              <w:jc w:val="both"/>
              <w:rPr>
                <w:rFonts w:ascii="Times New Roman" w:eastAsia="Times New Roman" w:hAnsi="Times New Roman" w:cs="Times New Roman"/>
                <w:noProof/>
                <w:sz w:val="24"/>
              </w:rPr>
            </w:pPr>
          </w:p>
        </w:tc>
        <w:tc>
          <w:tcPr>
            <w:tcW w:w="1128" w:type="dxa"/>
            <w:shd w:val="clear" w:color="auto" w:fill="C5EECE"/>
            <w:tcMar>
              <w:left w:w="57" w:type="dxa"/>
              <w:right w:w="57" w:type="dxa"/>
            </w:tcMar>
          </w:tcPr>
          <w:p w14:paraId="6786FA2F" w14:textId="77777777" w:rsidR="003F46B9" w:rsidRDefault="0065662E">
            <w:pPr>
              <w:pStyle w:val="P68B1DB1-Normal5"/>
              <w:spacing w:after="0"/>
              <w:jc w:val="both"/>
              <w:rPr>
                <w:rFonts w:eastAsia="Times New Roman" w:cs="Times New Roman"/>
                <w:noProof/>
              </w:rPr>
            </w:pPr>
            <w:r>
              <w:rPr>
                <w:noProof/>
              </w:rPr>
              <w:t>Broj (stambeni objekti)</w:t>
            </w:r>
          </w:p>
        </w:tc>
        <w:tc>
          <w:tcPr>
            <w:tcW w:w="1578" w:type="dxa"/>
            <w:shd w:val="clear" w:color="auto" w:fill="C5EECE"/>
            <w:tcMar>
              <w:left w:w="57" w:type="dxa"/>
              <w:right w:w="57" w:type="dxa"/>
            </w:tcMar>
          </w:tcPr>
          <w:p w14:paraId="4038CB85" w14:textId="77777777" w:rsidR="003F46B9" w:rsidRDefault="0065662E">
            <w:pPr>
              <w:pStyle w:val="P68B1DB1-Normal5"/>
              <w:spacing w:after="0"/>
              <w:jc w:val="both"/>
              <w:rPr>
                <w:rFonts w:eastAsia="Times New Roman" w:cs="Times New Roman"/>
                <w:noProof/>
              </w:rPr>
            </w:pPr>
            <w:r>
              <w:rPr>
                <w:noProof/>
              </w:rPr>
              <w:t xml:space="preserve">0 </w:t>
            </w:r>
          </w:p>
        </w:tc>
        <w:tc>
          <w:tcPr>
            <w:tcW w:w="939" w:type="dxa"/>
            <w:shd w:val="clear" w:color="auto" w:fill="C5EECE"/>
            <w:tcMar>
              <w:left w:w="57" w:type="dxa"/>
              <w:right w:w="57" w:type="dxa"/>
            </w:tcMar>
          </w:tcPr>
          <w:p w14:paraId="5DE47D1D" w14:textId="5F674CE3" w:rsidR="003F46B9" w:rsidRDefault="0065662E">
            <w:pPr>
              <w:pStyle w:val="P68B1DB1-Normal5"/>
              <w:spacing w:after="0"/>
              <w:jc w:val="both"/>
              <w:rPr>
                <w:rFonts w:eastAsia="Times New Roman" w:cs="Times New Roman"/>
                <w:noProof/>
              </w:rPr>
            </w:pPr>
            <w:r>
              <w:rPr>
                <w:noProof/>
              </w:rPr>
              <w:t>33 000</w:t>
            </w:r>
          </w:p>
        </w:tc>
        <w:tc>
          <w:tcPr>
            <w:tcW w:w="1225" w:type="dxa"/>
            <w:shd w:val="clear" w:color="auto" w:fill="C5EECE"/>
            <w:tcMar>
              <w:left w:w="57" w:type="dxa"/>
              <w:right w:w="57" w:type="dxa"/>
            </w:tcMar>
          </w:tcPr>
          <w:p w14:paraId="21A0AC89" w14:textId="77777777" w:rsidR="003F46B9" w:rsidRDefault="0065662E">
            <w:pPr>
              <w:pStyle w:val="P68B1DB1-Normal5"/>
              <w:spacing w:after="0"/>
              <w:jc w:val="both"/>
              <w:rPr>
                <w:rFonts w:eastAsia="Times New Roman" w:cs="Times New Roman"/>
                <w:noProof/>
              </w:rPr>
            </w:pPr>
            <w:r>
              <w:rPr>
                <w:noProof/>
              </w:rPr>
              <w:t>TROMJESEČJE</w:t>
            </w:r>
          </w:p>
        </w:tc>
        <w:tc>
          <w:tcPr>
            <w:tcW w:w="1003" w:type="dxa"/>
            <w:shd w:val="clear" w:color="auto" w:fill="C5EECE"/>
            <w:tcMar>
              <w:left w:w="57" w:type="dxa"/>
              <w:right w:w="57" w:type="dxa"/>
            </w:tcMar>
          </w:tcPr>
          <w:p w14:paraId="2C07C5EF" w14:textId="77777777" w:rsidR="003F46B9" w:rsidRDefault="0065662E">
            <w:pPr>
              <w:pStyle w:val="P68B1DB1-Normal5"/>
              <w:spacing w:after="0"/>
              <w:jc w:val="both"/>
              <w:rPr>
                <w:rFonts w:eastAsia="Times New Roman" w:cs="Times New Roman"/>
                <w:noProof/>
              </w:rPr>
            </w:pPr>
            <w:r>
              <w:rPr>
                <w:noProof/>
              </w:rPr>
              <w:t>2026</w:t>
            </w:r>
          </w:p>
        </w:tc>
        <w:tc>
          <w:tcPr>
            <w:tcW w:w="2194" w:type="dxa"/>
            <w:shd w:val="clear" w:color="auto" w:fill="C5EECE"/>
            <w:tcMar>
              <w:left w:w="57" w:type="dxa"/>
              <w:right w:w="57" w:type="dxa"/>
            </w:tcMar>
          </w:tcPr>
          <w:p w14:paraId="41412436" w14:textId="7F4A914F" w:rsidR="003F46B9" w:rsidRDefault="0065662E">
            <w:pPr>
              <w:pStyle w:val="P68B1DB1-Normal5"/>
              <w:jc w:val="both"/>
              <w:rPr>
                <w:noProof/>
              </w:rPr>
            </w:pPr>
            <w:r>
              <w:rPr>
                <w:noProof/>
              </w:rPr>
              <w:t xml:space="preserve">Najmanje 33000 stambenih objekata mora biti </w:t>
            </w:r>
            <w:r>
              <w:rPr>
                <w:noProof/>
              </w:rPr>
              <w:t>obnovljeno u skladu sa zahtjevima utvrđenima u ključnoj etapi 528.</w:t>
            </w:r>
          </w:p>
        </w:tc>
      </w:tr>
    </w:tbl>
    <w:p w14:paraId="3CD76F93" w14:textId="77777777" w:rsidR="003F46B9" w:rsidRDefault="003F46B9">
      <w:pPr>
        <w:spacing w:before="120" w:after="120" w:line="240" w:lineRule="auto"/>
        <w:jc w:val="both"/>
        <w:rPr>
          <w:rFonts w:ascii="Times New Roman" w:eastAsia="Times New Roman" w:hAnsi="Times New Roman" w:cs="Times New Roman"/>
          <w:b/>
          <w:noProof/>
          <w:u w:val="single"/>
        </w:rPr>
      </w:pPr>
    </w:p>
    <w:p w14:paraId="38561C78" w14:textId="77777777" w:rsidR="003F46B9" w:rsidRDefault="003F46B9">
      <w:pPr>
        <w:rPr>
          <w:noProof/>
        </w:rPr>
        <w:sectPr w:rsidR="003F46B9">
          <w:headerReference w:type="even" r:id="rId343"/>
          <w:headerReference w:type="default" r:id="rId344"/>
          <w:footerReference w:type="even" r:id="rId345"/>
          <w:footerReference w:type="default" r:id="rId346"/>
          <w:headerReference w:type="first" r:id="rId347"/>
          <w:footerReference w:type="first" r:id="rId348"/>
          <w:pgSz w:w="15840" w:h="12240" w:orient="landscape" w:code="1"/>
          <w:pgMar w:top="1440" w:right="1440" w:bottom="1440" w:left="1440" w:header="720" w:footer="720" w:gutter="0"/>
          <w:cols w:space="720"/>
          <w:docGrid w:linePitch="360"/>
        </w:sectPr>
      </w:pPr>
    </w:p>
    <w:p w14:paraId="5F0086D4" w14:textId="77777777" w:rsidR="003F46B9" w:rsidRDefault="0065662E">
      <w:pPr>
        <w:pStyle w:val="Heading2"/>
        <w:rPr>
          <w:b w:val="0"/>
          <w:noProof/>
        </w:rPr>
      </w:pPr>
      <w:r>
        <w:rPr>
          <w:noProof/>
        </w:rPr>
        <w:t xml:space="preserve">Procijenjeni ukupni troškovi plana za oporavak i otpornost </w:t>
      </w:r>
    </w:p>
    <w:p w14:paraId="32416C53" w14:textId="7E83BA0D" w:rsidR="003F46B9" w:rsidRDefault="0065662E">
      <w:pPr>
        <w:pStyle w:val="P68B1DB1-Normal21"/>
        <w:spacing w:before="120" w:after="120" w:line="240" w:lineRule="auto"/>
        <w:ind w:left="850"/>
        <w:jc w:val="both"/>
        <w:rPr>
          <w:noProof/>
        </w:rPr>
      </w:pPr>
      <w:r>
        <w:rPr>
          <w:noProof/>
        </w:rPr>
        <w:t xml:space="preserve">Procijenjeni ukupni troškovi revidiranog plana za oporavak i otpornost Rumunjske iznose 28 511 575 217 EUR. </w:t>
      </w:r>
    </w:p>
    <w:p w14:paraId="12E588EB" w14:textId="77777777" w:rsidR="003F46B9" w:rsidRDefault="0065662E">
      <w:pPr>
        <w:pStyle w:val="Heading1"/>
        <w:rPr>
          <w:b w:val="0"/>
          <w:smallCaps w:val="0"/>
          <w:noProof/>
        </w:rPr>
      </w:pPr>
      <w:r>
        <w:rPr>
          <w:noProof/>
        </w:rPr>
        <w:t xml:space="preserve">ODJELJAK 2.: FINANCIJSKA POTPORA </w:t>
      </w:r>
    </w:p>
    <w:p w14:paraId="0AC24DE8" w14:textId="77777777" w:rsidR="003F46B9" w:rsidRDefault="0065662E">
      <w:pPr>
        <w:pStyle w:val="Heading2"/>
        <w:rPr>
          <w:b w:val="0"/>
          <w:noProof/>
        </w:rPr>
      </w:pPr>
      <w:r>
        <w:rPr>
          <w:noProof/>
        </w:rPr>
        <w:t xml:space="preserve">Financijski doprinos </w:t>
      </w:r>
    </w:p>
    <w:p w14:paraId="5B33690A" w14:textId="77777777" w:rsidR="003F46B9" w:rsidRDefault="0065662E">
      <w:pPr>
        <w:pStyle w:val="P68B1DB1-Normal21"/>
        <w:spacing w:before="120" w:after="120" w:line="240" w:lineRule="auto"/>
        <w:ind w:left="850"/>
        <w:jc w:val="both"/>
        <w:rPr>
          <w:noProof/>
        </w:rPr>
      </w:pPr>
      <w:r>
        <w:rPr>
          <w:noProof/>
        </w:rPr>
        <w:t>Obroci iz članka 2. stavka 2. organizirani su na sljedeći način:</w:t>
      </w:r>
    </w:p>
    <w:p w14:paraId="5E518178" w14:textId="77777777" w:rsidR="003F46B9" w:rsidRDefault="0065662E">
      <w:pPr>
        <w:pStyle w:val="Heading3"/>
        <w:rPr>
          <w:noProof/>
        </w:rPr>
      </w:pPr>
      <w:r>
        <w:rPr>
          <w:noProof/>
        </w:rPr>
        <w:t xml:space="preserve">Prvi obrok (bespovratna potpora): </w:t>
      </w:r>
    </w:p>
    <w:tbl>
      <w:tblPr>
        <w:tblW w:w="9404" w:type="dxa"/>
        <w:tblInd w:w="113" w:type="dxa"/>
        <w:tblLook w:val="04A0" w:firstRow="1" w:lastRow="0" w:firstColumn="1" w:lastColumn="0" w:noHBand="0" w:noVBand="1"/>
      </w:tblPr>
      <w:tblGrid>
        <w:gridCol w:w="1297"/>
        <w:gridCol w:w="3660"/>
        <w:gridCol w:w="1316"/>
        <w:gridCol w:w="3455"/>
      </w:tblGrid>
      <w:tr w:rsidR="003F46B9" w14:paraId="7B6480BD" w14:textId="77777777">
        <w:trPr>
          <w:trHeight w:val="906"/>
          <w:tblHeader/>
        </w:trPr>
        <w:tc>
          <w:tcPr>
            <w:tcW w:w="129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7E0B474" w14:textId="77777777" w:rsidR="003F46B9" w:rsidRDefault="0065662E">
            <w:pPr>
              <w:pStyle w:val="P68B1DB1-Normal34"/>
              <w:spacing w:after="0"/>
              <w:jc w:val="center"/>
              <w:rPr>
                <w:noProof/>
              </w:rPr>
            </w:pPr>
            <w:r>
              <w:rPr>
                <w:noProof/>
              </w:rPr>
              <w:t>Redni broj</w:t>
            </w:r>
          </w:p>
        </w:tc>
        <w:tc>
          <w:tcPr>
            <w:tcW w:w="36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277BA82" w14:textId="77777777" w:rsidR="003F46B9" w:rsidRDefault="0065662E">
            <w:pPr>
              <w:pStyle w:val="P68B1DB1-Normal34"/>
              <w:spacing w:after="0"/>
              <w:jc w:val="center"/>
              <w:rPr>
                <w:noProof/>
              </w:rPr>
            </w:pPr>
            <w:r>
              <w:rPr>
                <w:noProof/>
              </w:rPr>
              <w:t xml:space="preserve">Povezana mjera </w:t>
            </w:r>
          </w:p>
          <w:p w14:paraId="463AC426" w14:textId="77777777" w:rsidR="003F46B9" w:rsidRDefault="0065662E">
            <w:pPr>
              <w:pStyle w:val="P68B1DB1-Normal34"/>
              <w:spacing w:after="0"/>
              <w:jc w:val="center"/>
              <w:rPr>
                <w:noProof/>
              </w:rPr>
            </w:pPr>
            <w:r>
              <w:rPr>
                <w:noProof/>
              </w:rPr>
              <w:t>(Reforma ili ulaganje)</w:t>
            </w:r>
          </w:p>
        </w:tc>
        <w:tc>
          <w:tcPr>
            <w:tcW w:w="9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783C51D" w14:textId="77777777" w:rsidR="003F46B9" w:rsidRDefault="0065662E">
            <w:pPr>
              <w:pStyle w:val="P68B1DB1-Normal34"/>
              <w:spacing w:after="0"/>
              <w:jc w:val="center"/>
              <w:rPr>
                <w:noProof/>
              </w:rPr>
            </w:pPr>
            <w:r>
              <w:rPr>
                <w:noProof/>
              </w:rPr>
              <w:t>Ključna etapa/ciljna vrijednost</w:t>
            </w:r>
          </w:p>
        </w:tc>
        <w:tc>
          <w:tcPr>
            <w:tcW w:w="3455"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52DDC2C" w14:textId="77777777" w:rsidR="003F46B9" w:rsidRDefault="0065662E">
            <w:pPr>
              <w:pStyle w:val="P68B1DB1-Normal34"/>
              <w:spacing w:after="0"/>
              <w:jc w:val="center"/>
              <w:rPr>
                <w:noProof/>
              </w:rPr>
            </w:pPr>
            <w:r>
              <w:rPr>
                <w:noProof/>
              </w:rPr>
              <w:t>Ime</w:t>
            </w:r>
          </w:p>
        </w:tc>
      </w:tr>
      <w:tr w:rsidR="003F46B9" w14:paraId="7AAAB750" w14:textId="77777777">
        <w:trPr>
          <w:trHeight w:val="509"/>
          <w:tblHeader/>
        </w:trPr>
        <w:tc>
          <w:tcPr>
            <w:tcW w:w="1297" w:type="dxa"/>
            <w:vMerge/>
            <w:tcBorders>
              <w:top w:val="single" w:sz="4" w:space="0" w:color="auto"/>
              <w:left w:val="single" w:sz="4" w:space="0" w:color="auto"/>
              <w:bottom w:val="single" w:sz="4" w:space="0" w:color="000000"/>
              <w:right w:val="single" w:sz="4" w:space="0" w:color="auto"/>
            </w:tcBorders>
            <w:vAlign w:val="center"/>
            <w:hideMark/>
          </w:tcPr>
          <w:p w14:paraId="59ABBD22" w14:textId="77777777" w:rsidR="003F46B9" w:rsidRDefault="003F46B9">
            <w:pPr>
              <w:spacing w:after="0"/>
              <w:jc w:val="center"/>
              <w:rPr>
                <w:rFonts w:eastAsia="Times New Roman"/>
                <w:b/>
                <w:noProof/>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14:paraId="2C839F8A" w14:textId="77777777" w:rsidR="003F46B9" w:rsidRDefault="003F46B9">
            <w:pPr>
              <w:spacing w:after="0"/>
              <w:rPr>
                <w:rFonts w:eastAsia="Times New Roman"/>
                <w:b/>
                <w:noProof/>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08C30F9" w14:textId="77777777" w:rsidR="003F46B9" w:rsidRDefault="003F46B9">
            <w:pPr>
              <w:spacing w:after="0"/>
              <w:jc w:val="center"/>
              <w:rPr>
                <w:rFonts w:eastAsia="Times New Roman"/>
                <w:b/>
                <w:noProof/>
              </w:rPr>
            </w:pPr>
          </w:p>
        </w:tc>
        <w:tc>
          <w:tcPr>
            <w:tcW w:w="3455" w:type="dxa"/>
            <w:vMerge/>
            <w:tcBorders>
              <w:top w:val="single" w:sz="4" w:space="0" w:color="auto"/>
              <w:left w:val="nil"/>
              <w:bottom w:val="single" w:sz="4" w:space="0" w:color="000000"/>
              <w:right w:val="single" w:sz="4" w:space="0" w:color="auto"/>
            </w:tcBorders>
            <w:vAlign w:val="center"/>
            <w:hideMark/>
          </w:tcPr>
          <w:p w14:paraId="2D3F9102" w14:textId="77777777" w:rsidR="003F46B9" w:rsidRDefault="003F46B9">
            <w:pPr>
              <w:spacing w:after="0"/>
              <w:jc w:val="both"/>
              <w:rPr>
                <w:rFonts w:eastAsia="Times New Roman"/>
                <w:b/>
                <w:noProof/>
              </w:rPr>
            </w:pPr>
          </w:p>
        </w:tc>
      </w:tr>
      <w:tr w:rsidR="003F46B9" w14:paraId="5E76A4D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247841C" w14:textId="77777777" w:rsidR="003F46B9" w:rsidRDefault="0065662E">
            <w:pPr>
              <w:pStyle w:val="P68B1DB1-Normal35"/>
              <w:spacing w:after="0"/>
              <w:jc w:val="center"/>
              <w:rPr>
                <w:rFonts w:eastAsia="Times New Roman"/>
                <w:noProof/>
              </w:rPr>
            </w:pPr>
            <w:r>
              <w:rPr>
                <w:noProof/>
              </w:rPr>
              <w:t>146</w:t>
            </w:r>
          </w:p>
        </w:tc>
        <w:tc>
          <w:tcPr>
            <w:tcW w:w="3660" w:type="dxa"/>
            <w:tcBorders>
              <w:top w:val="nil"/>
              <w:left w:val="nil"/>
              <w:bottom w:val="single" w:sz="4" w:space="0" w:color="auto"/>
              <w:right w:val="single" w:sz="4" w:space="0" w:color="auto"/>
            </w:tcBorders>
            <w:shd w:val="clear" w:color="auto" w:fill="C6EFCE"/>
            <w:noWrap/>
          </w:tcPr>
          <w:p w14:paraId="0CA3C605" w14:textId="77777777" w:rsidR="003F46B9" w:rsidRDefault="0065662E">
            <w:pPr>
              <w:pStyle w:val="P68B1DB1-Normal35"/>
              <w:spacing w:after="0"/>
              <w:jc w:val="both"/>
              <w:rPr>
                <w:noProof/>
              </w:rPr>
            </w:pPr>
            <w:r>
              <w:rPr>
                <w:noProof/>
              </w:rPr>
              <w:t>C7.R2</w:t>
            </w:r>
          </w:p>
          <w:p w14:paraId="01F068DE" w14:textId="4DB00B0A" w:rsidR="003F46B9" w:rsidRDefault="0065662E">
            <w:pPr>
              <w:pStyle w:val="P68B1DB1-Normal35"/>
              <w:spacing w:after="0"/>
              <w:jc w:val="both"/>
              <w:rPr>
                <w:rFonts w:eastAsia="Times New Roman"/>
                <w:noProof/>
              </w:rPr>
            </w:pPr>
            <w:r>
              <w:rPr>
                <w:noProof/>
              </w:rPr>
              <w:t xml:space="preserve">Prijelaz na ciljeve povezivosti EU-2025 i poticanje privatnih ulaganja u uvođenje mreža vrlo velikog kapaciteta </w:t>
            </w:r>
          </w:p>
        </w:tc>
        <w:tc>
          <w:tcPr>
            <w:tcW w:w="992" w:type="dxa"/>
            <w:tcBorders>
              <w:top w:val="nil"/>
              <w:left w:val="nil"/>
              <w:bottom w:val="single" w:sz="4" w:space="0" w:color="auto"/>
              <w:right w:val="single" w:sz="4" w:space="0" w:color="auto"/>
            </w:tcBorders>
            <w:shd w:val="clear" w:color="auto" w:fill="C6EFCE"/>
            <w:noWrap/>
          </w:tcPr>
          <w:p w14:paraId="7EF3B5D9"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6943308" w14:textId="3B227FCE" w:rsidR="003F46B9" w:rsidRDefault="0065662E">
            <w:pPr>
              <w:pStyle w:val="P68B1DB1-Normal35"/>
              <w:spacing w:after="0"/>
              <w:jc w:val="both"/>
              <w:rPr>
                <w:rFonts w:eastAsia="Times New Roman"/>
                <w:noProof/>
              </w:rPr>
            </w:pPr>
            <w:r>
              <w:rPr>
                <w:noProof/>
              </w:rPr>
              <w:t xml:space="preserve">Stupanje na snagu zakona o sigurnosti mreže 5G  </w:t>
            </w:r>
          </w:p>
        </w:tc>
      </w:tr>
      <w:tr w:rsidR="003F46B9" w14:paraId="522BA8F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089E3A93" w14:textId="77777777" w:rsidR="003F46B9" w:rsidRDefault="0065662E">
            <w:pPr>
              <w:pStyle w:val="P68B1DB1-Normal35"/>
              <w:spacing w:after="0"/>
              <w:jc w:val="center"/>
              <w:rPr>
                <w:rFonts w:eastAsia="Times New Roman"/>
                <w:noProof/>
              </w:rPr>
            </w:pPr>
            <w:r>
              <w:rPr>
                <w:noProof/>
              </w:rPr>
              <w:t>69</w:t>
            </w:r>
          </w:p>
        </w:tc>
        <w:tc>
          <w:tcPr>
            <w:tcW w:w="3660" w:type="dxa"/>
            <w:tcBorders>
              <w:top w:val="nil"/>
              <w:left w:val="nil"/>
              <w:bottom w:val="single" w:sz="4" w:space="0" w:color="auto"/>
              <w:right w:val="single" w:sz="4" w:space="0" w:color="auto"/>
            </w:tcBorders>
            <w:shd w:val="clear" w:color="auto" w:fill="C6EFCE"/>
            <w:noWrap/>
            <w:hideMark/>
          </w:tcPr>
          <w:p w14:paraId="3939DFE9" w14:textId="77777777" w:rsidR="003F46B9" w:rsidRDefault="0065662E">
            <w:pPr>
              <w:pStyle w:val="P68B1DB1-Normal35"/>
              <w:spacing w:after="0"/>
              <w:jc w:val="both"/>
              <w:rPr>
                <w:noProof/>
              </w:rPr>
            </w:pPr>
            <w:r>
              <w:rPr>
                <w:noProof/>
              </w:rPr>
              <w:t>C4.R1</w:t>
            </w:r>
          </w:p>
          <w:p w14:paraId="7C4FC48F" w14:textId="77777777" w:rsidR="003F46B9" w:rsidRDefault="0065662E">
            <w:pPr>
              <w:pStyle w:val="P68B1DB1-Normal35"/>
              <w:spacing w:after="0"/>
              <w:jc w:val="both"/>
              <w:rPr>
                <w:rFonts w:eastAsia="Times New Roman"/>
                <w:noProof/>
              </w:rPr>
            </w:pPr>
            <w:r>
              <w:rPr>
                <w:noProof/>
              </w:rPr>
              <w:t>Održivi promet, dekarbonizacija i sigurnost na cestama/</w:t>
            </w:r>
            <w:r>
              <w:rPr>
                <w:noProof/>
              </w:rPr>
              <w:br/>
              <w:t>Razvoj željezničke infrastrukture i upravljanje željezničkim prometom</w:t>
            </w:r>
          </w:p>
        </w:tc>
        <w:tc>
          <w:tcPr>
            <w:tcW w:w="992" w:type="dxa"/>
            <w:tcBorders>
              <w:top w:val="nil"/>
              <w:left w:val="nil"/>
              <w:bottom w:val="single" w:sz="4" w:space="0" w:color="auto"/>
              <w:right w:val="single" w:sz="4" w:space="0" w:color="auto"/>
            </w:tcBorders>
            <w:shd w:val="clear" w:color="auto" w:fill="C6EFCE"/>
            <w:noWrap/>
            <w:hideMark/>
          </w:tcPr>
          <w:p w14:paraId="1B3496C4"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hideMark/>
          </w:tcPr>
          <w:p w14:paraId="4B889792" w14:textId="77777777" w:rsidR="003F46B9" w:rsidRDefault="0065662E">
            <w:pPr>
              <w:pStyle w:val="P68B1DB1-Normal35"/>
              <w:spacing w:after="0"/>
              <w:jc w:val="both"/>
              <w:rPr>
                <w:rFonts w:eastAsia="Times New Roman"/>
                <w:noProof/>
              </w:rPr>
            </w:pPr>
            <w:r>
              <w:rPr>
                <w:noProof/>
              </w:rPr>
              <w:t xml:space="preserve">Donošenje strategije za razvoj željezničke infrastrukture za </w:t>
            </w:r>
            <w:r>
              <w:rPr>
                <w:noProof/>
              </w:rPr>
              <w:t>razdoblje 2021. 2025. i primjena akcijskog plana</w:t>
            </w:r>
          </w:p>
        </w:tc>
      </w:tr>
      <w:tr w:rsidR="003F46B9" w14:paraId="5F6BE29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14:paraId="6FFEA96E" w14:textId="77777777" w:rsidR="003F46B9" w:rsidRDefault="0065662E">
            <w:pPr>
              <w:pStyle w:val="P68B1DB1-Normal35"/>
              <w:spacing w:after="0"/>
              <w:jc w:val="center"/>
              <w:rPr>
                <w:rFonts w:eastAsia="Times New Roman"/>
                <w:noProof/>
              </w:rPr>
            </w:pPr>
            <w:r>
              <w:rPr>
                <w:noProof/>
              </w:rPr>
              <w:t>113</w:t>
            </w:r>
          </w:p>
        </w:tc>
        <w:tc>
          <w:tcPr>
            <w:tcW w:w="3660" w:type="dxa"/>
            <w:tcBorders>
              <w:top w:val="nil"/>
              <w:left w:val="nil"/>
              <w:bottom w:val="single" w:sz="4" w:space="0" w:color="auto"/>
              <w:right w:val="single" w:sz="4" w:space="0" w:color="auto"/>
            </w:tcBorders>
            <w:shd w:val="clear" w:color="auto" w:fill="C6EFCE"/>
            <w:noWrap/>
            <w:hideMark/>
          </w:tcPr>
          <w:p w14:paraId="17B6D1A8" w14:textId="77777777" w:rsidR="003F46B9" w:rsidRDefault="0065662E">
            <w:pPr>
              <w:pStyle w:val="P68B1DB1-Normal35"/>
              <w:spacing w:after="0"/>
              <w:jc w:val="both"/>
              <w:rPr>
                <w:noProof/>
              </w:rPr>
            </w:pPr>
            <w:r>
              <w:rPr>
                <w:noProof/>
              </w:rPr>
              <w:t>C6.R1</w:t>
            </w:r>
          </w:p>
          <w:p w14:paraId="5B95D4B3" w14:textId="77777777" w:rsidR="003F46B9" w:rsidRDefault="0065662E">
            <w:pPr>
              <w:pStyle w:val="P68B1DB1-Normal35"/>
              <w:spacing w:after="0"/>
              <w:jc w:val="both"/>
              <w:rPr>
                <w:rFonts w:eastAsia="Times New Roman"/>
                <w:noProof/>
              </w:rPr>
            </w:pPr>
            <w:r>
              <w:rPr>
                <w:noProof/>
              </w:rPr>
              <w:t xml:space="preserve">Reforma tržišta električne energije, zamjena ugljena u kombinaciji izvora energije i potpora zakonodavnom i regulatornom okviru za privatna ulaganja u proizvodnju električne energije iz </w:t>
            </w:r>
            <w:r>
              <w:rPr>
                <w:noProof/>
              </w:rPr>
              <w:t>obnovljivih izvora</w:t>
            </w:r>
          </w:p>
        </w:tc>
        <w:tc>
          <w:tcPr>
            <w:tcW w:w="992" w:type="dxa"/>
            <w:tcBorders>
              <w:top w:val="nil"/>
              <w:left w:val="nil"/>
              <w:bottom w:val="single" w:sz="4" w:space="0" w:color="auto"/>
              <w:right w:val="single" w:sz="4" w:space="0" w:color="auto"/>
            </w:tcBorders>
            <w:shd w:val="clear" w:color="auto" w:fill="C6EFCE"/>
            <w:noWrap/>
            <w:hideMark/>
          </w:tcPr>
          <w:p w14:paraId="1E0DB97C" w14:textId="77777777" w:rsidR="003F46B9" w:rsidRDefault="0065662E">
            <w:pPr>
              <w:pStyle w:val="P68B1DB1-Normal35"/>
              <w:spacing w:after="0"/>
              <w:jc w:val="center"/>
              <w:rPr>
                <w:rFonts w:eastAsia="Times New Roman"/>
                <w:noProof/>
              </w:rPr>
            </w:pPr>
            <w:r>
              <w:rPr>
                <w:noProof/>
              </w:rPr>
              <w:t>T</w:t>
            </w:r>
          </w:p>
        </w:tc>
        <w:tc>
          <w:tcPr>
            <w:tcW w:w="3455" w:type="dxa"/>
            <w:tcBorders>
              <w:top w:val="nil"/>
              <w:left w:val="nil"/>
              <w:bottom w:val="single" w:sz="4" w:space="0" w:color="auto"/>
              <w:right w:val="single" w:sz="4" w:space="0" w:color="auto"/>
            </w:tcBorders>
            <w:shd w:val="clear" w:color="auto" w:fill="C6EFCE"/>
            <w:noWrap/>
            <w:hideMark/>
          </w:tcPr>
          <w:p w14:paraId="0F919773" w14:textId="77777777" w:rsidR="003F46B9" w:rsidRDefault="0065662E">
            <w:pPr>
              <w:pStyle w:val="P68B1DB1-Normal35"/>
              <w:spacing w:after="0"/>
              <w:jc w:val="both"/>
              <w:rPr>
                <w:rFonts w:eastAsia="Times New Roman"/>
                <w:noProof/>
              </w:rPr>
            </w:pPr>
            <w:r>
              <w:rPr>
                <w:noProof/>
              </w:rPr>
              <w:t xml:space="preserve">Stavljanje izvan pogona kapaciteta za proizvodnju električne energije iz ugljena </w:t>
            </w:r>
          </w:p>
        </w:tc>
      </w:tr>
      <w:tr w:rsidR="003F46B9" w14:paraId="34835702"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8E12741" w14:textId="77777777" w:rsidR="003F46B9" w:rsidRDefault="0065662E">
            <w:pPr>
              <w:pStyle w:val="P68B1DB1-Normal35"/>
              <w:spacing w:after="0"/>
              <w:jc w:val="center"/>
              <w:rPr>
                <w:rFonts w:eastAsia="Times New Roman"/>
                <w:noProof/>
              </w:rPr>
            </w:pPr>
            <w:r>
              <w:rPr>
                <w:noProof/>
              </w:rPr>
              <w:t>142</w:t>
            </w:r>
          </w:p>
        </w:tc>
        <w:tc>
          <w:tcPr>
            <w:tcW w:w="3660" w:type="dxa"/>
            <w:tcBorders>
              <w:top w:val="nil"/>
              <w:left w:val="nil"/>
              <w:bottom w:val="single" w:sz="4" w:space="0" w:color="auto"/>
              <w:right w:val="single" w:sz="4" w:space="0" w:color="auto"/>
            </w:tcBorders>
            <w:shd w:val="clear" w:color="auto" w:fill="C6EFCE"/>
            <w:noWrap/>
          </w:tcPr>
          <w:p w14:paraId="00ABC561" w14:textId="77777777" w:rsidR="003F46B9" w:rsidRDefault="0065662E">
            <w:pPr>
              <w:pStyle w:val="P68B1DB1-Normal35"/>
              <w:spacing w:after="0"/>
              <w:jc w:val="both"/>
              <w:rPr>
                <w:noProof/>
              </w:rPr>
            </w:pPr>
            <w:r>
              <w:rPr>
                <w:noProof/>
              </w:rPr>
              <w:t xml:space="preserve">C7.R1 </w:t>
            </w:r>
          </w:p>
          <w:p w14:paraId="58BFC8C4" w14:textId="77777777" w:rsidR="003F46B9" w:rsidRDefault="0065662E">
            <w:pPr>
              <w:pStyle w:val="P68B1DB1-Normal35"/>
              <w:spacing w:after="0"/>
              <w:jc w:val="both"/>
              <w:rPr>
                <w:rFonts w:eastAsia="Times New Roman"/>
                <w:noProof/>
              </w:rPr>
            </w:pPr>
            <w:r>
              <w:rPr>
                <w:noProof/>
              </w:rPr>
              <w:t>Razvoj jedinstvenog okvira za definiranje arhitekture državnog sustava računalstva u oblaku</w:t>
            </w:r>
          </w:p>
        </w:tc>
        <w:tc>
          <w:tcPr>
            <w:tcW w:w="992" w:type="dxa"/>
            <w:tcBorders>
              <w:top w:val="nil"/>
              <w:left w:val="nil"/>
              <w:bottom w:val="single" w:sz="4" w:space="0" w:color="auto"/>
              <w:right w:val="single" w:sz="4" w:space="0" w:color="auto"/>
            </w:tcBorders>
            <w:shd w:val="clear" w:color="auto" w:fill="C6EFCE"/>
            <w:noWrap/>
          </w:tcPr>
          <w:p w14:paraId="5085FFB0"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3FAEEB3D" w14:textId="77777777" w:rsidR="003F46B9" w:rsidRDefault="0065662E">
            <w:pPr>
              <w:pStyle w:val="P68B1DB1-Normal35"/>
              <w:spacing w:after="0"/>
              <w:jc w:val="both"/>
              <w:rPr>
                <w:rFonts w:eastAsia="Times New Roman"/>
                <w:noProof/>
              </w:rPr>
            </w:pPr>
            <w:r>
              <w:rPr>
                <w:noProof/>
              </w:rPr>
              <w:t>Uspostavljena i operativna radna skupina za pro</w:t>
            </w:r>
            <w:r>
              <w:rPr>
                <w:noProof/>
              </w:rPr>
              <w:t>vedbu i praćenje reformi i ulaganja u području digitalne transformacije</w:t>
            </w:r>
          </w:p>
        </w:tc>
      </w:tr>
      <w:tr w:rsidR="003F46B9" w14:paraId="0950257E"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DADA505" w14:textId="77777777" w:rsidR="003F46B9" w:rsidRDefault="0065662E">
            <w:pPr>
              <w:pStyle w:val="P68B1DB1-Normal35"/>
              <w:spacing w:after="0"/>
              <w:jc w:val="center"/>
              <w:rPr>
                <w:rFonts w:eastAsia="Times New Roman"/>
                <w:noProof/>
              </w:rPr>
            </w:pPr>
            <w:r>
              <w:rPr>
                <w:noProof/>
              </w:rPr>
              <w:t>150</w:t>
            </w:r>
          </w:p>
        </w:tc>
        <w:tc>
          <w:tcPr>
            <w:tcW w:w="3660" w:type="dxa"/>
            <w:tcBorders>
              <w:top w:val="nil"/>
              <w:left w:val="nil"/>
              <w:bottom w:val="single" w:sz="4" w:space="0" w:color="auto"/>
              <w:right w:val="single" w:sz="4" w:space="0" w:color="auto"/>
            </w:tcBorders>
            <w:shd w:val="clear" w:color="auto" w:fill="C6EFCE"/>
            <w:noWrap/>
          </w:tcPr>
          <w:p w14:paraId="79A07A9E" w14:textId="77777777" w:rsidR="003F46B9" w:rsidRDefault="0065662E">
            <w:pPr>
              <w:pStyle w:val="P68B1DB1-Normal35"/>
              <w:spacing w:after="0"/>
              <w:jc w:val="both"/>
              <w:rPr>
                <w:rFonts w:eastAsia="Times New Roman"/>
                <w:noProof/>
              </w:rPr>
            </w:pPr>
            <w:r>
              <w:rPr>
                <w:noProof/>
              </w:rPr>
              <w:t>C7.R3</w:t>
            </w:r>
            <w:r>
              <w:rPr>
                <w:noProof/>
              </w:rPr>
              <w:br/>
              <w:t xml:space="preserve">Osiguravanje kibersigurnosti javnih i privatnih subjekata koji posjeduju infrastrukturu kritične vrijednosti </w:t>
            </w:r>
          </w:p>
        </w:tc>
        <w:tc>
          <w:tcPr>
            <w:tcW w:w="992" w:type="dxa"/>
            <w:tcBorders>
              <w:top w:val="nil"/>
              <w:left w:val="nil"/>
              <w:bottom w:val="single" w:sz="4" w:space="0" w:color="auto"/>
              <w:right w:val="single" w:sz="4" w:space="0" w:color="auto"/>
            </w:tcBorders>
            <w:shd w:val="clear" w:color="auto" w:fill="C6EFCE"/>
            <w:noWrap/>
          </w:tcPr>
          <w:p w14:paraId="1C8CFC62"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7BAEE2D" w14:textId="77777777" w:rsidR="003F46B9" w:rsidRDefault="0065662E">
            <w:pPr>
              <w:pStyle w:val="P68B1DB1-Normal35"/>
              <w:spacing w:after="0"/>
              <w:jc w:val="both"/>
              <w:rPr>
                <w:rFonts w:eastAsia="Times New Roman"/>
                <w:noProof/>
              </w:rPr>
            </w:pPr>
            <w:r>
              <w:rPr>
                <w:noProof/>
              </w:rPr>
              <w:t xml:space="preserve">Donošenje nacionalne strategije za kibersigurnost za </w:t>
            </w:r>
            <w:r>
              <w:rPr>
                <w:noProof/>
              </w:rPr>
              <w:t>razdoblje 2021. 2026.</w:t>
            </w:r>
          </w:p>
        </w:tc>
      </w:tr>
      <w:tr w:rsidR="003F46B9" w14:paraId="4550F1F9"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62BB10E3" w14:textId="77777777" w:rsidR="003F46B9" w:rsidRDefault="0065662E">
            <w:pPr>
              <w:pStyle w:val="P68B1DB1-Normal35"/>
              <w:spacing w:after="0"/>
              <w:jc w:val="center"/>
              <w:rPr>
                <w:rFonts w:eastAsia="Times New Roman"/>
                <w:noProof/>
              </w:rPr>
            </w:pPr>
            <w:r>
              <w:rPr>
                <w:noProof/>
              </w:rPr>
              <w:t>211</w:t>
            </w:r>
          </w:p>
        </w:tc>
        <w:tc>
          <w:tcPr>
            <w:tcW w:w="3660" w:type="dxa"/>
            <w:tcBorders>
              <w:top w:val="nil"/>
              <w:left w:val="nil"/>
              <w:bottom w:val="single" w:sz="4" w:space="0" w:color="auto"/>
              <w:right w:val="single" w:sz="4" w:space="0" w:color="auto"/>
            </w:tcBorders>
            <w:shd w:val="clear" w:color="auto" w:fill="C6EFCE"/>
            <w:noWrap/>
          </w:tcPr>
          <w:p w14:paraId="3D83C48F" w14:textId="77777777" w:rsidR="003F46B9" w:rsidRDefault="0065662E">
            <w:pPr>
              <w:pStyle w:val="P68B1DB1-Normal35"/>
              <w:spacing w:after="0"/>
              <w:jc w:val="both"/>
              <w:rPr>
                <w:noProof/>
              </w:rPr>
            </w:pPr>
            <w:r>
              <w:rPr>
                <w:noProof/>
              </w:rPr>
              <w:t>C8.R6</w:t>
            </w:r>
          </w:p>
          <w:p w14:paraId="0318719A" w14:textId="77777777" w:rsidR="003F46B9" w:rsidRDefault="0065662E">
            <w:pPr>
              <w:pStyle w:val="P68B1DB1-Normal35"/>
              <w:spacing w:after="0"/>
              <w:jc w:val="both"/>
              <w:rPr>
                <w:rFonts w:eastAsia="Times New Roman"/>
                <w:noProof/>
              </w:rPr>
            </w:pPr>
            <w:r>
              <w:rPr>
                <w:noProof/>
              </w:rPr>
              <w:t>Reforma javnog mirovinskog sustava</w:t>
            </w:r>
          </w:p>
        </w:tc>
        <w:tc>
          <w:tcPr>
            <w:tcW w:w="992" w:type="dxa"/>
            <w:tcBorders>
              <w:top w:val="nil"/>
              <w:left w:val="nil"/>
              <w:bottom w:val="single" w:sz="4" w:space="0" w:color="auto"/>
              <w:right w:val="single" w:sz="4" w:space="0" w:color="auto"/>
            </w:tcBorders>
            <w:shd w:val="clear" w:color="auto" w:fill="C6EFCE"/>
            <w:noWrap/>
          </w:tcPr>
          <w:p w14:paraId="5BCAD7A4"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0FBF9F5A" w14:textId="77777777" w:rsidR="003F46B9" w:rsidRDefault="0065662E">
            <w:pPr>
              <w:pStyle w:val="P68B1DB1-Normal35"/>
              <w:spacing w:after="0"/>
              <w:jc w:val="both"/>
              <w:rPr>
                <w:rFonts w:eastAsia="Times New Roman"/>
                <w:noProof/>
              </w:rPr>
            </w:pPr>
            <w:r>
              <w:rPr>
                <w:noProof/>
              </w:rPr>
              <w:t xml:space="preserve">Ugovorna tehnička pomoć koju pruža subjekt koji se odabire u skladu s nacionalnim zakonodavstvom o javnoj nabavi </w:t>
            </w:r>
          </w:p>
        </w:tc>
      </w:tr>
      <w:tr w:rsidR="003F46B9" w14:paraId="6ADE853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4D5FB2BA" w14:textId="77777777" w:rsidR="003F46B9" w:rsidRDefault="0065662E">
            <w:pPr>
              <w:pStyle w:val="P68B1DB1-Normal35"/>
              <w:spacing w:after="0"/>
              <w:jc w:val="center"/>
              <w:rPr>
                <w:rFonts w:eastAsia="Times New Roman"/>
                <w:noProof/>
              </w:rPr>
            </w:pPr>
            <w:r>
              <w:rPr>
                <w:noProof/>
              </w:rPr>
              <w:t>212</w:t>
            </w:r>
          </w:p>
        </w:tc>
        <w:tc>
          <w:tcPr>
            <w:tcW w:w="3660" w:type="dxa"/>
            <w:tcBorders>
              <w:top w:val="nil"/>
              <w:left w:val="nil"/>
              <w:bottom w:val="single" w:sz="4" w:space="0" w:color="auto"/>
              <w:right w:val="single" w:sz="4" w:space="0" w:color="auto"/>
            </w:tcBorders>
            <w:shd w:val="clear" w:color="auto" w:fill="C6EFCE"/>
            <w:noWrap/>
          </w:tcPr>
          <w:p w14:paraId="6B58582B" w14:textId="77777777" w:rsidR="003F46B9" w:rsidRDefault="0065662E">
            <w:pPr>
              <w:pStyle w:val="P68B1DB1-Normal35"/>
              <w:spacing w:after="0"/>
              <w:jc w:val="both"/>
              <w:rPr>
                <w:noProof/>
              </w:rPr>
            </w:pPr>
            <w:r>
              <w:rPr>
                <w:noProof/>
              </w:rPr>
              <w:t xml:space="preserve">C8.R6 </w:t>
            </w:r>
          </w:p>
          <w:p w14:paraId="373B5837" w14:textId="77777777" w:rsidR="003F46B9" w:rsidRDefault="0065662E">
            <w:pPr>
              <w:pStyle w:val="P68B1DB1-Normal35"/>
              <w:spacing w:after="0"/>
              <w:jc w:val="both"/>
              <w:rPr>
                <w:rFonts w:eastAsia="Times New Roman"/>
                <w:noProof/>
              </w:rPr>
            </w:pPr>
            <w:r>
              <w:rPr>
                <w:noProof/>
              </w:rPr>
              <w:t>Reforma javnog mirovinskog sustava</w:t>
            </w:r>
          </w:p>
        </w:tc>
        <w:tc>
          <w:tcPr>
            <w:tcW w:w="992" w:type="dxa"/>
            <w:tcBorders>
              <w:top w:val="nil"/>
              <w:left w:val="nil"/>
              <w:bottom w:val="single" w:sz="4" w:space="0" w:color="auto"/>
              <w:right w:val="single" w:sz="4" w:space="0" w:color="auto"/>
            </w:tcBorders>
            <w:shd w:val="clear" w:color="auto" w:fill="C6EFCE"/>
            <w:noWrap/>
          </w:tcPr>
          <w:p w14:paraId="7AB413B6"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965363C" w14:textId="77777777" w:rsidR="003F46B9" w:rsidRDefault="0065662E">
            <w:pPr>
              <w:pStyle w:val="P68B1DB1-Normal35"/>
              <w:spacing w:after="0"/>
              <w:jc w:val="both"/>
              <w:rPr>
                <w:rFonts w:eastAsia="Times New Roman"/>
                <w:noProof/>
              </w:rPr>
            </w:pPr>
            <w:r>
              <w:rPr>
                <w:noProof/>
              </w:rPr>
              <w:t xml:space="preserve">Stupanje na snagu </w:t>
            </w:r>
            <w:r>
              <w:rPr>
                <w:noProof/>
              </w:rPr>
              <w:t>uredbe ministra o osnivanju nadzornog odbora zaduženog za reviziju mirovinskog sustava i političkih intervencija u mirovinskom sustavu uz potporu pružatelja tehničke pomoći</w:t>
            </w:r>
          </w:p>
        </w:tc>
      </w:tr>
      <w:tr w:rsidR="003F46B9" w14:paraId="6E3FD40C"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5A9A4FC" w14:textId="77777777" w:rsidR="003F46B9" w:rsidRDefault="0065662E">
            <w:pPr>
              <w:pStyle w:val="P68B1DB1-Normal35"/>
              <w:spacing w:after="0"/>
              <w:jc w:val="center"/>
              <w:rPr>
                <w:rFonts w:eastAsia="Times New Roman"/>
                <w:noProof/>
              </w:rPr>
            </w:pPr>
            <w:r>
              <w:rPr>
                <w:noProof/>
              </w:rPr>
              <w:t>220</w:t>
            </w:r>
          </w:p>
        </w:tc>
        <w:tc>
          <w:tcPr>
            <w:tcW w:w="3660" w:type="dxa"/>
            <w:tcBorders>
              <w:top w:val="nil"/>
              <w:left w:val="nil"/>
              <w:bottom w:val="single" w:sz="4" w:space="0" w:color="auto"/>
              <w:right w:val="single" w:sz="4" w:space="0" w:color="auto"/>
            </w:tcBorders>
            <w:shd w:val="clear" w:color="auto" w:fill="C6EFCE"/>
            <w:noWrap/>
          </w:tcPr>
          <w:p w14:paraId="082B4A44" w14:textId="77777777" w:rsidR="003F46B9" w:rsidRDefault="0065662E">
            <w:pPr>
              <w:pStyle w:val="P68B1DB1-Normal35"/>
              <w:spacing w:after="0"/>
              <w:jc w:val="both"/>
              <w:rPr>
                <w:noProof/>
              </w:rPr>
            </w:pPr>
            <w:r>
              <w:rPr>
                <w:noProof/>
              </w:rPr>
              <w:t xml:space="preserve">C8.I2 </w:t>
            </w:r>
          </w:p>
          <w:p w14:paraId="7FCCC9C6" w14:textId="77777777" w:rsidR="003F46B9" w:rsidRDefault="0065662E">
            <w:pPr>
              <w:pStyle w:val="P68B1DB1-Normal35"/>
              <w:spacing w:after="0"/>
              <w:jc w:val="both"/>
              <w:rPr>
                <w:rFonts w:eastAsia="Times New Roman"/>
                <w:noProof/>
              </w:rPr>
            </w:pPr>
            <w:r>
              <w:rPr>
                <w:noProof/>
              </w:rPr>
              <w:t xml:space="preserve">Poboljšanje postupaka porezne i porezne uprave, među ostalim provedbom </w:t>
            </w:r>
            <w:r>
              <w:rPr>
                <w:noProof/>
              </w:rPr>
              <w:t>integriranog upravljanja rizicima</w:t>
            </w:r>
          </w:p>
        </w:tc>
        <w:tc>
          <w:tcPr>
            <w:tcW w:w="992" w:type="dxa"/>
            <w:tcBorders>
              <w:top w:val="nil"/>
              <w:left w:val="nil"/>
              <w:bottom w:val="single" w:sz="4" w:space="0" w:color="auto"/>
              <w:right w:val="single" w:sz="4" w:space="0" w:color="auto"/>
            </w:tcBorders>
            <w:shd w:val="clear" w:color="auto" w:fill="C6EFCE"/>
            <w:noWrap/>
          </w:tcPr>
          <w:p w14:paraId="6E659E2C" w14:textId="77777777" w:rsidR="003F46B9" w:rsidRDefault="0065662E">
            <w:pPr>
              <w:pStyle w:val="P68B1DB1-Normal35"/>
              <w:spacing w:after="0"/>
              <w:jc w:val="center"/>
              <w:rPr>
                <w:rFonts w:eastAsia="Times New Roman"/>
                <w:noProof/>
              </w:rPr>
            </w:pPr>
            <w:r>
              <w:rPr>
                <w:noProof/>
              </w:rPr>
              <w:t>T</w:t>
            </w:r>
          </w:p>
        </w:tc>
        <w:tc>
          <w:tcPr>
            <w:tcW w:w="3455" w:type="dxa"/>
            <w:tcBorders>
              <w:top w:val="nil"/>
              <w:left w:val="nil"/>
              <w:bottom w:val="single" w:sz="4" w:space="0" w:color="auto"/>
              <w:right w:val="single" w:sz="4" w:space="0" w:color="auto"/>
            </w:tcBorders>
            <w:shd w:val="clear" w:color="auto" w:fill="C6EFCE"/>
            <w:noWrap/>
          </w:tcPr>
          <w:p w14:paraId="4B71F7E4" w14:textId="77777777" w:rsidR="003F46B9" w:rsidRDefault="0065662E">
            <w:pPr>
              <w:pStyle w:val="P68B1DB1-Normal35"/>
              <w:spacing w:after="0"/>
              <w:jc w:val="both"/>
              <w:rPr>
                <w:rFonts w:eastAsia="Times New Roman"/>
                <w:noProof/>
              </w:rPr>
            </w:pPr>
            <w:r>
              <w:rPr>
                <w:noProof/>
              </w:rPr>
              <w:t xml:space="preserve">Broj blagajni povezanih s informacijskim sustavom Nacionalne agencije za fiskalnu upravu </w:t>
            </w:r>
          </w:p>
        </w:tc>
      </w:tr>
      <w:tr w:rsidR="003F46B9" w14:paraId="43795C7B"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B6B19E" w14:textId="77777777" w:rsidR="003F46B9" w:rsidRDefault="0065662E">
            <w:pPr>
              <w:pStyle w:val="P68B1DB1-Normal35"/>
              <w:spacing w:after="0"/>
              <w:jc w:val="center"/>
              <w:rPr>
                <w:rFonts w:eastAsia="Times New Roman"/>
                <w:noProof/>
              </w:rPr>
            </w:pPr>
            <w:r>
              <w:rPr>
                <w:noProof/>
              </w:rPr>
              <w:t>366</w:t>
            </w:r>
          </w:p>
        </w:tc>
        <w:tc>
          <w:tcPr>
            <w:tcW w:w="3660" w:type="dxa"/>
            <w:tcBorders>
              <w:top w:val="nil"/>
              <w:left w:val="nil"/>
              <w:bottom w:val="single" w:sz="4" w:space="0" w:color="auto"/>
              <w:right w:val="single" w:sz="4" w:space="0" w:color="auto"/>
            </w:tcBorders>
            <w:shd w:val="clear" w:color="auto" w:fill="C6EFCE"/>
            <w:noWrap/>
          </w:tcPr>
          <w:p w14:paraId="78C8CB8B" w14:textId="77777777" w:rsidR="003F46B9" w:rsidRDefault="0065662E">
            <w:pPr>
              <w:pStyle w:val="P68B1DB1-Normal35"/>
              <w:spacing w:after="0"/>
              <w:jc w:val="both"/>
              <w:rPr>
                <w:noProof/>
              </w:rPr>
            </w:pPr>
            <w:r>
              <w:rPr>
                <w:noProof/>
              </w:rPr>
              <w:t>C12.I1</w:t>
            </w:r>
          </w:p>
          <w:p w14:paraId="4A3588D5" w14:textId="77777777" w:rsidR="003F46B9" w:rsidRDefault="0065662E">
            <w:pPr>
              <w:pStyle w:val="P68B1DB1-Normal35"/>
              <w:spacing w:after="0"/>
              <w:jc w:val="both"/>
              <w:rPr>
                <w:noProof/>
              </w:rPr>
            </w:pPr>
            <w:r>
              <w:rPr>
                <w:noProof/>
              </w:rPr>
              <w:t>Razvoj pretbolničke medicinske infrastrukture</w:t>
            </w:r>
          </w:p>
        </w:tc>
        <w:tc>
          <w:tcPr>
            <w:tcW w:w="992" w:type="dxa"/>
            <w:tcBorders>
              <w:top w:val="nil"/>
              <w:left w:val="nil"/>
              <w:bottom w:val="single" w:sz="4" w:space="0" w:color="auto"/>
              <w:right w:val="single" w:sz="4" w:space="0" w:color="auto"/>
            </w:tcBorders>
            <w:shd w:val="clear" w:color="auto" w:fill="C6EFCE"/>
            <w:noWrap/>
          </w:tcPr>
          <w:p w14:paraId="02CF3E9B"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3A17103" w14:textId="77777777" w:rsidR="003F46B9" w:rsidRDefault="0065662E">
            <w:pPr>
              <w:pStyle w:val="P68B1DB1-Normal35"/>
              <w:spacing w:after="0"/>
              <w:jc w:val="both"/>
              <w:rPr>
                <w:rFonts w:eastAsia="Times New Roman"/>
                <w:noProof/>
              </w:rPr>
            </w:pPr>
            <w:r>
              <w:rPr>
                <w:noProof/>
              </w:rPr>
              <w:t xml:space="preserve">Donošenje kriterija za davanje prednosti ulaganjima u integrirane </w:t>
            </w:r>
            <w:r>
              <w:rPr>
                <w:noProof/>
              </w:rPr>
              <w:t>centre zajednice</w:t>
            </w:r>
          </w:p>
        </w:tc>
      </w:tr>
      <w:tr w:rsidR="003F46B9" w14:paraId="67C7F204"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21DDA3BE" w14:textId="77777777" w:rsidR="003F46B9" w:rsidRDefault="0065662E">
            <w:pPr>
              <w:pStyle w:val="P68B1DB1-Normal35"/>
              <w:spacing w:after="0"/>
              <w:jc w:val="center"/>
              <w:rPr>
                <w:rFonts w:eastAsia="Times New Roman"/>
                <w:noProof/>
              </w:rPr>
            </w:pPr>
            <w:r>
              <w:rPr>
                <w:noProof/>
              </w:rPr>
              <w:t>426</w:t>
            </w:r>
          </w:p>
        </w:tc>
        <w:tc>
          <w:tcPr>
            <w:tcW w:w="3660" w:type="dxa"/>
            <w:tcBorders>
              <w:top w:val="nil"/>
              <w:left w:val="nil"/>
              <w:bottom w:val="single" w:sz="4" w:space="0" w:color="auto"/>
              <w:right w:val="single" w:sz="4" w:space="0" w:color="auto"/>
            </w:tcBorders>
            <w:shd w:val="clear" w:color="auto" w:fill="C6EFCE"/>
            <w:noWrap/>
          </w:tcPr>
          <w:p w14:paraId="4EDF6752" w14:textId="77777777" w:rsidR="003F46B9" w:rsidRDefault="0065662E">
            <w:pPr>
              <w:pStyle w:val="P68B1DB1-Normal35"/>
              <w:spacing w:after="0"/>
              <w:jc w:val="both"/>
              <w:rPr>
                <w:noProof/>
              </w:rPr>
            </w:pPr>
            <w:r>
              <w:rPr>
                <w:noProof/>
              </w:rPr>
              <w:t>C14.R6</w:t>
            </w:r>
          </w:p>
          <w:p w14:paraId="6B8B9093" w14:textId="77777777" w:rsidR="003F46B9" w:rsidRDefault="0065662E">
            <w:pPr>
              <w:pStyle w:val="P68B1DB1-Normal35"/>
              <w:spacing w:after="0"/>
              <w:jc w:val="both"/>
              <w:rPr>
                <w:rFonts w:eastAsia="Times New Roman"/>
                <w:noProof/>
              </w:rPr>
            </w:pPr>
            <w:r>
              <w:rPr>
                <w:noProof/>
              </w:rPr>
              <w:t xml:space="preserve">Jačanje borbe protiv korupcije </w:t>
            </w:r>
          </w:p>
        </w:tc>
        <w:tc>
          <w:tcPr>
            <w:tcW w:w="992" w:type="dxa"/>
            <w:tcBorders>
              <w:top w:val="nil"/>
              <w:left w:val="nil"/>
              <w:bottom w:val="single" w:sz="4" w:space="0" w:color="auto"/>
              <w:right w:val="single" w:sz="4" w:space="0" w:color="auto"/>
            </w:tcBorders>
            <w:shd w:val="clear" w:color="auto" w:fill="C6EFCE"/>
            <w:noWrap/>
          </w:tcPr>
          <w:p w14:paraId="643644CC"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10FA2772" w14:textId="77777777" w:rsidR="003F46B9" w:rsidRDefault="0065662E">
            <w:pPr>
              <w:pStyle w:val="P68B1DB1-Normal35"/>
              <w:spacing w:after="0"/>
              <w:jc w:val="both"/>
              <w:rPr>
                <w:rFonts w:eastAsia="Times New Roman"/>
                <w:noProof/>
              </w:rPr>
            </w:pPr>
            <w:r>
              <w:rPr>
                <w:noProof/>
              </w:rPr>
              <w:t xml:space="preserve">Stupanje na snagu odluke o upravljanju kojom se odobrava nova Nacionalna strategija za borbu protiv korupcije </w:t>
            </w:r>
          </w:p>
        </w:tc>
      </w:tr>
      <w:tr w:rsidR="003F46B9" w14:paraId="24F61578"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C9C66BB" w14:textId="77777777" w:rsidR="003F46B9" w:rsidRDefault="0065662E">
            <w:pPr>
              <w:pStyle w:val="P68B1DB1-Normal35"/>
              <w:spacing w:after="0"/>
              <w:jc w:val="center"/>
              <w:rPr>
                <w:rFonts w:eastAsia="Times New Roman"/>
                <w:noProof/>
              </w:rPr>
            </w:pPr>
            <w:r>
              <w:rPr>
                <w:noProof/>
              </w:rPr>
              <w:t>450</w:t>
            </w:r>
          </w:p>
        </w:tc>
        <w:tc>
          <w:tcPr>
            <w:tcW w:w="3660" w:type="dxa"/>
            <w:tcBorders>
              <w:top w:val="nil"/>
              <w:left w:val="nil"/>
              <w:bottom w:val="single" w:sz="4" w:space="0" w:color="auto"/>
              <w:right w:val="single" w:sz="4" w:space="0" w:color="auto"/>
            </w:tcBorders>
            <w:shd w:val="clear" w:color="auto" w:fill="C6EFCE"/>
            <w:noWrap/>
          </w:tcPr>
          <w:p w14:paraId="171E07A0" w14:textId="77777777" w:rsidR="003F46B9" w:rsidRDefault="0065662E">
            <w:pPr>
              <w:pStyle w:val="P68B1DB1-Normal35"/>
              <w:spacing w:after="0"/>
              <w:jc w:val="both"/>
              <w:rPr>
                <w:noProof/>
              </w:rPr>
            </w:pPr>
            <w:r>
              <w:rPr>
                <w:noProof/>
              </w:rPr>
              <w:t xml:space="preserve">C14.I5 </w:t>
            </w:r>
          </w:p>
          <w:p w14:paraId="761749FB" w14:textId="77777777" w:rsidR="003F46B9" w:rsidRDefault="0065662E">
            <w:pPr>
              <w:pStyle w:val="P68B1DB1-Normal35"/>
              <w:spacing w:after="0"/>
              <w:jc w:val="both"/>
              <w:rPr>
                <w:rFonts w:eastAsia="Times New Roman"/>
                <w:noProof/>
              </w:rPr>
            </w:pPr>
            <w:r>
              <w:rPr>
                <w:noProof/>
              </w:rPr>
              <w:t xml:space="preserve">Praćenje i provedba plana </w:t>
            </w:r>
          </w:p>
        </w:tc>
        <w:tc>
          <w:tcPr>
            <w:tcW w:w="992" w:type="dxa"/>
            <w:tcBorders>
              <w:top w:val="nil"/>
              <w:left w:val="nil"/>
              <w:bottom w:val="single" w:sz="4" w:space="0" w:color="auto"/>
              <w:right w:val="single" w:sz="4" w:space="0" w:color="auto"/>
            </w:tcBorders>
            <w:shd w:val="clear" w:color="auto" w:fill="C6EFCE"/>
            <w:noWrap/>
          </w:tcPr>
          <w:p w14:paraId="767E1F9C"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5F8FA692" w14:textId="77777777" w:rsidR="003F46B9" w:rsidRDefault="0065662E">
            <w:pPr>
              <w:pStyle w:val="P68B1DB1-Normal35"/>
              <w:spacing w:after="0"/>
              <w:jc w:val="both"/>
              <w:rPr>
                <w:rFonts w:eastAsia="Times New Roman"/>
                <w:noProof/>
              </w:rPr>
            </w:pPr>
            <w:r>
              <w:rPr>
                <w:noProof/>
              </w:rPr>
              <w:t xml:space="preserve">Revizija i kontrole: informacije za </w:t>
            </w:r>
            <w:r>
              <w:rPr>
                <w:noProof/>
              </w:rPr>
              <w:t>praćenje provedbe plana za oporavak i otpornost</w:t>
            </w:r>
          </w:p>
        </w:tc>
      </w:tr>
      <w:tr w:rsidR="003F46B9" w14:paraId="5D93D02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FA25BB0" w14:textId="77777777" w:rsidR="003F46B9" w:rsidRDefault="0065662E">
            <w:pPr>
              <w:pStyle w:val="P68B1DB1-Normal35"/>
              <w:spacing w:after="0"/>
              <w:jc w:val="center"/>
              <w:rPr>
                <w:rFonts w:eastAsia="Times New Roman"/>
                <w:noProof/>
              </w:rPr>
            </w:pPr>
            <w:r>
              <w:rPr>
                <w:noProof/>
              </w:rPr>
              <w:t>451</w:t>
            </w:r>
          </w:p>
        </w:tc>
        <w:tc>
          <w:tcPr>
            <w:tcW w:w="3660" w:type="dxa"/>
            <w:tcBorders>
              <w:top w:val="nil"/>
              <w:left w:val="nil"/>
              <w:bottom w:val="single" w:sz="4" w:space="0" w:color="auto"/>
              <w:right w:val="single" w:sz="4" w:space="0" w:color="auto"/>
            </w:tcBorders>
            <w:shd w:val="clear" w:color="auto" w:fill="C6EFCE"/>
            <w:noWrap/>
          </w:tcPr>
          <w:p w14:paraId="62A4202A" w14:textId="77777777" w:rsidR="003F46B9" w:rsidRDefault="0065662E">
            <w:pPr>
              <w:pStyle w:val="P68B1DB1-Normal35"/>
              <w:spacing w:after="0"/>
              <w:jc w:val="both"/>
              <w:rPr>
                <w:noProof/>
              </w:rPr>
            </w:pPr>
            <w:r>
              <w:rPr>
                <w:noProof/>
              </w:rPr>
              <w:t xml:space="preserve">C14.I5 </w:t>
            </w:r>
          </w:p>
          <w:p w14:paraId="4D72D20F" w14:textId="77777777" w:rsidR="003F46B9" w:rsidRDefault="0065662E">
            <w:pPr>
              <w:pStyle w:val="P68B1DB1-Normal35"/>
              <w:spacing w:after="0"/>
              <w:jc w:val="both"/>
              <w:rPr>
                <w:rFonts w:eastAsia="Times New Roman"/>
                <w:noProof/>
              </w:rPr>
            </w:pPr>
            <w:r>
              <w:rPr>
                <w:noProof/>
              </w:rPr>
              <w:t xml:space="preserve">Praćenje i provedba plana </w:t>
            </w:r>
          </w:p>
        </w:tc>
        <w:tc>
          <w:tcPr>
            <w:tcW w:w="992" w:type="dxa"/>
            <w:tcBorders>
              <w:top w:val="nil"/>
              <w:left w:val="nil"/>
              <w:bottom w:val="single" w:sz="4" w:space="0" w:color="auto"/>
              <w:right w:val="single" w:sz="4" w:space="0" w:color="auto"/>
            </w:tcBorders>
            <w:shd w:val="clear" w:color="auto" w:fill="C6EFCE"/>
            <w:noWrap/>
          </w:tcPr>
          <w:p w14:paraId="48F16B61"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70B15196" w14:textId="77777777" w:rsidR="003F46B9" w:rsidRDefault="0065662E">
            <w:pPr>
              <w:pStyle w:val="P68B1DB1-Normal35"/>
              <w:spacing w:after="0"/>
              <w:jc w:val="both"/>
              <w:rPr>
                <w:rFonts w:eastAsia="Times New Roman"/>
                <w:noProof/>
              </w:rPr>
            </w:pPr>
            <w:r>
              <w:rPr>
                <w:noProof/>
              </w:rPr>
              <w:t>Stupanje na snagu vladinog pravilnika kojim se utvrđuje pravni mandat Ministarstva ulaganja i europskih projekata (MIPE), Ministarstva financija (MoF) i Tijela za rev</w:t>
            </w:r>
            <w:r>
              <w:rPr>
                <w:noProof/>
              </w:rPr>
              <w:t>iziju (AA)</w:t>
            </w:r>
          </w:p>
        </w:tc>
      </w:tr>
      <w:tr w:rsidR="003F46B9" w14:paraId="03F1DB0A"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0AA5D206" w14:textId="77777777" w:rsidR="003F46B9" w:rsidRDefault="0065662E">
            <w:pPr>
              <w:pStyle w:val="P68B1DB1-Normal35"/>
              <w:spacing w:after="0"/>
              <w:jc w:val="center"/>
              <w:rPr>
                <w:rFonts w:eastAsia="Times New Roman"/>
                <w:noProof/>
              </w:rPr>
            </w:pPr>
            <w:r>
              <w:rPr>
                <w:noProof/>
              </w:rPr>
              <w:t>462</w:t>
            </w:r>
          </w:p>
        </w:tc>
        <w:tc>
          <w:tcPr>
            <w:tcW w:w="3660" w:type="dxa"/>
            <w:tcBorders>
              <w:top w:val="nil"/>
              <w:left w:val="nil"/>
              <w:bottom w:val="single" w:sz="4" w:space="0" w:color="auto"/>
              <w:right w:val="single" w:sz="4" w:space="0" w:color="auto"/>
            </w:tcBorders>
            <w:shd w:val="clear" w:color="auto" w:fill="C6EFCE"/>
            <w:noWrap/>
          </w:tcPr>
          <w:p w14:paraId="1676DFD6" w14:textId="77777777" w:rsidR="003F46B9" w:rsidRDefault="0065662E">
            <w:pPr>
              <w:pStyle w:val="P68B1DB1-Normal35"/>
              <w:spacing w:after="0"/>
              <w:jc w:val="both"/>
              <w:rPr>
                <w:noProof/>
              </w:rPr>
            </w:pPr>
            <w:r>
              <w:rPr>
                <w:noProof/>
              </w:rPr>
              <w:t>C15.R3</w:t>
            </w:r>
          </w:p>
          <w:p w14:paraId="6975DC4C" w14:textId="77777777" w:rsidR="003F46B9" w:rsidRDefault="0065662E">
            <w:pPr>
              <w:pStyle w:val="P68B1DB1-Normal35"/>
              <w:spacing w:after="0"/>
              <w:jc w:val="both"/>
              <w:rPr>
                <w:rFonts w:eastAsia="Times New Roman"/>
                <w:noProof/>
              </w:rPr>
            </w:pPr>
            <w:r>
              <w:rPr>
                <w:noProof/>
              </w:rPr>
              <w:t>Reforma obveznog obrazovnog sustava radi sprečavanja i smanjenja ranog napuštanja školovanja</w:t>
            </w:r>
          </w:p>
        </w:tc>
        <w:tc>
          <w:tcPr>
            <w:tcW w:w="992" w:type="dxa"/>
            <w:tcBorders>
              <w:top w:val="nil"/>
              <w:left w:val="nil"/>
              <w:bottom w:val="single" w:sz="4" w:space="0" w:color="auto"/>
              <w:right w:val="single" w:sz="4" w:space="0" w:color="auto"/>
            </w:tcBorders>
            <w:shd w:val="clear" w:color="auto" w:fill="C6EFCE"/>
            <w:noWrap/>
          </w:tcPr>
          <w:p w14:paraId="69913B5B"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039EF38B" w14:textId="77777777" w:rsidR="003F46B9" w:rsidRDefault="0065662E">
            <w:pPr>
              <w:pStyle w:val="P68B1DB1-Normal35"/>
              <w:spacing w:after="0"/>
              <w:jc w:val="both"/>
              <w:rPr>
                <w:rFonts w:eastAsia="Times New Roman"/>
                <w:noProof/>
              </w:rPr>
            </w:pPr>
            <w:r>
              <w:rPr>
                <w:noProof/>
              </w:rPr>
              <w:t>Stupanje na snagu Odluke Vlade o provedbi Nacionalnog programa za smanjenje ranog napuštanja školovanja</w:t>
            </w:r>
          </w:p>
        </w:tc>
      </w:tr>
      <w:tr w:rsidR="003F46B9" w14:paraId="689D07D6" w14:textId="77777777">
        <w:trPr>
          <w:trHeight w:val="302"/>
        </w:trPr>
        <w:tc>
          <w:tcPr>
            <w:tcW w:w="1297" w:type="dxa"/>
            <w:tcBorders>
              <w:top w:val="nil"/>
              <w:left w:val="single" w:sz="4" w:space="0" w:color="auto"/>
              <w:bottom w:val="single" w:sz="4" w:space="0" w:color="auto"/>
              <w:right w:val="single" w:sz="4" w:space="0" w:color="auto"/>
            </w:tcBorders>
            <w:shd w:val="clear" w:color="auto" w:fill="C6EFCE"/>
            <w:noWrap/>
          </w:tcPr>
          <w:p w14:paraId="706CC34E" w14:textId="77777777" w:rsidR="003F46B9" w:rsidRDefault="0065662E">
            <w:pPr>
              <w:pStyle w:val="P68B1DB1-Normal35"/>
              <w:spacing w:after="0"/>
              <w:jc w:val="center"/>
              <w:rPr>
                <w:rFonts w:eastAsia="Times New Roman"/>
                <w:noProof/>
              </w:rPr>
            </w:pPr>
            <w:r>
              <w:rPr>
                <w:noProof/>
              </w:rPr>
              <w:t>464</w:t>
            </w:r>
          </w:p>
        </w:tc>
        <w:tc>
          <w:tcPr>
            <w:tcW w:w="3660" w:type="dxa"/>
            <w:tcBorders>
              <w:top w:val="nil"/>
              <w:left w:val="nil"/>
              <w:bottom w:val="single" w:sz="4" w:space="0" w:color="auto"/>
              <w:right w:val="single" w:sz="4" w:space="0" w:color="auto"/>
            </w:tcBorders>
            <w:shd w:val="clear" w:color="auto" w:fill="C6EFCE"/>
            <w:noWrap/>
          </w:tcPr>
          <w:p w14:paraId="178D7BC7" w14:textId="77777777" w:rsidR="003F46B9" w:rsidRDefault="0065662E">
            <w:pPr>
              <w:pStyle w:val="P68B1DB1-Normal35"/>
              <w:spacing w:after="0"/>
              <w:jc w:val="both"/>
              <w:rPr>
                <w:noProof/>
              </w:rPr>
            </w:pPr>
            <w:r>
              <w:rPr>
                <w:noProof/>
              </w:rPr>
              <w:t>C15.I4</w:t>
            </w:r>
          </w:p>
          <w:p w14:paraId="29D23F43" w14:textId="77777777" w:rsidR="003F46B9" w:rsidRDefault="0065662E">
            <w:pPr>
              <w:pStyle w:val="P68B1DB1-Normal35"/>
              <w:spacing w:after="0"/>
              <w:jc w:val="both"/>
              <w:rPr>
                <w:rFonts w:eastAsia="Times New Roman"/>
                <w:noProof/>
              </w:rPr>
            </w:pPr>
            <w:r>
              <w:rPr>
                <w:noProof/>
              </w:rPr>
              <w:t xml:space="preserve">Potpora obrazovnim </w:t>
            </w:r>
            <w:r>
              <w:rPr>
                <w:noProof/>
              </w:rPr>
              <w:t>ustanovama s visokim rizikom od napuštanja školovanja</w:t>
            </w:r>
          </w:p>
        </w:tc>
        <w:tc>
          <w:tcPr>
            <w:tcW w:w="992" w:type="dxa"/>
            <w:tcBorders>
              <w:top w:val="nil"/>
              <w:left w:val="nil"/>
              <w:bottom w:val="single" w:sz="4" w:space="0" w:color="auto"/>
              <w:right w:val="single" w:sz="4" w:space="0" w:color="auto"/>
            </w:tcBorders>
            <w:shd w:val="clear" w:color="auto" w:fill="C6EFCE"/>
            <w:noWrap/>
          </w:tcPr>
          <w:p w14:paraId="01D1A923" w14:textId="77777777" w:rsidR="003F46B9" w:rsidRDefault="0065662E">
            <w:pPr>
              <w:pStyle w:val="P68B1DB1-Normal35"/>
              <w:spacing w:after="0"/>
              <w:jc w:val="center"/>
              <w:rPr>
                <w:rFonts w:eastAsia="Times New Roman"/>
                <w:noProof/>
              </w:rPr>
            </w:pPr>
            <w:r>
              <w:rPr>
                <w:noProof/>
              </w:rPr>
              <w:t>M</w:t>
            </w:r>
          </w:p>
        </w:tc>
        <w:tc>
          <w:tcPr>
            <w:tcW w:w="3455" w:type="dxa"/>
            <w:tcBorders>
              <w:top w:val="nil"/>
              <w:left w:val="nil"/>
              <w:bottom w:val="single" w:sz="4" w:space="0" w:color="auto"/>
              <w:right w:val="single" w:sz="4" w:space="0" w:color="auto"/>
            </w:tcBorders>
            <w:shd w:val="clear" w:color="auto" w:fill="C6EFCE"/>
            <w:noWrap/>
          </w:tcPr>
          <w:p w14:paraId="6352553E" w14:textId="77777777" w:rsidR="003F46B9" w:rsidRDefault="0065662E">
            <w:pPr>
              <w:pStyle w:val="P68B1DB1-Normal35"/>
              <w:spacing w:after="0"/>
              <w:jc w:val="both"/>
              <w:rPr>
                <w:rFonts w:eastAsia="Times New Roman"/>
                <w:noProof/>
              </w:rPr>
            </w:pPr>
            <w:r>
              <w:rPr>
                <w:noProof/>
              </w:rPr>
              <w:t>Otvoreni poziv na podnošenje projekata za potporu studentima za prijelaz iz nižeg u više sekundarno obrazovanje na temelju pet pokazatelja definiranih u mehanizmu ranog upozoravanja u obrazovanju</w:t>
            </w:r>
          </w:p>
        </w:tc>
      </w:tr>
      <w:tr w:rsidR="003F46B9" w14:paraId="7F3A680E" w14:textId="77777777">
        <w:trPr>
          <w:trHeight w:val="302"/>
        </w:trPr>
        <w:tc>
          <w:tcPr>
            <w:tcW w:w="1297" w:type="dxa"/>
            <w:tcBorders>
              <w:top w:val="single" w:sz="4" w:space="0" w:color="auto"/>
              <w:left w:val="single" w:sz="4" w:space="0" w:color="auto"/>
              <w:bottom w:val="single" w:sz="4" w:space="0" w:color="auto"/>
              <w:right w:val="single" w:sz="4" w:space="0" w:color="auto"/>
            </w:tcBorders>
            <w:shd w:val="clear" w:color="auto" w:fill="C6EFCE"/>
            <w:noWrap/>
          </w:tcPr>
          <w:p w14:paraId="6B428531" w14:textId="77777777" w:rsidR="003F46B9" w:rsidRDefault="003F46B9">
            <w:pPr>
              <w:spacing w:after="0"/>
              <w:jc w:val="center"/>
              <w:rPr>
                <w:rFonts w:ascii="Times New Roman" w:eastAsia="Times New Roman" w:hAnsi="Times New Roman" w:cs="Times New Roman"/>
                <w:noProof/>
              </w:rPr>
            </w:pPr>
          </w:p>
        </w:tc>
        <w:tc>
          <w:tcPr>
            <w:tcW w:w="3660" w:type="dxa"/>
            <w:tcBorders>
              <w:top w:val="single" w:sz="4" w:space="0" w:color="auto"/>
              <w:left w:val="nil"/>
              <w:bottom w:val="single" w:sz="4" w:space="0" w:color="auto"/>
              <w:right w:val="single" w:sz="4" w:space="0" w:color="auto"/>
            </w:tcBorders>
            <w:shd w:val="clear" w:color="auto" w:fill="C6EFCE"/>
            <w:noWrap/>
          </w:tcPr>
          <w:p w14:paraId="71FC8A94" w14:textId="77777777" w:rsidR="003F46B9" w:rsidRDefault="003F46B9">
            <w:pPr>
              <w:spacing w:after="0"/>
              <w:jc w:val="both"/>
              <w:rPr>
                <w:rFonts w:ascii="Times New Roman" w:eastAsia="Times New Roman" w:hAnsi="Times New Roman" w:cs="Times New Roman"/>
                <w:noProof/>
              </w:rPr>
            </w:pPr>
          </w:p>
        </w:tc>
        <w:tc>
          <w:tcPr>
            <w:tcW w:w="992" w:type="dxa"/>
            <w:tcBorders>
              <w:top w:val="single" w:sz="4" w:space="0" w:color="auto"/>
              <w:left w:val="nil"/>
              <w:bottom w:val="single" w:sz="4" w:space="0" w:color="auto"/>
              <w:right w:val="single" w:sz="4" w:space="0" w:color="auto"/>
            </w:tcBorders>
            <w:shd w:val="clear" w:color="auto" w:fill="C6EFCE"/>
            <w:noWrap/>
          </w:tcPr>
          <w:p w14:paraId="005D519F" w14:textId="77777777" w:rsidR="003F46B9" w:rsidRDefault="0065662E">
            <w:pPr>
              <w:pStyle w:val="P68B1DB1-Normal36"/>
              <w:spacing w:after="0"/>
              <w:jc w:val="center"/>
              <w:rPr>
                <w:noProof/>
              </w:rPr>
            </w:pPr>
            <w:r>
              <w:rPr>
                <w:noProof/>
              </w:rPr>
              <w:t>Iznos obroka</w:t>
            </w:r>
          </w:p>
        </w:tc>
        <w:tc>
          <w:tcPr>
            <w:tcW w:w="3455" w:type="dxa"/>
            <w:tcBorders>
              <w:top w:val="single" w:sz="4" w:space="0" w:color="auto"/>
              <w:left w:val="nil"/>
              <w:bottom w:val="single" w:sz="4" w:space="0" w:color="auto"/>
              <w:right w:val="single" w:sz="4" w:space="0" w:color="auto"/>
            </w:tcBorders>
            <w:shd w:val="clear" w:color="auto" w:fill="C6EFCE"/>
            <w:noWrap/>
            <w:vAlign w:val="center"/>
          </w:tcPr>
          <w:p w14:paraId="1710EC00" w14:textId="77777777" w:rsidR="003F46B9" w:rsidRDefault="0065662E">
            <w:pPr>
              <w:pStyle w:val="P68B1DB1-Normal36"/>
              <w:spacing w:after="0"/>
              <w:jc w:val="right"/>
              <w:rPr>
                <w:noProof/>
              </w:rPr>
            </w:pPr>
            <w:r>
              <w:rPr>
                <w:noProof/>
              </w:rPr>
              <w:t>2037146414 EURA</w:t>
            </w:r>
          </w:p>
        </w:tc>
      </w:tr>
    </w:tbl>
    <w:p w14:paraId="7EB6E829" w14:textId="77777777" w:rsidR="003F46B9" w:rsidRDefault="003F46B9">
      <w:pPr>
        <w:rPr>
          <w:rFonts w:ascii="Times New Roman" w:hAnsi="Times New Roman" w:cs="Times New Roman"/>
          <w:noProof/>
        </w:rPr>
      </w:pPr>
    </w:p>
    <w:p w14:paraId="49F561B5" w14:textId="77777777" w:rsidR="003F46B9" w:rsidRDefault="0065662E">
      <w:pPr>
        <w:pStyle w:val="P68B1DB1-Normal35"/>
        <w:rPr>
          <w:noProof/>
        </w:rPr>
      </w:pPr>
      <w:r>
        <w:rPr>
          <w:noProof/>
        </w:rPr>
        <w:br w:type="page"/>
      </w:r>
    </w:p>
    <w:p w14:paraId="65B23D7C" w14:textId="77777777" w:rsidR="003F46B9" w:rsidRDefault="0065662E">
      <w:pPr>
        <w:pStyle w:val="Heading3"/>
        <w:rPr>
          <w:noProof/>
        </w:rPr>
      </w:pPr>
      <w:r>
        <w:rPr>
          <w:noProof/>
        </w:rPr>
        <w:t xml:space="preserve">Drugi obrok (bespovratna potpora): </w:t>
      </w:r>
    </w:p>
    <w:tbl>
      <w:tblPr>
        <w:tblW w:w="9634" w:type="dxa"/>
        <w:tblInd w:w="113" w:type="dxa"/>
        <w:tblLook w:val="04A0" w:firstRow="1" w:lastRow="0" w:firstColumn="1" w:lastColumn="0" w:noHBand="0" w:noVBand="1"/>
      </w:tblPr>
      <w:tblGrid>
        <w:gridCol w:w="1356"/>
        <w:gridCol w:w="3633"/>
        <w:gridCol w:w="1316"/>
        <w:gridCol w:w="3402"/>
      </w:tblGrid>
      <w:tr w:rsidR="003F46B9" w14:paraId="5D73E7BB" w14:textId="77777777">
        <w:trPr>
          <w:trHeight w:val="906"/>
          <w:tblHeader/>
        </w:trPr>
        <w:tc>
          <w:tcPr>
            <w:tcW w:w="135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1EDAAFF" w14:textId="77777777" w:rsidR="003F46B9" w:rsidRDefault="0065662E">
            <w:pPr>
              <w:pStyle w:val="P68B1DB1-Normal34"/>
              <w:spacing w:after="0"/>
              <w:jc w:val="center"/>
              <w:rPr>
                <w:noProof/>
              </w:rPr>
            </w:pPr>
            <w:r>
              <w:rPr>
                <w:noProof/>
              </w:rPr>
              <w:t>Redni broj</w:t>
            </w:r>
          </w:p>
        </w:tc>
        <w:tc>
          <w:tcPr>
            <w:tcW w:w="363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5C5B029" w14:textId="77777777" w:rsidR="003F46B9" w:rsidRDefault="0065662E">
            <w:pPr>
              <w:pStyle w:val="P68B1DB1-Normal34"/>
              <w:spacing w:after="0"/>
              <w:jc w:val="center"/>
              <w:rPr>
                <w:noProof/>
              </w:rPr>
            </w:pPr>
            <w:r>
              <w:rPr>
                <w:noProof/>
              </w:rPr>
              <w:t xml:space="preserve">Povezana mjera </w:t>
            </w:r>
          </w:p>
          <w:p w14:paraId="5C03DF39" w14:textId="77777777" w:rsidR="003F46B9" w:rsidRDefault="0065662E">
            <w:pPr>
              <w:pStyle w:val="P68B1DB1-Normal34"/>
              <w:spacing w:after="0"/>
              <w:jc w:val="center"/>
              <w:rPr>
                <w:noProof/>
              </w:rPr>
            </w:pPr>
            <w:r>
              <w:rPr>
                <w:noProof/>
              </w:rPr>
              <w:t>(Reforma ili ulaganje)</w:t>
            </w:r>
          </w:p>
        </w:tc>
        <w:tc>
          <w:tcPr>
            <w:tcW w:w="124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9785BF"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EF2A36A" w14:textId="77777777" w:rsidR="003F46B9" w:rsidRDefault="0065662E">
            <w:pPr>
              <w:pStyle w:val="P68B1DB1-Normal34"/>
              <w:spacing w:after="0"/>
              <w:jc w:val="center"/>
              <w:rPr>
                <w:noProof/>
              </w:rPr>
            </w:pPr>
            <w:r>
              <w:rPr>
                <w:noProof/>
              </w:rPr>
              <w:t>Ime</w:t>
            </w:r>
          </w:p>
        </w:tc>
      </w:tr>
      <w:tr w:rsidR="003F46B9" w14:paraId="31FD17E7" w14:textId="77777777">
        <w:trPr>
          <w:trHeight w:val="509"/>
          <w:tblHeader/>
        </w:trPr>
        <w:tc>
          <w:tcPr>
            <w:tcW w:w="1356" w:type="dxa"/>
            <w:vMerge/>
            <w:tcBorders>
              <w:top w:val="single" w:sz="4" w:space="0" w:color="auto"/>
              <w:left w:val="single" w:sz="4" w:space="0" w:color="auto"/>
              <w:bottom w:val="single" w:sz="4" w:space="0" w:color="000000"/>
              <w:right w:val="single" w:sz="4" w:space="0" w:color="auto"/>
            </w:tcBorders>
            <w:vAlign w:val="center"/>
            <w:hideMark/>
          </w:tcPr>
          <w:p w14:paraId="428DE30D" w14:textId="77777777" w:rsidR="003F46B9" w:rsidRDefault="003F46B9">
            <w:pPr>
              <w:spacing w:after="0"/>
              <w:jc w:val="center"/>
              <w:rPr>
                <w:rFonts w:ascii="Times New Roman" w:eastAsia="Times New Roman" w:hAnsi="Times New Roman" w:cs="Times New Roman"/>
                <w:b/>
                <w:noProof/>
              </w:rPr>
            </w:pPr>
          </w:p>
        </w:tc>
        <w:tc>
          <w:tcPr>
            <w:tcW w:w="3633" w:type="dxa"/>
            <w:vMerge/>
            <w:tcBorders>
              <w:top w:val="single" w:sz="4" w:space="0" w:color="auto"/>
              <w:left w:val="single" w:sz="4" w:space="0" w:color="auto"/>
              <w:bottom w:val="single" w:sz="4" w:space="0" w:color="000000"/>
              <w:right w:val="single" w:sz="4" w:space="0" w:color="auto"/>
            </w:tcBorders>
            <w:vAlign w:val="center"/>
            <w:hideMark/>
          </w:tcPr>
          <w:p w14:paraId="584C35B3" w14:textId="77777777" w:rsidR="003F46B9" w:rsidRDefault="003F46B9">
            <w:pPr>
              <w:spacing w:after="0"/>
              <w:rPr>
                <w:rFonts w:ascii="Times New Roman" w:eastAsia="Times New Roman" w:hAnsi="Times New Roman" w:cs="Times New Roman"/>
                <w:b/>
                <w:noProof/>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14:paraId="7EB4F4E8"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7F246329" w14:textId="77777777" w:rsidR="003F46B9" w:rsidRDefault="003F46B9">
            <w:pPr>
              <w:spacing w:after="0"/>
              <w:jc w:val="both"/>
              <w:rPr>
                <w:rFonts w:ascii="Times New Roman" w:eastAsia="Times New Roman" w:hAnsi="Times New Roman" w:cs="Times New Roman"/>
                <w:b/>
                <w:noProof/>
              </w:rPr>
            </w:pPr>
          </w:p>
        </w:tc>
      </w:tr>
      <w:tr w:rsidR="003F46B9" w14:paraId="153850F2"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14:paraId="558AC412" w14:textId="77777777" w:rsidR="003F46B9" w:rsidRDefault="0065662E">
            <w:pPr>
              <w:pStyle w:val="P68B1DB1-Normal35"/>
              <w:spacing w:after="0"/>
              <w:jc w:val="center"/>
              <w:rPr>
                <w:rFonts w:eastAsia="Times New Roman"/>
                <w:noProof/>
              </w:rPr>
            </w:pPr>
            <w:r>
              <w:rPr>
                <w:noProof/>
              </w:rPr>
              <w:t>124</w:t>
            </w:r>
          </w:p>
        </w:tc>
        <w:tc>
          <w:tcPr>
            <w:tcW w:w="3633" w:type="dxa"/>
            <w:tcBorders>
              <w:top w:val="nil"/>
              <w:left w:val="nil"/>
              <w:bottom w:val="single" w:sz="4" w:space="0" w:color="auto"/>
              <w:right w:val="single" w:sz="4" w:space="0" w:color="auto"/>
            </w:tcBorders>
            <w:shd w:val="clear" w:color="auto" w:fill="C6EFCE"/>
            <w:noWrap/>
            <w:hideMark/>
          </w:tcPr>
          <w:p w14:paraId="4790C77F" w14:textId="77777777" w:rsidR="003F46B9" w:rsidRDefault="0065662E">
            <w:pPr>
              <w:pStyle w:val="P68B1DB1-Normal35"/>
              <w:spacing w:after="0"/>
              <w:jc w:val="both"/>
              <w:rPr>
                <w:noProof/>
              </w:rPr>
            </w:pPr>
            <w:r>
              <w:rPr>
                <w:noProof/>
              </w:rPr>
              <w:t>C6.I1</w:t>
            </w:r>
          </w:p>
          <w:p w14:paraId="18422EA0" w14:textId="77777777" w:rsidR="003F46B9" w:rsidRDefault="0065662E">
            <w:pPr>
              <w:pStyle w:val="P68B1DB1-Normal35"/>
              <w:spacing w:after="0"/>
              <w:rPr>
                <w:rFonts w:eastAsia="Times New Roman"/>
                <w:noProof/>
              </w:rPr>
            </w:pPr>
            <w:r>
              <w:rPr>
                <w:noProof/>
              </w:rPr>
              <w:t>Novi kapaciteti za proizvodnju električne energije iz obnovljivih izvora</w:t>
            </w:r>
          </w:p>
        </w:tc>
        <w:tc>
          <w:tcPr>
            <w:tcW w:w="1243" w:type="dxa"/>
            <w:tcBorders>
              <w:top w:val="nil"/>
              <w:left w:val="nil"/>
              <w:bottom w:val="single" w:sz="4" w:space="0" w:color="auto"/>
              <w:right w:val="single" w:sz="4" w:space="0" w:color="auto"/>
            </w:tcBorders>
            <w:shd w:val="clear" w:color="auto" w:fill="C6EFCE"/>
            <w:noWrap/>
            <w:hideMark/>
          </w:tcPr>
          <w:p w14:paraId="3E0381A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279188C2" w14:textId="77777777" w:rsidR="003F46B9" w:rsidRDefault="0065662E">
            <w:pPr>
              <w:pStyle w:val="P68B1DB1-Normal35"/>
              <w:spacing w:after="0"/>
              <w:jc w:val="both"/>
              <w:rPr>
                <w:rFonts w:eastAsia="Times New Roman"/>
                <w:noProof/>
              </w:rPr>
            </w:pPr>
            <w:r>
              <w:rPr>
                <w:noProof/>
              </w:rPr>
              <w:t xml:space="preserve">O </w:t>
            </w:r>
            <w:r>
              <w:rPr>
                <w:noProof/>
              </w:rPr>
              <w:t>otvaranju poziva na podnošenje ponuda za projekte za proizvodnju energije iz obnovljivih izvora (vjetar i solarna energija)</w:t>
            </w:r>
          </w:p>
        </w:tc>
      </w:tr>
      <w:tr w:rsidR="003F46B9" w14:paraId="3A4A0CF2"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14:paraId="2C861EEB" w14:textId="77777777" w:rsidR="003F46B9" w:rsidRDefault="0065662E">
            <w:pPr>
              <w:pStyle w:val="P68B1DB1-Normal35"/>
              <w:spacing w:after="0"/>
              <w:jc w:val="center"/>
              <w:rPr>
                <w:rFonts w:eastAsia="Times New Roman"/>
                <w:noProof/>
              </w:rPr>
            </w:pPr>
            <w:r>
              <w:rPr>
                <w:noProof/>
              </w:rPr>
              <w:t>143</w:t>
            </w:r>
          </w:p>
        </w:tc>
        <w:tc>
          <w:tcPr>
            <w:tcW w:w="3633" w:type="dxa"/>
            <w:tcBorders>
              <w:top w:val="nil"/>
              <w:left w:val="nil"/>
              <w:bottom w:val="single" w:sz="4" w:space="0" w:color="auto"/>
              <w:right w:val="single" w:sz="4" w:space="0" w:color="auto"/>
            </w:tcBorders>
            <w:shd w:val="clear" w:color="auto" w:fill="C6EFCE"/>
            <w:noWrap/>
            <w:hideMark/>
          </w:tcPr>
          <w:p w14:paraId="305CF065" w14:textId="77777777" w:rsidR="003F46B9" w:rsidRDefault="0065662E">
            <w:pPr>
              <w:pStyle w:val="P68B1DB1-Normal35"/>
              <w:spacing w:after="0"/>
              <w:rPr>
                <w:noProof/>
              </w:rPr>
            </w:pPr>
            <w:r>
              <w:rPr>
                <w:noProof/>
              </w:rPr>
              <w:t>C7.R1</w:t>
            </w:r>
          </w:p>
          <w:p w14:paraId="787F100E" w14:textId="77777777" w:rsidR="003F46B9" w:rsidRDefault="0065662E">
            <w:pPr>
              <w:pStyle w:val="P68B1DB1-Normal35"/>
              <w:spacing w:after="0"/>
              <w:jc w:val="both"/>
              <w:rPr>
                <w:rFonts w:eastAsia="Times New Roman"/>
                <w:noProof/>
              </w:rPr>
            </w:pPr>
            <w:r>
              <w:rPr>
                <w:noProof/>
              </w:rPr>
              <w:t xml:space="preserve">Razvoj jedinstvenog okvira za definiranje arhitekture državnog sustava računalstva u oblaku </w:t>
            </w:r>
          </w:p>
        </w:tc>
        <w:tc>
          <w:tcPr>
            <w:tcW w:w="1243" w:type="dxa"/>
            <w:tcBorders>
              <w:top w:val="nil"/>
              <w:left w:val="nil"/>
              <w:bottom w:val="single" w:sz="4" w:space="0" w:color="auto"/>
              <w:right w:val="single" w:sz="4" w:space="0" w:color="auto"/>
            </w:tcBorders>
            <w:shd w:val="clear" w:color="auto" w:fill="C6EFCE"/>
            <w:noWrap/>
            <w:hideMark/>
          </w:tcPr>
          <w:p w14:paraId="3D97E03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0681BD5B" w14:textId="77777777" w:rsidR="003F46B9" w:rsidRDefault="0065662E">
            <w:pPr>
              <w:pStyle w:val="P68B1DB1-Normal35"/>
              <w:spacing w:after="0"/>
              <w:jc w:val="both"/>
              <w:rPr>
                <w:rFonts w:eastAsia="Times New Roman"/>
                <w:noProof/>
              </w:rPr>
            </w:pPr>
            <w:r>
              <w:rPr>
                <w:noProof/>
              </w:rPr>
              <w:t xml:space="preserve">Dovršena analiza opcija za državnu arhitekturu oblaka </w:t>
            </w:r>
          </w:p>
        </w:tc>
      </w:tr>
      <w:tr w:rsidR="003F46B9" w14:paraId="7A5BA845"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5DF854B" w14:textId="77777777" w:rsidR="003F46B9" w:rsidRDefault="0065662E">
            <w:pPr>
              <w:pStyle w:val="P68B1DB1-Normal35"/>
              <w:spacing w:after="0"/>
              <w:jc w:val="center"/>
              <w:rPr>
                <w:rFonts w:eastAsia="Times New Roman"/>
                <w:noProof/>
              </w:rPr>
            </w:pPr>
            <w:r>
              <w:rPr>
                <w:noProof/>
              </w:rPr>
              <w:t>191</w:t>
            </w:r>
          </w:p>
        </w:tc>
        <w:tc>
          <w:tcPr>
            <w:tcW w:w="3633" w:type="dxa"/>
            <w:tcBorders>
              <w:top w:val="nil"/>
              <w:left w:val="nil"/>
              <w:bottom w:val="single" w:sz="4" w:space="0" w:color="auto"/>
              <w:right w:val="single" w:sz="4" w:space="0" w:color="auto"/>
            </w:tcBorders>
            <w:shd w:val="clear" w:color="auto" w:fill="C6EFCE"/>
            <w:noWrap/>
          </w:tcPr>
          <w:p w14:paraId="2B095EDF" w14:textId="77777777" w:rsidR="003F46B9" w:rsidRDefault="0065662E">
            <w:pPr>
              <w:pStyle w:val="P68B1DB1-Normal35"/>
              <w:spacing w:after="0"/>
              <w:rPr>
                <w:noProof/>
              </w:rPr>
            </w:pPr>
            <w:r>
              <w:rPr>
                <w:noProof/>
              </w:rPr>
              <w:t>C8.R1</w:t>
            </w:r>
          </w:p>
          <w:p w14:paraId="21895593" w14:textId="77777777" w:rsidR="003F46B9" w:rsidRDefault="0065662E">
            <w:pPr>
              <w:pStyle w:val="P68B1DB1-Normal35"/>
              <w:spacing w:after="0"/>
              <w:jc w:val="both"/>
              <w:rPr>
                <w:rFonts w:eastAsia="Times New Roman"/>
                <w:noProof/>
              </w:rPr>
            </w:pPr>
            <w:r>
              <w:rPr>
                <w:noProof/>
              </w:rPr>
              <w:t xml:space="preserve">Reforma Nacionalne agencije za fiskalnu upravu (ANAF) putem digitalizacije </w:t>
            </w:r>
          </w:p>
        </w:tc>
        <w:tc>
          <w:tcPr>
            <w:tcW w:w="1243" w:type="dxa"/>
            <w:tcBorders>
              <w:top w:val="nil"/>
              <w:left w:val="nil"/>
              <w:bottom w:val="single" w:sz="4" w:space="0" w:color="auto"/>
              <w:right w:val="single" w:sz="4" w:space="0" w:color="auto"/>
            </w:tcBorders>
            <w:shd w:val="clear" w:color="auto" w:fill="C6EFCE"/>
            <w:noWrap/>
          </w:tcPr>
          <w:p w14:paraId="2CA4A39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324EB17" w14:textId="77777777" w:rsidR="003F46B9" w:rsidRDefault="0065662E">
            <w:pPr>
              <w:pStyle w:val="P68B1DB1-Normal35"/>
              <w:spacing w:after="0"/>
              <w:jc w:val="both"/>
              <w:rPr>
                <w:rFonts w:eastAsia="Times New Roman"/>
                <w:noProof/>
              </w:rPr>
            </w:pPr>
            <w:r>
              <w:rPr>
                <w:noProof/>
              </w:rPr>
              <w:t xml:space="preserve">Stupanje na snagu pravnog okvira za obvezno upis pravnih osoba koje su porezni obveznici u SPV (virtualni </w:t>
            </w:r>
            <w:r>
              <w:rPr>
                <w:noProof/>
              </w:rPr>
              <w:t>privatni prostor)</w:t>
            </w:r>
          </w:p>
        </w:tc>
      </w:tr>
      <w:tr w:rsidR="003F46B9" w14:paraId="05DDC543"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95353E2" w14:textId="77777777" w:rsidR="003F46B9" w:rsidRDefault="0065662E">
            <w:pPr>
              <w:pStyle w:val="P68B1DB1-Normal35"/>
              <w:spacing w:after="0"/>
              <w:jc w:val="center"/>
              <w:rPr>
                <w:rFonts w:eastAsia="Times New Roman"/>
                <w:noProof/>
              </w:rPr>
            </w:pPr>
            <w:r>
              <w:rPr>
                <w:noProof/>
              </w:rPr>
              <w:t>195</w:t>
            </w:r>
          </w:p>
        </w:tc>
        <w:tc>
          <w:tcPr>
            <w:tcW w:w="3633" w:type="dxa"/>
            <w:tcBorders>
              <w:top w:val="nil"/>
              <w:left w:val="nil"/>
              <w:bottom w:val="single" w:sz="4" w:space="0" w:color="auto"/>
              <w:right w:val="single" w:sz="4" w:space="0" w:color="auto"/>
            </w:tcBorders>
            <w:shd w:val="clear" w:color="auto" w:fill="C6EFCE"/>
            <w:noWrap/>
          </w:tcPr>
          <w:p w14:paraId="7CC5BF78" w14:textId="77777777" w:rsidR="003F46B9" w:rsidRDefault="0065662E">
            <w:pPr>
              <w:pStyle w:val="P68B1DB1-Normal35"/>
              <w:spacing w:after="0"/>
              <w:rPr>
                <w:noProof/>
              </w:rPr>
            </w:pPr>
            <w:r>
              <w:rPr>
                <w:noProof/>
              </w:rPr>
              <w:t>C8.R1</w:t>
            </w:r>
          </w:p>
          <w:p w14:paraId="494F4B8A" w14:textId="77777777" w:rsidR="003F46B9" w:rsidRDefault="0065662E">
            <w:pPr>
              <w:pStyle w:val="P68B1DB1-Normal35"/>
              <w:spacing w:after="0"/>
              <w:jc w:val="both"/>
              <w:rPr>
                <w:rFonts w:eastAsia="Times New Roman"/>
                <w:noProof/>
              </w:rPr>
            </w:pPr>
            <w:r>
              <w:rPr>
                <w:noProof/>
              </w:rPr>
              <w:t xml:space="preserve">Reforma Nacionalne agencije za fiskalnu upravu (ANAF) putem digitalizacije </w:t>
            </w:r>
          </w:p>
        </w:tc>
        <w:tc>
          <w:tcPr>
            <w:tcW w:w="1243" w:type="dxa"/>
            <w:tcBorders>
              <w:top w:val="nil"/>
              <w:left w:val="nil"/>
              <w:bottom w:val="single" w:sz="4" w:space="0" w:color="auto"/>
              <w:right w:val="single" w:sz="4" w:space="0" w:color="auto"/>
            </w:tcBorders>
            <w:shd w:val="clear" w:color="auto" w:fill="C6EFCE"/>
            <w:noWrap/>
          </w:tcPr>
          <w:p w14:paraId="0211CB2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FAC08E2" w14:textId="77777777" w:rsidR="003F46B9" w:rsidRDefault="0065662E">
            <w:pPr>
              <w:pStyle w:val="P68B1DB1-Normal35"/>
              <w:spacing w:after="0"/>
              <w:jc w:val="both"/>
              <w:rPr>
                <w:rFonts w:eastAsia="Times New Roman"/>
                <w:noProof/>
              </w:rPr>
            </w:pPr>
            <w:r>
              <w:rPr>
                <w:noProof/>
              </w:rPr>
              <w:t xml:space="preserve">Operacionalizacija/odobrenje zajedničkog akcijskog plana Nacionalne agencije za fiskalnu upravu i inspekciju rada kako bi se spriječila i ograničila </w:t>
            </w:r>
            <w:r>
              <w:rPr>
                <w:noProof/>
              </w:rPr>
              <w:t>pojava utaje sivog/crnog rada</w:t>
            </w:r>
          </w:p>
        </w:tc>
      </w:tr>
      <w:tr w:rsidR="003F46B9" w14:paraId="35A0800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7E548D3" w14:textId="77777777" w:rsidR="003F46B9" w:rsidRDefault="0065662E">
            <w:pPr>
              <w:pStyle w:val="P68B1DB1-Normal35"/>
              <w:spacing w:after="0"/>
              <w:jc w:val="center"/>
              <w:rPr>
                <w:rFonts w:eastAsia="Times New Roman"/>
                <w:noProof/>
              </w:rPr>
            </w:pPr>
            <w:r>
              <w:rPr>
                <w:noProof/>
              </w:rPr>
              <w:t>213</w:t>
            </w:r>
          </w:p>
        </w:tc>
        <w:tc>
          <w:tcPr>
            <w:tcW w:w="3633" w:type="dxa"/>
            <w:tcBorders>
              <w:top w:val="nil"/>
              <w:left w:val="nil"/>
              <w:bottom w:val="single" w:sz="4" w:space="0" w:color="auto"/>
              <w:right w:val="single" w:sz="4" w:space="0" w:color="auto"/>
            </w:tcBorders>
            <w:shd w:val="clear" w:color="auto" w:fill="C6EFCE"/>
            <w:noWrap/>
          </w:tcPr>
          <w:p w14:paraId="222783F2" w14:textId="77777777" w:rsidR="003F46B9" w:rsidRDefault="0065662E">
            <w:pPr>
              <w:pStyle w:val="P68B1DB1-Normal35"/>
              <w:spacing w:after="0"/>
              <w:rPr>
                <w:noProof/>
              </w:rPr>
            </w:pPr>
            <w:r>
              <w:rPr>
                <w:noProof/>
              </w:rPr>
              <w:t>C8.R6</w:t>
            </w:r>
          </w:p>
          <w:p w14:paraId="60FDA4B7" w14:textId="77777777" w:rsidR="003F46B9" w:rsidRDefault="0065662E">
            <w:pPr>
              <w:pStyle w:val="P68B1DB1-Normal35"/>
              <w:spacing w:after="0"/>
              <w:rPr>
                <w:noProof/>
              </w:rPr>
            </w:pPr>
            <w:r>
              <w:rPr>
                <w:noProof/>
              </w:rPr>
              <w:t>Reforma javnog mirovinskog sustava</w:t>
            </w:r>
          </w:p>
        </w:tc>
        <w:tc>
          <w:tcPr>
            <w:tcW w:w="1243" w:type="dxa"/>
            <w:tcBorders>
              <w:top w:val="nil"/>
              <w:left w:val="nil"/>
              <w:bottom w:val="single" w:sz="4" w:space="0" w:color="auto"/>
              <w:right w:val="single" w:sz="4" w:space="0" w:color="auto"/>
            </w:tcBorders>
            <w:shd w:val="clear" w:color="auto" w:fill="C6EFCE"/>
            <w:noWrap/>
          </w:tcPr>
          <w:p w14:paraId="7DA4FD7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D9C70CF" w14:textId="77777777" w:rsidR="003F46B9" w:rsidRDefault="0065662E">
            <w:pPr>
              <w:pStyle w:val="P68B1DB1-Normal35"/>
              <w:spacing w:after="0"/>
              <w:jc w:val="both"/>
              <w:rPr>
                <w:rFonts w:eastAsia="Times New Roman"/>
                <w:noProof/>
              </w:rPr>
            </w:pPr>
            <w:r>
              <w:rPr>
                <w:noProof/>
              </w:rPr>
              <w:t>Stupanje na snagu izmjena regulatornog okvira kako bi se osigurala održivost mirovina iz drugog stupa</w:t>
            </w:r>
          </w:p>
        </w:tc>
      </w:tr>
      <w:tr w:rsidR="003F46B9" w14:paraId="7CB50154"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695D5E2B" w14:textId="77777777" w:rsidR="003F46B9" w:rsidRDefault="0065662E">
            <w:pPr>
              <w:pStyle w:val="P68B1DB1-Normal35"/>
              <w:spacing w:after="0"/>
              <w:jc w:val="center"/>
              <w:rPr>
                <w:rFonts w:eastAsia="Times New Roman"/>
                <w:noProof/>
              </w:rPr>
            </w:pPr>
            <w:r>
              <w:rPr>
                <w:noProof/>
              </w:rPr>
              <w:t>387</w:t>
            </w:r>
          </w:p>
        </w:tc>
        <w:tc>
          <w:tcPr>
            <w:tcW w:w="3633" w:type="dxa"/>
            <w:tcBorders>
              <w:top w:val="nil"/>
              <w:left w:val="nil"/>
              <w:bottom w:val="single" w:sz="4" w:space="0" w:color="auto"/>
              <w:right w:val="single" w:sz="4" w:space="0" w:color="auto"/>
            </w:tcBorders>
            <w:shd w:val="clear" w:color="auto" w:fill="C6EFCE"/>
            <w:noWrap/>
          </w:tcPr>
          <w:p w14:paraId="3DF28398" w14:textId="77777777" w:rsidR="003F46B9" w:rsidRDefault="0065662E">
            <w:pPr>
              <w:pStyle w:val="P68B1DB1-Normal35"/>
              <w:spacing w:after="0"/>
              <w:rPr>
                <w:noProof/>
              </w:rPr>
            </w:pPr>
            <w:r>
              <w:rPr>
                <w:noProof/>
              </w:rPr>
              <w:t>C13.R4</w:t>
            </w:r>
          </w:p>
          <w:p w14:paraId="1BAF2E3F" w14:textId="77777777" w:rsidR="003F46B9" w:rsidRDefault="0065662E">
            <w:pPr>
              <w:pStyle w:val="P68B1DB1-Normal35"/>
              <w:spacing w:after="0"/>
              <w:rPr>
                <w:rFonts w:eastAsia="Times New Roman"/>
                <w:noProof/>
              </w:rPr>
            </w:pPr>
            <w:r>
              <w:rPr>
                <w:noProof/>
              </w:rPr>
              <w:t xml:space="preserve">Uvođenje radnih iskaznica i formalizacija rada radnika u </w:t>
            </w:r>
            <w:r>
              <w:rPr>
                <w:noProof/>
              </w:rPr>
              <w:t>kućanstvu</w:t>
            </w:r>
          </w:p>
        </w:tc>
        <w:tc>
          <w:tcPr>
            <w:tcW w:w="1243" w:type="dxa"/>
            <w:tcBorders>
              <w:top w:val="nil"/>
              <w:left w:val="nil"/>
              <w:bottom w:val="single" w:sz="4" w:space="0" w:color="auto"/>
              <w:right w:val="single" w:sz="4" w:space="0" w:color="auto"/>
            </w:tcBorders>
            <w:shd w:val="clear" w:color="auto" w:fill="C6EFCE"/>
            <w:noWrap/>
          </w:tcPr>
          <w:p w14:paraId="2A8DDA10"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F373FA" w14:textId="77777777" w:rsidR="003F46B9" w:rsidRDefault="0065662E">
            <w:pPr>
              <w:pStyle w:val="P68B1DB1-Normal35"/>
              <w:spacing w:after="0"/>
              <w:jc w:val="both"/>
              <w:rPr>
                <w:rFonts w:eastAsia="Times New Roman"/>
                <w:noProof/>
              </w:rPr>
            </w:pPr>
            <w:r>
              <w:rPr>
                <w:noProof/>
              </w:rPr>
              <w:t xml:space="preserve">Stupanje na snagu zakonodavstva i njegovih provedbenih pravila za sustav vrijednosnih kupona radnika u kućanstvu </w:t>
            </w:r>
          </w:p>
        </w:tc>
      </w:tr>
      <w:tr w:rsidR="003F46B9" w14:paraId="2D60F9B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700E69B" w14:textId="77777777" w:rsidR="003F46B9" w:rsidRDefault="0065662E">
            <w:pPr>
              <w:pStyle w:val="P68B1DB1-Normal35"/>
              <w:spacing w:after="0"/>
              <w:jc w:val="center"/>
              <w:rPr>
                <w:rFonts w:eastAsia="Times New Roman"/>
                <w:noProof/>
              </w:rPr>
            </w:pPr>
            <w:r>
              <w:rPr>
                <w:noProof/>
              </w:rPr>
              <w:t>401</w:t>
            </w:r>
          </w:p>
        </w:tc>
        <w:tc>
          <w:tcPr>
            <w:tcW w:w="3633" w:type="dxa"/>
            <w:tcBorders>
              <w:top w:val="nil"/>
              <w:left w:val="nil"/>
              <w:bottom w:val="single" w:sz="4" w:space="0" w:color="auto"/>
              <w:right w:val="single" w:sz="4" w:space="0" w:color="auto"/>
            </w:tcBorders>
            <w:shd w:val="clear" w:color="auto" w:fill="C6EFCE"/>
            <w:noWrap/>
          </w:tcPr>
          <w:p w14:paraId="089BA227" w14:textId="77777777" w:rsidR="003F46B9" w:rsidRDefault="0065662E">
            <w:pPr>
              <w:pStyle w:val="P68B1DB1-Normal35"/>
              <w:spacing w:after="0"/>
              <w:jc w:val="both"/>
              <w:rPr>
                <w:noProof/>
              </w:rPr>
            </w:pPr>
            <w:r>
              <w:rPr>
                <w:noProof/>
              </w:rPr>
              <w:t>C14.R1</w:t>
            </w:r>
          </w:p>
          <w:p w14:paraId="55A85D7A" w14:textId="77777777" w:rsidR="003F46B9" w:rsidRDefault="0065662E">
            <w:pPr>
              <w:pStyle w:val="P68B1DB1-Normal35"/>
              <w:spacing w:after="0"/>
              <w:jc w:val="both"/>
              <w:rPr>
                <w:rFonts w:eastAsia="Times New Roman"/>
                <w:noProof/>
              </w:rPr>
            </w:pPr>
            <w:r>
              <w:rPr>
                <w:noProof/>
              </w:rPr>
              <w:t xml:space="preserve">Povećanje predvidljivosti i učinkovitosti postupaka donošenja odluka jačanjem kapaciteta za koordinaciju politika i </w:t>
            </w:r>
            <w:r>
              <w:rPr>
                <w:noProof/>
              </w:rPr>
              <w:t>analizu učinka na razini vlade i koordinacijskih ministarstava te jačanjem alata za povećanje kvalitete javnih savjetovanja na svim razinama uprave</w:t>
            </w:r>
          </w:p>
        </w:tc>
        <w:tc>
          <w:tcPr>
            <w:tcW w:w="1243" w:type="dxa"/>
            <w:tcBorders>
              <w:top w:val="nil"/>
              <w:left w:val="nil"/>
              <w:bottom w:val="single" w:sz="4" w:space="0" w:color="auto"/>
              <w:right w:val="single" w:sz="4" w:space="0" w:color="auto"/>
            </w:tcBorders>
            <w:shd w:val="clear" w:color="auto" w:fill="C6EFCE"/>
            <w:noWrap/>
          </w:tcPr>
          <w:p w14:paraId="3716EAB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371659" w14:textId="77777777" w:rsidR="003F46B9" w:rsidRDefault="0065662E">
            <w:pPr>
              <w:pStyle w:val="P68B1DB1-Normal35"/>
              <w:spacing w:after="0"/>
              <w:jc w:val="both"/>
              <w:rPr>
                <w:rFonts w:eastAsia="Times New Roman"/>
                <w:noProof/>
              </w:rPr>
            </w:pPr>
            <w:r>
              <w:rPr>
                <w:noProof/>
              </w:rPr>
              <w:t>Stupanje na snagu metodologija i postupaka za poboljšanje obrazloženja javne politike i planiranja te admi</w:t>
            </w:r>
            <w:r>
              <w:rPr>
                <w:noProof/>
              </w:rPr>
              <w:t>nistrativno pojednostavnjenje</w:t>
            </w:r>
          </w:p>
        </w:tc>
      </w:tr>
      <w:tr w:rsidR="003F46B9" w14:paraId="01859885"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C58FA2E" w14:textId="77777777" w:rsidR="003F46B9" w:rsidRDefault="0065662E">
            <w:pPr>
              <w:pStyle w:val="P68B1DB1-Normal35"/>
              <w:spacing w:after="0"/>
              <w:jc w:val="center"/>
              <w:rPr>
                <w:rFonts w:eastAsia="Times New Roman"/>
                <w:noProof/>
              </w:rPr>
            </w:pPr>
            <w:r>
              <w:rPr>
                <w:noProof/>
              </w:rPr>
              <w:t>404</w:t>
            </w:r>
          </w:p>
        </w:tc>
        <w:tc>
          <w:tcPr>
            <w:tcW w:w="3633" w:type="dxa"/>
            <w:tcBorders>
              <w:top w:val="nil"/>
              <w:left w:val="nil"/>
              <w:bottom w:val="single" w:sz="4" w:space="0" w:color="auto"/>
              <w:right w:val="single" w:sz="4" w:space="0" w:color="auto"/>
            </w:tcBorders>
            <w:shd w:val="clear" w:color="auto" w:fill="C6EFCE"/>
            <w:noWrap/>
          </w:tcPr>
          <w:p w14:paraId="7C82BDF4" w14:textId="77777777" w:rsidR="003F46B9" w:rsidRDefault="0065662E">
            <w:pPr>
              <w:pStyle w:val="P68B1DB1-Normal35"/>
              <w:spacing w:after="0"/>
              <w:jc w:val="both"/>
              <w:rPr>
                <w:noProof/>
              </w:rPr>
            </w:pPr>
            <w:r>
              <w:rPr>
                <w:noProof/>
              </w:rPr>
              <w:t>C14.R1</w:t>
            </w:r>
          </w:p>
          <w:p w14:paraId="3EBE3499" w14:textId="77777777" w:rsidR="003F46B9" w:rsidRDefault="0065662E">
            <w:pPr>
              <w:pStyle w:val="P68B1DB1-Normal35"/>
              <w:spacing w:after="0"/>
              <w:jc w:val="both"/>
              <w:rPr>
                <w:rFonts w:eastAsia="Times New Roman"/>
                <w:noProof/>
              </w:rPr>
            </w:pPr>
            <w:r>
              <w:rPr>
                <w:noProof/>
              </w:rPr>
              <w:t>Povećanje predvidljivosti i učinkovitosti postupaka donošenja odluka jačanjem kapaciteta za koordinaciju politika i analizu učinka na razini vlade i koordinacijskih ministarstava te jačanjem alata za povećanje kval</w:t>
            </w:r>
            <w:r>
              <w:rPr>
                <w:noProof/>
              </w:rPr>
              <w:t>itete javnih savjetovanja na svim razinama uprave</w:t>
            </w:r>
          </w:p>
        </w:tc>
        <w:tc>
          <w:tcPr>
            <w:tcW w:w="1243" w:type="dxa"/>
            <w:tcBorders>
              <w:top w:val="nil"/>
              <w:left w:val="nil"/>
              <w:bottom w:val="single" w:sz="4" w:space="0" w:color="auto"/>
              <w:right w:val="single" w:sz="4" w:space="0" w:color="auto"/>
            </w:tcBorders>
            <w:shd w:val="clear" w:color="auto" w:fill="C6EFCE"/>
            <w:noWrap/>
          </w:tcPr>
          <w:p w14:paraId="21F4AE4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2CE5AFE" w14:textId="77777777" w:rsidR="003F46B9" w:rsidRDefault="0065662E">
            <w:pPr>
              <w:pStyle w:val="P68B1DB1-Normal35"/>
              <w:spacing w:after="0"/>
              <w:jc w:val="both"/>
              <w:rPr>
                <w:rFonts w:eastAsia="Times New Roman"/>
                <w:noProof/>
              </w:rPr>
            </w:pPr>
            <w:r>
              <w:rPr>
                <w:noProof/>
              </w:rPr>
              <w:t>Stupanje na snagu zakonodavnog akta kojim se uspostavlja struktura za osiguravanje provedbe učinkovitog regulatornog mehanizma za kontrolu kvalitete</w:t>
            </w:r>
          </w:p>
        </w:tc>
      </w:tr>
      <w:tr w:rsidR="003F46B9" w14:paraId="03185F1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D38DC69" w14:textId="77777777" w:rsidR="003F46B9" w:rsidRDefault="0065662E">
            <w:pPr>
              <w:pStyle w:val="P68B1DB1-Normal35"/>
              <w:spacing w:after="0"/>
              <w:jc w:val="center"/>
              <w:rPr>
                <w:rFonts w:eastAsia="Times New Roman"/>
                <w:noProof/>
              </w:rPr>
            </w:pPr>
            <w:r>
              <w:rPr>
                <w:noProof/>
              </w:rPr>
              <w:t>421</w:t>
            </w:r>
          </w:p>
        </w:tc>
        <w:tc>
          <w:tcPr>
            <w:tcW w:w="3633" w:type="dxa"/>
            <w:tcBorders>
              <w:top w:val="nil"/>
              <w:left w:val="nil"/>
              <w:bottom w:val="single" w:sz="4" w:space="0" w:color="auto"/>
              <w:right w:val="single" w:sz="4" w:space="0" w:color="auto"/>
            </w:tcBorders>
            <w:shd w:val="clear" w:color="auto" w:fill="C6EFCE"/>
            <w:noWrap/>
          </w:tcPr>
          <w:p w14:paraId="096CADE5" w14:textId="77777777" w:rsidR="003F46B9" w:rsidRDefault="0065662E">
            <w:pPr>
              <w:pStyle w:val="P68B1DB1-Normal35"/>
              <w:spacing w:after="0"/>
              <w:jc w:val="both"/>
              <w:rPr>
                <w:noProof/>
              </w:rPr>
            </w:pPr>
            <w:r>
              <w:rPr>
                <w:noProof/>
              </w:rPr>
              <w:t>C14.R5</w:t>
            </w:r>
          </w:p>
          <w:p w14:paraId="2957F20D" w14:textId="1CC15E13" w:rsidR="003F46B9" w:rsidRDefault="0065662E">
            <w:pPr>
              <w:pStyle w:val="P68B1DB1-Normal35"/>
              <w:spacing w:after="0"/>
              <w:jc w:val="both"/>
              <w:rPr>
                <w:rFonts w:eastAsia="Times New Roman"/>
                <w:noProof/>
              </w:rPr>
            </w:pPr>
            <w:r>
              <w:rPr>
                <w:noProof/>
              </w:rPr>
              <w:t>Osiguravanje neovisnosti pravosuđa, poboljš</w:t>
            </w:r>
            <w:r>
              <w:rPr>
                <w:noProof/>
              </w:rPr>
              <w:t xml:space="preserve">anje njegove kvalitete i učinkovitosti  </w:t>
            </w:r>
          </w:p>
        </w:tc>
        <w:tc>
          <w:tcPr>
            <w:tcW w:w="1243" w:type="dxa"/>
            <w:tcBorders>
              <w:top w:val="nil"/>
              <w:left w:val="nil"/>
              <w:bottom w:val="single" w:sz="4" w:space="0" w:color="auto"/>
              <w:right w:val="single" w:sz="4" w:space="0" w:color="auto"/>
            </w:tcBorders>
            <w:shd w:val="clear" w:color="auto" w:fill="C6EFCE"/>
            <w:noWrap/>
          </w:tcPr>
          <w:p w14:paraId="2DED979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EDE5966" w14:textId="77777777" w:rsidR="003F46B9" w:rsidRDefault="0065662E">
            <w:pPr>
              <w:pStyle w:val="P68B1DB1-Normal35"/>
              <w:spacing w:after="0"/>
              <w:jc w:val="both"/>
              <w:rPr>
                <w:rFonts w:eastAsia="Times New Roman"/>
                <w:noProof/>
              </w:rPr>
            </w:pPr>
            <w:r>
              <w:rPr>
                <w:noProof/>
              </w:rPr>
              <w:t xml:space="preserve">Stupanje na snagu odluke o upravljanju kojom se odobrava strategija za razvoj pravosuđa za razdoblje 2022. 2025. </w:t>
            </w:r>
          </w:p>
        </w:tc>
      </w:tr>
      <w:tr w:rsidR="003F46B9" w14:paraId="714988B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904E8AB" w14:textId="77777777" w:rsidR="003F46B9" w:rsidRDefault="0065662E">
            <w:pPr>
              <w:pStyle w:val="P68B1DB1-Normal35"/>
              <w:spacing w:after="0"/>
              <w:jc w:val="center"/>
              <w:rPr>
                <w:rFonts w:eastAsia="Times New Roman"/>
                <w:noProof/>
              </w:rPr>
            </w:pPr>
            <w:r>
              <w:rPr>
                <w:noProof/>
              </w:rPr>
              <w:t>430</w:t>
            </w:r>
          </w:p>
        </w:tc>
        <w:tc>
          <w:tcPr>
            <w:tcW w:w="3633" w:type="dxa"/>
            <w:tcBorders>
              <w:top w:val="nil"/>
              <w:left w:val="nil"/>
              <w:bottom w:val="single" w:sz="4" w:space="0" w:color="auto"/>
              <w:right w:val="single" w:sz="4" w:space="0" w:color="auto"/>
            </w:tcBorders>
            <w:shd w:val="clear" w:color="auto" w:fill="C6EFCE"/>
            <w:noWrap/>
          </w:tcPr>
          <w:p w14:paraId="2C5ED6DE" w14:textId="77777777" w:rsidR="003F46B9" w:rsidRDefault="0065662E">
            <w:pPr>
              <w:pStyle w:val="P68B1DB1-Normal35"/>
              <w:spacing w:after="0"/>
              <w:jc w:val="both"/>
              <w:rPr>
                <w:noProof/>
              </w:rPr>
            </w:pPr>
            <w:r>
              <w:rPr>
                <w:noProof/>
              </w:rPr>
              <w:t>C14.R6</w:t>
            </w:r>
          </w:p>
          <w:p w14:paraId="4D65DEF6" w14:textId="77777777" w:rsidR="003F46B9" w:rsidRDefault="0065662E">
            <w:pPr>
              <w:pStyle w:val="P68B1DB1-Normal35"/>
              <w:spacing w:after="0"/>
              <w:jc w:val="both"/>
              <w:rPr>
                <w:rFonts w:eastAsia="Times New Roman"/>
                <w:noProof/>
              </w:rPr>
            </w:pPr>
            <w:r>
              <w:rPr>
                <w:noProof/>
              </w:rPr>
              <w:t xml:space="preserve">Jačanje borbe protiv korupcije </w:t>
            </w:r>
          </w:p>
        </w:tc>
        <w:tc>
          <w:tcPr>
            <w:tcW w:w="1243" w:type="dxa"/>
            <w:tcBorders>
              <w:top w:val="nil"/>
              <w:left w:val="nil"/>
              <w:bottom w:val="single" w:sz="4" w:space="0" w:color="auto"/>
              <w:right w:val="single" w:sz="4" w:space="0" w:color="auto"/>
            </w:tcBorders>
            <w:shd w:val="clear" w:color="auto" w:fill="C6EFCE"/>
            <w:noWrap/>
          </w:tcPr>
          <w:p w14:paraId="582754D0"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7ED9A68" w14:textId="77777777" w:rsidR="003F46B9" w:rsidRDefault="0065662E">
            <w:pPr>
              <w:pStyle w:val="P68B1DB1-Normal35"/>
              <w:spacing w:after="0"/>
              <w:jc w:val="both"/>
              <w:rPr>
                <w:rFonts w:eastAsia="Times New Roman"/>
                <w:noProof/>
              </w:rPr>
            </w:pPr>
            <w:r>
              <w:rPr>
                <w:noProof/>
              </w:rPr>
              <w:t>Stupanje na snagu zakona kojim se prenosi Direktiva o</w:t>
            </w:r>
            <w:r>
              <w:rPr>
                <w:noProof/>
              </w:rPr>
              <w:t xml:space="preserve"> zaštiti zviždača</w:t>
            </w:r>
          </w:p>
        </w:tc>
      </w:tr>
      <w:tr w:rsidR="003F46B9" w14:paraId="0E438B8D"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D0F5F00" w14:textId="77777777" w:rsidR="003F46B9" w:rsidRDefault="0065662E">
            <w:pPr>
              <w:pStyle w:val="P68B1DB1-Normal35"/>
              <w:spacing w:after="0"/>
              <w:jc w:val="center"/>
              <w:rPr>
                <w:rFonts w:eastAsia="Times New Roman"/>
                <w:noProof/>
              </w:rPr>
            </w:pPr>
            <w:r>
              <w:rPr>
                <w:noProof/>
              </w:rPr>
              <w:t>433</w:t>
            </w:r>
          </w:p>
        </w:tc>
        <w:tc>
          <w:tcPr>
            <w:tcW w:w="3633" w:type="dxa"/>
            <w:tcBorders>
              <w:top w:val="nil"/>
              <w:left w:val="nil"/>
              <w:bottom w:val="single" w:sz="4" w:space="0" w:color="auto"/>
              <w:right w:val="single" w:sz="4" w:space="0" w:color="auto"/>
            </w:tcBorders>
            <w:shd w:val="clear" w:color="auto" w:fill="C6EFCE"/>
            <w:noWrap/>
          </w:tcPr>
          <w:p w14:paraId="41BC6096" w14:textId="77777777" w:rsidR="003F46B9" w:rsidRDefault="0065662E">
            <w:pPr>
              <w:pStyle w:val="P68B1DB1-Normal35"/>
              <w:spacing w:after="0"/>
              <w:jc w:val="both"/>
              <w:rPr>
                <w:noProof/>
              </w:rPr>
            </w:pPr>
            <w:r>
              <w:rPr>
                <w:noProof/>
              </w:rPr>
              <w:t>C14.R8</w:t>
            </w:r>
          </w:p>
          <w:p w14:paraId="72D22F4F" w14:textId="77777777" w:rsidR="003F46B9" w:rsidRDefault="0065662E">
            <w:pPr>
              <w:pStyle w:val="P68B1DB1-Normal35"/>
              <w:spacing w:after="0"/>
              <w:jc w:val="both"/>
              <w:rPr>
                <w:rFonts w:eastAsia="Times New Roman"/>
                <w:noProof/>
              </w:rPr>
            </w:pPr>
            <w:r>
              <w:rPr>
                <w:noProof/>
              </w:rPr>
              <w:t>Reforma nacionalnog sustava javne nabave</w:t>
            </w:r>
          </w:p>
        </w:tc>
        <w:tc>
          <w:tcPr>
            <w:tcW w:w="1243" w:type="dxa"/>
            <w:tcBorders>
              <w:top w:val="nil"/>
              <w:left w:val="nil"/>
              <w:bottom w:val="single" w:sz="4" w:space="0" w:color="auto"/>
              <w:right w:val="single" w:sz="4" w:space="0" w:color="auto"/>
            </w:tcBorders>
            <w:shd w:val="clear" w:color="auto" w:fill="C6EFCE"/>
            <w:noWrap/>
          </w:tcPr>
          <w:p w14:paraId="046DDB38"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7FAE04" w14:textId="77777777" w:rsidR="003F46B9" w:rsidRDefault="0065662E">
            <w:pPr>
              <w:pStyle w:val="P68B1DB1-Normal35"/>
              <w:spacing w:after="0"/>
              <w:jc w:val="both"/>
              <w:rPr>
                <w:rFonts w:eastAsia="Times New Roman"/>
                <w:noProof/>
              </w:rPr>
            </w:pPr>
            <w:r>
              <w:rPr>
                <w:noProof/>
              </w:rPr>
              <w:t xml:space="preserve">Stupanje na snagu izmjene nacionalnog zakonodavstva o pravnim lijekovima (Zakon br. 101/2016) </w:t>
            </w:r>
          </w:p>
        </w:tc>
      </w:tr>
      <w:tr w:rsidR="003F46B9" w14:paraId="62C48340"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04D4742" w14:textId="77777777" w:rsidR="003F46B9" w:rsidRDefault="0065662E">
            <w:pPr>
              <w:pStyle w:val="P68B1DB1-Normal35"/>
              <w:spacing w:after="0"/>
              <w:jc w:val="center"/>
              <w:rPr>
                <w:rFonts w:eastAsia="Times New Roman"/>
                <w:noProof/>
              </w:rPr>
            </w:pPr>
            <w:r>
              <w:rPr>
                <w:noProof/>
              </w:rPr>
              <w:t>465</w:t>
            </w:r>
          </w:p>
        </w:tc>
        <w:tc>
          <w:tcPr>
            <w:tcW w:w="3633" w:type="dxa"/>
            <w:tcBorders>
              <w:top w:val="nil"/>
              <w:left w:val="nil"/>
              <w:bottom w:val="single" w:sz="4" w:space="0" w:color="auto"/>
              <w:right w:val="single" w:sz="4" w:space="0" w:color="auto"/>
            </w:tcBorders>
            <w:shd w:val="clear" w:color="auto" w:fill="C6EFCE"/>
            <w:noWrap/>
          </w:tcPr>
          <w:p w14:paraId="3FB3A12B" w14:textId="77777777" w:rsidR="003F46B9" w:rsidRDefault="0065662E">
            <w:pPr>
              <w:pStyle w:val="P68B1DB1-Normal35"/>
              <w:spacing w:after="0"/>
              <w:jc w:val="both"/>
              <w:rPr>
                <w:noProof/>
              </w:rPr>
            </w:pPr>
            <w:r>
              <w:rPr>
                <w:noProof/>
              </w:rPr>
              <w:t>C15.I4</w:t>
            </w:r>
          </w:p>
          <w:p w14:paraId="693AC191" w14:textId="77777777" w:rsidR="003F46B9" w:rsidRDefault="0065662E">
            <w:pPr>
              <w:pStyle w:val="P68B1DB1-Normal35"/>
              <w:spacing w:after="0"/>
              <w:jc w:val="both"/>
              <w:rPr>
                <w:rFonts w:eastAsia="Times New Roman"/>
                <w:noProof/>
              </w:rPr>
            </w:pPr>
            <w:r>
              <w:rPr>
                <w:noProof/>
              </w:rPr>
              <w:t>Potpora obrazovnim ustanovama s visokim rizikom od napuštanja školovanja</w:t>
            </w:r>
          </w:p>
        </w:tc>
        <w:tc>
          <w:tcPr>
            <w:tcW w:w="1243" w:type="dxa"/>
            <w:tcBorders>
              <w:top w:val="nil"/>
              <w:left w:val="nil"/>
              <w:bottom w:val="single" w:sz="4" w:space="0" w:color="auto"/>
              <w:right w:val="single" w:sz="4" w:space="0" w:color="auto"/>
            </w:tcBorders>
            <w:shd w:val="clear" w:color="auto" w:fill="C6EFCE"/>
            <w:noWrap/>
          </w:tcPr>
          <w:p w14:paraId="0E20B471"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7B70196" w14:textId="77777777" w:rsidR="003F46B9" w:rsidRDefault="0065662E">
            <w:pPr>
              <w:pStyle w:val="P68B1DB1-Normal35"/>
              <w:spacing w:after="0"/>
              <w:jc w:val="both"/>
              <w:rPr>
                <w:rFonts w:eastAsia="Times New Roman"/>
                <w:noProof/>
              </w:rPr>
            </w:pPr>
            <w:r>
              <w:rPr>
                <w:noProof/>
              </w:rPr>
              <w:t>Obrazovne ustanove kojima je dodijeljen program bespovratnih sredstava (grupa 1)</w:t>
            </w:r>
          </w:p>
        </w:tc>
      </w:tr>
      <w:tr w:rsidR="003F46B9" w14:paraId="4F6CCA8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7EC0B17" w14:textId="77777777" w:rsidR="003F46B9" w:rsidRDefault="0065662E">
            <w:pPr>
              <w:pStyle w:val="P68B1DB1-Normal35"/>
              <w:spacing w:after="0"/>
              <w:jc w:val="center"/>
              <w:rPr>
                <w:rFonts w:eastAsia="Times New Roman"/>
                <w:noProof/>
              </w:rPr>
            </w:pPr>
            <w:r>
              <w:rPr>
                <w:noProof/>
              </w:rPr>
              <w:t>477</w:t>
            </w:r>
          </w:p>
        </w:tc>
        <w:tc>
          <w:tcPr>
            <w:tcW w:w="3633" w:type="dxa"/>
            <w:tcBorders>
              <w:top w:val="nil"/>
              <w:left w:val="nil"/>
              <w:bottom w:val="single" w:sz="4" w:space="0" w:color="auto"/>
              <w:right w:val="single" w:sz="4" w:space="0" w:color="auto"/>
            </w:tcBorders>
            <w:shd w:val="clear" w:color="auto" w:fill="C6EFCE"/>
            <w:noWrap/>
          </w:tcPr>
          <w:p w14:paraId="257226DB" w14:textId="77777777" w:rsidR="003F46B9" w:rsidRDefault="0065662E">
            <w:pPr>
              <w:pStyle w:val="P68B1DB1-Normal35"/>
              <w:spacing w:after="0"/>
              <w:jc w:val="both"/>
              <w:rPr>
                <w:noProof/>
              </w:rPr>
            </w:pPr>
            <w:r>
              <w:rPr>
                <w:noProof/>
              </w:rPr>
              <w:t>C15.R5</w:t>
            </w:r>
          </w:p>
          <w:p w14:paraId="27496D90" w14:textId="77777777" w:rsidR="003F46B9" w:rsidRDefault="0065662E">
            <w:pPr>
              <w:pStyle w:val="P68B1DB1-Normal35"/>
              <w:spacing w:after="0"/>
              <w:jc w:val="both"/>
              <w:rPr>
                <w:rFonts w:eastAsia="Times New Roman"/>
                <w:noProof/>
              </w:rPr>
            </w:pPr>
            <w:r>
              <w:rPr>
                <w:noProof/>
              </w:rPr>
              <w:t>Donošenje zakonodavnog okvira za digitalizaciju obrazovanja</w:t>
            </w:r>
          </w:p>
        </w:tc>
        <w:tc>
          <w:tcPr>
            <w:tcW w:w="1243" w:type="dxa"/>
            <w:tcBorders>
              <w:top w:val="nil"/>
              <w:left w:val="nil"/>
              <w:bottom w:val="single" w:sz="4" w:space="0" w:color="auto"/>
              <w:right w:val="single" w:sz="4" w:space="0" w:color="auto"/>
            </w:tcBorders>
            <w:shd w:val="clear" w:color="auto" w:fill="C6EFCE"/>
            <w:noWrap/>
          </w:tcPr>
          <w:p w14:paraId="46FCE42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EC9D13C" w14:textId="77777777" w:rsidR="003F46B9" w:rsidRDefault="0065662E">
            <w:pPr>
              <w:pStyle w:val="P68B1DB1-Normal35"/>
              <w:spacing w:after="0"/>
              <w:jc w:val="both"/>
              <w:rPr>
                <w:rFonts w:eastAsia="Times New Roman"/>
                <w:noProof/>
              </w:rPr>
            </w:pPr>
            <w:r>
              <w:rPr>
                <w:noProof/>
              </w:rPr>
              <w:t>Stupanje na snagu Ministarske uredbe (MO) kako bi se osigurali standardi za opremanje škola tehnološk</w:t>
            </w:r>
            <w:r>
              <w:rPr>
                <w:noProof/>
              </w:rPr>
              <w:t>om opremom i resursima u obrazovne svrhe na internetu i osigurao održiv učinak predloženih ulaganja</w:t>
            </w:r>
          </w:p>
        </w:tc>
      </w:tr>
      <w:tr w:rsidR="003F46B9" w14:paraId="5462C804"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1BA388D3" w14:textId="77777777" w:rsidR="003F46B9" w:rsidRDefault="0065662E">
            <w:pPr>
              <w:pStyle w:val="P68B1DB1-Normal35"/>
              <w:spacing w:after="0"/>
              <w:jc w:val="center"/>
              <w:rPr>
                <w:rFonts w:eastAsia="Times New Roman"/>
                <w:noProof/>
              </w:rPr>
            </w:pPr>
            <w:r>
              <w:rPr>
                <w:noProof/>
              </w:rPr>
              <w:t>494</w:t>
            </w:r>
          </w:p>
        </w:tc>
        <w:tc>
          <w:tcPr>
            <w:tcW w:w="3633" w:type="dxa"/>
            <w:tcBorders>
              <w:top w:val="nil"/>
              <w:left w:val="nil"/>
              <w:bottom w:val="single" w:sz="4" w:space="0" w:color="auto"/>
              <w:right w:val="single" w:sz="4" w:space="0" w:color="auto"/>
            </w:tcBorders>
            <w:shd w:val="clear" w:color="auto" w:fill="C6EFCE"/>
            <w:noWrap/>
          </w:tcPr>
          <w:p w14:paraId="6BC4B4F5" w14:textId="77777777" w:rsidR="003F46B9" w:rsidRDefault="0065662E">
            <w:pPr>
              <w:pStyle w:val="P68B1DB1-Normal35"/>
              <w:spacing w:after="0"/>
              <w:jc w:val="both"/>
              <w:rPr>
                <w:noProof/>
              </w:rPr>
            </w:pPr>
            <w:r>
              <w:rPr>
                <w:noProof/>
              </w:rPr>
              <w:t>C15.R7</w:t>
            </w:r>
          </w:p>
          <w:p w14:paraId="745EFE95" w14:textId="77777777" w:rsidR="003F46B9" w:rsidRDefault="0065662E">
            <w:pPr>
              <w:pStyle w:val="P68B1DB1-Normal35"/>
              <w:spacing w:after="0"/>
              <w:jc w:val="both"/>
              <w:rPr>
                <w:rFonts w:eastAsia="Times New Roman"/>
                <w:noProof/>
              </w:rPr>
            </w:pPr>
            <w:r>
              <w:rPr>
                <w:noProof/>
              </w:rPr>
              <w:t>Reforma upravljanja sustavom predsveučilišnog obrazovanja i profesionalizacija uprave</w:t>
            </w:r>
          </w:p>
        </w:tc>
        <w:tc>
          <w:tcPr>
            <w:tcW w:w="1243" w:type="dxa"/>
            <w:tcBorders>
              <w:top w:val="nil"/>
              <w:left w:val="nil"/>
              <w:bottom w:val="single" w:sz="4" w:space="0" w:color="auto"/>
              <w:right w:val="single" w:sz="4" w:space="0" w:color="auto"/>
            </w:tcBorders>
            <w:shd w:val="clear" w:color="auto" w:fill="C6EFCE"/>
            <w:noWrap/>
          </w:tcPr>
          <w:p w14:paraId="7B59836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412E833" w14:textId="77777777" w:rsidR="003F46B9" w:rsidRDefault="0065662E">
            <w:pPr>
              <w:pStyle w:val="P68B1DB1-Normal35"/>
              <w:spacing w:after="0"/>
              <w:jc w:val="both"/>
              <w:rPr>
                <w:rFonts w:eastAsia="Times New Roman"/>
                <w:noProof/>
              </w:rPr>
            </w:pPr>
            <w:r>
              <w:rPr>
                <w:noProof/>
              </w:rPr>
              <w:t xml:space="preserve">Potpisivanje ugovora o tehničkoj pomoći za razvoj </w:t>
            </w:r>
            <w:r>
              <w:rPr>
                <w:noProof/>
              </w:rPr>
              <w:t>Akcijskog plana za reformu upravljanja, uključujući program osposobljavanja i obuke za rukovoditelje i inspektore</w:t>
            </w:r>
          </w:p>
        </w:tc>
      </w:tr>
      <w:tr w:rsidR="003F46B9" w14:paraId="388F9B07"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6CA012F9" w14:textId="77777777" w:rsidR="003F46B9" w:rsidRDefault="0065662E">
            <w:pPr>
              <w:pStyle w:val="P68B1DB1-Normal35"/>
              <w:spacing w:after="0"/>
              <w:jc w:val="center"/>
              <w:rPr>
                <w:rFonts w:eastAsia="Times New Roman"/>
                <w:noProof/>
              </w:rPr>
            </w:pPr>
            <w:r>
              <w:rPr>
                <w:noProof/>
              </w:rPr>
              <w:t>65</w:t>
            </w:r>
          </w:p>
        </w:tc>
        <w:tc>
          <w:tcPr>
            <w:tcW w:w="3633" w:type="dxa"/>
            <w:tcBorders>
              <w:top w:val="nil"/>
              <w:left w:val="nil"/>
              <w:bottom w:val="single" w:sz="4" w:space="0" w:color="auto"/>
              <w:right w:val="single" w:sz="4" w:space="0" w:color="auto"/>
            </w:tcBorders>
            <w:shd w:val="clear" w:color="auto" w:fill="C6EFCE"/>
            <w:noWrap/>
          </w:tcPr>
          <w:p w14:paraId="5404CC46" w14:textId="77777777" w:rsidR="003F46B9" w:rsidRDefault="0065662E">
            <w:pPr>
              <w:pStyle w:val="P68B1DB1-Normal35"/>
              <w:spacing w:after="0"/>
              <w:rPr>
                <w:noProof/>
              </w:rPr>
            </w:pPr>
            <w:r>
              <w:rPr>
                <w:noProof/>
              </w:rPr>
              <w:t>C4.R1</w:t>
            </w:r>
          </w:p>
          <w:p w14:paraId="571D6FF9" w14:textId="77777777" w:rsidR="003F46B9" w:rsidRDefault="0065662E">
            <w:pPr>
              <w:pStyle w:val="P68B1DB1-Normal35"/>
              <w:spacing w:after="0"/>
              <w:jc w:val="both"/>
              <w:rPr>
                <w:rFonts w:eastAsia="Times New Roman"/>
                <w:noProof/>
              </w:rPr>
            </w:pPr>
            <w:r>
              <w:rPr>
                <w:noProof/>
              </w:rPr>
              <w:t>Održivi promet, dekarbonizacija i sigurnost na cestama/sigurnost na cestama</w:t>
            </w:r>
          </w:p>
        </w:tc>
        <w:tc>
          <w:tcPr>
            <w:tcW w:w="1243" w:type="dxa"/>
            <w:tcBorders>
              <w:top w:val="nil"/>
              <w:left w:val="nil"/>
              <w:bottom w:val="single" w:sz="4" w:space="0" w:color="auto"/>
              <w:right w:val="single" w:sz="4" w:space="0" w:color="auto"/>
            </w:tcBorders>
            <w:shd w:val="clear" w:color="auto" w:fill="C6EFCE"/>
            <w:noWrap/>
          </w:tcPr>
          <w:p w14:paraId="1F5D756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F6ECBDC" w14:textId="77777777" w:rsidR="003F46B9" w:rsidRDefault="0065662E">
            <w:pPr>
              <w:pStyle w:val="P68B1DB1-Normal35"/>
              <w:spacing w:after="0"/>
              <w:jc w:val="both"/>
              <w:rPr>
                <w:rFonts w:eastAsia="Times New Roman"/>
                <w:noProof/>
              </w:rPr>
            </w:pPr>
            <w:r>
              <w:rPr>
                <w:noProof/>
              </w:rPr>
              <w:t>Donošenje nacionalne strategije za sigurnost cestovnog</w:t>
            </w:r>
            <w:r>
              <w:rPr>
                <w:noProof/>
              </w:rPr>
              <w:t xml:space="preserve"> prometa</w:t>
            </w:r>
          </w:p>
        </w:tc>
      </w:tr>
      <w:tr w:rsidR="003F46B9" w14:paraId="557910D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83B28CA" w14:textId="77777777" w:rsidR="003F46B9" w:rsidRDefault="0065662E">
            <w:pPr>
              <w:pStyle w:val="P68B1DB1-Normal35"/>
              <w:spacing w:after="0"/>
              <w:jc w:val="center"/>
              <w:rPr>
                <w:rFonts w:eastAsia="Times New Roman"/>
                <w:noProof/>
              </w:rPr>
            </w:pPr>
            <w:r>
              <w:rPr>
                <w:noProof/>
              </w:rPr>
              <w:t>114</w:t>
            </w:r>
          </w:p>
        </w:tc>
        <w:tc>
          <w:tcPr>
            <w:tcW w:w="3633" w:type="dxa"/>
            <w:tcBorders>
              <w:top w:val="nil"/>
              <w:left w:val="nil"/>
              <w:bottom w:val="single" w:sz="4" w:space="0" w:color="auto"/>
              <w:right w:val="single" w:sz="4" w:space="0" w:color="auto"/>
            </w:tcBorders>
            <w:shd w:val="clear" w:color="auto" w:fill="C6EFCE"/>
            <w:noWrap/>
          </w:tcPr>
          <w:p w14:paraId="1098D801" w14:textId="77777777" w:rsidR="003F46B9" w:rsidRDefault="0065662E">
            <w:pPr>
              <w:pStyle w:val="P68B1DB1-Normal35"/>
              <w:spacing w:after="0"/>
              <w:rPr>
                <w:noProof/>
              </w:rPr>
            </w:pPr>
            <w:r>
              <w:rPr>
                <w:noProof/>
              </w:rPr>
              <w:t>C6.R1</w:t>
            </w:r>
          </w:p>
          <w:p w14:paraId="52A35356" w14:textId="77777777" w:rsidR="003F46B9" w:rsidRDefault="0065662E">
            <w:pPr>
              <w:pStyle w:val="P68B1DB1-Normal35"/>
              <w:spacing w:after="0"/>
              <w:jc w:val="both"/>
              <w:rPr>
                <w:rFonts w:eastAsia="Times New Roman"/>
                <w:noProof/>
              </w:rPr>
            </w:pPr>
            <w:r>
              <w:rPr>
                <w:noProof/>
              </w:rPr>
              <w:t>Reforma tržišta električne energije, zamjena ugljena u kombinaciji izvora energije i potpora zakonodavnom i regulatornom okviru za privatna ulaganja u proizvodnju električne energije iz obnovljivih izvora</w:t>
            </w:r>
          </w:p>
        </w:tc>
        <w:tc>
          <w:tcPr>
            <w:tcW w:w="1243" w:type="dxa"/>
            <w:tcBorders>
              <w:top w:val="nil"/>
              <w:left w:val="nil"/>
              <w:bottom w:val="single" w:sz="4" w:space="0" w:color="auto"/>
              <w:right w:val="single" w:sz="4" w:space="0" w:color="auto"/>
            </w:tcBorders>
            <w:shd w:val="clear" w:color="auto" w:fill="C6EFCE"/>
            <w:noWrap/>
          </w:tcPr>
          <w:p w14:paraId="5EC0F430"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B64CF7F" w14:textId="77777777" w:rsidR="003F46B9" w:rsidRDefault="0065662E">
            <w:pPr>
              <w:pStyle w:val="P68B1DB1-Normal35"/>
              <w:spacing w:after="0"/>
              <w:jc w:val="both"/>
              <w:rPr>
                <w:rFonts w:eastAsia="Times New Roman"/>
                <w:noProof/>
              </w:rPr>
            </w:pPr>
            <w:r>
              <w:rPr>
                <w:noProof/>
              </w:rPr>
              <w:t>Stupanje na snagu zakona o de</w:t>
            </w:r>
            <w:r>
              <w:rPr>
                <w:noProof/>
              </w:rPr>
              <w:t>karbonizaciji kojim se donosi kalendar postupnog ukidanja ugljena/lignita</w:t>
            </w:r>
          </w:p>
        </w:tc>
      </w:tr>
      <w:tr w:rsidR="003F46B9" w14:paraId="121DEC2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088739B" w14:textId="77777777" w:rsidR="003F46B9" w:rsidRDefault="0065662E">
            <w:pPr>
              <w:pStyle w:val="P68B1DB1-Normal35"/>
              <w:spacing w:after="0"/>
              <w:jc w:val="center"/>
              <w:rPr>
                <w:rFonts w:eastAsia="Times New Roman"/>
                <w:noProof/>
              </w:rPr>
            </w:pPr>
            <w:r>
              <w:rPr>
                <w:noProof/>
              </w:rPr>
              <w:t>144</w:t>
            </w:r>
          </w:p>
        </w:tc>
        <w:tc>
          <w:tcPr>
            <w:tcW w:w="3633" w:type="dxa"/>
            <w:tcBorders>
              <w:top w:val="nil"/>
              <w:left w:val="nil"/>
              <w:bottom w:val="single" w:sz="4" w:space="0" w:color="auto"/>
              <w:right w:val="single" w:sz="4" w:space="0" w:color="auto"/>
            </w:tcBorders>
            <w:shd w:val="clear" w:color="auto" w:fill="C6EFCE"/>
            <w:noWrap/>
          </w:tcPr>
          <w:p w14:paraId="2DC7D72E" w14:textId="77777777" w:rsidR="003F46B9" w:rsidRDefault="0065662E">
            <w:pPr>
              <w:pStyle w:val="P68B1DB1-Normal35"/>
              <w:spacing w:after="0"/>
              <w:rPr>
                <w:noProof/>
              </w:rPr>
            </w:pPr>
            <w:r>
              <w:rPr>
                <w:noProof/>
              </w:rPr>
              <w:t>C7.R1</w:t>
            </w:r>
          </w:p>
          <w:p w14:paraId="6696B954" w14:textId="77777777" w:rsidR="003F46B9" w:rsidRDefault="0065662E">
            <w:pPr>
              <w:pStyle w:val="P68B1DB1-Normal35"/>
              <w:spacing w:after="0"/>
              <w:jc w:val="both"/>
              <w:rPr>
                <w:rFonts w:eastAsia="Times New Roman"/>
                <w:noProof/>
              </w:rPr>
            </w:pPr>
            <w:r>
              <w:rPr>
                <w:noProof/>
              </w:rPr>
              <w:t xml:space="preserve">Razvoj jedinstvenog okvira za definiranje arhitekture državnog sustava računalstva u oblaku </w:t>
            </w:r>
          </w:p>
        </w:tc>
        <w:tc>
          <w:tcPr>
            <w:tcW w:w="1243" w:type="dxa"/>
            <w:tcBorders>
              <w:top w:val="nil"/>
              <w:left w:val="nil"/>
              <w:bottom w:val="single" w:sz="4" w:space="0" w:color="auto"/>
              <w:right w:val="single" w:sz="4" w:space="0" w:color="auto"/>
            </w:tcBorders>
            <w:shd w:val="clear" w:color="auto" w:fill="C6EFCE"/>
            <w:noWrap/>
          </w:tcPr>
          <w:p w14:paraId="3F50BF81"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7CF9899" w14:textId="77777777" w:rsidR="003F46B9" w:rsidRDefault="0065662E">
            <w:pPr>
              <w:pStyle w:val="P68B1DB1-Normal35"/>
              <w:spacing w:after="0"/>
              <w:jc w:val="both"/>
              <w:rPr>
                <w:rFonts w:eastAsia="Times New Roman"/>
                <w:noProof/>
              </w:rPr>
            </w:pPr>
            <w:r>
              <w:rPr>
                <w:noProof/>
              </w:rPr>
              <w:t xml:space="preserve">Stupanje na snagu zakona o upravljanju uslugama računalstva u oblaku za </w:t>
            </w:r>
            <w:r>
              <w:rPr>
                <w:noProof/>
              </w:rPr>
              <w:t>područje vlasti</w:t>
            </w:r>
          </w:p>
        </w:tc>
      </w:tr>
      <w:tr w:rsidR="003F46B9" w14:paraId="038FD21A"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0F9E525" w14:textId="77777777" w:rsidR="003F46B9" w:rsidRDefault="0065662E">
            <w:pPr>
              <w:pStyle w:val="P68B1DB1-Normal35"/>
              <w:spacing w:after="0"/>
              <w:jc w:val="center"/>
              <w:rPr>
                <w:rFonts w:eastAsia="Times New Roman"/>
                <w:noProof/>
              </w:rPr>
            </w:pPr>
            <w:r>
              <w:rPr>
                <w:noProof/>
              </w:rPr>
              <w:t>145</w:t>
            </w:r>
          </w:p>
        </w:tc>
        <w:tc>
          <w:tcPr>
            <w:tcW w:w="3633" w:type="dxa"/>
            <w:tcBorders>
              <w:top w:val="nil"/>
              <w:left w:val="nil"/>
              <w:bottom w:val="single" w:sz="4" w:space="0" w:color="auto"/>
              <w:right w:val="single" w:sz="4" w:space="0" w:color="auto"/>
            </w:tcBorders>
            <w:shd w:val="clear" w:color="auto" w:fill="C6EFCE"/>
            <w:noWrap/>
          </w:tcPr>
          <w:p w14:paraId="2DD886C6" w14:textId="77777777" w:rsidR="003F46B9" w:rsidRDefault="0065662E">
            <w:pPr>
              <w:pStyle w:val="P68B1DB1-Normal35"/>
              <w:spacing w:after="0"/>
              <w:rPr>
                <w:noProof/>
              </w:rPr>
            </w:pPr>
            <w:r>
              <w:rPr>
                <w:noProof/>
              </w:rPr>
              <w:t>C7.R1</w:t>
            </w:r>
          </w:p>
          <w:p w14:paraId="66B71499" w14:textId="77777777" w:rsidR="003F46B9" w:rsidRDefault="0065662E">
            <w:pPr>
              <w:pStyle w:val="P68B1DB1-Normal35"/>
              <w:spacing w:after="0"/>
              <w:jc w:val="both"/>
              <w:rPr>
                <w:rFonts w:eastAsia="Times New Roman"/>
                <w:noProof/>
              </w:rPr>
            </w:pPr>
            <w:r>
              <w:rPr>
                <w:noProof/>
              </w:rPr>
              <w:t xml:space="preserve">Razvoj jedinstvenog okvira za definiranje arhitekture državnog sustava računalstva u oblaku </w:t>
            </w:r>
          </w:p>
        </w:tc>
        <w:tc>
          <w:tcPr>
            <w:tcW w:w="1243" w:type="dxa"/>
            <w:tcBorders>
              <w:top w:val="nil"/>
              <w:left w:val="nil"/>
              <w:bottom w:val="single" w:sz="4" w:space="0" w:color="auto"/>
              <w:right w:val="single" w:sz="4" w:space="0" w:color="auto"/>
            </w:tcBorders>
            <w:shd w:val="clear" w:color="auto" w:fill="C6EFCE"/>
            <w:noWrap/>
          </w:tcPr>
          <w:p w14:paraId="189E140A"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373910A" w14:textId="77777777" w:rsidR="003F46B9" w:rsidRDefault="0065662E">
            <w:pPr>
              <w:pStyle w:val="P68B1DB1-Normal35"/>
              <w:spacing w:after="0"/>
              <w:jc w:val="both"/>
              <w:rPr>
                <w:rFonts w:eastAsia="Times New Roman"/>
                <w:noProof/>
              </w:rPr>
            </w:pPr>
            <w:r>
              <w:rPr>
                <w:noProof/>
              </w:rPr>
              <w:t>Stupanje na snagu zakona o interoperabilnosti</w:t>
            </w:r>
          </w:p>
        </w:tc>
      </w:tr>
      <w:tr w:rsidR="003F46B9" w14:paraId="5E781F6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3F7BDC07" w14:textId="77777777" w:rsidR="003F46B9" w:rsidRDefault="0065662E">
            <w:pPr>
              <w:pStyle w:val="P68B1DB1-Normal35"/>
              <w:spacing w:after="0"/>
              <w:jc w:val="center"/>
              <w:rPr>
                <w:rFonts w:eastAsia="Times New Roman"/>
                <w:noProof/>
              </w:rPr>
            </w:pPr>
            <w:r>
              <w:rPr>
                <w:noProof/>
              </w:rPr>
              <w:t>153</w:t>
            </w:r>
          </w:p>
        </w:tc>
        <w:tc>
          <w:tcPr>
            <w:tcW w:w="3633" w:type="dxa"/>
            <w:tcBorders>
              <w:top w:val="nil"/>
              <w:left w:val="nil"/>
              <w:bottom w:val="single" w:sz="4" w:space="0" w:color="auto"/>
              <w:right w:val="single" w:sz="4" w:space="0" w:color="auto"/>
            </w:tcBorders>
            <w:shd w:val="clear" w:color="auto" w:fill="C6EFCE"/>
            <w:noWrap/>
          </w:tcPr>
          <w:p w14:paraId="0DB4D54F" w14:textId="77777777" w:rsidR="003F46B9" w:rsidRDefault="0065662E">
            <w:pPr>
              <w:pStyle w:val="P68B1DB1-Normal35"/>
              <w:spacing w:after="0"/>
              <w:jc w:val="both"/>
              <w:rPr>
                <w:rFonts w:eastAsia="Times New Roman"/>
                <w:noProof/>
              </w:rPr>
            </w:pPr>
            <w:r>
              <w:rPr>
                <w:noProof/>
              </w:rPr>
              <w:t>C7.I1</w:t>
            </w:r>
            <w:r>
              <w:rPr>
                <w:noProof/>
              </w:rPr>
              <w:br/>
              <w:t xml:space="preserve">Uvođenje državne infrastrukture oblaka </w:t>
            </w:r>
          </w:p>
        </w:tc>
        <w:tc>
          <w:tcPr>
            <w:tcW w:w="1243" w:type="dxa"/>
            <w:tcBorders>
              <w:top w:val="nil"/>
              <w:left w:val="nil"/>
              <w:bottom w:val="single" w:sz="4" w:space="0" w:color="auto"/>
              <w:right w:val="single" w:sz="4" w:space="0" w:color="auto"/>
            </w:tcBorders>
            <w:shd w:val="clear" w:color="auto" w:fill="C6EFCE"/>
            <w:noWrap/>
          </w:tcPr>
          <w:p w14:paraId="6D67E63A"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5F8378E" w14:textId="77777777" w:rsidR="003F46B9" w:rsidRDefault="0065662E">
            <w:pPr>
              <w:pStyle w:val="P68B1DB1-Normal35"/>
              <w:spacing w:after="0"/>
              <w:jc w:val="both"/>
              <w:rPr>
                <w:rFonts w:eastAsia="Times New Roman"/>
                <w:noProof/>
              </w:rPr>
            </w:pPr>
            <w:r>
              <w:rPr>
                <w:noProof/>
              </w:rPr>
              <w:t xml:space="preserve">Potpisivanje ugovora za provedbu </w:t>
            </w:r>
            <w:r>
              <w:rPr>
                <w:noProof/>
              </w:rPr>
              <w:t>ulaganja na temelju postupka poziva na podnošenje ponuda za provedbu ulaganja</w:t>
            </w:r>
          </w:p>
        </w:tc>
      </w:tr>
      <w:tr w:rsidR="003F46B9" w14:paraId="567EC62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15A4E19" w14:textId="77777777" w:rsidR="003F46B9" w:rsidRDefault="0065662E">
            <w:pPr>
              <w:pStyle w:val="P68B1DB1-Normal35"/>
              <w:spacing w:after="0"/>
              <w:jc w:val="center"/>
              <w:rPr>
                <w:rFonts w:eastAsia="Times New Roman"/>
                <w:noProof/>
              </w:rPr>
            </w:pPr>
            <w:r>
              <w:rPr>
                <w:noProof/>
              </w:rPr>
              <w:t>147</w:t>
            </w:r>
          </w:p>
        </w:tc>
        <w:tc>
          <w:tcPr>
            <w:tcW w:w="3633" w:type="dxa"/>
            <w:tcBorders>
              <w:top w:val="nil"/>
              <w:left w:val="nil"/>
              <w:bottom w:val="single" w:sz="4" w:space="0" w:color="auto"/>
              <w:right w:val="single" w:sz="4" w:space="0" w:color="auto"/>
            </w:tcBorders>
            <w:shd w:val="clear" w:color="auto" w:fill="C6EFCE"/>
            <w:noWrap/>
          </w:tcPr>
          <w:p w14:paraId="4072E315" w14:textId="3B009407" w:rsidR="003F46B9" w:rsidRDefault="0065662E">
            <w:pPr>
              <w:pStyle w:val="P68B1DB1-Normal35"/>
              <w:spacing w:after="0"/>
              <w:jc w:val="both"/>
              <w:rPr>
                <w:rFonts w:eastAsia="Times New Roman"/>
                <w:noProof/>
              </w:rPr>
            </w:pPr>
            <w:r>
              <w:rPr>
                <w:noProof/>
              </w:rPr>
              <w:t>C7.R2</w:t>
            </w:r>
            <w:r>
              <w:rPr>
                <w:noProof/>
              </w:rPr>
              <w:br/>
              <w:t xml:space="preserve">Prijelaz na ciljeve EU-a za 2025. u pogledu povezivosti i poticanje privatnih ulaganja u uvođenje mreža vrlo velikog kapaciteta </w:t>
            </w:r>
          </w:p>
        </w:tc>
        <w:tc>
          <w:tcPr>
            <w:tcW w:w="1243" w:type="dxa"/>
            <w:tcBorders>
              <w:top w:val="nil"/>
              <w:left w:val="nil"/>
              <w:bottom w:val="single" w:sz="4" w:space="0" w:color="auto"/>
              <w:right w:val="single" w:sz="4" w:space="0" w:color="auto"/>
            </w:tcBorders>
            <w:shd w:val="clear" w:color="auto" w:fill="C6EFCE"/>
            <w:noWrap/>
          </w:tcPr>
          <w:p w14:paraId="127E79D8"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9150573" w14:textId="2877EC24" w:rsidR="003F46B9" w:rsidRDefault="0065662E">
            <w:pPr>
              <w:pStyle w:val="P68B1DB1-Normal35"/>
              <w:spacing w:after="0"/>
              <w:jc w:val="both"/>
              <w:rPr>
                <w:rFonts w:eastAsia="Times New Roman"/>
                <w:noProof/>
              </w:rPr>
            </w:pPr>
            <w:r>
              <w:rPr>
                <w:noProof/>
              </w:rPr>
              <w:t xml:space="preserve">Objava poziva na podnošenje ponuda za ovlašćivanje telekomunikacijskih operatera za izdavanje dozvola za 5G </w:t>
            </w:r>
          </w:p>
        </w:tc>
      </w:tr>
      <w:tr w:rsidR="003F46B9" w14:paraId="4394EACC"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58856511" w14:textId="77777777" w:rsidR="003F46B9" w:rsidRDefault="0065662E">
            <w:pPr>
              <w:pStyle w:val="P68B1DB1-Normal35"/>
              <w:spacing w:after="0"/>
              <w:jc w:val="center"/>
              <w:rPr>
                <w:rFonts w:eastAsia="Times New Roman"/>
                <w:noProof/>
              </w:rPr>
            </w:pPr>
            <w:r>
              <w:rPr>
                <w:noProof/>
              </w:rPr>
              <w:t>200</w:t>
            </w:r>
          </w:p>
        </w:tc>
        <w:tc>
          <w:tcPr>
            <w:tcW w:w="3633" w:type="dxa"/>
            <w:tcBorders>
              <w:top w:val="nil"/>
              <w:left w:val="nil"/>
              <w:bottom w:val="single" w:sz="4" w:space="0" w:color="auto"/>
              <w:right w:val="single" w:sz="4" w:space="0" w:color="auto"/>
            </w:tcBorders>
            <w:shd w:val="clear" w:color="auto" w:fill="C6EFCE"/>
            <w:noWrap/>
          </w:tcPr>
          <w:p w14:paraId="10832A46" w14:textId="77777777" w:rsidR="003F46B9" w:rsidRDefault="0065662E">
            <w:pPr>
              <w:pStyle w:val="P68B1DB1-Normal35"/>
              <w:spacing w:after="0"/>
              <w:rPr>
                <w:noProof/>
              </w:rPr>
            </w:pPr>
            <w:r>
              <w:rPr>
                <w:noProof/>
              </w:rPr>
              <w:t>C8.R3</w:t>
            </w:r>
          </w:p>
          <w:p w14:paraId="12F984E4"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43" w:type="dxa"/>
            <w:tcBorders>
              <w:top w:val="nil"/>
              <w:left w:val="nil"/>
              <w:bottom w:val="single" w:sz="4" w:space="0" w:color="auto"/>
              <w:right w:val="single" w:sz="4" w:space="0" w:color="auto"/>
            </w:tcBorders>
            <w:shd w:val="clear" w:color="auto" w:fill="C6EFCE"/>
            <w:noWrap/>
          </w:tcPr>
          <w:p w14:paraId="096BE0E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AA052CB" w14:textId="77777777" w:rsidR="003F46B9" w:rsidRDefault="0065662E">
            <w:pPr>
              <w:pStyle w:val="P68B1DB1-Normal35"/>
              <w:spacing w:after="0"/>
              <w:jc w:val="both"/>
              <w:rPr>
                <w:rFonts w:eastAsia="Times New Roman"/>
                <w:noProof/>
              </w:rPr>
            </w:pPr>
            <w:r>
              <w:rPr>
                <w:noProof/>
              </w:rPr>
              <w:t xml:space="preserve">Stupanje na snagu odluke Vlade o odobrenju metodologije izrade, praćenja i </w:t>
            </w:r>
            <w:r>
              <w:rPr>
                <w:noProof/>
              </w:rPr>
              <w:t>izvješćivanja o proračunskim programima</w:t>
            </w:r>
          </w:p>
        </w:tc>
      </w:tr>
      <w:tr w:rsidR="003F46B9" w14:paraId="7454C939"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3005EAA" w14:textId="77777777" w:rsidR="003F46B9" w:rsidRDefault="0065662E">
            <w:pPr>
              <w:pStyle w:val="P68B1DB1-Normal35"/>
              <w:spacing w:after="0"/>
              <w:jc w:val="center"/>
              <w:rPr>
                <w:rFonts w:eastAsia="Times New Roman"/>
                <w:noProof/>
              </w:rPr>
            </w:pPr>
            <w:r>
              <w:rPr>
                <w:noProof/>
              </w:rPr>
              <w:t>355</w:t>
            </w:r>
          </w:p>
        </w:tc>
        <w:tc>
          <w:tcPr>
            <w:tcW w:w="3633" w:type="dxa"/>
            <w:tcBorders>
              <w:top w:val="nil"/>
              <w:left w:val="nil"/>
              <w:bottom w:val="single" w:sz="4" w:space="0" w:color="auto"/>
              <w:right w:val="single" w:sz="4" w:space="0" w:color="auto"/>
            </w:tcBorders>
            <w:shd w:val="clear" w:color="auto" w:fill="C6EFCE"/>
            <w:noWrap/>
          </w:tcPr>
          <w:p w14:paraId="003C6F56" w14:textId="77777777" w:rsidR="003F46B9" w:rsidRDefault="0065662E">
            <w:pPr>
              <w:pStyle w:val="P68B1DB1-Normal35"/>
              <w:spacing w:after="0"/>
              <w:rPr>
                <w:noProof/>
              </w:rPr>
            </w:pPr>
            <w:r>
              <w:rPr>
                <w:noProof/>
              </w:rPr>
              <w:t>C12.R2</w:t>
            </w:r>
          </w:p>
          <w:p w14:paraId="2987E5F9" w14:textId="09071F72" w:rsidR="003F46B9" w:rsidRDefault="0065662E">
            <w:pPr>
              <w:pStyle w:val="P68B1DB1-Normal35"/>
              <w:spacing w:after="0"/>
              <w:jc w:val="both"/>
              <w:rPr>
                <w:rFonts w:eastAsia="Times New Roman"/>
                <w:noProof/>
              </w:rPr>
            </w:pPr>
            <w:r>
              <w:rPr>
                <w:noProof/>
              </w:rPr>
              <w:t xml:space="preserve">Povećani kapacitet za ulaganja u zdravstvenu infrastrukturu </w:t>
            </w:r>
          </w:p>
        </w:tc>
        <w:tc>
          <w:tcPr>
            <w:tcW w:w="1243" w:type="dxa"/>
            <w:tcBorders>
              <w:top w:val="nil"/>
              <w:left w:val="nil"/>
              <w:bottom w:val="single" w:sz="4" w:space="0" w:color="auto"/>
              <w:right w:val="single" w:sz="4" w:space="0" w:color="auto"/>
            </w:tcBorders>
            <w:shd w:val="clear" w:color="auto" w:fill="C6EFCE"/>
            <w:noWrap/>
          </w:tcPr>
          <w:p w14:paraId="5D8E4FF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79F4632" w14:textId="77777777" w:rsidR="003F46B9" w:rsidRDefault="0065662E">
            <w:pPr>
              <w:pStyle w:val="P68B1DB1-Normal35"/>
              <w:spacing w:after="0"/>
              <w:jc w:val="both"/>
              <w:rPr>
                <w:rFonts w:eastAsia="Times New Roman"/>
                <w:noProof/>
              </w:rPr>
            </w:pPr>
            <w:r>
              <w:rPr>
                <w:noProof/>
              </w:rPr>
              <w:t xml:space="preserve">Stupanje na snagu zakonodavnog okvira kojim se osniva Nacionalna agencija za razvoj infrastrukture u zdravstvu (ANDIS) </w:t>
            </w:r>
          </w:p>
        </w:tc>
      </w:tr>
      <w:tr w:rsidR="003F46B9" w14:paraId="49E99C8E"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3B88079" w14:textId="77777777" w:rsidR="003F46B9" w:rsidRDefault="0065662E">
            <w:pPr>
              <w:pStyle w:val="P68B1DB1-Normal35"/>
              <w:spacing w:after="0"/>
              <w:jc w:val="center"/>
              <w:rPr>
                <w:rFonts w:eastAsia="Times New Roman"/>
                <w:noProof/>
              </w:rPr>
            </w:pPr>
            <w:r>
              <w:rPr>
                <w:noProof/>
              </w:rPr>
              <w:t>356</w:t>
            </w:r>
          </w:p>
        </w:tc>
        <w:tc>
          <w:tcPr>
            <w:tcW w:w="3633" w:type="dxa"/>
            <w:tcBorders>
              <w:top w:val="nil"/>
              <w:left w:val="nil"/>
              <w:bottom w:val="single" w:sz="4" w:space="0" w:color="auto"/>
              <w:right w:val="single" w:sz="4" w:space="0" w:color="auto"/>
            </w:tcBorders>
            <w:shd w:val="clear" w:color="auto" w:fill="C6EFCE"/>
            <w:noWrap/>
          </w:tcPr>
          <w:p w14:paraId="08258A09" w14:textId="77777777" w:rsidR="003F46B9" w:rsidRDefault="0065662E">
            <w:pPr>
              <w:pStyle w:val="P68B1DB1-Normal35"/>
              <w:spacing w:after="0"/>
              <w:jc w:val="both"/>
              <w:rPr>
                <w:noProof/>
              </w:rPr>
            </w:pPr>
            <w:r>
              <w:rPr>
                <w:noProof/>
              </w:rPr>
              <w:t>C12.R3</w:t>
            </w:r>
          </w:p>
          <w:p w14:paraId="232D3A49" w14:textId="581A134B"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43" w:type="dxa"/>
            <w:tcBorders>
              <w:top w:val="nil"/>
              <w:left w:val="nil"/>
              <w:bottom w:val="single" w:sz="4" w:space="0" w:color="auto"/>
              <w:right w:val="single" w:sz="4" w:space="0" w:color="auto"/>
            </w:tcBorders>
            <w:shd w:val="clear" w:color="auto" w:fill="C6EFCE"/>
            <w:noWrap/>
          </w:tcPr>
          <w:p w14:paraId="1921D32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1ADF700" w14:textId="77777777" w:rsidR="003F46B9" w:rsidRDefault="0065662E">
            <w:pPr>
              <w:pStyle w:val="P68B1DB1-Normal35"/>
              <w:spacing w:after="0"/>
              <w:jc w:val="both"/>
              <w:rPr>
                <w:rFonts w:eastAsia="Times New Roman"/>
                <w:noProof/>
              </w:rPr>
            </w:pPr>
            <w:r>
              <w:rPr>
                <w:noProof/>
              </w:rPr>
              <w:t xml:space="preserve">Stupanje na snagu zakonodavnog okvira za povećanje kapaciteta za upravljanje zdravljem i ljudske resurse u zdravstvu </w:t>
            </w:r>
          </w:p>
        </w:tc>
      </w:tr>
      <w:tr w:rsidR="003F46B9" w14:paraId="47E3FB0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227E075" w14:textId="77777777" w:rsidR="003F46B9" w:rsidRDefault="0065662E">
            <w:pPr>
              <w:pStyle w:val="P68B1DB1-Normal35"/>
              <w:spacing w:after="0"/>
              <w:jc w:val="center"/>
              <w:rPr>
                <w:rFonts w:eastAsia="Times New Roman"/>
                <w:noProof/>
              </w:rPr>
            </w:pPr>
            <w:r>
              <w:rPr>
                <w:noProof/>
              </w:rPr>
              <w:t>357</w:t>
            </w:r>
          </w:p>
        </w:tc>
        <w:tc>
          <w:tcPr>
            <w:tcW w:w="3633" w:type="dxa"/>
            <w:tcBorders>
              <w:top w:val="nil"/>
              <w:left w:val="nil"/>
              <w:bottom w:val="single" w:sz="4" w:space="0" w:color="auto"/>
              <w:right w:val="single" w:sz="4" w:space="0" w:color="auto"/>
            </w:tcBorders>
            <w:shd w:val="clear" w:color="auto" w:fill="C6EFCE"/>
            <w:noWrap/>
          </w:tcPr>
          <w:p w14:paraId="6EDABF6B" w14:textId="77777777" w:rsidR="003F46B9" w:rsidRDefault="0065662E">
            <w:pPr>
              <w:pStyle w:val="P68B1DB1-Normal35"/>
              <w:spacing w:after="0"/>
              <w:jc w:val="both"/>
              <w:rPr>
                <w:noProof/>
              </w:rPr>
            </w:pPr>
            <w:r>
              <w:rPr>
                <w:noProof/>
              </w:rPr>
              <w:t>C12.R3</w:t>
            </w:r>
          </w:p>
          <w:p w14:paraId="58EE60AF" w14:textId="2415B17D" w:rsidR="003F46B9" w:rsidRDefault="0065662E">
            <w:pPr>
              <w:pStyle w:val="P68B1DB1-Normal35"/>
              <w:spacing w:after="0"/>
              <w:jc w:val="both"/>
              <w:rPr>
                <w:rFonts w:eastAsia="Times New Roman"/>
                <w:noProof/>
              </w:rPr>
            </w:pPr>
            <w:r>
              <w:rPr>
                <w:noProof/>
              </w:rPr>
              <w:t>Povećani kapaciteti za upravljanje zdravljem i l</w:t>
            </w:r>
            <w:r>
              <w:rPr>
                <w:noProof/>
              </w:rPr>
              <w:t xml:space="preserve">judske resurse u zdravstvu </w:t>
            </w:r>
          </w:p>
        </w:tc>
        <w:tc>
          <w:tcPr>
            <w:tcW w:w="1243" w:type="dxa"/>
            <w:tcBorders>
              <w:top w:val="nil"/>
              <w:left w:val="nil"/>
              <w:bottom w:val="single" w:sz="4" w:space="0" w:color="auto"/>
              <w:right w:val="single" w:sz="4" w:space="0" w:color="auto"/>
            </w:tcBorders>
            <w:shd w:val="clear" w:color="auto" w:fill="C6EFCE"/>
            <w:noWrap/>
          </w:tcPr>
          <w:p w14:paraId="4BFFFA4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6326F48" w14:textId="096EB073" w:rsidR="003F46B9" w:rsidRDefault="0065662E">
            <w:pPr>
              <w:pStyle w:val="P68B1DB1-Normal35"/>
              <w:spacing w:after="0"/>
              <w:jc w:val="both"/>
              <w:rPr>
                <w:rFonts w:eastAsia="Times New Roman"/>
                <w:noProof/>
              </w:rPr>
            </w:pPr>
            <w:r>
              <w:rPr>
                <w:noProof/>
              </w:rPr>
              <w:t xml:space="preserve">Stupanje na snagu zakonodavstva o strateškom okviru za razvoj ljudskih resursa u zdravstvu </w:t>
            </w:r>
          </w:p>
        </w:tc>
      </w:tr>
      <w:tr w:rsidR="003F46B9" w14:paraId="66A0DF7D"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10229F54" w14:textId="77777777" w:rsidR="003F46B9" w:rsidRDefault="0065662E">
            <w:pPr>
              <w:pStyle w:val="P68B1DB1-Normal35"/>
              <w:spacing w:after="0"/>
              <w:jc w:val="center"/>
              <w:rPr>
                <w:rFonts w:eastAsia="Times New Roman"/>
                <w:noProof/>
              </w:rPr>
            </w:pPr>
            <w:r>
              <w:rPr>
                <w:noProof/>
              </w:rPr>
              <w:t>413</w:t>
            </w:r>
          </w:p>
        </w:tc>
        <w:tc>
          <w:tcPr>
            <w:tcW w:w="3633" w:type="dxa"/>
            <w:tcBorders>
              <w:top w:val="nil"/>
              <w:left w:val="nil"/>
              <w:bottom w:val="single" w:sz="4" w:space="0" w:color="auto"/>
              <w:right w:val="single" w:sz="4" w:space="0" w:color="auto"/>
            </w:tcBorders>
            <w:shd w:val="clear" w:color="auto" w:fill="C6EFCE"/>
            <w:noWrap/>
          </w:tcPr>
          <w:p w14:paraId="1B471430" w14:textId="77777777" w:rsidR="003F46B9" w:rsidRDefault="0065662E">
            <w:pPr>
              <w:pStyle w:val="P68B1DB1-Normal35"/>
              <w:spacing w:after="0"/>
              <w:jc w:val="both"/>
              <w:rPr>
                <w:noProof/>
              </w:rPr>
            </w:pPr>
            <w:r>
              <w:rPr>
                <w:noProof/>
              </w:rPr>
              <w:t>C14.R2</w:t>
            </w:r>
          </w:p>
          <w:p w14:paraId="10DE3188" w14:textId="77777777" w:rsidR="003F46B9" w:rsidRDefault="0065662E">
            <w:pPr>
              <w:pStyle w:val="P68B1DB1-Normal35"/>
              <w:spacing w:after="0"/>
              <w:jc w:val="both"/>
              <w:rPr>
                <w:rFonts w:eastAsia="Times New Roman"/>
                <w:noProof/>
              </w:rPr>
            </w:pPr>
            <w:r>
              <w:rPr>
                <w:noProof/>
              </w:rPr>
              <w:t>Jačanje koordinacije u središtu vlasti integriranim i dosljednim pristupom klimatskim promjenama i inicijativama za održiv</w:t>
            </w:r>
            <w:r>
              <w:rPr>
                <w:noProof/>
              </w:rPr>
              <w:t>i razvoj</w:t>
            </w:r>
          </w:p>
        </w:tc>
        <w:tc>
          <w:tcPr>
            <w:tcW w:w="1243" w:type="dxa"/>
            <w:tcBorders>
              <w:top w:val="nil"/>
              <w:left w:val="nil"/>
              <w:bottom w:val="single" w:sz="4" w:space="0" w:color="auto"/>
              <w:right w:val="single" w:sz="4" w:space="0" w:color="auto"/>
            </w:tcBorders>
            <w:shd w:val="clear" w:color="auto" w:fill="C6EFCE"/>
            <w:noWrap/>
          </w:tcPr>
          <w:p w14:paraId="371EFBC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AAF0007" w14:textId="77777777" w:rsidR="003F46B9" w:rsidRDefault="0065662E">
            <w:pPr>
              <w:pStyle w:val="P68B1DB1-Normal35"/>
              <w:spacing w:after="0"/>
              <w:jc w:val="both"/>
              <w:rPr>
                <w:rFonts w:eastAsia="Times New Roman"/>
                <w:noProof/>
              </w:rPr>
            </w:pPr>
            <w:r>
              <w:rPr>
                <w:noProof/>
              </w:rPr>
              <w:t xml:space="preserve">Operacionalizacija Međuinstitucijskog odbora za klimu </w:t>
            </w:r>
          </w:p>
        </w:tc>
      </w:tr>
      <w:tr w:rsidR="003F46B9" w14:paraId="559EEC56"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4AA9B2C" w14:textId="77777777" w:rsidR="003F46B9" w:rsidRDefault="0065662E">
            <w:pPr>
              <w:pStyle w:val="P68B1DB1-Normal35"/>
              <w:spacing w:after="0"/>
              <w:jc w:val="center"/>
              <w:rPr>
                <w:rFonts w:eastAsia="Times New Roman"/>
                <w:noProof/>
              </w:rPr>
            </w:pPr>
            <w:r>
              <w:rPr>
                <w:noProof/>
              </w:rPr>
              <w:t>422</w:t>
            </w:r>
          </w:p>
        </w:tc>
        <w:tc>
          <w:tcPr>
            <w:tcW w:w="3633" w:type="dxa"/>
            <w:tcBorders>
              <w:top w:val="nil"/>
              <w:left w:val="nil"/>
              <w:bottom w:val="single" w:sz="4" w:space="0" w:color="auto"/>
              <w:right w:val="single" w:sz="4" w:space="0" w:color="auto"/>
            </w:tcBorders>
            <w:shd w:val="clear" w:color="auto" w:fill="C6EFCE"/>
            <w:noWrap/>
          </w:tcPr>
          <w:p w14:paraId="600FBBE0" w14:textId="77777777" w:rsidR="003F46B9" w:rsidRDefault="0065662E">
            <w:pPr>
              <w:pStyle w:val="P68B1DB1-Normal35"/>
              <w:spacing w:after="0"/>
              <w:jc w:val="both"/>
              <w:rPr>
                <w:noProof/>
              </w:rPr>
            </w:pPr>
            <w:r>
              <w:rPr>
                <w:noProof/>
              </w:rPr>
              <w:t>C14.R5</w:t>
            </w:r>
          </w:p>
          <w:p w14:paraId="56A778DC" w14:textId="55291F37" w:rsidR="003F46B9" w:rsidRDefault="0065662E">
            <w:pPr>
              <w:pStyle w:val="P68B1DB1-Normal35"/>
              <w:spacing w:after="0"/>
              <w:jc w:val="both"/>
              <w:rPr>
                <w:rFonts w:eastAsia="Times New Roman"/>
                <w:noProof/>
              </w:rPr>
            </w:pPr>
            <w:r>
              <w:rPr>
                <w:noProof/>
              </w:rPr>
              <w:t xml:space="preserve">Osiguravanje neovisnosti pravosuđa, poboljšanje njegove kvalitete i učinkovitosti  </w:t>
            </w:r>
          </w:p>
        </w:tc>
        <w:tc>
          <w:tcPr>
            <w:tcW w:w="1243" w:type="dxa"/>
            <w:tcBorders>
              <w:top w:val="nil"/>
              <w:left w:val="nil"/>
              <w:bottom w:val="single" w:sz="4" w:space="0" w:color="auto"/>
              <w:right w:val="single" w:sz="4" w:space="0" w:color="auto"/>
            </w:tcBorders>
            <w:shd w:val="clear" w:color="auto" w:fill="C6EFCE"/>
            <w:noWrap/>
          </w:tcPr>
          <w:p w14:paraId="71D46CC1"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5D2A56" w14:textId="77777777" w:rsidR="003F46B9" w:rsidRDefault="0065662E">
            <w:pPr>
              <w:pStyle w:val="P68B1DB1-Normal35"/>
              <w:spacing w:after="0"/>
              <w:jc w:val="both"/>
              <w:rPr>
                <w:noProof/>
              </w:rPr>
            </w:pPr>
            <w:r>
              <w:rPr>
                <w:noProof/>
              </w:rPr>
              <w:t xml:space="preserve">Stupanje na snagu zakona o izmjeni ovlasti Nacionalne agencije za upravljanje zaplijenjenom </w:t>
            </w:r>
            <w:r>
              <w:rPr>
                <w:noProof/>
              </w:rPr>
              <w:t>imovinom</w:t>
            </w:r>
          </w:p>
          <w:p w14:paraId="7A2E19C1" w14:textId="77777777" w:rsidR="003F46B9" w:rsidRDefault="003F46B9">
            <w:pPr>
              <w:spacing w:after="0"/>
              <w:jc w:val="both"/>
              <w:rPr>
                <w:rFonts w:ascii="Times New Roman" w:eastAsia="Times New Roman" w:hAnsi="Times New Roman" w:cs="Times New Roman"/>
                <w:noProof/>
              </w:rPr>
            </w:pPr>
          </w:p>
        </w:tc>
      </w:tr>
      <w:tr w:rsidR="003F46B9" w14:paraId="1E3510D1"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4CDD7662" w14:textId="77777777" w:rsidR="003F46B9" w:rsidRDefault="0065662E">
            <w:pPr>
              <w:pStyle w:val="P68B1DB1-Normal35"/>
              <w:spacing w:after="0"/>
              <w:jc w:val="center"/>
              <w:rPr>
                <w:rFonts w:eastAsia="Times New Roman"/>
                <w:noProof/>
              </w:rPr>
            </w:pPr>
            <w:r>
              <w:rPr>
                <w:noProof/>
              </w:rPr>
              <w:t>456</w:t>
            </w:r>
          </w:p>
        </w:tc>
        <w:tc>
          <w:tcPr>
            <w:tcW w:w="3633" w:type="dxa"/>
            <w:tcBorders>
              <w:top w:val="nil"/>
              <w:left w:val="nil"/>
              <w:bottom w:val="single" w:sz="4" w:space="0" w:color="auto"/>
              <w:right w:val="single" w:sz="4" w:space="0" w:color="auto"/>
            </w:tcBorders>
            <w:shd w:val="clear" w:color="auto" w:fill="C6EFCE"/>
            <w:noWrap/>
          </w:tcPr>
          <w:p w14:paraId="671370F4" w14:textId="77777777" w:rsidR="003F46B9" w:rsidRDefault="0065662E">
            <w:pPr>
              <w:pStyle w:val="P68B1DB1-Normal35"/>
              <w:spacing w:after="0"/>
              <w:jc w:val="both"/>
              <w:rPr>
                <w:noProof/>
              </w:rPr>
            </w:pPr>
            <w:r>
              <w:rPr>
                <w:noProof/>
              </w:rPr>
              <w:t>C15-I1</w:t>
            </w:r>
          </w:p>
          <w:p w14:paraId="6FE13B4C" w14:textId="77777777" w:rsidR="003F46B9" w:rsidRDefault="0065662E">
            <w:pPr>
              <w:pStyle w:val="P68B1DB1-Normal35"/>
              <w:spacing w:after="0"/>
              <w:jc w:val="both"/>
              <w:rPr>
                <w:noProof/>
              </w:rPr>
            </w:pPr>
            <w:r>
              <w:rPr>
                <w:noProof/>
              </w:rPr>
              <w:t>Izgradnja, opremanje i operacionalizacija 110 jaslica</w:t>
            </w:r>
          </w:p>
        </w:tc>
        <w:tc>
          <w:tcPr>
            <w:tcW w:w="1243" w:type="dxa"/>
            <w:tcBorders>
              <w:top w:val="nil"/>
              <w:left w:val="nil"/>
              <w:bottom w:val="single" w:sz="4" w:space="0" w:color="auto"/>
              <w:right w:val="single" w:sz="4" w:space="0" w:color="auto"/>
            </w:tcBorders>
            <w:shd w:val="clear" w:color="auto" w:fill="C6EFCE"/>
            <w:noWrap/>
          </w:tcPr>
          <w:p w14:paraId="2EACB9B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35D528F" w14:textId="77777777" w:rsidR="003F46B9" w:rsidRDefault="0065662E">
            <w:pPr>
              <w:pStyle w:val="P68B1DB1-Normal35"/>
              <w:spacing w:after="0"/>
              <w:jc w:val="both"/>
              <w:rPr>
                <w:rFonts w:eastAsia="Times New Roman"/>
                <w:noProof/>
              </w:rPr>
            </w:pPr>
            <w:r>
              <w:rPr>
                <w:noProof/>
              </w:rPr>
              <w:t>Potpisivanje ugovora s javnim subjektima (općinama) o izgradnji, opremi i operacionalizaciji 110 jaslica</w:t>
            </w:r>
          </w:p>
        </w:tc>
      </w:tr>
      <w:tr w:rsidR="003F46B9" w14:paraId="335A22F7"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74D2E5BC" w14:textId="77777777" w:rsidR="003F46B9" w:rsidRDefault="0065662E">
            <w:pPr>
              <w:pStyle w:val="P68B1DB1-Normal35"/>
              <w:spacing w:after="0"/>
              <w:jc w:val="center"/>
              <w:rPr>
                <w:noProof/>
              </w:rPr>
            </w:pPr>
            <w:r>
              <w:rPr>
                <w:noProof/>
              </w:rPr>
              <w:t>478</w:t>
            </w:r>
          </w:p>
        </w:tc>
        <w:tc>
          <w:tcPr>
            <w:tcW w:w="3633" w:type="dxa"/>
            <w:tcBorders>
              <w:top w:val="nil"/>
              <w:left w:val="nil"/>
              <w:bottom w:val="single" w:sz="4" w:space="0" w:color="auto"/>
              <w:right w:val="single" w:sz="4" w:space="0" w:color="auto"/>
            </w:tcBorders>
            <w:shd w:val="clear" w:color="auto" w:fill="C6EFCE"/>
            <w:noWrap/>
          </w:tcPr>
          <w:p w14:paraId="59C445E5" w14:textId="77777777" w:rsidR="003F46B9" w:rsidRDefault="0065662E">
            <w:pPr>
              <w:pStyle w:val="P68B1DB1-Normal35"/>
              <w:spacing w:after="0"/>
              <w:jc w:val="both"/>
              <w:rPr>
                <w:noProof/>
              </w:rPr>
            </w:pPr>
            <w:r>
              <w:rPr>
                <w:noProof/>
              </w:rPr>
              <w:t xml:space="preserve">C15.R5 </w:t>
            </w:r>
          </w:p>
          <w:p w14:paraId="59BA51E9" w14:textId="77777777" w:rsidR="003F46B9" w:rsidRDefault="0065662E">
            <w:pPr>
              <w:pStyle w:val="P68B1DB1-Normal35"/>
              <w:spacing w:after="0"/>
              <w:jc w:val="both"/>
              <w:rPr>
                <w:noProof/>
              </w:rPr>
            </w:pPr>
            <w:r>
              <w:rPr>
                <w:noProof/>
              </w:rPr>
              <w:t>Donošenje zakonodavnog okvira za digitalizaciju obrazovanja</w:t>
            </w:r>
          </w:p>
        </w:tc>
        <w:tc>
          <w:tcPr>
            <w:tcW w:w="1243" w:type="dxa"/>
            <w:tcBorders>
              <w:top w:val="nil"/>
              <w:left w:val="nil"/>
              <w:bottom w:val="single" w:sz="4" w:space="0" w:color="auto"/>
              <w:right w:val="single" w:sz="4" w:space="0" w:color="auto"/>
            </w:tcBorders>
            <w:shd w:val="clear" w:color="auto" w:fill="C6EFCE"/>
            <w:noWrap/>
          </w:tcPr>
          <w:p w14:paraId="5BE52AD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1A85F3C" w14:textId="77777777" w:rsidR="003F46B9" w:rsidRDefault="0065662E">
            <w:pPr>
              <w:pStyle w:val="P68B1DB1-Normal35"/>
              <w:spacing w:after="0"/>
              <w:jc w:val="both"/>
              <w:rPr>
                <w:noProof/>
              </w:rPr>
            </w:pPr>
            <w:r>
              <w:rPr>
                <w:noProof/>
              </w:rPr>
              <w:t>Stupanje na snagu zakona kojim se utvrđuje profil budućeg nastavnika o digitalnim kompetencijama i načinu ocjenjivanja digitalnih kompetencija u školskim ispitima</w:t>
            </w:r>
          </w:p>
        </w:tc>
      </w:tr>
      <w:tr w:rsidR="003F46B9" w14:paraId="59D1798B" w14:textId="77777777">
        <w:trPr>
          <w:trHeight w:val="302"/>
        </w:trPr>
        <w:tc>
          <w:tcPr>
            <w:tcW w:w="1356" w:type="dxa"/>
            <w:tcBorders>
              <w:top w:val="nil"/>
              <w:left w:val="single" w:sz="4" w:space="0" w:color="auto"/>
              <w:bottom w:val="single" w:sz="4" w:space="0" w:color="auto"/>
              <w:right w:val="single" w:sz="4" w:space="0" w:color="auto"/>
            </w:tcBorders>
            <w:shd w:val="clear" w:color="auto" w:fill="C6EFCE"/>
            <w:noWrap/>
          </w:tcPr>
          <w:p w14:paraId="23FC30FB" w14:textId="77777777" w:rsidR="003F46B9" w:rsidRDefault="0065662E">
            <w:pPr>
              <w:pStyle w:val="P68B1DB1-Normal35"/>
              <w:spacing w:after="0"/>
              <w:jc w:val="center"/>
              <w:rPr>
                <w:noProof/>
              </w:rPr>
            </w:pPr>
            <w:r>
              <w:rPr>
                <w:noProof/>
              </w:rPr>
              <w:t>485</w:t>
            </w:r>
          </w:p>
        </w:tc>
        <w:tc>
          <w:tcPr>
            <w:tcW w:w="3633" w:type="dxa"/>
            <w:tcBorders>
              <w:top w:val="nil"/>
              <w:left w:val="nil"/>
              <w:bottom w:val="single" w:sz="4" w:space="0" w:color="auto"/>
              <w:right w:val="single" w:sz="4" w:space="0" w:color="auto"/>
            </w:tcBorders>
            <w:shd w:val="clear" w:color="auto" w:fill="C6EFCE"/>
            <w:noWrap/>
          </w:tcPr>
          <w:p w14:paraId="1CEFC498" w14:textId="77777777" w:rsidR="003F46B9" w:rsidRDefault="0065662E">
            <w:pPr>
              <w:pStyle w:val="P68B1DB1-Normal35"/>
              <w:spacing w:after="0"/>
              <w:jc w:val="both"/>
              <w:rPr>
                <w:noProof/>
              </w:rPr>
            </w:pPr>
            <w:r>
              <w:rPr>
                <w:noProof/>
              </w:rPr>
              <w:t xml:space="preserve">C15.R6 </w:t>
            </w:r>
            <w:r>
              <w:rPr>
                <w:noProof/>
              </w:rPr>
              <w:br/>
              <w:t>Ažurirani regulatorni okvir kako bi se osigurali ekološki prihvatljivi standar</w:t>
            </w:r>
            <w:r>
              <w:rPr>
                <w:noProof/>
              </w:rPr>
              <w:t>di projektiranja, izgradnje i dotacije u sustavu predsveučilišnog obrazovanja</w:t>
            </w:r>
          </w:p>
        </w:tc>
        <w:tc>
          <w:tcPr>
            <w:tcW w:w="1243" w:type="dxa"/>
            <w:tcBorders>
              <w:top w:val="nil"/>
              <w:left w:val="nil"/>
              <w:bottom w:val="single" w:sz="4" w:space="0" w:color="auto"/>
              <w:right w:val="single" w:sz="4" w:space="0" w:color="auto"/>
            </w:tcBorders>
            <w:shd w:val="clear" w:color="auto" w:fill="C6EFCE"/>
            <w:noWrap/>
          </w:tcPr>
          <w:p w14:paraId="3555CE4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7D74DD3" w14:textId="77777777" w:rsidR="003F46B9" w:rsidRDefault="0065662E">
            <w:pPr>
              <w:pStyle w:val="P68B1DB1-Normal35"/>
              <w:spacing w:after="0"/>
              <w:jc w:val="both"/>
              <w:rPr>
                <w:noProof/>
              </w:rPr>
            </w:pPr>
            <w:r>
              <w:rPr>
                <w:noProof/>
              </w:rPr>
              <w:t xml:space="preserve">Stupanje na snagu izmjena zakonodavnog okvira radi povećanja kvalitete okruženja za učenje </w:t>
            </w:r>
          </w:p>
        </w:tc>
      </w:tr>
      <w:tr w:rsidR="003F46B9" w14:paraId="5F85D285" w14:textId="77777777">
        <w:trPr>
          <w:trHeight w:val="302"/>
        </w:trPr>
        <w:tc>
          <w:tcPr>
            <w:tcW w:w="1356" w:type="dxa"/>
            <w:tcBorders>
              <w:top w:val="single" w:sz="4" w:space="0" w:color="auto"/>
              <w:left w:val="single" w:sz="4" w:space="0" w:color="auto"/>
              <w:bottom w:val="single" w:sz="4" w:space="0" w:color="auto"/>
              <w:right w:val="single" w:sz="4" w:space="0" w:color="auto"/>
            </w:tcBorders>
            <w:shd w:val="clear" w:color="auto" w:fill="C6EFCE"/>
            <w:noWrap/>
          </w:tcPr>
          <w:p w14:paraId="5430C294" w14:textId="77777777" w:rsidR="003F46B9" w:rsidRDefault="003F46B9">
            <w:pPr>
              <w:spacing w:after="0"/>
              <w:jc w:val="center"/>
              <w:rPr>
                <w:rFonts w:ascii="Times New Roman" w:eastAsia="Times New Roman" w:hAnsi="Times New Roman" w:cs="Times New Roman"/>
                <w:noProof/>
              </w:rPr>
            </w:pPr>
          </w:p>
        </w:tc>
        <w:tc>
          <w:tcPr>
            <w:tcW w:w="3633" w:type="dxa"/>
            <w:tcBorders>
              <w:top w:val="single" w:sz="4" w:space="0" w:color="auto"/>
              <w:left w:val="nil"/>
              <w:bottom w:val="single" w:sz="4" w:space="0" w:color="auto"/>
              <w:right w:val="single" w:sz="4" w:space="0" w:color="auto"/>
            </w:tcBorders>
            <w:shd w:val="clear" w:color="auto" w:fill="C6EFCE"/>
            <w:noWrap/>
          </w:tcPr>
          <w:p w14:paraId="6DA595FC" w14:textId="77777777" w:rsidR="003F46B9" w:rsidRDefault="003F46B9">
            <w:pPr>
              <w:spacing w:after="0"/>
              <w:rPr>
                <w:rFonts w:ascii="Times New Roman" w:eastAsia="Times New Roman" w:hAnsi="Times New Roman" w:cs="Times New Roman"/>
                <w:noProof/>
              </w:rPr>
            </w:pPr>
          </w:p>
        </w:tc>
        <w:tc>
          <w:tcPr>
            <w:tcW w:w="1243" w:type="dxa"/>
            <w:tcBorders>
              <w:top w:val="single" w:sz="4" w:space="0" w:color="auto"/>
              <w:left w:val="nil"/>
              <w:bottom w:val="single" w:sz="4" w:space="0" w:color="auto"/>
              <w:right w:val="single" w:sz="4" w:space="0" w:color="auto"/>
            </w:tcBorders>
            <w:shd w:val="clear" w:color="auto" w:fill="C6EFCE"/>
            <w:noWrap/>
          </w:tcPr>
          <w:p w14:paraId="0477C5CF"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01EC40FD" w14:textId="77777777" w:rsidR="003F46B9" w:rsidRDefault="0065662E">
            <w:pPr>
              <w:pStyle w:val="P68B1DB1-Normal36"/>
              <w:spacing w:after="0"/>
              <w:jc w:val="right"/>
              <w:rPr>
                <w:noProof/>
              </w:rPr>
            </w:pPr>
            <w:r>
              <w:rPr>
                <w:noProof/>
              </w:rPr>
              <w:t>2147491242 EURA</w:t>
            </w:r>
          </w:p>
        </w:tc>
      </w:tr>
    </w:tbl>
    <w:p w14:paraId="2BEA2365" w14:textId="77777777" w:rsidR="003F46B9" w:rsidRDefault="003F46B9">
      <w:pPr>
        <w:rPr>
          <w:rFonts w:ascii="Times New Roman" w:hAnsi="Times New Roman" w:cs="Times New Roman"/>
          <w:noProof/>
        </w:rPr>
      </w:pPr>
    </w:p>
    <w:p w14:paraId="505C9376" w14:textId="77777777" w:rsidR="003F46B9" w:rsidRDefault="0065662E">
      <w:pPr>
        <w:pStyle w:val="Heading3"/>
        <w:rPr>
          <w:noProof/>
        </w:rPr>
      </w:pPr>
      <w:r>
        <w:rPr>
          <w:noProof/>
        </w:rPr>
        <w:t xml:space="preserve">Treći obrok (bespovratna potpora): </w:t>
      </w:r>
    </w:p>
    <w:tbl>
      <w:tblPr>
        <w:tblW w:w="9634" w:type="dxa"/>
        <w:tblInd w:w="113" w:type="dxa"/>
        <w:tblLook w:val="04A0" w:firstRow="1" w:lastRow="0" w:firstColumn="1" w:lastColumn="0" w:noHBand="0" w:noVBand="1"/>
      </w:tblPr>
      <w:tblGrid>
        <w:gridCol w:w="1413"/>
        <w:gridCol w:w="3544"/>
        <w:gridCol w:w="1316"/>
        <w:gridCol w:w="3402"/>
      </w:tblGrid>
      <w:tr w:rsidR="003F46B9" w14:paraId="35B5CE6C"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91F16F"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E7E174" w14:textId="77777777" w:rsidR="003F46B9" w:rsidRDefault="0065662E">
            <w:pPr>
              <w:pStyle w:val="P68B1DB1-Normal34"/>
              <w:spacing w:after="0"/>
              <w:jc w:val="center"/>
              <w:rPr>
                <w:noProof/>
              </w:rPr>
            </w:pPr>
            <w:r>
              <w:rPr>
                <w:noProof/>
              </w:rPr>
              <w:t>Povezana mjera</w:t>
            </w:r>
          </w:p>
          <w:p w14:paraId="29C0E679"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85686CC"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A7E2DF4" w14:textId="77777777" w:rsidR="003F46B9" w:rsidRDefault="0065662E">
            <w:pPr>
              <w:pStyle w:val="P68B1DB1-Normal34"/>
              <w:spacing w:after="0"/>
              <w:jc w:val="center"/>
              <w:rPr>
                <w:noProof/>
              </w:rPr>
            </w:pPr>
            <w:r>
              <w:rPr>
                <w:noProof/>
              </w:rPr>
              <w:t>Ime</w:t>
            </w:r>
          </w:p>
        </w:tc>
      </w:tr>
      <w:tr w:rsidR="003F46B9" w14:paraId="751C6A37"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ABCC47A"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56CA3B7C"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758E29C"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17FA36FE" w14:textId="77777777" w:rsidR="003F46B9" w:rsidRDefault="003F46B9">
            <w:pPr>
              <w:spacing w:after="0"/>
              <w:jc w:val="both"/>
              <w:rPr>
                <w:rFonts w:ascii="Times New Roman" w:eastAsia="Times New Roman" w:hAnsi="Times New Roman" w:cs="Times New Roman"/>
                <w:b/>
                <w:noProof/>
              </w:rPr>
            </w:pPr>
          </w:p>
        </w:tc>
      </w:tr>
      <w:tr w:rsidR="003F46B9" w14:paraId="4E8E3C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5E23A5CE" w14:textId="77777777" w:rsidR="003F46B9" w:rsidRDefault="0065662E">
            <w:pPr>
              <w:pStyle w:val="P68B1DB1-Normal35"/>
              <w:spacing w:after="0"/>
              <w:jc w:val="center"/>
              <w:rPr>
                <w:rFonts w:eastAsia="Times New Roman"/>
                <w:noProof/>
              </w:rPr>
            </w:pPr>
            <w:r>
              <w:rPr>
                <w:noProof/>
              </w:rPr>
              <w:t>22</w:t>
            </w:r>
          </w:p>
        </w:tc>
        <w:tc>
          <w:tcPr>
            <w:tcW w:w="3544" w:type="dxa"/>
            <w:tcBorders>
              <w:top w:val="nil"/>
              <w:left w:val="nil"/>
              <w:bottom w:val="single" w:sz="4" w:space="0" w:color="auto"/>
              <w:right w:val="single" w:sz="4" w:space="0" w:color="auto"/>
            </w:tcBorders>
            <w:shd w:val="clear" w:color="auto" w:fill="C6EFCE"/>
            <w:noWrap/>
            <w:hideMark/>
          </w:tcPr>
          <w:p w14:paraId="189CCA59" w14:textId="77777777" w:rsidR="003F46B9" w:rsidRDefault="0065662E">
            <w:pPr>
              <w:pStyle w:val="P68B1DB1-Normal35"/>
              <w:spacing w:after="0"/>
              <w:jc w:val="both"/>
              <w:rPr>
                <w:noProof/>
              </w:rPr>
            </w:pPr>
            <w:r>
              <w:rPr>
                <w:noProof/>
              </w:rPr>
              <w:t>C2.R1</w:t>
            </w:r>
          </w:p>
          <w:p w14:paraId="520B6B22" w14:textId="77777777" w:rsidR="003F46B9" w:rsidRDefault="0065662E">
            <w:pPr>
              <w:pStyle w:val="P68B1DB1-Normal35"/>
              <w:spacing w:after="0"/>
              <w:jc w:val="both"/>
              <w:rPr>
                <w:rFonts w:eastAsia="Times New Roman"/>
                <w:noProof/>
              </w:rPr>
            </w:pPr>
            <w:r>
              <w:rPr>
                <w:noProof/>
              </w:rPr>
              <w:t xml:space="preserve">Reforma sustava gospodarenja šumama i upravljanja šumama razvojem nove nacionalne strategije za šume i naknadnog zakonodavstva </w:t>
            </w:r>
          </w:p>
        </w:tc>
        <w:tc>
          <w:tcPr>
            <w:tcW w:w="1275" w:type="dxa"/>
            <w:tcBorders>
              <w:top w:val="nil"/>
              <w:left w:val="nil"/>
              <w:bottom w:val="single" w:sz="4" w:space="0" w:color="auto"/>
              <w:right w:val="single" w:sz="4" w:space="0" w:color="auto"/>
            </w:tcBorders>
            <w:shd w:val="clear" w:color="auto" w:fill="C6EFCE"/>
            <w:noWrap/>
            <w:hideMark/>
          </w:tcPr>
          <w:p w14:paraId="1B19D70A"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495B4C63" w14:textId="77777777" w:rsidR="003F46B9" w:rsidRDefault="0065662E">
            <w:pPr>
              <w:pStyle w:val="P68B1DB1-Normal35"/>
              <w:spacing w:after="0"/>
              <w:jc w:val="both"/>
              <w:rPr>
                <w:rFonts w:eastAsia="Times New Roman"/>
                <w:noProof/>
              </w:rPr>
            </w:pPr>
            <w:r>
              <w:rPr>
                <w:noProof/>
              </w:rPr>
              <w:t xml:space="preserve">Donošenje nacionalne strategije za </w:t>
            </w:r>
            <w:r>
              <w:rPr>
                <w:noProof/>
              </w:rPr>
              <w:t>šume za razdoblje 2020. 2030.</w:t>
            </w:r>
          </w:p>
        </w:tc>
      </w:tr>
      <w:tr w:rsidR="003F46B9" w14:paraId="571FB0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1C00960" w14:textId="77777777" w:rsidR="003F46B9" w:rsidRDefault="0065662E">
            <w:pPr>
              <w:pStyle w:val="P68B1DB1-Normal35"/>
              <w:spacing w:after="0"/>
              <w:jc w:val="center"/>
              <w:rPr>
                <w:rFonts w:eastAsia="Times New Roman"/>
                <w:noProof/>
              </w:rPr>
            </w:pPr>
            <w:r>
              <w:rPr>
                <w:noProof/>
              </w:rPr>
              <w:t>23</w:t>
            </w:r>
          </w:p>
        </w:tc>
        <w:tc>
          <w:tcPr>
            <w:tcW w:w="3544" w:type="dxa"/>
            <w:tcBorders>
              <w:top w:val="nil"/>
              <w:left w:val="nil"/>
              <w:bottom w:val="single" w:sz="4" w:space="0" w:color="auto"/>
              <w:right w:val="single" w:sz="4" w:space="0" w:color="auto"/>
            </w:tcBorders>
            <w:shd w:val="clear" w:color="auto" w:fill="C6EFCE"/>
            <w:noWrap/>
            <w:hideMark/>
          </w:tcPr>
          <w:p w14:paraId="7F346D7B" w14:textId="77777777" w:rsidR="003F46B9" w:rsidRDefault="0065662E">
            <w:pPr>
              <w:pStyle w:val="P68B1DB1-Normal35"/>
              <w:spacing w:after="0"/>
              <w:jc w:val="both"/>
              <w:rPr>
                <w:noProof/>
              </w:rPr>
            </w:pPr>
            <w:r>
              <w:rPr>
                <w:noProof/>
              </w:rPr>
              <w:t xml:space="preserve">C2.R1 </w:t>
            </w:r>
          </w:p>
          <w:p w14:paraId="1958FE13" w14:textId="77777777" w:rsidR="003F46B9" w:rsidRDefault="0065662E">
            <w:pPr>
              <w:pStyle w:val="P68B1DB1-Normal35"/>
              <w:spacing w:after="0"/>
              <w:jc w:val="both"/>
              <w:rPr>
                <w:rFonts w:eastAsia="Times New Roman"/>
                <w:noProof/>
              </w:rPr>
            </w:pPr>
            <w:r>
              <w:rPr>
                <w:noProof/>
              </w:rPr>
              <w:t xml:space="preserve">Reforma sustava gospodarenja šumama i upravljanja šumama razvojem nove nacionalne strategije za šume i naknadnog zakonodavstva </w:t>
            </w:r>
          </w:p>
        </w:tc>
        <w:tc>
          <w:tcPr>
            <w:tcW w:w="1275" w:type="dxa"/>
            <w:tcBorders>
              <w:top w:val="nil"/>
              <w:left w:val="nil"/>
              <w:bottom w:val="single" w:sz="4" w:space="0" w:color="auto"/>
              <w:right w:val="single" w:sz="4" w:space="0" w:color="auto"/>
            </w:tcBorders>
            <w:shd w:val="clear" w:color="auto" w:fill="C6EFCE"/>
            <w:noWrap/>
            <w:hideMark/>
          </w:tcPr>
          <w:p w14:paraId="0617D21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5AE3256D" w14:textId="77777777" w:rsidR="003F46B9" w:rsidRDefault="0065662E">
            <w:pPr>
              <w:pStyle w:val="P68B1DB1-Normal35"/>
              <w:spacing w:after="0"/>
              <w:jc w:val="both"/>
              <w:rPr>
                <w:rFonts w:eastAsia="Times New Roman"/>
                <w:noProof/>
              </w:rPr>
            </w:pPr>
            <w:r>
              <w:rPr>
                <w:noProof/>
              </w:rPr>
              <w:t xml:space="preserve">Stupanje na snagu izmijenjenih ministarskih pravilnika o utvrđivanju obvezujućih </w:t>
            </w:r>
            <w:r>
              <w:rPr>
                <w:noProof/>
              </w:rPr>
              <w:t>pravila za pošumljavanje i ponovno pošumljavanje predviđenih u Nacionalnoj strategiji za šume za razdoblje 2020. – 2030.</w:t>
            </w:r>
          </w:p>
        </w:tc>
      </w:tr>
      <w:tr w:rsidR="003F46B9" w14:paraId="611F64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5C1DEAE" w14:textId="77777777" w:rsidR="003F46B9" w:rsidRDefault="0065662E">
            <w:pPr>
              <w:pStyle w:val="P68B1DB1-Normal35"/>
              <w:spacing w:after="0"/>
              <w:jc w:val="center"/>
              <w:rPr>
                <w:rFonts w:eastAsia="Times New Roman"/>
                <w:noProof/>
              </w:rPr>
            </w:pPr>
            <w:r>
              <w:rPr>
                <w:noProof/>
              </w:rPr>
              <w:t>148</w:t>
            </w:r>
          </w:p>
        </w:tc>
        <w:tc>
          <w:tcPr>
            <w:tcW w:w="3544" w:type="dxa"/>
            <w:tcBorders>
              <w:top w:val="nil"/>
              <w:left w:val="nil"/>
              <w:bottom w:val="single" w:sz="4" w:space="0" w:color="auto"/>
              <w:right w:val="single" w:sz="4" w:space="0" w:color="auto"/>
            </w:tcBorders>
            <w:shd w:val="clear" w:color="auto" w:fill="C6EFCE"/>
            <w:noWrap/>
            <w:hideMark/>
          </w:tcPr>
          <w:p w14:paraId="2988B96A" w14:textId="77777777" w:rsidR="003F46B9" w:rsidRDefault="0065662E">
            <w:pPr>
              <w:pStyle w:val="P68B1DB1-Normal35"/>
              <w:spacing w:after="0"/>
              <w:jc w:val="both"/>
              <w:rPr>
                <w:noProof/>
              </w:rPr>
            </w:pPr>
            <w:r>
              <w:rPr>
                <w:noProof/>
              </w:rPr>
              <w:t>C7.R2</w:t>
            </w:r>
          </w:p>
          <w:p w14:paraId="7D3DE940" w14:textId="71A4CB55" w:rsidR="003F46B9" w:rsidRDefault="0065662E">
            <w:pPr>
              <w:pStyle w:val="P68B1DB1-Normal35"/>
              <w:spacing w:after="0"/>
              <w:jc w:val="both"/>
              <w:rPr>
                <w:rFonts w:eastAsia="Times New Roman"/>
                <w:noProof/>
              </w:rPr>
            </w:pPr>
            <w:r>
              <w:rPr>
                <w:noProof/>
              </w:rPr>
              <w:t xml:space="preserve">Prijelaz na ciljeve povezivosti EU-2025 i poticanje privatnih ulaganja u uvođenje mreža vrlo velikog kapaciteta </w:t>
            </w:r>
          </w:p>
        </w:tc>
        <w:tc>
          <w:tcPr>
            <w:tcW w:w="1275" w:type="dxa"/>
            <w:tcBorders>
              <w:top w:val="nil"/>
              <w:left w:val="nil"/>
              <w:bottom w:val="single" w:sz="4" w:space="0" w:color="auto"/>
              <w:right w:val="single" w:sz="4" w:space="0" w:color="auto"/>
            </w:tcBorders>
            <w:shd w:val="clear" w:color="auto" w:fill="C6EFCE"/>
            <w:noWrap/>
            <w:hideMark/>
          </w:tcPr>
          <w:p w14:paraId="4B2A42F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2F5814B6" w14:textId="1C69DE05" w:rsidR="003F46B9" w:rsidRDefault="0065662E">
            <w:pPr>
              <w:pStyle w:val="P68B1DB1-Normal35"/>
              <w:spacing w:after="0"/>
              <w:jc w:val="both"/>
              <w:rPr>
                <w:rFonts w:eastAsia="Times New Roman"/>
                <w:noProof/>
              </w:rPr>
            </w:pPr>
            <w:r>
              <w:rPr>
                <w:noProof/>
              </w:rPr>
              <w:t>Provode s</w:t>
            </w:r>
            <w:r>
              <w:rPr>
                <w:noProof/>
              </w:rPr>
              <w:t xml:space="preserve">e preporuke iz paketa instrumenata EU-a za povezivost </w:t>
            </w:r>
          </w:p>
        </w:tc>
      </w:tr>
      <w:tr w:rsidR="003F46B9" w14:paraId="32E8858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531F4B" w14:textId="77777777" w:rsidR="003F46B9" w:rsidRDefault="0065662E">
            <w:pPr>
              <w:pStyle w:val="P68B1DB1-Normal35"/>
              <w:spacing w:after="0"/>
              <w:jc w:val="center"/>
              <w:rPr>
                <w:rFonts w:eastAsia="Times New Roman"/>
                <w:noProof/>
              </w:rPr>
            </w:pPr>
            <w:r>
              <w:rPr>
                <w:noProof/>
              </w:rPr>
              <w:t>149</w:t>
            </w:r>
          </w:p>
        </w:tc>
        <w:tc>
          <w:tcPr>
            <w:tcW w:w="3544" w:type="dxa"/>
            <w:tcBorders>
              <w:top w:val="nil"/>
              <w:left w:val="nil"/>
              <w:bottom w:val="single" w:sz="4" w:space="0" w:color="auto"/>
              <w:right w:val="single" w:sz="4" w:space="0" w:color="auto"/>
            </w:tcBorders>
            <w:shd w:val="clear" w:color="auto" w:fill="C6EFCE"/>
            <w:noWrap/>
          </w:tcPr>
          <w:p w14:paraId="6BE426E8" w14:textId="77777777" w:rsidR="003F46B9" w:rsidRDefault="0065662E">
            <w:pPr>
              <w:pStyle w:val="P68B1DB1-Normal35"/>
              <w:spacing w:after="0"/>
              <w:jc w:val="both"/>
              <w:rPr>
                <w:noProof/>
              </w:rPr>
            </w:pPr>
            <w:r>
              <w:rPr>
                <w:noProof/>
              </w:rPr>
              <w:t>C7.R2</w:t>
            </w:r>
          </w:p>
          <w:p w14:paraId="2AB587FF" w14:textId="09C9F022" w:rsidR="003F46B9" w:rsidRDefault="0065662E">
            <w:pPr>
              <w:pStyle w:val="P68B1DB1-Normal35"/>
              <w:spacing w:after="0"/>
              <w:jc w:val="both"/>
              <w:rPr>
                <w:rFonts w:eastAsia="Times New Roman"/>
                <w:noProof/>
              </w:rPr>
            </w:pPr>
            <w:r>
              <w:rPr>
                <w:noProof/>
              </w:rPr>
              <w:t xml:space="preserve">Prijelaz na ciljeve EU-a za povezivost do 2025. i poticanje privatnih ulaganja u uvođenje mreža vrlo velikog kapaciteta </w:t>
            </w:r>
          </w:p>
        </w:tc>
        <w:tc>
          <w:tcPr>
            <w:tcW w:w="1275" w:type="dxa"/>
            <w:tcBorders>
              <w:top w:val="nil"/>
              <w:left w:val="nil"/>
              <w:bottom w:val="single" w:sz="4" w:space="0" w:color="auto"/>
              <w:right w:val="single" w:sz="4" w:space="0" w:color="auto"/>
            </w:tcBorders>
            <w:shd w:val="clear" w:color="auto" w:fill="C6EFCE"/>
            <w:noWrap/>
          </w:tcPr>
          <w:p w14:paraId="112F02E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38F1369" w14:textId="77777777" w:rsidR="003F46B9" w:rsidRDefault="0065662E">
            <w:pPr>
              <w:pStyle w:val="P68B1DB1-Normal35"/>
              <w:spacing w:after="0"/>
              <w:jc w:val="both"/>
              <w:rPr>
                <w:rFonts w:eastAsia="Times New Roman"/>
                <w:noProof/>
              </w:rPr>
            </w:pPr>
            <w:r>
              <w:rPr>
                <w:noProof/>
              </w:rPr>
              <w:t>Dodjela prava korištenja radiofrekvencijskim spektrom</w:t>
            </w:r>
          </w:p>
        </w:tc>
      </w:tr>
      <w:tr w:rsidR="003F46B9" w14:paraId="183D8E7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D57527A" w14:textId="77777777" w:rsidR="003F46B9" w:rsidRDefault="0065662E">
            <w:pPr>
              <w:pStyle w:val="P68B1DB1-Normal35"/>
              <w:spacing w:after="0"/>
              <w:jc w:val="center"/>
              <w:rPr>
                <w:rFonts w:eastAsia="Times New Roman"/>
                <w:noProof/>
              </w:rPr>
            </w:pPr>
            <w:r>
              <w:rPr>
                <w:noProof/>
              </w:rPr>
              <w:t>152</w:t>
            </w:r>
          </w:p>
        </w:tc>
        <w:tc>
          <w:tcPr>
            <w:tcW w:w="3544" w:type="dxa"/>
            <w:tcBorders>
              <w:top w:val="nil"/>
              <w:left w:val="nil"/>
              <w:bottom w:val="single" w:sz="4" w:space="0" w:color="auto"/>
              <w:right w:val="single" w:sz="4" w:space="0" w:color="auto"/>
            </w:tcBorders>
            <w:shd w:val="clear" w:color="auto" w:fill="C6EFCE"/>
            <w:noWrap/>
          </w:tcPr>
          <w:p w14:paraId="3A03E245" w14:textId="77777777" w:rsidR="003F46B9" w:rsidRDefault="0065662E">
            <w:pPr>
              <w:pStyle w:val="P68B1DB1-Normal35"/>
              <w:spacing w:after="0"/>
              <w:jc w:val="both"/>
              <w:rPr>
                <w:noProof/>
              </w:rPr>
            </w:pPr>
            <w:r>
              <w:rPr>
                <w:noProof/>
              </w:rPr>
              <w:t>C7.R4</w:t>
            </w:r>
          </w:p>
          <w:p w14:paraId="420C43A3" w14:textId="77777777" w:rsidR="003F46B9" w:rsidRDefault="0065662E">
            <w:pPr>
              <w:pStyle w:val="P68B1DB1-Normal35"/>
              <w:spacing w:after="0"/>
              <w:jc w:val="both"/>
              <w:rPr>
                <w:rFonts w:eastAsia="Times New Roman"/>
                <w:noProof/>
              </w:rPr>
            </w:pPr>
            <w:r>
              <w:rPr>
                <w:noProof/>
              </w:rPr>
              <w:t>Povećanje digitalne kompetencije građana za javne usluge i digitalno obrazovanje tijekom cijelog života</w:t>
            </w:r>
          </w:p>
        </w:tc>
        <w:tc>
          <w:tcPr>
            <w:tcW w:w="1275" w:type="dxa"/>
            <w:tcBorders>
              <w:top w:val="nil"/>
              <w:left w:val="nil"/>
              <w:bottom w:val="single" w:sz="4" w:space="0" w:color="auto"/>
              <w:right w:val="single" w:sz="4" w:space="0" w:color="auto"/>
            </w:tcBorders>
            <w:shd w:val="clear" w:color="auto" w:fill="C6EFCE"/>
            <w:noWrap/>
          </w:tcPr>
          <w:p w14:paraId="6B8BA47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73285A2" w14:textId="6DB04116" w:rsidR="003F46B9" w:rsidRDefault="0065662E">
            <w:pPr>
              <w:pStyle w:val="P68B1DB1-Normal35"/>
              <w:spacing w:after="0"/>
              <w:jc w:val="both"/>
              <w:rPr>
                <w:rFonts w:eastAsia="Times New Roman"/>
                <w:noProof/>
              </w:rPr>
            </w:pPr>
            <w:r>
              <w:rPr>
                <w:noProof/>
              </w:rPr>
              <w:t>Stupanje na snagu ministarske odluke ministra rada i predsjednika Nacionalnog zavoda za statistiku o definiciji novih digitalnih zanimanja u klasifika</w:t>
            </w:r>
            <w:r>
              <w:rPr>
                <w:noProof/>
              </w:rPr>
              <w:t xml:space="preserve">ciji zanimanja (COR) </w:t>
            </w:r>
          </w:p>
        </w:tc>
      </w:tr>
      <w:tr w:rsidR="003F46B9" w14:paraId="32482D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8F3351" w14:textId="77777777" w:rsidR="003F46B9" w:rsidRDefault="0065662E">
            <w:pPr>
              <w:pStyle w:val="P68B1DB1-Normal35"/>
              <w:spacing w:after="0"/>
              <w:jc w:val="center"/>
              <w:rPr>
                <w:rFonts w:eastAsia="Times New Roman"/>
                <w:noProof/>
              </w:rPr>
            </w:pPr>
            <w:r>
              <w:rPr>
                <w:noProof/>
              </w:rPr>
              <w:t>384</w:t>
            </w:r>
          </w:p>
        </w:tc>
        <w:tc>
          <w:tcPr>
            <w:tcW w:w="3544" w:type="dxa"/>
            <w:tcBorders>
              <w:top w:val="nil"/>
              <w:left w:val="nil"/>
              <w:bottom w:val="single" w:sz="4" w:space="0" w:color="auto"/>
              <w:right w:val="single" w:sz="4" w:space="0" w:color="auto"/>
            </w:tcBorders>
            <w:shd w:val="clear" w:color="auto" w:fill="C6EFCE"/>
            <w:noWrap/>
          </w:tcPr>
          <w:p w14:paraId="6CB053DC" w14:textId="77777777" w:rsidR="003F46B9" w:rsidRDefault="0065662E">
            <w:pPr>
              <w:pStyle w:val="P68B1DB1-Normal35"/>
              <w:spacing w:after="0"/>
              <w:jc w:val="both"/>
              <w:rPr>
                <w:noProof/>
              </w:rPr>
            </w:pPr>
            <w:r>
              <w:rPr>
                <w:noProof/>
              </w:rPr>
              <w:t>C13.R3</w:t>
            </w:r>
          </w:p>
          <w:p w14:paraId="438E09EB" w14:textId="77777777" w:rsidR="003F46B9" w:rsidRDefault="0065662E">
            <w:pPr>
              <w:pStyle w:val="P68B1DB1-Normal35"/>
              <w:spacing w:after="0"/>
              <w:jc w:val="both"/>
              <w:rPr>
                <w:rFonts w:eastAsia="Times New Roman"/>
                <w:noProof/>
              </w:rPr>
            </w:pPr>
            <w:r>
              <w:rPr>
                <w:noProof/>
              </w:rPr>
              <w:t>Provedba minimalnog dohotka za uključivanje (VMI)</w:t>
            </w:r>
          </w:p>
        </w:tc>
        <w:tc>
          <w:tcPr>
            <w:tcW w:w="1275" w:type="dxa"/>
            <w:tcBorders>
              <w:top w:val="nil"/>
              <w:left w:val="nil"/>
              <w:bottom w:val="single" w:sz="4" w:space="0" w:color="auto"/>
              <w:right w:val="single" w:sz="4" w:space="0" w:color="auto"/>
            </w:tcBorders>
            <w:shd w:val="clear" w:color="auto" w:fill="C6EFCE"/>
            <w:noWrap/>
          </w:tcPr>
          <w:p w14:paraId="3B1F64E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E6E8DF1" w14:textId="77777777" w:rsidR="003F46B9" w:rsidRDefault="0065662E">
            <w:pPr>
              <w:pStyle w:val="P68B1DB1-Normal35"/>
              <w:spacing w:after="0"/>
              <w:jc w:val="both"/>
              <w:rPr>
                <w:rFonts w:eastAsia="Times New Roman"/>
                <w:noProof/>
              </w:rPr>
            </w:pPr>
            <w:r>
              <w:rPr>
                <w:noProof/>
              </w:rPr>
              <w:t>Stupanje na snagu zakona kojim se odobravaju provedbena pravila za primjenu VMI-ja</w:t>
            </w:r>
          </w:p>
        </w:tc>
      </w:tr>
      <w:tr w:rsidR="003F46B9" w14:paraId="37637C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138266" w14:textId="77777777" w:rsidR="003F46B9" w:rsidRDefault="0065662E">
            <w:pPr>
              <w:pStyle w:val="P68B1DB1-Normal35"/>
              <w:spacing w:after="0"/>
              <w:jc w:val="center"/>
              <w:rPr>
                <w:rFonts w:eastAsia="Times New Roman"/>
                <w:noProof/>
              </w:rPr>
            </w:pPr>
            <w:r>
              <w:rPr>
                <w:noProof/>
              </w:rPr>
              <w:t>410</w:t>
            </w:r>
          </w:p>
        </w:tc>
        <w:tc>
          <w:tcPr>
            <w:tcW w:w="3544" w:type="dxa"/>
            <w:tcBorders>
              <w:top w:val="nil"/>
              <w:left w:val="nil"/>
              <w:bottom w:val="single" w:sz="4" w:space="0" w:color="auto"/>
              <w:right w:val="single" w:sz="4" w:space="0" w:color="auto"/>
            </w:tcBorders>
            <w:shd w:val="clear" w:color="auto" w:fill="C6EFCE"/>
            <w:noWrap/>
          </w:tcPr>
          <w:p w14:paraId="057E4F1C" w14:textId="77777777" w:rsidR="003F46B9" w:rsidRDefault="0065662E">
            <w:pPr>
              <w:pStyle w:val="P68B1DB1-Normal35"/>
              <w:spacing w:after="0"/>
              <w:jc w:val="both"/>
              <w:rPr>
                <w:noProof/>
              </w:rPr>
            </w:pPr>
            <w:r>
              <w:rPr>
                <w:noProof/>
              </w:rPr>
              <w:t>C14.R1</w:t>
            </w:r>
          </w:p>
          <w:p w14:paraId="59ADA6A8" w14:textId="77777777" w:rsidR="003F46B9" w:rsidRDefault="0065662E">
            <w:pPr>
              <w:pStyle w:val="P68B1DB1-Normal35"/>
              <w:spacing w:after="0"/>
              <w:jc w:val="both"/>
              <w:rPr>
                <w:rFonts w:eastAsia="Times New Roman"/>
                <w:noProof/>
              </w:rPr>
            </w:pPr>
            <w:r>
              <w:rPr>
                <w:noProof/>
              </w:rPr>
              <w:t xml:space="preserve">Povećanje predvidljivosti i učinkovitosti postupaka donošenja odluka </w:t>
            </w:r>
            <w:r>
              <w:rPr>
                <w:noProof/>
              </w:rPr>
              <w:t>jačanjem kapaciteta za koordinaciju politika i analizu učinka na razini vlade i koordinacijskih ministarstava te jačanjem alata za povećanje kvalitete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75DF71CA"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81D4EC4" w14:textId="77777777" w:rsidR="003F46B9" w:rsidRDefault="0065662E">
            <w:pPr>
              <w:pStyle w:val="P68B1DB1-Normal35"/>
              <w:spacing w:after="0"/>
              <w:jc w:val="both"/>
              <w:rPr>
                <w:rFonts w:eastAsia="Times New Roman"/>
                <w:noProof/>
              </w:rPr>
            </w:pPr>
            <w:r>
              <w:rPr>
                <w:noProof/>
              </w:rPr>
              <w:t>Stupanje na snagu smjernica za odgovarajuću upotrebu i prov</w:t>
            </w:r>
            <w:r>
              <w:rPr>
                <w:noProof/>
              </w:rPr>
              <w:t>edbu jedinstvenog registra transparentnosti interesa (RUTI)</w:t>
            </w:r>
          </w:p>
        </w:tc>
      </w:tr>
      <w:tr w:rsidR="003F46B9" w14:paraId="41011A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B60A38" w14:textId="77777777" w:rsidR="003F46B9" w:rsidRDefault="0065662E">
            <w:pPr>
              <w:pStyle w:val="P68B1DB1-Normal35"/>
              <w:spacing w:after="0"/>
              <w:jc w:val="center"/>
              <w:rPr>
                <w:rFonts w:eastAsia="Times New Roman"/>
                <w:noProof/>
              </w:rPr>
            </w:pPr>
            <w:r>
              <w:rPr>
                <w:noProof/>
              </w:rPr>
              <w:t>411</w:t>
            </w:r>
          </w:p>
        </w:tc>
        <w:tc>
          <w:tcPr>
            <w:tcW w:w="3544" w:type="dxa"/>
            <w:tcBorders>
              <w:top w:val="nil"/>
              <w:left w:val="nil"/>
              <w:bottom w:val="single" w:sz="4" w:space="0" w:color="auto"/>
              <w:right w:val="single" w:sz="4" w:space="0" w:color="auto"/>
            </w:tcBorders>
            <w:shd w:val="clear" w:color="auto" w:fill="C6EFCE"/>
            <w:noWrap/>
          </w:tcPr>
          <w:p w14:paraId="28B30E31" w14:textId="77777777" w:rsidR="003F46B9" w:rsidRDefault="0065662E">
            <w:pPr>
              <w:pStyle w:val="P68B1DB1-Normal35"/>
              <w:spacing w:after="0"/>
              <w:jc w:val="both"/>
              <w:rPr>
                <w:noProof/>
              </w:rPr>
            </w:pPr>
            <w:r>
              <w:rPr>
                <w:noProof/>
              </w:rPr>
              <w:t>C14.R1</w:t>
            </w:r>
          </w:p>
          <w:p w14:paraId="78342D69" w14:textId="77777777" w:rsidR="003F46B9" w:rsidRDefault="0065662E">
            <w:pPr>
              <w:pStyle w:val="P68B1DB1-Normal35"/>
              <w:spacing w:after="0"/>
              <w:jc w:val="both"/>
              <w:rPr>
                <w:rFonts w:eastAsia="Times New Roman"/>
                <w:noProof/>
              </w:rPr>
            </w:pPr>
            <w:r>
              <w:rPr>
                <w:noProof/>
              </w:rPr>
              <w:t>Povećanje predvidljivosti i učinkovitosti postupaka donošenja odluka jačanjem kapaciteta za koordinaciju politika i analizu učinka na razini vlade i koordinacijskih ministarstava te ja</w:t>
            </w:r>
            <w:r>
              <w:rPr>
                <w:noProof/>
              </w:rPr>
              <w:t>čanjem alata za povećanje kvalitete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04BF1D8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2DC1AE9" w14:textId="77777777" w:rsidR="003F46B9" w:rsidRDefault="0065662E">
            <w:pPr>
              <w:pStyle w:val="P68B1DB1-Normal35"/>
              <w:spacing w:after="0"/>
              <w:jc w:val="both"/>
              <w:rPr>
                <w:rFonts w:eastAsia="Times New Roman"/>
                <w:noProof/>
              </w:rPr>
            </w:pPr>
            <w:r>
              <w:rPr>
                <w:noProof/>
              </w:rPr>
              <w:t>Stupanje na snagu Metodologije za primjenu hitnih propisa</w:t>
            </w:r>
          </w:p>
        </w:tc>
      </w:tr>
      <w:tr w:rsidR="003F46B9" w14:paraId="36B921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6F5470" w14:textId="77777777" w:rsidR="003F46B9" w:rsidRDefault="0065662E">
            <w:pPr>
              <w:pStyle w:val="P68B1DB1-Normal35"/>
              <w:spacing w:after="0"/>
              <w:jc w:val="center"/>
              <w:rPr>
                <w:rFonts w:eastAsia="Times New Roman"/>
                <w:noProof/>
              </w:rPr>
            </w:pPr>
            <w:r>
              <w:rPr>
                <w:noProof/>
              </w:rPr>
              <w:t>412</w:t>
            </w:r>
          </w:p>
        </w:tc>
        <w:tc>
          <w:tcPr>
            <w:tcW w:w="3544" w:type="dxa"/>
            <w:tcBorders>
              <w:top w:val="nil"/>
              <w:left w:val="nil"/>
              <w:bottom w:val="single" w:sz="4" w:space="0" w:color="auto"/>
              <w:right w:val="single" w:sz="4" w:space="0" w:color="auto"/>
            </w:tcBorders>
            <w:shd w:val="clear" w:color="auto" w:fill="C6EFCE"/>
            <w:noWrap/>
          </w:tcPr>
          <w:p w14:paraId="64073E94" w14:textId="77777777" w:rsidR="003F46B9" w:rsidRDefault="0065662E">
            <w:pPr>
              <w:pStyle w:val="P68B1DB1-Normal35"/>
              <w:spacing w:after="0"/>
              <w:jc w:val="both"/>
              <w:rPr>
                <w:noProof/>
              </w:rPr>
            </w:pPr>
            <w:r>
              <w:rPr>
                <w:noProof/>
              </w:rPr>
              <w:t>C14.R1</w:t>
            </w:r>
          </w:p>
          <w:p w14:paraId="04F89135" w14:textId="77777777" w:rsidR="003F46B9" w:rsidRDefault="0065662E">
            <w:pPr>
              <w:pStyle w:val="P68B1DB1-Normal35"/>
              <w:spacing w:after="0"/>
              <w:jc w:val="both"/>
              <w:rPr>
                <w:rFonts w:eastAsia="Times New Roman"/>
                <w:noProof/>
              </w:rPr>
            </w:pPr>
            <w:r>
              <w:rPr>
                <w:noProof/>
              </w:rPr>
              <w:t>Povećanje predvidljivosti i učinkovitosti postupaka donošenja odluka jačanjem kapaciteta za koordinaciju</w:t>
            </w:r>
            <w:r>
              <w:rPr>
                <w:noProof/>
              </w:rPr>
              <w:t xml:space="preserve"> politika i analizu učinka na razini vlade i koordinacijskih ministarstava te jačanjem alata za povećanje kvalitete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4EE73EC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8600554" w14:textId="77777777" w:rsidR="003F46B9" w:rsidRDefault="0065662E">
            <w:pPr>
              <w:pStyle w:val="P68B1DB1-Normal35"/>
              <w:spacing w:after="0"/>
              <w:jc w:val="both"/>
              <w:rPr>
                <w:rFonts w:eastAsia="Times New Roman"/>
                <w:noProof/>
              </w:rPr>
            </w:pPr>
            <w:r>
              <w:rPr>
                <w:noProof/>
              </w:rPr>
              <w:t>Stupanje na snagu zakonodavnih izmjena kako bi se osigurala objava cjelovitog teksta zakona na</w:t>
            </w:r>
            <w:r>
              <w:rPr>
                <w:noProof/>
              </w:rPr>
              <w:t>kon izmjena</w:t>
            </w:r>
          </w:p>
        </w:tc>
      </w:tr>
      <w:tr w:rsidR="003F46B9" w14:paraId="3C4778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41A8F3" w14:textId="77777777" w:rsidR="003F46B9" w:rsidRDefault="0065662E">
            <w:pPr>
              <w:pStyle w:val="P68B1DB1-Normal35"/>
              <w:spacing w:after="0"/>
              <w:jc w:val="center"/>
              <w:rPr>
                <w:rFonts w:eastAsia="Times New Roman"/>
                <w:noProof/>
              </w:rPr>
            </w:pPr>
            <w:r>
              <w:rPr>
                <w:noProof/>
              </w:rPr>
              <w:t>470</w:t>
            </w:r>
          </w:p>
        </w:tc>
        <w:tc>
          <w:tcPr>
            <w:tcW w:w="3544" w:type="dxa"/>
            <w:tcBorders>
              <w:top w:val="nil"/>
              <w:left w:val="nil"/>
              <w:bottom w:val="single" w:sz="4" w:space="0" w:color="auto"/>
              <w:right w:val="single" w:sz="4" w:space="0" w:color="auto"/>
            </w:tcBorders>
            <w:shd w:val="clear" w:color="auto" w:fill="C6EFCE"/>
            <w:noWrap/>
          </w:tcPr>
          <w:p w14:paraId="2CFB6D03" w14:textId="77777777" w:rsidR="003F46B9" w:rsidRDefault="0065662E">
            <w:pPr>
              <w:pStyle w:val="P68B1DB1-Normal35"/>
              <w:spacing w:after="0"/>
              <w:jc w:val="both"/>
              <w:rPr>
                <w:noProof/>
              </w:rPr>
            </w:pPr>
            <w:r>
              <w:rPr>
                <w:noProof/>
              </w:rPr>
              <w:t>C15.R4</w:t>
            </w:r>
          </w:p>
          <w:p w14:paraId="4491D3F2" w14:textId="77777777" w:rsidR="003F46B9" w:rsidRDefault="0065662E">
            <w:pPr>
              <w:pStyle w:val="P68B1DB1-Normal35"/>
              <w:spacing w:after="0"/>
              <w:jc w:val="both"/>
              <w:rPr>
                <w:rFonts w:eastAsia="Times New Roman"/>
                <w:noProof/>
              </w:rPr>
            </w:pPr>
            <w:r>
              <w:rPr>
                <w:noProof/>
              </w:rPr>
              <w:t>Stvaranje potpune profesionalne rute za visoko tehničko obrazovanje</w:t>
            </w:r>
          </w:p>
        </w:tc>
        <w:tc>
          <w:tcPr>
            <w:tcW w:w="1275" w:type="dxa"/>
            <w:tcBorders>
              <w:top w:val="nil"/>
              <w:left w:val="nil"/>
              <w:bottom w:val="single" w:sz="4" w:space="0" w:color="auto"/>
              <w:right w:val="single" w:sz="4" w:space="0" w:color="auto"/>
            </w:tcBorders>
            <w:shd w:val="clear" w:color="auto" w:fill="C6EFCE"/>
            <w:noWrap/>
          </w:tcPr>
          <w:p w14:paraId="297CCC2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3B184FC" w14:textId="77777777" w:rsidR="003F46B9" w:rsidRDefault="0065662E">
            <w:pPr>
              <w:pStyle w:val="P68B1DB1-Normal35"/>
              <w:spacing w:after="0"/>
              <w:jc w:val="both"/>
              <w:rPr>
                <w:rFonts w:eastAsia="Times New Roman"/>
                <w:noProof/>
              </w:rPr>
            </w:pPr>
            <w:r>
              <w:rPr>
                <w:noProof/>
              </w:rPr>
              <w:t>Stupanje na snagu Odluke Vlade o odobrenju metodologije organizacije cjelovite dvostruke rute i novih kvalifikacija koje proizlaze iz cijele dvostruke rute</w:t>
            </w:r>
          </w:p>
        </w:tc>
      </w:tr>
      <w:tr w:rsidR="003F46B9" w14:paraId="7D8B37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E9DF72" w14:textId="77777777" w:rsidR="003F46B9" w:rsidRDefault="0065662E">
            <w:pPr>
              <w:pStyle w:val="P68B1DB1-Normal35"/>
              <w:spacing w:after="0"/>
              <w:jc w:val="center"/>
              <w:rPr>
                <w:rFonts w:eastAsia="Times New Roman"/>
                <w:noProof/>
              </w:rPr>
            </w:pPr>
            <w:r>
              <w:rPr>
                <w:noProof/>
              </w:rPr>
              <w:t>489</w:t>
            </w:r>
          </w:p>
        </w:tc>
        <w:tc>
          <w:tcPr>
            <w:tcW w:w="3544" w:type="dxa"/>
            <w:tcBorders>
              <w:top w:val="nil"/>
              <w:left w:val="nil"/>
              <w:bottom w:val="single" w:sz="4" w:space="0" w:color="auto"/>
              <w:right w:val="single" w:sz="4" w:space="0" w:color="auto"/>
            </w:tcBorders>
            <w:shd w:val="clear" w:color="auto" w:fill="C6EFCE"/>
            <w:noWrap/>
          </w:tcPr>
          <w:p w14:paraId="532DE0CB" w14:textId="77777777" w:rsidR="003F46B9" w:rsidRDefault="0065662E">
            <w:pPr>
              <w:pStyle w:val="P68B1DB1-Normal35"/>
              <w:spacing w:after="0"/>
              <w:jc w:val="both"/>
              <w:rPr>
                <w:noProof/>
              </w:rPr>
            </w:pPr>
            <w:r>
              <w:rPr>
                <w:noProof/>
              </w:rPr>
              <w:t>C</w:t>
            </w:r>
            <w:r>
              <w:rPr>
                <w:noProof/>
              </w:rPr>
              <w:t>15.I11</w:t>
            </w:r>
          </w:p>
          <w:p w14:paraId="2215B76C" w14:textId="77777777" w:rsidR="003F46B9" w:rsidRDefault="0065662E">
            <w:pPr>
              <w:pStyle w:val="P68B1DB1-Normal35"/>
              <w:spacing w:after="0"/>
              <w:jc w:val="both"/>
              <w:rPr>
                <w:rFonts w:eastAsia="Times New Roman"/>
                <w:noProof/>
              </w:rPr>
            </w:pPr>
            <w:r>
              <w:rPr>
                <w:noProof/>
              </w:rPr>
              <w:t>Osiguravanje objekata za predsveučilišne učionice i školske laboratorije/radionice</w:t>
            </w:r>
          </w:p>
        </w:tc>
        <w:tc>
          <w:tcPr>
            <w:tcW w:w="1275" w:type="dxa"/>
            <w:tcBorders>
              <w:top w:val="nil"/>
              <w:left w:val="nil"/>
              <w:bottom w:val="single" w:sz="4" w:space="0" w:color="auto"/>
              <w:right w:val="single" w:sz="4" w:space="0" w:color="auto"/>
            </w:tcBorders>
            <w:shd w:val="clear" w:color="auto" w:fill="C6EFCE"/>
            <w:noWrap/>
          </w:tcPr>
          <w:p w14:paraId="362A5E6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273BFA1" w14:textId="77777777" w:rsidR="003F46B9" w:rsidRDefault="0065662E">
            <w:pPr>
              <w:pStyle w:val="P68B1DB1-Normal35"/>
              <w:spacing w:after="0"/>
              <w:jc w:val="both"/>
              <w:rPr>
                <w:rFonts w:eastAsia="Times New Roman"/>
                <w:noProof/>
              </w:rPr>
            </w:pPr>
            <w:r>
              <w:rPr>
                <w:noProof/>
              </w:rPr>
              <w:t>Otvaranje poziva na podnošenje ponuda za opremanje učionica namještajem</w:t>
            </w:r>
          </w:p>
        </w:tc>
      </w:tr>
      <w:tr w:rsidR="003F46B9" w14:paraId="3DEC2F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E811FA" w14:textId="77777777" w:rsidR="003F46B9" w:rsidRDefault="0065662E">
            <w:pPr>
              <w:pStyle w:val="P68B1DB1-Normal35"/>
              <w:spacing w:after="0"/>
              <w:jc w:val="center"/>
              <w:rPr>
                <w:rFonts w:eastAsia="Times New Roman"/>
                <w:noProof/>
              </w:rPr>
            </w:pPr>
            <w:r>
              <w:rPr>
                <w:noProof/>
              </w:rPr>
              <w:t>490</w:t>
            </w:r>
          </w:p>
        </w:tc>
        <w:tc>
          <w:tcPr>
            <w:tcW w:w="3544" w:type="dxa"/>
            <w:tcBorders>
              <w:top w:val="nil"/>
              <w:left w:val="nil"/>
              <w:bottom w:val="single" w:sz="4" w:space="0" w:color="auto"/>
              <w:right w:val="single" w:sz="4" w:space="0" w:color="auto"/>
            </w:tcBorders>
            <w:shd w:val="clear" w:color="auto" w:fill="C6EFCE"/>
            <w:noWrap/>
          </w:tcPr>
          <w:p w14:paraId="42069CAE" w14:textId="77777777" w:rsidR="003F46B9" w:rsidRDefault="0065662E">
            <w:pPr>
              <w:pStyle w:val="P68B1DB1-Normal35"/>
              <w:spacing w:after="0"/>
              <w:jc w:val="both"/>
              <w:rPr>
                <w:noProof/>
              </w:rPr>
            </w:pPr>
            <w:r>
              <w:rPr>
                <w:noProof/>
              </w:rPr>
              <w:t>C15.I11</w:t>
            </w:r>
          </w:p>
          <w:p w14:paraId="12B59887" w14:textId="77777777" w:rsidR="003F46B9" w:rsidRDefault="0065662E">
            <w:pPr>
              <w:pStyle w:val="P68B1DB1-Normal35"/>
              <w:spacing w:after="0"/>
              <w:jc w:val="both"/>
              <w:rPr>
                <w:rFonts w:eastAsia="Times New Roman"/>
                <w:noProof/>
              </w:rPr>
            </w:pPr>
            <w:r>
              <w:rPr>
                <w:noProof/>
              </w:rPr>
              <w:t xml:space="preserve">Osiguravanje objekata za predsveučilišne učionice i školske </w:t>
            </w:r>
            <w:r>
              <w:rPr>
                <w:noProof/>
              </w:rPr>
              <w:t>laboratorije/radionice</w:t>
            </w:r>
          </w:p>
        </w:tc>
        <w:tc>
          <w:tcPr>
            <w:tcW w:w="1275" w:type="dxa"/>
            <w:tcBorders>
              <w:top w:val="nil"/>
              <w:left w:val="nil"/>
              <w:bottom w:val="single" w:sz="4" w:space="0" w:color="auto"/>
              <w:right w:val="single" w:sz="4" w:space="0" w:color="auto"/>
            </w:tcBorders>
            <w:shd w:val="clear" w:color="auto" w:fill="C6EFCE"/>
            <w:noWrap/>
          </w:tcPr>
          <w:p w14:paraId="5BA93A4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62E6BDA" w14:textId="77777777" w:rsidR="003F46B9" w:rsidRDefault="0065662E">
            <w:pPr>
              <w:pStyle w:val="P68B1DB1-Normal35"/>
              <w:spacing w:after="0"/>
              <w:jc w:val="both"/>
              <w:rPr>
                <w:rFonts w:eastAsia="Times New Roman"/>
                <w:noProof/>
              </w:rPr>
            </w:pPr>
            <w:r>
              <w:rPr>
                <w:noProof/>
              </w:rPr>
              <w:t xml:space="preserve">Otvaranje poziva na podnošenje ponuda za opremanje znanstvenih laboratorija/kabineta </w:t>
            </w:r>
          </w:p>
        </w:tc>
      </w:tr>
      <w:tr w:rsidR="003F46B9" w14:paraId="6AF630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8E499BB" w14:textId="77777777" w:rsidR="003F46B9" w:rsidRDefault="0065662E">
            <w:pPr>
              <w:pStyle w:val="P68B1DB1-Normal35"/>
              <w:spacing w:after="0"/>
              <w:jc w:val="center"/>
              <w:rPr>
                <w:rFonts w:eastAsia="Times New Roman"/>
                <w:noProof/>
              </w:rPr>
            </w:pPr>
            <w:r>
              <w:rPr>
                <w:noProof/>
              </w:rPr>
              <w:t>66</w:t>
            </w:r>
          </w:p>
        </w:tc>
        <w:tc>
          <w:tcPr>
            <w:tcW w:w="3544" w:type="dxa"/>
            <w:tcBorders>
              <w:top w:val="nil"/>
              <w:left w:val="nil"/>
              <w:bottom w:val="single" w:sz="4" w:space="0" w:color="auto"/>
              <w:right w:val="single" w:sz="4" w:space="0" w:color="auto"/>
            </w:tcBorders>
            <w:shd w:val="clear" w:color="auto" w:fill="C6EFCE"/>
            <w:noWrap/>
          </w:tcPr>
          <w:p w14:paraId="64EA5DB1" w14:textId="77777777" w:rsidR="003F46B9" w:rsidRDefault="0065662E">
            <w:pPr>
              <w:pStyle w:val="P68B1DB1-Normal35"/>
              <w:spacing w:after="0"/>
              <w:jc w:val="both"/>
              <w:rPr>
                <w:noProof/>
              </w:rPr>
            </w:pPr>
            <w:r>
              <w:rPr>
                <w:noProof/>
              </w:rPr>
              <w:t>C4.R1.</w:t>
            </w:r>
          </w:p>
          <w:p w14:paraId="0E194970" w14:textId="77777777" w:rsidR="003F46B9" w:rsidRDefault="0065662E">
            <w:pPr>
              <w:pStyle w:val="P68B1DB1-Normal35"/>
              <w:spacing w:after="0"/>
              <w:jc w:val="both"/>
              <w:rPr>
                <w:rFonts w:eastAsia="Times New Roman"/>
                <w:noProof/>
              </w:rPr>
            </w:pPr>
            <w:r>
              <w:rPr>
                <w:noProof/>
              </w:rPr>
              <w:t>Održivi promet, dekarbonizacija i sigurnost na cestama/sigurnost na cestama</w:t>
            </w:r>
          </w:p>
        </w:tc>
        <w:tc>
          <w:tcPr>
            <w:tcW w:w="1275" w:type="dxa"/>
            <w:tcBorders>
              <w:top w:val="nil"/>
              <w:left w:val="nil"/>
              <w:bottom w:val="single" w:sz="4" w:space="0" w:color="auto"/>
              <w:right w:val="single" w:sz="4" w:space="0" w:color="auto"/>
            </w:tcBorders>
            <w:shd w:val="clear" w:color="auto" w:fill="C6EFCE"/>
            <w:noWrap/>
          </w:tcPr>
          <w:p w14:paraId="7B230402"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5DB505" w14:textId="77777777" w:rsidR="003F46B9" w:rsidRDefault="0065662E">
            <w:pPr>
              <w:pStyle w:val="P68B1DB1-Normal35"/>
              <w:spacing w:after="0"/>
              <w:jc w:val="both"/>
              <w:rPr>
                <w:noProof/>
              </w:rPr>
            </w:pPr>
            <w:r>
              <w:rPr>
                <w:noProof/>
              </w:rPr>
              <w:t xml:space="preserve">Stupanje na snagu zakona o sigurnosti na cestama – </w:t>
            </w:r>
            <w:r>
              <w:rPr>
                <w:noProof/>
              </w:rPr>
              <w:t>zakonodavstvo o praćenju, provedbi i sankcijama za prekršaje u području sigurnosti prometa na cestama</w:t>
            </w:r>
          </w:p>
        </w:tc>
      </w:tr>
      <w:tr w:rsidR="003F46B9" w14:paraId="4F20B7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B6F921" w14:textId="77777777" w:rsidR="003F46B9" w:rsidRDefault="0065662E">
            <w:pPr>
              <w:pStyle w:val="P68B1DB1-Normal35"/>
              <w:spacing w:after="0"/>
              <w:jc w:val="center"/>
              <w:rPr>
                <w:rFonts w:eastAsia="Times New Roman"/>
                <w:noProof/>
              </w:rPr>
            </w:pPr>
            <w:r>
              <w:rPr>
                <w:noProof/>
              </w:rPr>
              <w:t>72</w:t>
            </w:r>
          </w:p>
        </w:tc>
        <w:tc>
          <w:tcPr>
            <w:tcW w:w="3544" w:type="dxa"/>
            <w:tcBorders>
              <w:top w:val="nil"/>
              <w:left w:val="nil"/>
              <w:bottom w:val="single" w:sz="4" w:space="0" w:color="auto"/>
              <w:right w:val="single" w:sz="4" w:space="0" w:color="auto"/>
            </w:tcBorders>
            <w:shd w:val="clear" w:color="auto" w:fill="C6EFCE"/>
            <w:noWrap/>
          </w:tcPr>
          <w:p w14:paraId="63802028" w14:textId="77777777" w:rsidR="003F46B9" w:rsidRDefault="0065662E">
            <w:pPr>
              <w:pStyle w:val="P68B1DB1-Normal35"/>
              <w:spacing w:after="0"/>
              <w:jc w:val="both"/>
              <w:rPr>
                <w:noProof/>
              </w:rPr>
            </w:pPr>
            <w:r>
              <w:rPr>
                <w:noProof/>
              </w:rPr>
              <w:t>C4.I1.</w:t>
            </w:r>
          </w:p>
          <w:p w14:paraId="455E8F13" w14:textId="77777777" w:rsidR="003F46B9" w:rsidRDefault="0065662E">
            <w:pPr>
              <w:pStyle w:val="P68B1DB1-Normal35"/>
              <w:spacing w:after="0"/>
              <w:jc w:val="both"/>
              <w:rPr>
                <w:rFonts w:eastAsia="Times New Roman"/>
                <w:noProof/>
              </w:rPr>
            </w:pPr>
            <w:r>
              <w:rPr>
                <w:noProof/>
              </w:rPr>
              <w:t>Modernizacija i obnova željezničke infrastrukture</w:t>
            </w:r>
          </w:p>
        </w:tc>
        <w:tc>
          <w:tcPr>
            <w:tcW w:w="1275" w:type="dxa"/>
            <w:tcBorders>
              <w:top w:val="nil"/>
              <w:left w:val="nil"/>
              <w:bottom w:val="single" w:sz="4" w:space="0" w:color="auto"/>
              <w:right w:val="single" w:sz="4" w:space="0" w:color="auto"/>
            </w:tcBorders>
            <w:shd w:val="clear" w:color="auto" w:fill="C6EFCE"/>
            <w:noWrap/>
          </w:tcPr>
          <w:p w14:paraId="57A3B600"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E89FFA2" w14:textId="77777777" w:rsidR="003F46B9" w:rsidRDefault="0065662E">
            <w:pPr>
              <w:pStyle w:val="P68B1DB1-Normal35"/>
              <w:spacing w:after="0"/>
              <w:jc w:val="both"/>
              <w:rPr>
                <w:noProof/>
              </w:rPr>
            </w:pPr>
            <w:r>
              <w:rPr>
                <w:noProof/>
              </w:rPr>
              <w:t xml:space="preserve">Potpisivanje ugovora za 50 % radova povezanih s modernizacijom, modernizacijom i obnovom </w:t>
            </w:r>
            <w:r>
              <w:rPr>
                <w:noProof/>
              </w:rPr>
              <w:t>željezničke infrastrukture</w:t>
            </w:r>
          </w:p>
        </w:tc>
      </w:tr>
      <w:tr w:rsidR="003F46B9" w14:paraId="67A0DA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25E450" w14:textId="77777777" w:rsidR="003F46B9" w:rsidRDefault="0065662E">
            <w:pPr>
              <w:pStyle w:val="P68B1DB1-Normal35"/>
              <w:spacing w:after="0"/>
              <w:jc w:val="center"/>
              <w:rPr>
                <w:rFonts w:eastAsia="Times New Roman"/>
                <w:noProof/>
              </w:rPr>
            </w:pPr>
            <w:r>
              <w:rPr>
                <w:noProof/>
              </w:rPr>
              <w:t>115</w:t>
            </w:r>
          </w:p>
        </w:tc>
        <w:tc>
          <w:tcPr>
            <w:tcW w:w="3544" w:type="dxa"/>
            <w:tcBorders>
              <w:top w:val="nil"/>
              <w:left w:val="nil"/>
              <w:bottom w:val="single" w:sz="4" w:space="0" w:color="auto"/>
              <w:right w:val="single" w:sz="4" w:space="0" w:color="auto"/>
            </w:tcBorders>
            <w:shd w:val="clear" w:color="auto" w:fill="C6EFCE"/>
            <w:noWrap/>
          </w:tcPr>
          <w:p w14:paraId="09B49FE4" w14:textId="77777777" w:rsidR="003F46B9" w:rsidRDefault="0065662E">
            <w:pPr>
              <w:pStyle w:val="P68B1DB1-Normal35"/>
              <w:spacing w:after="0"/>
              <w:jc w:val="both"/>
              <w:rPr>
                <w:noProof/>
              </w:rPr>
            </w:pPr>
            <w:r>
              <w:rPr>
                <w:noProof/>
              </w:rPr>
              <w:t>C6.R1</w:t>
            </w:r>
          </w:p>
          <w:p w14:paraId="7166A499" w14:textId="77777777" w:rsidR="003F46B9" w:rsidRDefault="0065662E">
            <w:pPr>
              <w:pStyle w:val="P68B1DB1-Normal35"/>
              <w:spacing w:after="0"/>
              <w:jc w:val="both"/>
              <w:rPr>
                <w:noProof/>
              </w:rPr>
            </w:pPr>
            <w:r>
              <w:rPr>
                <w:noProof/>
              </w:rPr>
              <w:t>Reforma tržišta električne energije, zamjena ugljena u kombinaciji izvora energije i potpora zakonodavnom i regulatornom okviru za privatna ulaganja u proizvodnju električne energije iz obnovljivih izvora</w:t>
            </w:r>
          </w:p>
        </w:tc>
        <w:tc>
          <w:tcPr>
            <w:tcW w:w="1275" w:type="dxa"/>
            <w:tcBorders>
              <w:top w:val="nil"/>
              <w:left w:val="nil"/>
              <w:bottom w:val="single" w:sz="4" w:space="0" w:color="auto"/>
              <w:right w:val="single" w:sz="4" w:space="0" w:color="auto"/>
            </w:tcBorders>
            <w:shd w:val="clear" w:color="auto" w:fill="C6EFCE"/>
            <w:noWrap/>
          </w:tcPr>
          <w:p w14:paraId="09C57952"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7CBFC74" w14:textId="77777777" w:rsidR="003F46B9" w:rsidRDefault="0065662E">
            <w:pPr>
              <w:pStyle w:val="P68B1DB1-Normal35"/>
              <w:spacing w:after="0"/>
              <w:jc w:val="both"/>
              <w:rPr>
                <w:rFonts w:eastAsia="Times New Roman"/>
                <w:noProof/>
              </w:rPr>
            </w:pPr>
            <w:r>
              <w:rPr>
                <w:noProof/>
              </w:rPr>
              <w:t xml:space="preserve">Stavljanje </w:t>
            </w:r>
            <w:r>
              <w:rPr>
                <w:noProof/>
              </w:rPr>
              <w:t>izvan pogona kapaciteta za proizvodnju električne energije iz lignita</w:t>
            </w:r>
          </w:p>
        </w:tc>
      </w:tr>
      <w:tr w:rsidR="003F46B9" w14:paraId="148E6C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F6398C" w14:textId="77777777" w:rsidR="003F46B9" w:rsidRDefault="0065662E">
            <w:pPr>
              <w:pStyle w:val="P68B1DB1-Normal35"/>
              <w:spacing w:after="0"/>
              <w:jc w:val="center"/>
              <w:rPr>
                <w:noProof/>
              </w:rPr>
            </w:pPr>
            <w:r>
              <w:rPr>
                <w:noProof/>
              </w:rPr>
              <w:t>121</w:t>
            </w:r>
          </w:p>
        </w:tc>
        <w:tc>
          <w:tcPr>
            <w:tcW w:w="3544" w:type="dxa"/>
            <w:tcBorders>
              <w:top w:val="nil"/>
              <w:left w:val="nil"/>
              <w:bottom w:val="single" w:sz="4" w:space="0" w:color="auto"/>
              <w:right w:val="single" w:sz="4" w:space="0" w:color="auto"/>
            </w:tcBorders>
            <w:shd w:val="clear" w:color="auto" w:fill="C6EFCE"/>
            <w:noWrap/>
          </w:tcPr>
          <w:p w14:paraId="210A7240" w14:textId="77777777" w:rsidR="003F46B9" w:rsidRDefault="0065662E">
            <w:pPr>
              <w:pStyle w:val="P68B1DB1-Normal35"/>
              <w:spacing w:after="0"/>
              <w:jc w:val="both"/>
              <w:rPr>
                <w:noProof/>
              </w:rPr>
            </w:pPr>
            <w:r>
              <w:rPr>
                <w:noProof/>
              </w:rPr>
              <w:t>C6.R3</w:t>
            </w:r>
          </w:p>
          <w:p w14:paraId="28CDB22E" w14:textId="77777777" w:rsidR="003F46B9" w:rsidRDefault="0065662E">
            <w:pPr>
              <w:pStyle w:val="P68B1DB1-Normal35"/>
              <w:spacing w:after="0"/>
              <w:jc w:val="both"/>
              <w:rPr>
                <w:noProof/>
              </w:rPr>
            </w:pPr>
            <w:r>
              <w:rPr>
                <w:noProof/>
              </w:rPr>
              <w:t>Poboljšanje korporativnog upravljanja poduzećima u državnom vlasništvu u tom sektoru</w:t>
            </w:r>
          </w:p>
        </w:tc>
        <w:tc>
          <w:tcPr>
            <w:tcW w:w="1275" w:type="dxa"/>
            <w:tcBorders>
              <w:top w:val="nil"/>
              <w:left w:val="nil"/>
              <w:bottom w:val="single" w:sz="4" w:space="0" w:color="auto"/>
              <w:right w:val="single" w:sz="4" w:space="0" w:color="auto"/>
            </w:tcBorders>
            <w:shd w:val="clear" w:color="auto" w:fill="C6EFCE"/>
            <w:noWrap/>
          </w:tcPr>
          <w:p w14:paraId="763959A3"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130B4A2" w14:textId="77777777" w:rsidR="003F46B9" w:rsidRDefault="0065662E">
            <w:pPr>
              <w:pStyle w:val="P68B1DB1-Normal35"/>
              <w:spacing w:after="0"/>
              <w:jc w:val="both"/>
              <w:rPr>
                <w:noProof/>
              </w:rPr>
            </w:pPr>
            <w:r>
              <w:rPr>
                <w:noProof/>
              </w:rPr>
              <w:t>Poboljšanje korporativnog upravljanja poduzećima u državnom vlasništvu u energetskom sek</w:t>
            </w:r>
            <w:r>
              <w:rPr>
                <w:noProof/>
              </w:rPr>
              <w:t>toru</w:t>
            </w:r>
          </w:p>
        </w:tc>
      </w:tr>
      <w:tr w:rsidR="003F46B9" w14:paraId="2F3F9B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1F5E0" w14:textId="77777777" w:rsidR="003F46B9" w:rsidRDefault="0065662E">
            <w:pPr>
              <w:pStyle w:val="P68B1DB1-Normal35"/>
              <w:spacing w:after="0"/>
              <w:jc w:val="center"/>
              <w:rPr>
                <w:rFonts w:eastAsia="Times New Roman"/>
                <w:noProof/>
              </w:rPr>
            </w:pPr>
            <w:r>
              <w:rPr>
                <w:noProof/>
              </w:rPr>
              <w:t>151</w:t>
            </w:r>
          </w:p>
        </w:tc>
        <w:tc>
          <w:tcPr>
            <w:tcW w:w="3544" w:type="dxa"/>
            <w:tcBorders>
              <w:top w:val="nil"/>
              <w:left w:val="nil"/>
              <w:bottom w:val="single" w:sz="4" w:space="0" w:color="auto"/>
              <w:right w:val="single" w:sz="4" w:space="0" w:color="auto"/>
            </w:tcBorders>
            <w:shd w:val="clear" w:color="auto" w:fill="C6EFCE"/>
            <w:noWrap/>
          </w:tcPr>
          <w:p w14:paraId="15A26446" w14:textId="77777777" w:rsidR="003F46B9" w:rsidRDefault="0065662E">
            <w:pPr>
              <w:pStyle w:val="P68B1DB1-Normal35"/>
              <w:spacing w:after="0"/>
              <w:jc w:val="both"/>
              <w:rPr>
                <w:noProof/>
              </w:rPr>
            </w:pPr>
            <w:r>
              <w:rPr>
                <w:noProof/>
              </w:rPr>
              <w:t>C7.R3</w:t>
            </w:r>
          </w:p>
          <w:p w14:paraId="11ED995D" w14:textId="77777777" w:rsidR="003F46B9" w:rsidRDefault="0065662E">
            <w:pPr>
              <w:pStyle w:val="P68B1DB1-Normal35"/>
              <w:spacing w:after="0"/>
              <w:jc w:val="both"/>
              <w:rPr>
                <w:rFonts w:eastAsia="Times New Roman"/>
                <w:noProof/>
              </w:rPr>
            </w:pPr>
            <w:r>
              <w:rPr>
                <w:noProof/>
              </w:rPr>
              <w:t>Osiguravanje kibersigurnosti javnih i privatnih subjekata koji posjeduju infrastrukturu kritične vrijednosti</w:t>
            </w:r>
          </w:p>
        </w:tc>
        <w:tc>
          <w:tcPr>
            <w:tcW w:w="1275" w:type="dxa"/>
            <w:tcBorders>
              <w:top w:val="nil"/>
              <w:left w:val="nil"/>
              <w:bottom w:val="single" w:sz="4" w:space="0" w:color="auto"/>
              <w:right w:val="single" w:sz="4" w:space="0" w:color="auto"/>
            </w:tcBorders>
            <w:shd w:val="clear" w:color="auto" w:fill="C6EFCE"/>
            <w:noWrap/>
          </w:tcPr>
          <w:p w14:paraId="632146A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EA01B2F" w14:textId="77777777" w:rsidR="003F46B9" w:rsidRDefault="0065662E">
            <w:pPr>
              <w:pStyle w:val="P68B1DB1-Normal35"/>
              <w:spacing w:after="0"/>
              <w:jc w:val="both"/>
              <w:rPr>
                <w:rFonts w:eastAsia="Times New Roman"/>
                <w:noProof/>
              </w:rPr>
            </w:pPr>
            <w:r>
              <w:rPr>
                <w:noProof/>
              </w:rPr>
              <w:t>Stupanje na snagu rumunjskog zakona o obrani i kibersigurnosti</w:t>
            </w:r>
          </w:p>
        </w:tc>
      </w:tr>
      <w:tr w:rsidR="003F46B9" w14:paraId="3F5F07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3CD3D7" w14:textId="77777777" w:rsidR="003F46B9" w:rsidRDefault="0065662E">
            <w:pPr>
              <w:pStyle w:val="P68B1DB1-Normal35"/>
              <w:spacing w:after="0"/>
              <w:jc w:val="center"/>
              <w:rPr>
                <w:rFonts w:eastAsia="Times New Roman"/>
                <w:noProof/>
              </w:rPr>
            </w:pPr>
            <w:r>
              <w:rPr>
                <w:noProof/>
              </w:rPr>
              <w:t>192</w:t>
            </w:r>
          </w:p>
        </w:tc>
        <w:tc>
          <w:tcPr>
            <w:tcW w:w="3544" w:type="dxa"/>
            <w:tcBorders>
              <w:top w:val="nil"/>
              <w:left w:val="nil"/>
              <w:bottom w:val="single" w:sz="4" w:space="0" w:color="auto"/>
              <w:right w:val="single" w:sz="4" w:space="0" w:color="auto"/>
            </w:tcBorders>
            <w:shd w:val="clear" w:color="auto" w:fill="C6EFCE"/>
            <w:noWrap/>
          </w:tcPr>
          <w:p w14:paraId="5697B93E" w14:textId="77777777" w:rsidR="003F46B9" w:rsidRDefault="0065662E">
            <w:pPr>
              <w:pStyle w:val="P68B1DB1-Normal35"/>
              <w:spacing w:after="0"/>
              <w:jc w:val="both"/>
              <w:rPr>
                <w:noProof/>
              </w:rPr>
            </w:pPr>
            <w:r>
              <w:rPr>
                <w:noProof/>
              </w:rPr>
              <w:t>C8.R1</w:t>
            </w:r>
          </w:p>
          <w:p w14:paraId="15AA6D12" w14:textId="77777777" w:rsidR="003F46B9" w:rsidRDefault="0065662E">
            <w:pPr>
              <w:pStyle w:val="P68B1DB1-Normal35"/>
              <w:spacing w:after="0"/>
              <w:jc w:val="both"/>
              <w:rPr>
                <w:rFonts w:eastAsia="Times New Roman"/>
                <w:noProof/>
              </w:rPr>
            </w:pPr>
            <w:r>
              <w:rPr>
                <w:noProof/>
              </w:rPr>
              <w:t xml:space="preserve">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46271472"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4482923" w14:textId="77777777" w:rsidR="003F46B9" w:rsidRDefault="0065662E">
            <w:pPr>
              <w:pStyle w:val="P68B1DB1-Normal35"/>
              <w:spacing w:after="0"/>
              <w:jc w:val="both"/>
              <w:rPr>
                <w:rFonts w:eastAsia="Times New Roman"/>
                <w:noProof/>
              </w:rPr>
            </w:pPr>
            <w:r>
              <w:rPr>
                <w:noProof/>
              </w:rPr>
              <w:t xml:space="preserve">Dodatne pravne osobe koje su porezni obveznici upisali u subjekt posebne namjene </w:t>
            </w:r>
          </w:p>
        </w:tc>
      </w:tr>
      <w:tr w:rsidR="003F46B9" w14:paraId="4FE940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BB8F0AC" w14:textId="77777777" w:rsidR="003F46B9" w:rsidRDefault="0065662E">
            <w:pPr>
              <w:pStyle w:val="P68B1DB1-Normal35"/>
              <w:spacing w:after="0"/>
              <w:jc w:val="center"/>
              <w:rPr>
                <w:rFonts w:eastAsia="Times New Roman"/>
                <w:noProof/>
              </w:rPr>
            </w:pPr>
            <w:r>
              <w:rPr>
                <w:noProof/>
              </w:rPr>
              <w:t>193</w:t>
            </w:r>
          </w:p>
        </w:tc>
        <w:tc>
          <w:tcPr>
            <w:tcW w:w="3544" w:type="dxa"/>
            <w:tcBorders>
              <w:top w:val="nil"/>
              <w:left w:val="nil"/>
              <w:bottom w:val="single" w:sz="4" w:space="0" w:color="auto"/>
              <w:right w:val="single" w:sz="4" w:space="0" w:color="auto"/>
            </w:tcBorders>
            <w:shd w:val="clear" w:color="auto" w:fill="C6EFCE"/>
            <w:noWrap/>
          </w:tcPr>
          <w:p w14:paraId="40F5B87F" w14:textId="77777777" w:rsidR="003F46B9" w:rsidRDefault="0065662E">
            <w:pPr>
              <w:pStyle w:val="P68B1DB1-Normal35"/>
              <w:spacing w:after="0"/>
              <w:jc w:val="both"/>
              <w:rPr>
                <w:noProof/>
              </w:rPr>
            </w:pPr>
            <w:r>
              <w:rPr>
                <w:noProof/>
              </w:rPr>
              <w:t>C8.R1</w:t>
            </w:r>
          </w:p>
          <w:p w14:paraId="2DB3BAF4" w14:textId="77777777" w:rsidR="003F46B9" w:rsidRDefault="0065662E">
            <w:pPr>
              <w:pStyle w:val="P68B1DB1-Normal35"/>
              <w:spacing w:after="0"/>
              <w:jc w:val="both"/>
              <w:rPr>
                <w:rFonts w:eastAsia="Times New Roman"/>
                <w:noProof/>
              </w:rPr>
            </w:pPr>
            <w:r>
              <w:rPr>
                <w:noProof/>
              </w:rPr>
              <w:t xml:space="preserve">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6317DBC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55884BE" w14:textId="77777777" w:rsidR="003F46B9" w:rsidRDefault="0065662E">
            <w:pPr>
              <w:pStyle w:val="P68B1DB1-Normal35"/>
              <w:spacing w:after="0"/>
              <w:jc w:val="both"/>
              <w:rPr>
                <w:rFonts w:eastAsia="Times New Roman"/>
                <w:noProof/>
              </w:rPr>
            </w:pPr>
            <w:r>
              <w:rPr>
                <w:noProof/>
              </w:rPr>
              <w:t>Stupanj</w:t>
            </w:r>
            <w:r>
              <w:rPr>
                <w:noProof/>
              </w:rPr>
              <w:t>e na snagu primjenjivog pravnog okvira kojim se definiraju kriteriji rizika za klasifikaciju poreznih obveznika. Pravni okvir odobrava se rješenjem predsjednika ANAF-a.</w:t>
            </w:r>
          </w:p>
        </w:tc>
      </w:tr>
      <w:tr w:rsidR="003F46B9" w14:paraId="2AB3F5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24DA999" w14:textId="77777777" w:rsidR="003F46B9" w:rsidRDefault="0065662E">
            <w:pPr>
              <w:pStyle w:val="P68B1DB1-Normal35"/>
              <w:spacing w:after="0"/>
              <w:jc w:val="center"/>
              <w:rPr>
                <w:rFonts w:eastAsia="Times New Roman"/>
                <w:noProof/>
              </w:rPr>
            </w:pPr>
            <w:r>
              <w:rPr>
                <w:noProof/>
              </w:rPr>
              <w:t>194</w:t>
            </w:r>
          </w:p>
        </w:tc>
        <w:tc>
          <w:tcPr>
            <w:tcW w:w="3544" w:type="dxa"/>
            <w:tcBorders>
              <w:top w:val="nil"/>
              <w:left w:val="nil"/>
              <w:bottom w:val="single" w:sz="4" w:space="0" w:color="auto"/>
              <w:right w:val="single" w:sz="4" w:space="0" w:color="auto"/>
            </w:tcBorders>
            <w:shd w:val="clear" w:color="auto" w:fill="C6EFCE"/>
            <w:noWrap/>
          </w:tcPr>
          <w:p w14:paraId="38701F3C" w14:textId="77777777" w:rsidR="003F46B9" w:rsidRDefault="0065662E">
            <w:pPr>
              <w:pStyle w:val="P68B1DB1-Normal35"/>
              <w:spacing w:after="0"/>
              <w:jc w:val="both"/>
              <w:rPr>
                <w:noProof/>
              </w:rPr>
            </w:pPr>
            <w:r>
              <w:rPr>
                <w:noProof/>
              </w:rPr>
              <w:t>C8.R1</w:t>
            </w:r>
          </w:p>
          <w:p w14:paraId="406B13AB" w14:textId="77777777" w:rsidR="003F46B9" w:rsidRDefault="0065662E">
            <w:pPr>
              <w:pStyle w:val="P68B1DB1-Normal35"/>
              <w:spacing w:after="0"/>
              <w:jc w:val="both"/>
              <w:rPr>
                <w:rFonts w:eastAsia="Times New Roman"/>
                <w:noProof/>
              </w:rPr>
            </w:pPr>
            <w:r>
              <w:rPr>
                <w:noProof/>
              </w:rPr>
              <w:t xml:space="preserve">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66DE5CE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B9F5605" w14:textId="77777777" w:rsidR="003F46B9" w:rsidRDefault="0065662E">
            <w:pPr>
              <w:pStyle w:val="P68B1DB1-Normal35"/>
              <w:spacing w:after="0"/>
              <w:jc w:val="both"/>
              <w:rPr>
                <w:rFonts w:eastAsia="Times New Roman"/>
                <w:noProof/>
              </w:rPr>
            </w:pPr>
            <w:r>
              <w:rPr>
                <w:noProof/>
              </w:rPr>
              <w:t xml:space="preserve">Stupanje na snagu izmijenjenog pravnog okvira u području aktivnosti tijela poreznog nadzora </w:t>
            </w:r>
          </w:p>
        </w:tc>
      </w:tr>
      <w:tr w:rsidR="003F46B9" w14:paraId="660918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EE6588" w14:textId="77777777" w:rsidR="003F46B9" w:rsidRDefault="0065662E">
            <w:pPr>
              <w:pStyle w:val="P68B1DB1-Normal35"/>
              <w:spacing w:after="0"/>
              <w:jc w:val="center"/>
              <w:rPr>
                <w:rFonts w:eastAsia="Times New Roman"/>
                <w:noProof/>
              </w:rPr>
            </w:pPr>
            <w:r>
              <w:rPr>
                <w:noProof/>
              </w:rPr>
              <w:t>199</w:t>
            </w:r>
          </w:p>
        </w:tc>
        <w:tc>
          <w:tcPr>
            <w:tcW w:w="3544" w:type="dxa"/>
            <w:tcBorders>
              <w:top w:val="nil"/>
              <w:left w:val="nil"/>
              <w:bottom w:val="single" w:sz="4" w:space="0" w:color="auto"/>
              <w:right w:val="single" w:sz="4" w:space="0" w:color="auto"/>
            </w:tcBorders>
            <w:shd w:val="clear" w:color="auto" w:fill="C6EFCE"/>
            <w:noWrap/>
          </w:tcPr>
          <w:p w14:paraId="58B9E37A" w14:textId="77777777" w:rsidR="003F46B9" w:rsidRDefault="0065662E">
            <w:pPr>
              <w:pStyle w:val="P68B1DB1-Normal35"/>
              <w:spacing w:after="0"/>
              <w:jc w:val="both"/>
              <w:rPr>
                <w:noProof/>
              </w:rPr>
            </w:pPr>
            <w:r>
              <w:rPr>
                <w:noProof/>
              </w:rPr>
              <w:t>C8.R3</w:t>
            </w:r>
          </w:p>
          <w:p w14:paraId="6E58ADB0"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5B0C2821"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C6C691B" w14:textId="77777777" w:rsidR="003F46B9" w:rsidRDefault="0065662E">
            <w:pPr>
              <w:pStyle w:val="P68B1DB1-Normal35"/>
              <w:spacing w:after="0"/>
              <w:jc w:val="both"/>
              <w:rPr>
                <w:rFonts w:eastAsia="Times New Roman"/>
                <w:noProof/>
              </w:rPr>
            </w:pPr>
            <w:r>
              <w:rPr>
                <w:noProof/>
              </w:rPr>
              <w:t>Stupanje na snagu izmijenjenog regulatornog okvira kako bi se osiguralo višegodišnje proračunsko p</w:t>
            </w:r>
            <w:r>
              <w:rPr>
                <w:noProof/>
              </w:rPr>
              <w:t xml:space="preserve">laniranje za važne projekte javnih ulaganja i provela ex post evaluacija revizija rashoda koje provodi Fiskalno vijeće </w:t>
            </w:r>
          </w:p>
        </w:tc>
      </w:tr>
      <w:tr w:rsidR="003F46B9" w14:paraId="30E1D5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0F5B6E" w14:textId="77777777" w:rsidR="003F46B9" w:rsidRDefault="0065662E">
            <w:pPr>
              <w:pStyle w:val="P68B1DB1-Normal35"/>
              <w:spacing w:after="0"/>
              <w:jc w:val="center"/>
              <w:rPr>
                <w:rFonts w:eastAsia="Times New Roman"/>
                <w:noProof/>
              </w:rPr>
            </w:pPr>
            <w:r>
              <w:rPr>
                <w:noProof/>
              </w:rPr>
              <w:t>205</w:t>
            </w:r>
          </w:p>
        </w:tc>
        <w:tc>
          <w:tcPr>
            <w:tcW w:w="3544" w:type="dxa"/>
            <w:tcBorders>
              <w:top w:val="nil"/>
              <w:left w:val="nil"/>
              <w:bottom w:val="single" w:sz="4" w:space="0" w:color="auto"/>
              <w:right w:val="single" w:sz="4" w:space="0" w:color="auto"/>
            </w:tcBorders>
            <w:shd w:val="clear" w:color="auto" w:fill="C6EFCE"/>
            <w:noWrap/>
          </w:tcPr>
          <w:p w14:paraId="16333812" w14:textId="77777777" w:rsidR="003F46B9" w:rsidRDefault="0065662E">
            <w:pPr>
              <w:pStyle w:val="P68B1DB1-Normal35"/>
              <w:spacing w:after="0"/>
              <w:jc w:val="both"/>
              <w:rPr>
                <w:noProof/>
              </w:rPr>
            </w:pPr>
            <w:r>
              <w:rPr>
                <w:noProof/>
              </w:rPr>
              <w:t>C8.R4</w:t>
            </w:r>
          </w:p>
          <w:p w14:paraId="45FACB5A" w14:textId="77777777" w:rsidR="003F46B9" w:rsidRDefault="0065662E">
            <w:pPr>
              <w:pStyle w:val="P68B1DB1-Normal35"/>
              <w:spacing w:after="0"/>
              <w:jc w:val="both"/>
              <w:rPr>
                <w:noProof/>
              </w:rPr>
            </w:pPr>
            <w:r>
              <w:rPr>
                <w:noProof/>
              </w:rPr>
              <w:t>Revizija poreznog okvira</w:t>
            </w:r>
          </w:p>
        </w:tc>
        <w:tc>
          <w:tcPr>
            <w:tcW w:w="1275" w:type="dxa"/>
            <w:tcBorders>
              <w:top w:val="nil"/>
              <w:left w:val="nil"/>
              <w:bottom w:val="single" w:sz="4" w:space="0" w:color="auto"/>
              <w:right w:val="single" w:sz="4" w:space="0" w:color="auto"/>
            </w:tcBorders>
            <w:shd w:val="clear" w:color="auto" w:fill="C6EFCE"/>
            <w:noWrap/>
          </w:tcPr>
          <w:p w14:paraId="41581A1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BEE528D" w14:textId="77777777" w:rsidR="003F46B9" w:rsidRDefault="0065662E">
            <w:pPr>
              <w:pStyle w:val="P68B1DB1-Normal35"/>
              <w:spacing w:after="0"/>
              <w:jc w:val="both"/>
              <w:rPr>
                <w:rFonts w:eastAsia="Times New Roman"/>
                <w:noProof/>
              </w:rPr>
            </w:pPr>
            <w:r>
              <w:rPr>
                <w:noProof/>
              </w:rPr>
              <w:t xml:space="preserve">Analiza rumunjskog poreznog sustava s ciljem izrade preporuka kako bi se osiguralo da porezni </w:t>
            </w:r>
            <w:r>
              <w:rPr>
                <w:noProof/>
              </w:rPr>
              <w:t>sustav doprinosi promicanju i očuvanju održivog gospodarskog rasta</w:t>
            </w:r>
          </w:p>
        </w:tc>
      </w:tr>
      <w:tr w:rsidR="003F46B9" w14:paraId="4B2C2F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D2CBCB" w14:textId="77777777" w:rsidR="003F46B9" w:rsidRDefault="0065662E">
            <w:pPr>
              <w:pStyle w:val="P68B1DB1-Normal35"/>
              <w:spacing w:after="0"/>
              <w:jc w:val="center"/>
              <w:rPr>
                <w:rFonts w:eastAsia="Times New Roman"/>
                <w:noProof/>
              </w:rPr>
            </w:pPr>
            <w:r>
              <w:rPr>
                <w:noProof/>
              </w:rPr>
              <w:t>206</w:t>
            </w:r>
          </w:p>
        </w:tc>
        <w:tc>
          <w:tcPr>
            <w:tcW w:w="3544" w:type="dxa"/>
            <w:tcBorders>
              <w:top w:val="nil"/>
              <w:left w:val="nil"/>
              <w:bottom w:val="single" w:sz="4" w:space="0" w:color="auto"/>
              <w:right w:val="single" w:sz="4" w:space="0" w:color="auto"/>
            </w:tcBorders>
            <w:shd w:val="clear" w:color="auto" w:fill="C6EFCE"/>
            <w:noWrap/>
          </w:tcPr>
          <w:p w14:paraId="4BE113CC" w14:textId="77777777" w:rsidR="003F46B9" w:rsidRDefault="0065662E">
            <w:pPr>
              <w:pStyle w:val="P68B1DB1-Normal35"/>
              <w:spacing w:after="0"/>
              <w:jc w:val="both"/>
              <w:rPr>
                <w:noProof/>
              </w:rPr>
            </w:pPr>
            <w:r>
              <w:rPr>
                <w:noProof/>
              </w:rPr>
              <w:t>C8.R4</w:t>
            </w:r>
          </w:p>
          <w:p w14:paraId="14C145EA" w14:textId="77777777" w:rsidR="003F46B9" w:rsidRDefault="0065662E">
            <w:pPr>
              <w:pStyle w:val="P68B1DB1-Normal35"/>
              <w:spacing w:after="0"/>
              <w:jc w:val="both"/>
              <w:rPr>
                <w:rFonts w:eastAsia="Times New Roman"/>
                <w:noProof/>
              </w:rPr>
            </w:pPr>
            <w:r>
              <w:rPr>
                <w:noProof/>
              </w:rPr>
              <w:t>Revizija poreznog okvira</w:t>
            </w:r>
          </w:p>
        </w:tc>
        <w:tc>
          <w:tcPr>
            <w:tcW w:w="1275" w:type="dxa"/>
            <w:tcBorders>
              <w:top w:val="nil"/>
              <w:left w:val="nil"/>
              <w:bottom w:val="single" w:sz="4" w:space="0" w:color="auto"/>
              <w:right w:val="single" w:sz="4" w:space="0" w:color="auto"/>
            </w:tcBorders>
            <w:shd w:val="clear" w:color="auto" w:fill="C6EFCE"/>
            <w:noWrap/>
          </w:tcPr>
          <w:p w14:paraId="55A3DC7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A4D1BB2" w14:textId="77777777" w:rsidR="003F46B9" w:rsidRDefault="0065662E">
            <w:pPr>
              <w:pStyle w:val="P68B1DB1-Normal35"/>
              <w:spacing w:after="0"/>
              <w:jc w:val="both"/>
              <w:rPr>
                <w:rFonts w:eastAsia="Times New Roman"/>
                <w:noProof/>
              </w:rPr>
            </w:pPr>
            <w:r>
              <w:rPr>
                <w:noProof/>
              </w:rPr>
              <w:t xml:space="preserve">Stupanje na snagu izmjena Poreznog zakonika kojima se postupno smanjuje područje primjene posebnog poreznog režima za mikropoduzeća </w:t>
            </w:r>
          </w:p>
        </w:tc>
      </w:tr>
      <w:tr w:rsidR="003F46B9" w14:paraId="0A568C8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1669E0" w14:textId="77777777" w:rsidR="003F46B9" w:rsidRDefault="0065662E">
            <w:pPr>
              <w:pStyle w:val="P68B1DB1-Normal35"/>
              <w:spacing w:after="0"/>
              <w:jc w:val="center"/>
              <w:rPr>
                <w:rFonts w:eastAsia="Times New Roman"/>
                <w:noProof/>
              </w:rPr>
            </w:pPr>
            <w:r>
              <w:rPr>
                <w:noProof/>
              </w:rPr>
              <w:t>215</w:t>
            </w:r>
          </w:p>
        </w:tc>
        <w:tc>
          <w:tcPr>
            <w:tcW w:w="3544" w:type="dxa"/>
            <w:tcBorders>
              <w:top w:val="nil"/>
              <w:left w:val="nil"/>
              <w:bottom w:val="single" w:sz="4" w:space="0" w:color="auto"/>
              <w:right w:val="single" w:sz="4" w:space="0" w:color="auto"/>
            </w:tcBorders>
            <w:shd w:val="clear" w:color="auto" w:fill="C6EFCE"/>
            <w:noWrap/>
          </w:tcPr>
          <w:p w14:paraId="6BE8BA3F" w14:textId="77777777" w:rsidR="003F46B9" w:rsidRDefault="0065662E">
            <w:pPr>
              <w:pStyle w:val="P68B1DB1-Normal35"/>
              <w:spacing w:after="0"/>
              <w:jc w:val="both"/>
              <w:rPr>
                <w:noProof/>
              </w:rPr>
            </w:pPr>
            <w:r>
              <w:rPr>
                <w:noProof/>
              </w:rPr>
              <w:t>C8.R6</w:t>
            </w:r>
          </w:p>
          <w:p w14:paraId="5A3DF719" w14:textId="77777777" w:rsidR="003F46B9" w:rsidRDefault="0065662E">
            <w:pPr>
              <w:pStyle w:val="P68B1DB1-Normal35"/>
              <w:spacing w:after="0"/>
              <w:jc w:val="both"/>
              <w:rPr>
                <w:rFonts w:eastAsia="Times New Roman"/>
                <w:noProof/>
              </w:rPr>
            </w:pPr>
            <w:r>
              <w:rPr>
                <w:noProof/>
              </w:rPr>
              <w:t>Reforma</w:t>
            </w:r>
            <w:r>
              <w:rPr>
                <w:noProof/>
              </w:rPr>
              <w:t xml:space="preserve"> javnog mirovinskog sustava</w:t>
            </w:r>
          </w:p>
        </w:tc>
        <w:tc>
          <w:tcPr>
            <w:tcW w:w="1275" w:type="dxa"/>
            <w:tcBorders>
              <w:top w:val="nil"/>
              <w:left w:val="nil"/>
              <w:bottom w:val="single" w:sz="4" w:space="0" w:color="auto"/>
              <w:right w:val="single" w:sz="4" w:space="0" w:color="auto"/>
            </w:tcBorders>
            <w:shd w:val="clear" w:color="auto" w:fill="C6EFCE"/>
            <w:noWrap/>
          </w:tcPr>
          <w:p w14:paraId="163D6FC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DF6A64C" w14:textId="77777777" w:rsidR="003F46B9" w:rsidRDefault="0065662E">
            <w:pPr>
              <w:pStyle w:val="P68B1DB1-Normal35"/>
              <w:spacing w:after="0"/>
              <w:jc w:val="both"/>
              <w:rPr>
                <w:rFonts w:eastAsia="Times New Roman"/>
                <w:noProof/>
              </w:rPr>
            </w:pPr>
            <w:r>
              <w:rPr>
                <w:noProof/>
              </w:rPr>
              <w:t>Stupanje na snagu zakonodavnog okvira za smanjenje rashoda za posebne mirovine</w:t>
            </w:r>
          </w:p>
        </w:tc>
      </w:tr>
      <w:tr w:rsidR="003F46B9" w14:paraId="517598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58CAA4" w14:textId="77777777" w:rsidR="003F46B9" w:rsidRDefault="0065662E">
            <w:pPr>
              <w:pStyle w:val="P68B1DB1-Normal35"/>
              <w:spacing w:after="0"/>
              <w:jc w:val="center"/>
              <w:rPr>
                <w:rFonts w:eastAsia="Times New Roman"/>
                <w:noProof/>
              </w:rPr>
            </w:pPr>
            <w:r>
              <w:rPr>
                <w:noProof/>
              </w:rPr>
              <w:t>221</w:t>
            </w:r>
          </w:p>
        </w:tc>
        <w:tc>
          <w:tcPr>
            <w:tcW w:w="3544" w:type="dxa"/>
            <w:tcBorders>
              <w:top w:val="nil"/>
              <w:left w:val="nil"/>
              <w:bottom w:val="single" w:sz="4" w:space="0" w:color="auto"/>
              <w:right w:val="single" w:sz="4" w:space="0" w:color="auto"/>
            </w:tcBorders>
            <w:shd w:val="clear" w:color="auto" w:fill="C6EFCE"/>
            <w:noWrap/>
          </w:tcPr>
          <w:p w14:paraId="2A62BBA3" w14:textId="77777777" w:rsidR="003F46B9" w:rsidRDefault="0065662E">
            <w:pPr>
              <w:pStyle w:val="P68B1DB1-Normal35"/>
              <w:spacing w:after="0"/>
              <w:jc w:val="both"/>
              <w:rPr>
                <w:noProof/>
              </w:rPr>
            </w:pPr>
            <w:r>
              <w:rPr>
                <w:noProof/>
              </w:rPr>
              <w:t>C8.I2</w:t>
            </w:r>
          </w:p>
          <w:p w14:paraId="28C52FB0" w14:textId="77777777" w:rsidR="003F46B9" w:rsidRDefault="0065662E">
            <w:pPr>
              <w:pStyle w:val="P68B1DB1-Normal35"/>
              <w:spacing w:after="0"/>
              <w:jc w:val="both"/>
              <w:rPr>
                <w:rFonts w:eastAsia="Times New Roman"/>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2FC333C0"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EA52B28" w14:textId="77777777" w:rsidR="003F46B9" w:rsidRDefault="0065662E">
            <w:pPr>
              <w:pStyle w:val="P68B1DB1-Normal35"/>
              <w:spacing w:after="0"/>
              <w:jc w:val="both"/>
              <w:rPr>
                <w:rFonts w:eastAsia="Times New Roman"/>
                <w:noProof/>
              </w:rPr>
            </w:pPr>
            <w:r>
              <w:rPr>
                <w:noProof/>
              </w:rPr>
              <w:t>Broj blagajni povezanih s in</w:t>
            </w:r>
            <w:r>
              <w:rPr>
                <w:noProof/>
              </w:rPr>
              <w:t xml:space="preserve">formacijskim sustavom Nacionalne agencije za fiskalnu upravu </w:t>
            </w:r>
          </w:p>
        </w:tc>
      </w:tr>
      <w:tr w:rsidR="003F46B9" w14:paraId="0A0768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6D8FD7" w14:textId="77777777" w:rsidR="003F46B9" w:rsidRDefault="0065662E">
            <w:pPr>
              <w:pStyle w:val="P68B1DB1-Normal35"/>
              <w:spacing w:after="0"/>
              <w:jc w:val="center"/>
              <w:rPr>
                <w:rFonts w:eastAsia="Times New Roman"/>
                <w:noProof/>
              </w:rPr>
            </w:pPr>
            <w:r>
              <w:rPr>
                <w:noProof/>
              </w:rPr>
              <w:t>222</w:t>
            </w:r>
          </w:p>
        </w:tc>
        <w:tc>
          <w:tcPr>
            <w:tcW w:w="3544" w:type="dxa"/>
            <w:tcBorders>
              <w:top w:val="nil"/>
              <w:left w:val="nil"/>
              <w:bottom w:val="single" w:sz="4" w:space="0" w:color="auto"/>
              <w:right w:val="single" w:sz="4" w:space="0" w:color="auto"/>
            </w:tcBorders>
            <w:shd w:val="clear" w:color="auto" w:fill="C6EFCE"/>
            <w:noWrap/>
          </w:tcPr>
          <w:p w14:paraId="3133F0CA" w14:textId="77777777" w:rsidR="003F46B9" w:rsidRDefault="0065662E">
            <w:pPr>
              <w:pStyle w:val="P68B1DB1-Normal35"/>
              <w:spacing w:after="0"/>
              <w:jc w:val="both"/>
              <w:rPr>
                <w:noProof/>
              </w:rPr>
            </w:pPr>
            <w:r>
              <w:rPr>
                <w:noProof/>
              </w:rPr>
              <w:t>C8.I2</w:t>
            </w:r>
          </w:p>
          <w:p w14:paraId="30A94C60" w14:textId="77777777" w:rsidR="003F46B9" w:rsidRDefault="0065662E">
            <w:pPr>
              <w:pStyle w:val="P68B1DB1-Normal35"/>
              <w:spacing w:after="0"/>
              <w:jc w:val="both"/>
              <w:rPr>
                <w:rFonts w:eastAsia="Times New Roman"/>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69E3D44B"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4541DC8" w14:textId="77777777" w:rsidR="003F46B9" w:rsidRDefault="0065662E">
            <w:pPr>
              <w:pStyle w:val="P68B1DB1-Normal35"/>
              <w:spacing w:after="0"/>
              <w:jc w:val="both"/>
              <w:rPr>
                <w:rFonts w:eastAsia="Times New Roman"/>
                <w:noProof/>
              </w:rPr>
            </w:pPr>
            <w:r>
              <w:rPr>
                <w:noProof/>
              </w:rPr>
              <w:t xml:space="preserve">Udio u broju revizija dokumentacije o ukupnom broju revizija koje je provela porezna uprava – 30 % </w:t>
            </w:r>
          </w:p>
        </w:tc>
      </w:tr>
      <w:tr w:rsidR="003F46B9" w14:paraId="286681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2DF336" w14:textId="77777777" w:rsidR="003F46B9" w:rsidRDefault="0065662E">
            <w:pPr>
              <w:pStyle w:val="P68B1DB1-Normal35"/>
              <w:spacing w:after="0"/>
              <w:jc w:val="center"/>
              <w:rPr>
                <w:noProof/>
              </w:rPr>
            </w:pPr>
            <w:r>
              <w:rPr>
                <w:noProof/>
              </w:rPr>
              <w:t>230</w:t>
            </w:r>
          </w:p>
        </w:tc>
        <w:tc>
          <w:tcPr>
            <w:tcW w:w="3544" w:type="dxa"/>
            <w:tcBorders>
              <w:top w:val="nil"/>
              <w:left w:val="nil"/>
              <w:bottom w:val="single" w:sz="4" w:space="0" w:color="auto"/>
              <w:right w:val="single" w:sz="4" w:space="0" w:color="auto"/>
            </w:tcBorders>
            <w:shd w:val="clear" w:color="auto" w:fill="C6EFCE"/>
            <w:noWrap/>
          </w:tcPr>
          <w:p w14:paraId="52D83A54" w14:textId="77777777" w:rsidR="003F46B9" w:rsidRDefault="0065662E">
            <w:pPr>
              <w:pStyle w:val="P68B1DB1-Normal35"/>
              <w:spacing w:after="0"/>
              <w:jc w:val="both"/>
              <w:rPr>
                <w:noProof/>
              </w:rPr>
            </w:pPr>
            <w:r>
              <w:rPr>
                <w:noProof/>
              </w:rPr>
              <w:t>C8.I4</w:t>
            </w:r>
          </w:p>
          <w:p w14:paraId="4C428EF1" w14:textId="77777777" w:rsidR="003F46B9" w:rsidRDefault="0065662E">
            <w:pPr>
              <w:pStyle w:val="P68B1DB1-Normal35"/>
              <w:spacing w:after="0"/>
              <w:jc w:val="both"/>
              <w:rPr>
                <w:noProof/>
              </w:rPr>
            </w:pPr>
            <w:r>
              <w:rPr>
                <w:noProof/>
              </w:rPr>
              <w:t>Uvođenje elektroničke carine</w:t>
            </w:r>
          </w:p>
        </w:tc>
        <w:tc>
          <w:tcPr>
            <w:tcW w:w="1275" w:type="dxa"/>
            <w:tcBorders>
              <w:top w:val="nil"/>
              <w:left w:val="nil"/>
              <w:bottom w:val="single" w:sz="4" w:space="0" w:color="auto"/>
              <w:right w:val="single" w:sz="4" w:space="0" w:color="auto"/>
            </w:tcBorders>
            <w:shd w:val="clear" w:color="auto" w:fill="C6EFCE"/>
            <w:noWrap/>
          </w:tcPr>
          <w:p w14:paraId="3072990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76492F5" w14:textId="77777777" w:rsidR="003F46B9" w:rsidRDefault="0065662E">
            <w:pPr>
              <w:pStyle w:val="P68B1DB1-Normal35"/>
              <w:spacing w:after="0"/>
              <w:jc w:val="both"/>
              <w:rPr>
                <w:noProof/>
              </w:rPr>
            </w:pPr>
            <w:r>
              <w:rPr>
                <w:noProof/>
              </w:rPr>
              <w:t>Nadograđena hardverska i softverska infrastruktura</w:t>
            </w:r>
          </w:p>
        </w:tc>
      </w:tr>
      <w:tr w:rsidR="003F46B9" w14:paraId="17FDD3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80ADFA" w14:textId="77777777" w:rsidR="003F46B9" w:rsidRDefault="0065662E">
            <w:pPr>
              <w:pStyle w:val="P68B1DB1-Normal35"/>
              <w:spacing w:after="0"/>
              <w:jc w:val="center"/>
              <w:rPr>
                <w:rFonts w:eastAsia="Times New Roman"/>
                <w:noProof/>
              </w:rPr>
            </w:pPr>
            <w:r>
              <w:rPr>
                <w:noProof/>
              </w:rPr>
              <w:t>288</w:t>
            </w:r>
          </w:p>
        </w:tc>
        <w:tc>
          <w:tcPr>
            <w:tcW w:w="3544" w:type="dxa"/>
            <w:tcBorders>
              <w:top w:val="nil"/>
              <w:left w:val="nil"/>
              <w:bottom w:val="single" w:sz="4" w:space="0" w:color="auto"/>
              <w:right w:val="single" w:sz="4" w:space="0" w:color="auto"/>
            </w:tcBorders>
            <w:shd w:val="clear" w:color="auto" w:fill="C6EFCE"/>
            <w:noWrap/>
          </w:tcPr>
          <w:p w14:paraId="069F5F89" w14:textId="77777777" w:rsidR="003F46B9" w:rsidRDefault="0065662E">
            <w:pPr>
              <w:pStyle w:val="P68B1DB1-Normal35"/>
              <w:spacing w:after="0"/>
              <w:jc w:val="both"/>
              <w:rPr>
                <w:noProof/>
              </w:rPr>
            </w:pPr>
            <w:r>
              <w:rPr>
                <w:noProof/>
              </w:rPr>
              <w:t>C10.R1</w:t>
            </w:r>
          </w:p>
          <w:p w14:paraId="2B20CD3C" w14:textId="77777777" w:rsidR="003F46B9" w:rsidRDefault="0065662E">
            <w:pPr>
              <w:pStyle w:val="P68B1DB1-Normal35"/>
              <w:spacing w:after="0"/>
              <w:jc w:val="both"/>
              <w:rPr>
                <w:rFonts w:eastAsia="Times New Roman"/>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246E2EB2"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2022979" w14:textId="77777777" w:rsidR="003F46B9" w:rsidRDefault="0065662E">
            <w:pPr>
              <w:pStyle w:val="P68B1DB1-Normal35"/>
              <w:spacing w:after="0"/>
              <w:jc w:val="both"/>
              <w:rPr>
                <w:rFonts w:eastAsia="Times New Roman"/>
                <w:noProof/>
              </w:rPr>
            </w:pPr>
            <w:r>
              <w:rPr>
                <w:noProof/>
              </w:rPr>
              <w:t xml:space="preserve">Stupanje na snagu zakonodavstva u području održive gradske mobilnosti </w:t>
            </w:r>
          </w:p>
        </w:tc>
      </w:tr>
      <w:tr w:rsidR="003F46B9" w14:paraId="1B5600E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A33AED" w14:textId="77777777" w:rsidR="003F46B9" w:rsidRDefault="0065662E">
            <w:pPr>
              <w:pStyle w:val="P68B1DB1-Normal35"/>
              <w:spacing w:after="0"/>
              <w:jc w:val="center"/>
              <w:rPr>
                <w:rFonts w:eastAsia="Times New Roman"/>
                <w:noProof/>
              </w:rPr>
            </w:pPr>
            <w:r>
              <w:rPr>
                <w:noProof/>
              </w:rPr>
              <w:t>289</w:t>
            </w:r>
          </w:p>
        </w:tc>
        <w:tc>
          <w:tcPr>
            <w:tcW w:w="3544" w:type="dxa"/>
            <w:tcBorders>
              <w:top w:val="nil"/>
              <w:left w:val="nil"/>
              <w:bottom w:val="single" w:sz="4" w:space="0" w:color="auto"/>
              <w:right w:val="single" w:sz="4" w:space="0" w:color="auto"/>
            </w:tcBorders>
            <w:shd w:val="clear" w:color="auto" w:fill="C6EFCE"/>
            <w:noWrap/>
          </w:tcPr>
          <w:p w14:paraId="34189E9E" w14:textId="77777777" w:rsidR="003F46B9" w:rsidRDefault="0065662E">
            <w:pPr>
              <w:pStyle w:val="P68B1DB1-Normal35"/>
              <w:spacing w:after="0"/>
              <w:jc w:val="both"/>
              <w:rPr>
                <w:noProof/>
              </w:rPr>
            </w:pPr>
            <w:r>
              <w:rPr>
                <w:noProof/>
              </w:rPr>
              <w:t>C10.R1</w:t>
            </w:r>
          </w:p>
          <w:p w14:paraId="2F89EB71" w14:textId="77777777" w:rsidR="003F46B9" w:rsidRDefault="0065662E">
            <w:pPr>
              <w:pStyle w:val="P68B1DB1-Normal35"/>
              <w:spacing w:after="0"/>
              <w:jc w:val="both"/>
              <w:rPr>
                <w:rFonts w:eastAsia="Times New Roman"/>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591A11E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82EED64" w14:textId="77777777" w:rsidR="003F46B9" w:rsidRDefault="0065662E">
            <w:pPr>
              <w:pStyle w:val="P68B1DB1-Normal35"/>
              <w:spacing w:after="0"/>
              <w:jc w:val="both"/>
              <w:rPr>
                <w:rFonts w:eastAsia="Times New Roman"/>
                <w:noProof/>
              </w:rPr>
            </w:pPr>
            <w:r>
              <w:rPr>
                <w:noProof/>
              </w:rPr>
              <w:t>Stupanje na snagu ministarske odluke o uspostavi strukture za pružanje tehničke pomoći za razvoj utvrđenih i operativnih pla</w:t>
            </w:r>
            <w:r>
              <w:rPr>
                <w:noProof/>
              </w:rPr>
              <w:t>nova održive gradske mobilnosti</w:t>
            </w:r>
          </w:p>
        </w:tc>
      </w:tr>
      <w:tr w:rsidR="003F46B9" w14:paraId="211738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6E57A4" w14:textId="77777777" w:rsidR="003F46B9" w:rsidRDefault="0065662E">
            <w:pPr>
              <w:pStyle w:val="P68B1DB1-Normal35"/>
              <w:spacing w:after="0"/>
              <w:jc w:val="center"/>
              <w:rPr>
                <w:rFonts w:eastAsia="Times New Roman"/>
                <w:noProof/>
              </w:rPr>
            </w:pPr>
            <w:r>
              <w:rPr>
                <w:noProof/>
              </w:rPr>
              <w:t>294</w:t>
            </w:r>
          </w:p>
        </w:tc>
        <w:tc>
          <w:tcPr>
            <w:tcW w:w="3544" w:type="dxa"/>
            <w:tcBorders>
              <w:top w:val="nil"/>
              <w:left w:val="nil"/>
              <w:bottom w:val="single" w:sz="4" w:space="0" w:color="auto"/>
              <w:right w:val="single" w:sz="4" w:space="0" w:color="auto"/>
            </w:tcBorders>
            <w:shd w:val="clear" w:color="auto" w:fill="C6EFCE"/>
            <w:noWrap/>
          </w:tcPr>
          <w:p w14:paraId="1D251CBA" w14:textId="77777777" w:rsidR="003F46B9" w:rsidRDefault="0065662E">
            <w:pPr>
              <w:pStyle w:val="P68B1DB1-Normal35"/>
              <w:spacing w:after="0"/>
              <w:jc w:val="both"/>
              <w:rPr>
                <w:noProof/>
              </w:rPr>
            </w:pPr>
            <w:r>
              <w:rPr>
                <w:noProof/>
              </w:rPr>
              <w:t>C10.I1</w:t>
            </w:r>
          </w:p>
          <w:p w14:paraId="33CBBF7F" w14:textId="77777777" w:rsidR="003F46B9" w:rsidRDefault="0065662E">
            <w:pPr>
              <w:pStyle w:val="P68B1DB1-Normal35"/>
              <w:spacing w:after="0"/>
              <w:jc w:val="both"/>
              <w:rPr>
                <w:rFonts w:eastAsia="Times New Roman"/>
                <w:noProof/>
              </w:rPr>
            </w:pPr>
            <w:r>
              <w:rPr>
                <w:noProof/>
              </w:rPr>
              <w:t>Održiva gradska mobilnost</w:t>
            </w:r>
          </w:p>
        </w:tc>
        <w:tc>
          <w:tcPr>
            <w:tcW w:w="1275" w:type="dxa"/>
            <w:tcBorders>
              <w:top w:val="nil"/>
              <w:left w:val="nil"/>
              <w:bottom w:val="single" w:sz="4" w:space="0" w:color="auto"/>
              <w:right w:val="single" w:sz="4" w:space="0" w:color="auto"/>
            </w:tcBorders>
            <w:shd w:val="clear" w:color="auto" w:fill="C6EFCE"/>
            <w:noWrap/>
          </w:tcPr>
          <w:p w14:paraId="2A7E4042"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873E4A4" w14:textId="77777777" w:rsidR="003F46B9" w:rsidRDefault="0065662E">
            <w:pPr>
              <w:pStyle w:val="P68B1DB1-Normal35"/>
              <w:spacing w:after="0"/>
              <w:jc w:val="both"/>
              <w:rPr>
                <w:rFonts w:eastAsia="Times New Roman"/>
                <w:noProof/>
              </w:rPr>
            </w:pPr>
            <w:r>
              <w:rPr>
                <w:noProof/>
              </w:rPr>
              <w:t>Potpisivanje ugovora za obnovu voznog parka javnog prijevoza (nabava čistih vozila)</w:t>
            </w:r>
          </w:p>
        </w:tc>
      </w:tr>
      <w:tr w:rsidR="003F46B9" w14:paraId="73BA482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CE27B6" w14:textId="77777777" w:rsidR="003F46B9" w:rsidRDefault="0065662E">
            <w:pPr>
              <w:pStyle w:val="P68B1DB1-Normal35"/>
              <w:spacing w:after="0"/>
              <w:jc w:val="center"/>
              <w:rPr>
                <w:rFonts w:eastAsia="Times New Roman"/>
                <w:noProof/>
              </w:rPr>
            </w:pPr>
            <w:r>
              <w:rPr>
                <w:noProof/>
              </w:rPr>
              <w:t>298</w:t>
            </w:r>
          </w:p>
        </w:tc>
        <w:tc>
          <w:tcPr>
            <w:tcW w:w="3544" w:type="dxa"/>
            <w:tcBorders>
              <w:top w:val="nil"/>
              <w:left w:val="nil"/>
              <w:bottom w:val="single" w:sz="4" w:space="0" w:color="auto"/>
              <w:right w:val="single" w:sz="4" w:space="0" w:color="auto"/>
            </w:tcBorders>
            <w:shd w:val="clear" w:color="auto" w:fill="C6EFCE"/>
            <w:noWrap/>
          </w:tcPr>
          <w:p w14:paraId="09D6348E" w14:textId="77777777" w:rsidR="003F46B9" w:rsidRDefault="0065662E">
            <w:pPr>
              <w:pStyle w:val="P68B1DB1-Normal35"/>
              <w:spacing w:after="0"/>
              <w:jc w:val="both"/>
              <w:rPr>
                <w:noProof/>
              </w:rPr>
            </w:pPr>
            <w:r>
              <w:rPr>
                <w:noProof/>
              </w:rPr>
              <w:t>C10.I1</w:t>
            </w:r>
          </w:p>
          <w:p w14:paraId="79AAF157" w14:textId="77777777" w:rsidR="003F46B9" w:rsidRDefault="0065662E">
            <w:pPr>
              <w:pStyle w:val="P68B1DB1-Normal35"/>
              <w:spacing w:after="0"/>
              <w:jc w:val="both"/>
              <w:rPr>
                <w:rFonts w:eastAsia="Times New Roman"/>
                <w:noProof/>
              </w:rPr>
            </w:pPr>
            <w:r>
              <w:rPr>
                <w:noProof/>
              </w:rPr>
              <w:t>Održiva gradska mobilnost</w:t>
            </w:r>
          </w:p>
        </w:tc>
        <w:tc>
          <w:tcPr>
            <w:tcW w:w="1275" w:type="dxa"/>
            <w:tcBorders>
              <w:top w:val="nil"/>
              <w:left w:val="nil"/>
              <w:bottom w:val="single" w:sz="4" w:space="0" w:color="auto"/>
              <w:right w:val="single" w:sz="4" w:space="0" w:color="auto"/>
            </w:tcBorders>
            <w:shd w:val="clear" w:color="auto" w:fill="C6EFCE"/>
            <w:noWrap/>
          </w:tcPr>
          <w:p w14:paraId="2DF99AE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BB96DE8" w14:textId="77777777" w:rsidR="003F46B9" w:rsidRDefault="0065662E">
            <w:pPr>
              <w:pStyle w:val="P68B1DB1-Normal35"/>
              <w:spacing w:after="0"/>
              <w:jc w:val="both"/>
              <w:rPr>
                <w:rFonts w:eastAsia="Times New Roman"/>
                <w:noProof/>
              </w:rPr>
            </w:pPr>
            <w:r>
              <w:rPr>
                <w:noProof/>
              </w:rPr>
              <w:t xml:space="preserve">Potpisivanje ugovora o pružanju ITS-a/ostale infrastrukture </w:t>
            </w:r>
            <w:r>
              <w:rPr>
                <w:noProof/>
              </w:rPr>
              <w:t>IKT-a</w:t>
            </w:r>
          </w:p>
        </w:tc>
      </w:tr>
      <w:tr w:rsidR="003F46B9" w14:paraId="46EDD4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6DF493" w14:textId="77777777" w:rsidR="003F46B9" w:rsidRDefault="0065662E">
            <w:pPr>
              <w:pStyle w:val="P68B1DB1-Normal35"/>
              <w:spacing w:after="0"/>
              <w:jc w:val="center"/>
              <w:rPr>
                <w:noProof/>
              </w:rPr>
            </w:pPr>
            <w:r>
              <w:rPr>
                <w:noProof/>
              </w:rPr>
              <w:t>301</w:t>
            </w:r>
          </w:p>
        </w:tc>
        <w:tc>
          <w:tcPr>
            <w:tcW w:w="3544" w:type="dxa"/>
            <w:tcBorders>
              <w:top w:val="nil"/>
              <w:left w:val="nil"/>
              <w:bottom w:val="single" w:sz="4" w:space="0" w:color="auto"/>
              <w:right w:val="single" w:sz="4" w:space="0" w:color="auto"/>
            </w:tcBorders>
            <w:shd w:val="clear" w:color="auto" w:fill="C6EFCE"/>
            <w:noWrap/>
          </w:tcPr>
          <w:p w14:paraId="314C9C78" w14:textId="77777777" w:rsidR="003F46B9" w:rsidRDefault="0065662E">
            <w:pPr>
              <w:pStyle w:val="P68B1DB1-Normal35"/>
              <w:spacing w:after="0"/>
              <w:jc w:val="both"/>
              <w:rPr>
                <w:noProof/>
              </w:rPr>
            </w:pPr>
            <w:r>
              <w:rPr>
                <w:noProof/>
              </w:rPr>
              <w:t>C10.I1</w:t>
            </w:r>
          </w:p>
          <w:p w14:paraId="631B851A" w14:textId="77777777" w:rsidR="003F46B9" w:rsidRDefault="0065662E">
            <w:pPr>
              <w:pStyle w:val="P68B1DB1-Normal35"/>
              <w:spacing w:after="0"/>
              <w:jc w:val="both"/>
              <w:rPr>
                <w:noProof/>
              </w:rPr>
            </w:pPr>
            <w:r>
              <w:rPr>
                <w:noProof/>
              </w:rPr>
              <w:t>Održiva gradska mobilnost</w:t>
            </w:r>
          </w:p>
        </w:tc>
        <w:tc>
          <w:tcPr>
            <w:tcW w:w="1275" w:type="dxa"/>
            <w:tcBorders>
              <w:top w:val="nil"/>
              <w:left w:val="nil"/>
              <w:bottom w:val="single" w:sz="4" w:space="0" w:color="auto"/>
              <w:right w:val="single" w:sz="4" w:space="0" w:color="auto"/>
            </w:tcBorders>
            <w:shd w:val="clear" w:color="auto" w:fill="C6EFCE"/>
            <w:noWrap/>
          </w:tcPr>
          <w:p w14:paraId="31CE2AA9"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D4764AB" w14:textId="77777777" w:rsidR="003F46B9" w:rsidRDefault="0065662E">
            <w:pPr>
              <w:pStyle w:val="P68B1DB1-Normal35"/>
              <w:spacing w:after="0"/>
              <w:jc w:val="both"/>
              <w:rPr>
                <w:noProof/>
              </w:rPr>
            </w:pPr>
            <w:r>
              <w:rPr>
                <w:noProof/>
              </w:rPr>
              <w:t>Potpisivanje ugovora za izgradnju mjesta za punjenje električnih vozila</w:t>
            </w:r>
          </w:p>
        </w:tc>
      </w:tr>
      <w:tr w:rsidR="003F46B9" w14:paraId="0EA677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CA318E" w14:textId="77777777" w:rsidR="003F46B9" w:rsidRDefault="0065662E">
            <w:pPr>
              <w:pStyle w:val="P68B1DB1-Normal35"/>
              <w:spacing w:after="0"/>
              <w:jc w:val="center"/>
              <w:rPr>
                <w:noProof/>
              </w:rPr>
            </w:pPr>
            <w:r>
              <w:rPr>
                <w:noProof/>
              </w:rPr>
              <w:t>351</w:t>
            </w:r>
          </w:p>
        </w:tc>
        <w:tc>
          <w:tcPr>
            <w:tcW w:w="3544" w:type="dxa"/>
            <w:tcBorders>
              <w:top w:val="nil"/>
              <w:left w:val="nil"/>
              <w:bottom w:val="single" w:sz="4" w:space="0" w:color="auto"/>
              <w:right w:val="single" w:sz="4" w:space="0" w:color="auto"/>
            </w:tcBorders>
            <w:shd w:val="clear" w:color="auto" w:fill="C6EFCE"/>
            <w:noWrap/>
          </w:tcPr>
          <w:p w14:paraId="27DBF625" w14:textId="77777777" w:rsidR="003F46B9" w:rsidRDefault="0065662E">
            <w:pPr>
              <w:pStyle w:val="P68B1DB1-Normal35"/>
              <w:spacing w:after="0"/>
              <w:jc w:val="both"/>
              <w:rPr>
                <w:noProof/>
              </w:rPr>
            </w:pPr>
            <w:r>
              <w:rPr>
                <w:noProof/>
              </w:rPr>
              <w:t>C12.R1</w:t>
            </w:r>
          </w:p>
          <w:p w14:paraId="3C7EAFF3" w14:textId="77777777" w:rsidR="003F46B9" w:rsidRDefault="0065662E">
            <w:pPr>
              <w:pStyle w:val="P68B1DB1-Normal35"/>
              <w:spacing w:after="0"/>
              <w:jc w:val="both"/>
              <w:rPr>
                <w:noProof/>
              </w:rPr>
            </w:pPr>
            <w:r>
              <w:rPr>
                <w:noProof/>
              </w:rPr>
              <w:t xml:space="preserve">Povećani kapacitet za upravljanje fondovima za javno zdravstvo </w:t>
            </w:r>
          </w:p>
        </w:tc>
        <w:tc>
          <w:tcPr>
            <w:tcW w:w="1275" w:type="dxa"/>
            <w:tcBorders>
              <w:top w:val="nil"/>
              <w:left w:val="nil"/>
              <w:bottom w:val="single" w:sz="4" w:space="0" w:color="auto"/>
              <w:right w:val="single" w:sz="4" w:space="0" w:color="auto"/>
            </w:tcBorders>
            <w:shd w:val="clear" w:color="auto" w:fill="C6EFCE"/>
            <w:noWrap/>
          </w:tcPr>
          <w:p w14:paraId="6330D431"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349509D" w14:textId="77777777" w:rsidR="003F46B9" w:rsidRDefault="0065662E">
            <w:pPr>
              <w:pStyle w:val="P68B1DB1-Normal35"/>
              <w:spacing w:after="0"/>
              <w:jc w:val="both"/>
              <w:rPr>
                <w:noProof/>
              </w:rPr>
            </w:pPr>
            <w:r>
              <w:rPr>
                <w:noProof/>
              </w:rPr>
              <w:t xml:space="preserve">Stupanje na snagu ministarske odluke o pokazateljima </w:t>
            </w:r>
            <w:r>
              <w:rPr>
                <w:noProof/>
              </w:rPr>
              <w:t>uspješnosti i kvalitete koji će se upotrebljavati za odabir medicinskih jedinica koje imaju koristi od Fonda za kvalitetu zdravlja</w:t>
            </w:r>
          </w:p>
        </w:tc>
      </w:tr>
      <w:tr w:rsidR="003F46B9" w14:paraId="3DFCD4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34AA748" w14:textId="77777777" w:rsidR="003F46B9" w:rsidRDefault="0065662E">
            <w:pPr>
              <w:pStyle w:val="P68B1DB1-Normal35"/>
              <w:spacing w:after="0"/>
              <w:jc w:val="center"/>
              <w:rPr>
                <w:noProof/>
              </w:rPr>
            </w:pPr>
            <w:r>
              <w:rPr>
                <w:noProof/>
              </w:rPr>
              <w:t>358</w:t>
            </w:r>
          </w:p>
        </w:tc>
        <w:tc>
          <w:tcPr>
            <w:tcW w:w="3544" w:type="dxa"/>
            <w:tcBorders>
              <w:top w:val="nil"/>
              <w:left w:val="nil"/>
              <w:bottom w:val="single" w:sz="4" w:space="0" w:color="auto"/>
              <w:right w:val="single" w:sz="4" w:space="0" w:color="auto"/>
            </w:tcBorders>
            <w:shd w:val="clear" w:color="auto" w:fill="C6EFCE"/>
            <w:noWrap/>
          </w:tcPr>
          <w:p w14:paraId="020030CE" w14:textId="77777777" w:rsidR="003F46B9" w:rsidRDefault="0065662E">
            <w:pPr>
              <w:pStyle w:val="P68B1DB1-Normal35"/>
              <w:spacing w:after="0"/>
              <w:jc w:val="both"/>
              <w:rPr>
                <w:noProof/>
              </w:rPr>
            </w:pPr>
            <w:r>
              <w:rPr>
                <w:noProof/>
              </w:rPr>
              <w:t>C12.R3</w:t>
            </w:r>
          </w:p>
          <w:p w14:paraId="5C5CF26D" w14:textId="77777777" w:rsidR="003F46B9" w:rsidRDefault="0065662E">
            <w:pPr>
              <w:pStyle w:val="P68B1DB1-Normal35"/>
              <w:spacing w:after="0"/>
              <w:jc w:val="both"/>
              <w:rPr>
                <w:noProof/>
              </w:rPr>
            </w:pPr>
            <w:r>
              <w:rPr>
                <w:noProof/>
              </w:rPr>
              <w:t xml:space="preserve">Povećani kapaciteti za upravljanje zdravljem i ljudske resurse u zdravstvu </w:t>
            </w:r>
          </w:p>
        </w:tc>
        <w:tc>
          <w:tcPr>
            <w:tcW w:w="1275" w:type="dxa"/>
            <w:tcBorders>
              <w:top w:val="nil"/>
              <w:left w:val="nil"/>
              <w:bottom w:val="single" w:sz="4" w:space="0" w:color="auto"/>
              <w:right w:val="single" w:sz="4" w:space="0" w:color="auto"/>
            </w:tcBorders>
            <w:shd w:val="clear" w:color="auto" w:fill="C6EFCE"/>
            <w:noWrap/>
          </w:tcPr>
          <w:p w14:paraId="74CD242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CF0D3DE" w14:textId="77777777" w:rsidR="003F46B9" w:rsidRDefault="0065662E">
            <w:pPr>
              <w:pStyle w:val="P68B1DB1-Normal35"/>
              <w:spacing w:after="0"/>
              <w:jc w:val="both"/>
              <w:rPr>
                <w:noProof/>
              </w:rPr>
            </w:pPr>
            <w:r>
              <w:rPr>
                <w:noProof/>
              </w:rPr>
              <w:t>Razvoj ljudskih resursa u zdravstvu</w:t>
            </w:r>
          </w:p>
        </w:tc>
      </w:tr>
      <w:tr w:rsidR="003F46B9" w14:paraId="408543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70044B" w14:textId="77777777" w:rsidR="003F46B9" w:rsidRDefault="0065662E">
            <w:pPr>
              <w:pStyle w:val="P68B1DB1-Normal35"/>
              <w:spacing w:after="0"/>
              <w:jc w:val="center"/>
              <w:rPr>
                <w:noProof/>
              </w:rPr>
            </w:pPr>
            <w:r>
              <w:rPr>
                <w:noProof/>
              </w:rPr>
              <w:t>378</w:t>
            </w:r>
          </w:p>
        </w:tc>
        <w:tc>
          <w:tcPr>
            <w:tcW w:w="3544" w:type="dxa"/>
            <w:tcBorders>
              <w:top w:val="nil"/>
              <w:left w:val="nil"/>
              <w:bottom w:val="single" w:sz="4" w:space="0" w:color="auto"/>
              <w:right w:val="single" w:sz="4" w:space="0" w:color="auto"/>
            </w:tcBorders>
            <w:shd w:val="clear" w:color="auto" w:fill="C6EFCE"/>
            <w:noWrap/>
          </w:tcPr>
          <w:p w14:paraId="0F617F06" w14:textId="77777777" w:rsidR="003F46B9" w:rsidRDefault="0065662E">
            <w:pPr>
              <w:pStyle w:val="P68B1DB1-Normal35"/>
              <w:spacing w:after="0"/>
              <w:jc w:val="both"/>
              <w:rPr>
                <w:noProof/>
              </w:rPr>
            </w:pPr>
            <w:r>
              <w:rPr>
                <w:noProof/>
              </w:rPr>
              <w:t>C13. R1</w:t>
            </w:r>
          </w:p>
          <w:p w14:paraId="2A52D17D" w14:textId="77777777" w:rsidR="003F46B9" w:rsidRDefault="0065662E">
            <w:pPr>
              <w:pStyle w:val="P68B1DB1-Normal35"/>
              <w:spacing w:after="0"/>
              <w:jc w:val="both"/>
              <w:rPr>
                <w:noProof/>
              </w:rPr>
            </w:pPr>
            <w:r>
              <w:rPr>
                <w:noProof/>
              </w:rPr>
              <w:t>Stvaranje novog pravnog okvira za sprečavanje odvajanja djece od njihovih obitelji</w:t>
            </w:r>
          </w:p>
        </w:tc>
        <w:tc>
          <w:tcPr>
            <w:tcW w:w="1275" w:type="dxa"/>
            <w:tcBorders>
              <w:top w:val="nil"/>
              <w:left w:val="nil"/>
              <w:bottom w:val="single" w:sz="4" w:space="0" w:color="auto"/>
              <w:right w:val="single" w:sz="4" w:space="0" w:color="auto"/>
            </w:tcBorders>
            <w:shd w:val="clear" w:color="auto" w:fill="C6EFCE"/>
            <w:noWrap/>
          </w:tcPr>
          <w:p w14:paraId="463B66C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FE1B262" w14:textId="77777777" w:rsidR="003F46B9" w:rsidRDefault="0065662E">
            <w:pPr>
              <w:pStyle w:val="P68B1DB1-Normal35"/>
              <w:spacing w:after="0"/>
              <w:jc w:val="both"/>
              <w:rPr>
                <w:noProof/>
              </w:rPr>
            </w:pPr>
            <w:r>
              <w:rPr>
                <w:noProof/>
              </w:rPr>
              <w:t>Stupanje na snagu zakonodavnog akta potrebnog za sprečavanje odvajanja djece od obitelji i potpore ranjivim obiteljima</w:t>
            </w:r>
          </w:p>
        </w:tc>
      </w:tr>
      <w:tr w:rsidR="003F46B9" w14:paraId="7B3CC4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71CC95" w14:textId="77777777" w:rsidR="003F46B9" w:rsidRDefault="0065662E">
            <w:pPr>
              <w:pStyle w:val="P68B1DB1-Normal35"/>
              <w:spacing w:after="0"/>
              <w:jc w:val="center"/>
              <w:rPr>
                <w:noProof/>
              </w:rPr>
            </w:pPr>
            <w:r>
              <w:rPr>
                <w:noProof/>
              </w:rPr>
              <w:t>380</w:t>
            </w:r>
          </w:p>
        </w:tc>
        <w:tc>
          <w:tcPr>
            <w:tcW w:w="3544" w:type="dxa"/>
            <w:tcBorders>
              <w:top w:val="nil"/>
              <w:left w:val="nil"/>
              <w:bottom w:val="single" w:sz="4" w:space="0" w:color="auto"/>
              <w:right w:val="single" w:sz="4" w:space="0" w:color="auto"/>
            </w:tcBorders>
            <w:shd w:val="clear" w:color="auto" w:fill="C6EFCE"/>
            <w:noWrap/>
          </w:tcPr>
          <w:p w14:paraId="4FC26444" w14:textId="77777777" w:rsidR="003F46B9" w:rsidRDefault="0065662E">
            <w:pPr>
              <w:pStyle w:val="P68B1DB1-Normal35"/>
              <w:spacing w:after="0"/>
              <w:jc w:val="both"/>
              <w:rPr>
                <w:noProof/>
              </w:rPr>
            </w:pPr>
            <w:r>
              <w:rPr>
                <w:noProof/>
              </w:rPr>
              <w:t>C13. R2</w:t>
            </w:r>
          </w:p>
          <w:p w14:paraId="6F8D735F" w14:textId="77777777" w:rsidR="003F46B9" w:rsidRDefault="0065662E">
            <w:pPr>
              <w:pStyle w:val="P68B1DB1-Normal35"/>
              <w:spacing w:after="0"/>
              <w:jc w:val="both"/>
              <w:rPr>
                <w:noProof/>
              </w:rPr>
            </w:pPr>
            <w:r>
              <w:rPr>
                <w:noProof/>
              </w:rPr>
              <w:t xml:space="preserve">Reforma sustava zaštite odraslih osoba s invaliditetom </w:t>
            </w:r>
          </w:p>
        </w:tc>
        <w:tc>
          <w:tcPr>
            <w:tcW w:w="1275" w:type="dxa"/>
            <w:tcBorders>
              <w:top w:val="nil"/>
              <w:left w:val="nil"/>
              <w:bottom w:val="single" w:sz="4" w:space="0" w:color="auto"/>
              <w:right w:val="single" w:sz="4" w:space="0" w:color="auto"/>
            </w:tcBorders>
            <w:shd w:val="clear" w:color="auto" w:fill="C6EFCE"/>
            <w:noWrap/>
          </w:tcPr>
          <w:p w14:paraId="208FE83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BCC649D" w14:textId="77777777" w:rsidR="003F46B9" w:rsidRDefault="0065662E">
            <w:pPr>
              <w:pStyle w:val="P68B1DB1-Normal35"/>
              <w:spacing w:after="0"/>
              <w:jc w:val="both"/>
              <w:rPr>
                <w:noProof/>
              </w:rPr>
            </w:pPr>
            <w:r>
              <w:rPr>
                <w:noProof/>
              </w:rPr>
              <w:t xml:space="preserve">Stupanje na snagu zakonodavnog akta za provedbu i operacionalizaciju Vodiča za ubrzavanje procesa deinstitucionalizacije </w:t>
            </w:r>
          </w:p>
        </w:tc>
      </w:tr>
      <w:tr w:rsidR="003F46B9" w14:paraId="78D4C9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524BC2" w14:textId="77777777" w:rsidR="003F46B9" w:rsidRDefault="0065662E">
            <w:pPr>
              <w:pStyle w:val="P68B1DB1-Normal35"/>
              <w:spacing w:after="0"/>
              <w:jc w:val="center"/>
              <w:rPr>
                <w:noProof/>
              </w:rPr>
            </w:pPr>
            <w:r>
              <w:rPr>
                <w:noProof/>
              </w:rPr>
              <w:t>381</w:t>
            </w:r>
          </w:p>
        </w:tc>
        <w:tc>
          <w:tcPr>
            <w:tcW w:w="3544" w:type="dxa"/>
            <w:tcBorders>
              <w:top w:val="nil"/>
              <w:left w:val="nil"/>
              <w:bottom w:val="single" w:sz="4" w:space="0" w:color="auto"/>
              <w:right w:val="single" w:sz="4" w:space="0" w:color="auto"/>
            </w:tcBorders>
            <w:shd w:val="clear" w:color="auto" w:fill="C6EFCE"/>
            <w:noWrap/>
          </w:tcPr>
          <w:p w14:paraId="213137C2" w14:textId="77777777" w:rsidR="003F46B9" w:rsidRDefault="0065662E">
            <w:pPr>
              <w:pStyle w:val="P68B1DB1-Normal35"/>
              <w:spacing w:after="0"/>
              <w:jc w:val="both"/>
              <w:rPr>
                <w:noProof/>
              </w:rPr>
            </w:pPr>
            <w:r>
              <w:rPr>
                <w:noProof/>
              </w:rPr>
              <w:t>C13. R2</w:t>
            </w:r>
          </w:p>
          <w:p w14:paraId="7834BEA0" w14:textId="77777777" w:rsidR="003F46B9" w:rsidRDefault="0065662E">
            <w:pPr>
              <w:pStyle w:val="P68B1DB1-Normal35"/>
              <w:spacing w:after="0"/>
              <w:jc w:val="both"/>
              <w:rPr>
                <w:noProof/>
              </w:rPr>
            </w:pPr>
            <w:r>
              <w:rPr>
                <w:noProof/>
              </w:rPr>
              <w:t xml:space="preserve">Reforma sustava zaštite odraslih osoba s invaliditetom </w:t>
            </w:r>
          </w:p>
        </w:tc>
        <w:tc>
          <w:tcPr>
            <w:tcW w:w="1275" w:type="dxa"/>
            <w:tcBorders>
              <w:top w:val="nil"/>
              <w:left w:val="nil"/>
              <w:bottom w:val="single" w:sz="4" w:space="0" w:color="auto"/>
              <w:right w:val="single" w:sz="4" w:space="0" w:color="auto"/>
            </w:tcBorders>
            <w:shd w:val="clear" w:color="auto" w:fill="C6EFCE"/>
            <w:noWrap/>
          </w:tcPr>
          <w:p w14:paraId="1A820653"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395DEC" w14:textId="77777777" w:rsidR="003F46B9" w:rsidRDefault="0065662E">
            <w:pPr>
              <w:pStyle w:val="P68B1DB1-Normal35"/>
              <w:spacing w:after="0"/>
              <w:jc w:val="both"/>
              <w:rPr>
                <w:noProof/>
              </w:rPr>
            </w:pPr>
            <w:r>
              <w:rPr>
                <w:noProof/>
              </w:rPr>
              <w:t xml:space="preserve">Stupanje na snagu zakonodavstva za potporu provedbi donesene nacionalne strategije za sprečavanje institucionalizacije </w:t>
            </w:r>
          </w:p>
        </w:tc>
      </w:tr>
      <w:tr w:rsidR="003F46B9" w14:paraId="02002D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54575B" w14:textId="77777777" w:rsidR="003F46B9" w:rsidRDefault="0065662E">
            <w:pPr>
              <w:pStyle w:val="P68B1DB1-Normal35"/>
              <w:spacing w:after="0"/>
              <w:jc w:val="center"/>
              <w:rPr>
                <w:noProof/>
              </w:rPr>
            </w:pPr>
            <w:r>
              <w:rPr>
                <w:noProof/>
              </w:rPr>
              <w:t>424</w:t>
            </w:r>
          </w:p>
        </w:tc>
        <w:tc>
          <w:tcPr>
            <w:tcW w:w="3544" w:type="dxa"/>
            <w:tcBorders>
              <w:top w:val="nil"/>
              <w:left w:val="nil"/>
              <w:bottom w:val="single" w:sz="4" w:space="0" w:color="auto"/>
              <w:right w:val="single" w:sz="4" w:space="0" w:color="auto"/>
            </w:tcBorders>
            <w:shd w:val="clear" w:color="auto" w:fill="C6EFCE"/>
            <w:noWrap/>
          </w:tcPr>
          <w:p w14:paraId="3CA7FD13" w14:textId="77777777" w:rsidR="003F46B9" w:rsidRDefault="0065662E">
            <w:pPr>
              <w:pStyle w:val="P68B1DB1-Normal35"/>
              <w:spacing w:after="0"/>
              <w:jc w:val="both"/>
              <w:rPr>
                <w:noProof/>
              </w:rPr>
            </w:pPr>
            <w:r>
              <w:rPr>
                <w:noProof/>
              </w:rPr>
              <w:t>C14.R5</w:t>
            </w:r>
          </w:p>
          <w:p w14:paraId="13A49287" w14:textId="17497020" w:rsidR="003F46B9" w:rsidRDefault="0065662E">
            <w:pPr>
              <w:pStyle w:val="P68B1DB1-Normal35"/>
              <w:spacing w:after="0"/>
              <w:jc w:val="both"/>
              <w:rPr>
                <w:noProof/>
              </w:rPr>
            </w:pPr>
            <w:r>
              <w:rPr>
                <w:noProof/>
              </w:rPr>
              <w:t xml:space="preserve">Osiguravanje neovisnosti pravosuđa, poboljšanje njegove kvalitete i učinkovitosti  </w:t>
            </w:r>
          </w:p>
        </w:tc>
        <w:tc>
          <w:tcPr>
            <w:tcW w:w="1275" w:type="dxa"/>
            <w:tcBorders>
              <w:top w:val="nil"/>
              <w:left w:val="nil"/>
              <w:bottom w:val="single" w:sz="4" w:space="0" w:color="auto"/>
              <w:right w:val="single" w:sz="4" w:space="0" w:color="auto"/>
            </w:tcBorders>
            <w:shd w:val="clear" w:color="auto" w:fill="C6EFCE"/>
            <w:noWrap/>
          </w:tcPr>
          <w:p w14:paraId="2B96099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5FB3A81" w14:textId="77777777" w:rsidR="003F46B9" w:rsidRDefault="0065662E">
            <w:pPr>
              <w:pStyle w:val="P68B1DB1-Normal35"/>
              <w:spacing w:after="0"/>
              <w:jc w:val="both"/>
              <w:rPr>
                <w:noProof/>
              </w:rPr>
            </w:pPr>
            <w:r>
              <w:rPr>
                <w:noProof/>
              </w:rPr>
              <w:t>Izmjena Kaznenog zakona i Zakona o kaz</w:t>
            </w:r>
            <w:r>
              <w:rPr>
                <w:noProof/>
              </w:rPr>
              <w:t xml:space="preserve">nenom postupku </w:t>
            </w:r>
          </w:p>
        </w:tc>
      </w:tr>
      <w:tr w:rsidR="003F46B9" w14:paraId="098A20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D96C6D" w14:textId="77777777" w:rsidR="003F46B9" w:rsidRDefault="0065662E">
            <w:pPr>
              <w:pStyle w:val="P68B1DB1-Normal35"/>
              <w:spacing w:after="0"/>
              <w:jc w:val="center"/>
              <w:rPr>
                <w:noProof/>
              </w:rPr>
            </w:pPr>
            <w:r>
              <w:rPr>
                <w:noProof/>
              </w:rPr>
              <w:t>439</w:t>
            </w:r>
          </w:p>
        </w:tc>
        <w:tc>
          <w:tcPr>
            <w:tcW w:w="3544" w:type="dxa"/>
            <w:tcBorders>
              <w:top w:val="nil"/>
              <w:left w:val="nil"/>
              <w:bottom w:val="single" w:sz="4" w:space="0" w:color="auto"/>
              <w:right w:val="single" w:sz="4" w:space="0" w:color="auto"/>
            </w:tcBorders>
            <w:shd w:val="clear" w:color="auto" w:fill="C6EFCE"/>
            <w:noWrap/>
          </w:tcPr>
          <w:p w14:paraId="3F21866A" w14:textId="77777777" w:rsidR="003F46B9" w:rsidRDefault="0065662E">
            <w:pPr>
              <w:pStyle w:val="P68B1DB1-Normal35"/>
              <w:spacing w:after="0"/>
              <w:jc w:val="both"/>
              <w:rPr>
                <w:noProof/>
              </w:rPr>
            </w:pPr>
            <w:r>
              <w:rPr>
                <w:noProof/>
              </w:rPr>
              <w:t>C14.R9</w:t>
            </w:r>
          </w:p>
          <w:p w14:paraId="042E61CF" w14:textId="77777777" w:rsidR="003F46B9" w:rsidRDefault="0065662E">
            <w:pPr>
              <w:pStyle w:val="P68B1DB1-Normal35"/>
              <w:spacing w:after="0"/>
              <w:jc w:val="both"/>
              <w:rPr>
                <w:noProof/>
              </w:rPr>
            </w:pPr>
            <w:r>
              <w:rPr>
                <w:noProof/>
              </w:rPr>
              <w:t>Poboljšati postupovni okvir za provedbu načela korporativnog upravljanja u poduzećima u državnom vlasništvu</w:t>
            </w:r>
          </w:p>
        </w:tc>
        <w:tc>
          <w:tcPr>
            <w:tcW w:w="1275" w:type="dxa"/>
            <w:tcBorders>
              <w:top w:val="nil"/>
              <w:left w:val="nil"/>
              <w:bottom w:val="single" w:sz="4" w:space="0" w:color="auto"/>
              <w:right w:val="single" w:sz="4" w:space="0" w:color="auto"/>
            </w:tcBorders>
            <w:shd w:val="clear" w:color="auto" w:fill="C6EFCE"/>
            <w:noWrap/>
          </w:tcPr>
          <w:p w14:paraId="026AF8C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CD59A37" w14:textId="77777777" w:rsidR="003F46B9" w:rsidRDefault="0065662E">
            <w:pPr>
              <w:pStyle w:val="P68B1DB1-Normal35"/>
              <w:spacing w:after="0"/>
              <w:jc w:val="both"/>
              <w:rPr>
                <w:noProof/>
              </w:rPr>
            </w:pPr>
            <w:r>
              <w:rPr>
                <w:noProof/>
              </w:rPr>
              <w:t xml:space="preserve">Stupanje na snagu ažuriranog zakonodavstva za poduzeća u državnom vlasništvu </w:t>
            </w:r>
          </w:p>
        </w:tc>
      </w:tr>
      <w:tr w:rsidR="003F46B9" w14:paraId="24CE1C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031F4C" w14:textId="77777777" w:rsidR="003F46B9" w:rsidRDefault="0065662E">
            <w:pPr>
              <w:pStyle w:val="P68B1DB1-Normal35"/>
              <w:spacing w:after="0"/>
              <w:jc w:val="center"/>
              <w:rPr>
                <w:noProof/>
              </w:rPr>
            </w:pPr>
            <w:r>
              <w:rPr>
                <w:noProof/>
              </w:rPr>
              <w:t>440</w:t>
            </w:r>
          </w:p>
        </w:tc>
        <w:tc>
          <w:tcPr>
            <w:tcW w:w="3544" w:type="dxa"/>
            <w:tcBorders>
              <w:top w:val="nil"/>
              <w:left w:val="nil"/>
              <w:bottom w:val="single" w:sz="4" w:space="0" w:color="auto"/>
              <w:right w:val="single" w:sz="4" w:space="0" w:color="auto"/>
            </w:tcBorders>
            <w:shd w:val="clear" w:color="auto" w:fill="C6EFCE"/>
            <w:noWrap/>
          </w:tcPr>
          <w:p w14:paraId="79D4725C" w14:textId="77777777" w:rsidR="003F46B9" w:rsidRDefault="0065662E">
            <w:pPr>
              <w:pStyle w:val="P68B1DB1-Normal35"/>
              <w:spacing w:after="0"/>
              <w:jc w:val="both"/>
              <w:rPr>
                <w:noProof/>
              </w:rPr>
            </w:pPr>
            <w:r>
              <w:rPr>
                <w:noProof/>
              </w:rPr>
              <w:t>C14.R9</w:t>
            </w:r>
          </w:p>
          <w:p w14:paraId="663425C3" w14:textId="77777777" w:rsidR="003F46B9" w:rsidRDefault="0065662E">
            <w:pPr>
              <w:pStyle w:val="P68B1DB1-Normal35"/>
              <w:spacing w:after="0"/>
              <w:jc w:val="both"/>
              <w:rPr>
                <w:noProof/>
              </w:rPr>
            </w:pPr>
            <w:r>
              <w:rPr>
                <w:noProof/>
              </w:rPr>
              <w:t xml:space="preserve">Poboljšati postupovni okvir </w:t>
            </w:r>
            <w:r>
              <w:rPr>
                <w:noProof/>
              </w:rPr>
              <w:t>za provedbu načela korporativnog upravljanja u poduzećima u državnom vlasništvu</w:t>
            </w:r>
          </w:p>
        </w:tc>
        <w:tc>
          <w:tcPr>
            <w:tcW w:w="1275" w:type="dxa"/>
            <w:tcBorders>
              <w:top w:val="nil"/>
              <w:left w:val="nil"/>
              <w:bottom w:val="single" w:sz="4" w:space="0" w:color="auto"/>
              <w:right w:val="single" w:sz="4" w:space="0" w:color="auto"/>
            </w:tcBorders>
            <w:shd w:val="clear" w:color="auto" w:fill="C6EFCE"/>
            <w:noWrap/>
          </w:tcPr>
          <w:p w14:paraId="79998ADE"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2716F78" w14:textId="77777777" w:rsidR="003F46B9" w:rsidRDefault="0065662E">
            <w:pPr>
              <w:pStyle w:val="P68B1DB1-Normal35"/>
              <w:spacing w:after="0"/>
              <w:jc w:val="both"/>
              <w:rPr>
                <w:noProof/>
              </w:rPr>
            </w:pPr>
            <w:r>
              <w:rPr>
                <w:noProof/>
              </w:rPr>
              <w:t>Operacionalizacija radne skupine u Centru Vlade za koordinaciju i praćenje politika korporativnog upravljanja</w:t>
            </w:r>
          </w:p>
        </w:tc>
      </w:tr>
      <w:tr w:rsidR="003F46B9" w14:paraId="612F11C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1A9135" w14:textId="77777777" w:rsidR="003F46B9" w:rsidRDefault="0065662E">
            <w:pPr>
              <w:pStyle w:val="P68B1DB1-Normal35"/>
              <w:spacing w:after="0"/>
              <w:jc w:val="center"/>
              <w:rPr>
                <w:noProof/>
              </w:rPr>
            </w:pPr>
            <w:r>
              <w:rPr>
                <w:noProof/>
              </w:rPr>
              <w:t>449</w:t>
            </w:r>
          </w:p>
        </w:tc>
        <w:tc>
          <w:tcPr>
            <w:tcW w:w="3544" w:type="dxa"/>
            <w:tcBorders>
              <w:top w:val="nil"/>
              <w:left w:val="nil"/>
              <w:bottom w:val="single" w:sz="4" w:space="0" w:color="auto"/>
              <w:right w:val="single" w:sz="4" w:space="0" w:color="auto"/>
            </w:tcBorders>
            <w:shd w:val="clear" w:color="auto" w:fill="C6EFCE"/>
            <w:noWrap/>
          </w:tcPr>
          <w:p w14:paraId="204168F6" w14:textId="77777777" w:rsidR="003F46B9" w:rsidRDefault="0065662E">
            <w:pPr>
              <w:pStyle w:val="P68B1DB1-Normal35"/>
              <w:spacing w:after="0"/>
              <w:jc w:val="both"/>
              <w:rPr>
                <w:noProof/>
              </w:rPr>
            </w:pPr>
            <w:r>
              <w:rPr>
                <w:noProof/>
              </w:rPr>
              <w:t>C14.I4</w:t>
            </w:r>
          </w:p>
          <w:p w14:paraId="08645C85" w14:textId="77777777" w:rsidR="003F46B9" w:rsidRDefault="0065662E">
            <w:pPr>
              <w:pStyle w:val="P68B1DB1-Normal35"/>
              <w:spacing w:after="0"/>
              <w:jc w:val="both"/>
              <w:rPr>
                <w:noProof/>
              </w:rPr>
            </w:pPr>
            <w:r>
              <w:rPr>
                <w:noProof/>
              </w:rPr>
              <w:t>Povećanje kapaciteta organizacija civilnog društva z</w:t>
            </w:r>
            <w:r>
              <w:rPr>
                <w:noProof/>
              </w:rPr>
              <w:t>a poticanje aktivnog građanstva, za profesionalno sudjelovanje u planiranju i provedbi javnih politika o socijalnim pravima obuhvaćenih nacionalnim planom za oporavak i otpornost te za praćenje povezanih reformi</w:t>
            </w:r>
          </w:p>
        </w:tc>
        <w:tc>
          <w:tcPr>
            <w:tcW w:w="1275" w:type="dxa"/>
            <w:tcBorders>
              <w:top w:val="nil"/>
              <w:left w:val="nil"/>
              <w:bottom w:val="single" w:sz="4" w:space="0" w:color="auto"/>
              <w:right w:val="single" w:sz="4" w:space="0" w:color="auto"/>
            </w:tcBorders>
            <w:shd w:val="clear" w:color="auto" w:fill="C6EFCE"/>
            <w:noWrap/>
          </w:tcPr>
          <w:p w14:paraId="0D3E01C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D80B1D" w14:textId="77777777" w:rsidR="003F46B9" w:rsidRDefault="0065662E">
            <w:pPr>
              <w:pStyle w:val="P68B1DB1-Normal35"/>
              <w:spacing w:after="0"/>
              <w:jc w:val="both"/>
              <w:rPr>
                <w:noProof/>
              </w:rPr>
            </w:pPr>
            <w:r>
              <w:rPr>
                <w:noProof/>
              </w:rPr>
              <w:t xml:space="preserve">Stupanje na snagu zakonodavstva o </w:t>
            </w:r>
            <w:r>
              <w:rPr>
                <w:noProof/>
              </w:rPr>
              <w:t>socijalnom dijalogu kojim se osigurava smislen i pravodoban socijalni dijalog i kolektivno pregovaranje, u skladu s preporukama ILO-a</w:t>
            </w:r>
          </w:p>
        </w:tc>
      </w:tr>
      <w:tr w:rsidR="003F46B9" w14:paraId="3734CC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C8F81F" w14:textId="77777777" w:rsidR="003F46B9" w:rsidRDefault="0065662E">
            <w:pPr>
              <w:pStyle w:val="P68B1DB1-Normal35"/>
              <w:spacing w:after="0"/>
              <w:jc w:val="center"/>
              <w:rPr>
                <w:noProof/>
              </w:rPr>
            </w:pPr>
            <w:r>
              <w:rPr>
                <w:noProof/>
              </w:rPr>
              <w:t>453</w:t>
            </w:r>
          </w:p>
        </w:tc>
        <w:tc>
          <w:tcPr>
            <w:tcW w:w="3544" w:type="dxa"/>
            <w:tcBorders>
              <w:top w:val="nil"/>
              <w:left w:val="nil"/>
              <w:bottom w:val="single" w:sz="4" w:space="0" w:color="auto"/>
              <w:right w:val="single" w:sz="4" w:space="0" w:color="auto"/>
            </w:tcBorders>
            <w:shd w:val="clear" w:color="auto" w:fill="C6EFCE"/>
            <w:noWrap/>
          </w:tcPr>
          <w:p w14:paraId="69E3A363" w14:textId="77777777" w:rsidR="003F46B9" w:rsidRDefault="0065662E">
            <w:pPr>
              <w:pStyle w:val="P68B1DB1-Normal35"/>
              <w:spacing w:after="0"/>
              <w:jc w:val="both"/>
              <w:rPr>
                <w:noProof/>
              </w:rPr>
            </w:pPr>
            <w:r>
              <w:rPr>
                <w:noProof/>
              </w:rPr>
              <w:t>C15.R2</w:t>
            </w:r>
          </w:p>
          <w:p w14:paraId="5CFFFCE8" w14:textId="77777777" w:rsidR="003F46B9" w:rsidRDefault="0065662E">
            <w:pPr>
              <w:pStyle w:val="P68B1DB1-Normal35"/>
              <w:spacing w:after="0"/>
              <w:jc w:val="both"/>
              <w:rPr>
                <w:noProof/>
              </w:rPr>
            </w:pPr>
            <w:r>
              <w:rPr>
                <w:noProof/>
              </w:rPr>
              <w:t>Jedinstveni, uključiv i kvalitetan sustav ranog i predškolskog odgoja i obrazovanja</w:t>
            </w:r>
          </w:p>
        </w:tc>
        <w:tc>
          <w:tcPr>
            <w:tcW w:w="1275" w:type="dxa"/>
            <w:tcBorders>
              <w:top w:val="nil"/>
              <w:left w:val="nil"/>
              <w:bottom w:val="single" w:sz="4" w:space="0" w:color="auto"/>
              <w:right w:val="single" w:sz="4" w:space="0" w:color="auto"/>
            </w:tcBorders>
            <w:shd w:val="clear" w:color="auto" w:fill="C6EFCE"/>
            <w:noWrap/>
          </w:tcPr>
          <w:p w14:paraId="6396385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4FCE05D" w14:textId="77777777" w:rsidR="003F46B9" w:rsidRDefault="0065662E">
            <w:pPr>
              <w:pStyle w:val="P68B1DB1-Normal35"/>
              <w:spacing w:after="0"/>
              <w:jc w:val="both"/>
              <w:rPr>
                <w:noProof/>
              </w:rPr>
            </w:pPr>
            <w:r>
              <w:rPr>
                <w:noProof/>
              </w:rPr>
              <w:t xml:space="preserve">Stupanje na snagu </w:t>
            </w:r>
            <w:r>
              <w:rPr>
                <w:noProof/>
              </w:rPr>
              <w:t>Ministarske odluke o donošenju Međusektorskog okvirnog programa</w:t>
            </w:r>
          </w:p>
          <w:p w14:paraId="44381971" w14:textId="77777777" w:rsidR="003F46B9" w:rsidRDefault="0065662E">
            <w:pPr>
              <w:pStyle w:val="P68B1DB1-Normal35"/>
              <w:spacing w:after="0"/>
              <w:jc w:val="both"/>
              <w:rPr>
                <w:noProof/>
              </w:rPr>
            </w:pPr>
            <w:r>
              <w:rPr>
                <w:noProof/>
              </w:rPr>
              <w:t>Stupanje na snagu MO-a kojim se uređuje uspostava, organizacija i rad dopunskih usluga ranog i predškolskog odgoja i obrazovanja</w:t>
            </w:r>
          </w:p>
        </w:tc>
      </w:tr>
      <w:tr w:rsidR="003F46B9" w14:paraId="622A10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9F031D" w14:textId="77777777" w:rsidR="003F46B9" w:rsidRDefault="0065662E">
            <w:pPr>
              <w:pStyle w:val="P68B1DB1-Normal35"/>
              <w:spacing w:after="0"/>
              <w:jc w:val="center"/>
              <w:rPr>
                <w:noProof/>
              </w:rPr>
            </w:pPr>
            <w:r>
              <w:rPr>
                <w:noProof/>
              </w:rPr>
              <w:t>463</w:t>
            </w:r>
          </w:p>
        </w:tc>
        <w:tc>
          <w:tcPr>
            <w:tcW w:w="3544" w:type="dxa"/>
            <w:tcBorders>
              <w:top w:val="nil"/>
              <w:left w:val="nil"/>
              <w:bottom w:val="single" w:sz="4" w:space="0" w:color="auto"/>
              <w:right w:val="single" w:sz="4" w:space="0" w:color="auto"/>
            </w:tcBorders>
            <w:shd w:val="clear" w:color="auto" w:fill="C6EFCE"/>
            <w:noWrap/>
          </w:tcPr>
          <w:p w14:paraId="12475FEE" w14:textId="77777777" w:rsidR="003F46B9" w:rsidRDefault="0065662E">
            <w:pPr>
              <w:pStyle w:val="P68B1DB1-Normal35"/>
              <w:spacing w:after="0"/>
              <w:jc w:val="both"/>
              <w:rPr>
                <w:noProof/>
              </w:rPr>
            </w:pPr>
            <w:r>
              <w:rPr>
                <w:noProof/>
              </w:rPr>
              <w:t>C15.R3</w:t>
            </w:r>
          </w:p>
          <w:p w14:paraId="5737F29E" w14:textId="77777777" w:rsidR="003F46B9" w:rsidRDefault="0065662E">
            <w:pPr>
              <w:pStyle w:val="P68B1DB1-Normal35"/>
              <w:spacing w:after="0"/>
              <w:jc w:val="both"/>
              <w:rPr>
                <w:noProof/>
              </w:rPr>
            </w:pPr>
            <w:r>
              <w:rPr>
                <w:noProof/>
              </w:rPr>
              <w:t>Reforma obveznog obrazovnog sustava radi sprečavanj</w:t>
            </w:r>
            <w:r>
              <w:rPr>
                <w:noProof/>
              </w:rPr>
              <w:t>a i smanjenja ranog napuštanja školovanja</w:t>
            </w:r>
          </w:p>
        </w:tc>
        <w:tc>
          <w:tcPr>
            <w:tcW w:w="1275" w:type="dxa"/>
            <w:tcBorders>
              <w:top w:val="nil"/>
              <w:left w:val="nil"/>
              <w:bottom w:val="single" w:sz="4" w:space="0" w:color="auto"/>
              <w:right w:val="single" w:sz="4" w:space="0" w:color="auto"/>
            </w:tcBorders>
            <w:shd w:val="clear" w:color="auto" w:fill="C6EFCE"/>
            <w:noWrap/>
          </w:tcPr>
          <w:p w14:paraId="18638A5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DBEF782" w14:textId="77777777" w:rsidR="003F46B9" w:rsidRDefault="0065662E">
            <w:pPr>
              <w:pStyle w:val="P68B1DB1-Normal35"/>
              <w:spacing w:after="0"/>
              <w:jc w:val="both"/>
              <w:rPr>
                <w:noProof/>
              </w:rPr>
            </w:pPr>
            <w:r>
              <w:rPr>
                <w:noProof/>
              </w:rPr>
              <w:t>Stupanje na snagu ministarske odluke (MO) za upotrebu alata MATE na nacionalnoj razini</w:t>
            </w:r>
          </w:p>
        </w:tc>
      </w:tr>
      <w:tr w:rsidR="003F46B9" w14:paraId="2A800BF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02BA0DB9"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36AD211D"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2ADC2424"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5A6331F3" w14:textId="1E858228" w:rsidR="003F46B9" w:rsidRDefault="0065662E">
            <w:pPr>
              <w:pStyle w:val="P68B1DB1-Normal36"/>
              <w:spacing w:after="0"/>
              <w:jc w:val="right"/>
              <w:rPr>
                <w:noProof/>
              </w:rPr>
            </w:pPr>
            <w:r>
              <w:rPr>
                <w:noProof/>
              </w:rPr>
              <w:t>1858678580 EURA</w:t>
            </w:r>
          </w:p>
        </w:tc>
      </w:tr>
    </w:tbl>
    <w:p w14:paraId="0D57267F" w14:textId="77777777" w:rsidR="003F46B9" w:rsidRDefault="0065662E">
      <w:pPr>
        <w:rPr>
          <w:noProof/>
        </w:rPr>
      </w:pPr>
      <w:r>
        <w:rPr>
          <w:noProof/>
        </w:rPr>
        <w:br w:type="page"/>
      </w:r>
    </w:p>
    <w:p w14:paraId="636C98F9" w14:textId="77777777" w:rsidR="003F46B9" w:rsidRDefault="0065662E">
      <w:pPr>
        <w:pStyle w:val="Heading3"/>
        <w:rPr>
          <w:noProof/>
        </w:rPr>
      </w:pPr>
      <w:r>
        <w:rPr>
          <w:noProof/>
        </w:rPr>
        <w:t xml:space="preserve">Četvrti obrok (bespovratna potpora): </w:t>
      </w:r>
    </w:p>
    <w:tbl>
      <w:tblPr>
        <w:tblW w:w="9634" w:type="dxa"/>
        <w:tblInd w:w="113" w:type="dxa"/>
        <w:tblLook w:val="04A0" w:firstRow="1" w:lastRow="0" w:firstColumn="1" w:lastColumn="0" w:noHBand="0" w:noVBand="1"/>
      </w:tblPr>
      <w:tblGrid>
        <w:gridCol w:w="1413"/>
        <w:gridCol w:w="3544"/>
        <w:gridCol w:w="1316"/>
        <w:gridCol w:w="4543"/>
      </w:tblGrid>
      <w:tr w:rsidR="003F46B9" w14:paraId="3B6AE83E" w14:textId="77777777">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8356332"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32B4DBB" w14:textId="77777777" w:rsidR="003F46B9" w:rsidRDefault="0065662E">
            <w:pPr>
              <w:pStyle w:val="P68B1DB1-Normal34"/>
              <w:spacing w:after="0"/>
              <w:jc w:val="center"/>
              <w:rPr>
                <w:noProof/>
              </w:rPr>
            </w:pPr>
            <w:r>
              <w:rPr>
                <w:noProof/>
              </w:rPr>
              <w:t xml:space="preserve">Povezana mjera </w:t>
            </w:r>
          </w:p>
          <w:p w14:paraId="7F51CD3B"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3B4986"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D803B2B" w14:textId="77777777" w:rsidR="003F46B9" w:rsidRDefault="0065662E">
            <w:pPr>
              <w:pStyle w:val="P68B1DB1-Normal34"/>
              <w:spacing w:after="0"/>
              <w:jc w:val="center"/>
              <w:rPr>
                <w:noProof/>
              </w:rPr>
            </w:pPr>
            <w:r>
              <w:rPr>
                <w:noProof/>
              </w:rPr>
              <w:t>Ime</w:t>
            </w:r>
          </w:p>
        </w:tc>
      </w:tr>
      <w:tr w:rsidR="003F46B9" w14:paraId="370072EE" w14:textId="77777777">
        <w:trPr>
          <w:trHeight w:val="567"/>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F5C71E9"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88AB3E2"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C23E6CE"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785A306B" w14:textId="77777777" w:rsidR="003F46B9" w:rsidRDefault="003F46B9">
            <w:pPr>
              <w:spacing w:after="0"/>
              <w:jc w:val="both"/>
              <w:rPr>
                <w:rFonts w:ascii="Times New Roman" w:eastAsia="Times New Roman" w:hAnsi="Times New Roman" w:cs="Times New Roman"/>
                <w:b/>
                <w:noProof/>
              </w:rPr>
            </w:pPr>
          </w:p>
        </w:tc>
      </w:tr>
      <w:tr w:rsidR="003F46B9" w14:paraId="4D6802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745EA41" w14:textId="77777777" w:rsidR="003F46B9" w:rsidRDefault="0065662E">
            <w:pPr>
              <w:pStyle w:val="P68B1DB1-Normal35"/>
              <w:spacing w:after="0"/>
              <w:jc w:val="center"/>
              <w:rPr>
                <w:rFonts w:eastAsia="Times New Roman"/>
                <w:noProof/>
              </w:rPr>
            </w:pPr>
            <w:r>
              <w:rPr>
                <w:noProof/>
              </w:rPr>
              <w:t>207</w:t>
            </w:r>
          </w:p>
        </w:tc>
        <w:tc>
          <w:tcPr>
            <w:tcW w:w="3544" w:type="dxa"/>
            <w:tcBorders>
              <w:top w:val="nil"/>
              <w:left w:val="nil"/>
              <w:bottom w:val="single" w:sz="4" w:space="0" w:color="auto"/>
              <w:right w:val="single" w:sz="4" w:space="0" w:color="auto"/>
            </w:tcBorders>
            <w:shd w:val="clear" w:color="auto" w:fill="C6EFCE"/>
            <w:noWrap/>
            <w:hideMark/>
          </w:tcPr>
          <w:p w14:paraId="403898A1" w14:textId="77777777" w:rsidR="003F46B9" w:rsidRDefault="0065662E">
            <w:pPr>
              <w:pStyle w:val="P68B1DB1-Normal35"/>
              <w:spacing w:after="0"/>
              <w:jc w:val="both"/>
              <w:rPr>
                <w:noProof/>
              </w:rPr>
            </w:pPr>
            <w:r>
              <w:rPr>
                <w:noProof/>
              </w:rPr>
              <w:t>C8.R4</w:t>
            </w:r>
          </w:p>
          <w:p w14:paraId="56442A3C" w14:textId="77777777" w:rsidR="003F46B9" w:rsidRDefault="0065662E">
            <w:pPr>
              <w:pStyle w:val="P68B1DB1-Normal35"/>
              <w:spacing w:after="0"/>
              <w:jc w:val="both"/>
              <w:rPr>
                <w:rFonts w:eastAsia="Times New Roman"/>
                <w:noProof/>
              </w:rPr>
            </w:pPr>
            <w:r>
              <w:rPr>
                <w:noProof/>
              </w:rPr>
              <w:t>Revizija poreznog okvira</w:t>
            </w:r>
          </w:p>
        </w:tc>
        <w:tc>
          <w:tcPr>
            <w:tcW w:w="1275" w:type="dxa"/>
            <w:tcBorders>
              <w:top w:val="nil"/>
              <w:left w:val="nil"/>
              <w:bottom w:val="single" w:sz="4" w:space="0" w:color="auto"/>
              <w:right w:val="single" w:sz="4" w:space="0" w:color="auto"/>
            </w:tcBorders>
            <w:shd w:val="clear" w:color="auto" w:fill="C6EFCE"/>
            <w:noWrap/>
            <w:hideMark/>
          </w:tcPr>
          <w:p w14:paraId="10152028"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157F68A3" w14:textId="77777777" w:rsidR="003F46B9" w:rsidRDefault="0065662E">
            <w:pPr>
              <w:pStyle w:val="P68B1DB1-Normal35"/>
              <w:spacing w:after="0"/>
              <w:jc w:val="both"/>
              <w:rPr>
                <w:noProof/>
              </w:rPr>
            </w:pPr>
            <w:r>
              <w:rPr>
                <w:noProof/>
              </w:rPr>
              <w:t>Stupanje na snagu</w:t>
            </w:r>
          </w:p>
          <w:p w14:paraId="53DE0157" w14:textId="77777777" w:rsidR="003F46B9" w:rsidRDefault="0065662E">
            <w:pPr>
              <w:pStyle w:val="P68B1DB1-ListParagraph37"/>
              <w:numPr>
                <w:ilvl w:val="0"/>
                <w:numId w:val="215"/>
              </w:numPr>
              <w:spacing w:after="0"/>
              <w:ind w:left="31" w:hanging="76"/>
              <w:jc w:val="both"/>
              <w:rPr>
                <w:noProof/>
              </w:rPr>
            </w:pPr>
            <w:r>
              <w:rPr>
                <w:noProof/>
              </w:rPr>
              <w:t xml:space="preserve"> Izmjene Poreznog zakonika (Zakon br.227/2015) radi smanjenja i/ili ukidanja drugih poreznih poticaja u cilju pojednostavnjenja poreznog sustava, povećanja njegove učinkovitosti, transparentnosti i pravednosti do 2024.</w:t>
            </w:r>
          </w:p>
          <w:p w14:paraId="06E6556E" w14:textId="77777777" w:rsidR="003F46B9" w:rsidRDefault="0065662E">
            <w:pPr>
              <w:pStyle w:val="P68B1DB1-ListParagraph37"/>
              <w:numPr>
                <w:ilvl w:val="0"/>
                <w:numId w:val="215"/>
              </w:numPr>
              <w:spacing w:after="0"/>
              <w:ind w:left="31" w:hanging="76"/>
              <w:jc w:val="both"/>
              <w:rPr>
                <w:rFonts w:eastAsia="Times New Roman"/>
                <w:noProof/>
              </w:rPr>
            </w:pPr>
            <w:r>
              <w:rPr>
                <w:noProof/>
              </w:rPr>
              <w:t xml:space="preserve"> Zakonodavstvo za proširenje zelenog </w:t>
            </w:r>
            <w:r>
              <w:rPr>
                <w:noProof/>
              </w:rPr>
              <w:t>oporezivanja</w:t>
            </w:r>
          </w:p>
        </w:tc>
      </w:tr>
      <w:tr w:rsidR="003F46B9" w14:paraId="7B2231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A4321C5" w14:textId="77777777" w:rsidR="003F46B9" w:rsidRDefault="0065662E">
            <w:pPr>
              <w:pStyle w:val="P68B1DB1-Normal35"/>
              <w:spacing w:after="0"/>
              <w:jc w:val="center"/>
              <w:rPr>
                <w:rFonts w:eastAsia="Times New Roman"/>
                <w:noProof/>
              </w:rPr>
            </w:pPr>
            <w:r>
              <w:rPr>
                <w:noProof/>
              </w:rPr>
              <w:t>214</w:t>
            </w:r>
          </w:p>
        </w:tc>
        <w:tc>
          <w:tcPr>
            <w:tcW w:w="3544" w:type="dxa"/>
            <w:tcBorders>
              <w:top w:val="nil"/>
              <w:left w:val="nil"/>
              <w:bottom w:val="single" w:sz="4" w:space="0" w:color="auto"/>
              <w:right w:val="single" w:sz="4" w:space="0" w:color="auto"/>
            </w:tcBorders>
            <w:shd w:val="clear" w:color="auto" w:fill="C6EFCE"/>
            <w:noWrap/>
            <w:hideMark/>
          </w:tcPr>
          <w:p w14:paraId="6C734699" w14:textId="77777777" w:rsidR="003F46B9" w:rsidRDefault="0065662E">
            <w:pPr>
              <w:pStyle w:val="P68B1DB1-Normal35"/>
              <w:spacing w:after="0"/>
              <w:jc w:val="both"/>
              <w:rPr>
                <w:noProof/>
              </w:rPr>
            </w:pPr>
            <w:r>
              <w:rPr>
                <w:noProof/>
              </w:rPr>
              <w:t>C8.R6</w:t>
            </w:r>
          </w:p>
          <w:p w14:paraId="1D685917" w14:textId="77777777" w:rsidR="003F46B9" w:rsidRDefault="0065662E">
            <w:pPr>
              <w:pStyle w:val="P68B1DB1-Normal35"/>
              <w:spacing w:after="0"/>
              <w:jc w:val="both"/>
              <w:rPr>
                <w:rFonts w:eastAsia="Times New Roman"/>
                <w:noProof/>
              </w:rPr>
            </w:pPr>
            <w:r>
              <w:rPr>
                <w:noProof/>
              </w:rPr>
              <w:t>Reforma javnog mirovinskog sustava</w:t>
            </w:r>
          </w:p>
        </w:tc>
        <w:tc>
          <w:tcPr>
            <w:tcW w:w="1275" w:type="dxa"/>
            <w:tcBorders>
              <w:top w:val="nil"/>
              <w:left w:val="nil"/>
              <w:bottom w:val="single" w:sz="4" w:space="0" w:color="auto"/>
              <w:right w:val="single" w:sz="4" w:space="0" w:color="auto"/>
            </w:tcBorders>
            <w:shd w:val="clear" w:color="auto" w:fill="C6EFCE"/>
            <w:noWrap/>
            <w:hideMark/>
          </w:tcPr>
          <w:p w14:paraId="472E846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5E9AFE7F" w14:textId="77777777" w:rsidR="003F46B9" w:rsidRDefault="0065662E">
            <w:pPr>
              <w:pStyle w:val="P68B1DB1-Normal35"/>
              <w:spacing w:after="0"/>
              <w:jc w:val="both"/>
              <w:rPr>
                <w:rFonts w:eastAsia="Times New Roman"/>
                <w:noProof/>
              </w:rPr>
            </w:pPr>
            <w:r>
              <w:rPr>
                <w:noProof/>
              </w:rPr>
              <w:t xml:space="preserve">Stupanje na snagu novog zakona o mirovinskom sustavu kojim se zamjenjuju odredbe Zakona br. 127/2019 </w:t>
            </w:r>
          </w:p>
        </w:tc>
      </w:tr>
      <w:tr w:rsidR="003F46B9" w14:paraId="73F676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69C323B6" w14:textId="77777777" w:rsidR="003F46B9" w:rsidRDefault="0065662E">
            <w:pPr>
              <w:pStyle w:val="P68B1DB1-Normal35"/>
              <w:spacing w:after="0"/>
              <w:jc w:val="center"/>
              <w:rPr>
                <w:rFonts w:eastAsia="Times New Roman"/>
                <w:noProof/>
              </w:rPr>
            </w:pPr>
            <w:r>
              <w:rPr>
                <w:noProof/>
              </w:rPr>
              <w:t>458</w:t>
            </w:r>
          </w:p>
        </w:tc>
        <w:tc>
          <w:tcPr>
            <w:tcW w:w="3544" w:type="dxa"/>
            <w:tcBorders>
              <w:top w:val="nil"/>
              <w:left w:val="nil"/>
              <w:bottom w:val="single" w:sz="4" w:space="0" w:color="auto"/>
              <w:right w:val="single" w:sz="4" w:space="0" w:color="auto"/>
            </w:tcBorders>
            <w:shd w:val="clear" w:color="auto" w:fill="C6EFCE"/>
            <w:noWrap/>
            <w:hideMark/>
          </w:tcPr>
          <w:p w14:paraId="7E3DF8D2" w14:textId="77777777" w:rsidR="003F46B9" w:rsidRDefault="0065662E">
            <w:pPr>
              <w:pStyle w:val="P68B1DB1-Normal35"/>
              <w:spacing w:after="0"/>
              <w:jc w:val="both"/>
              <w:rPr>
                <w:noProof/>
              </w:rPr>
            </w:pPr>
            <w:r>
              <w:rPr>
                <w:noProof/>
              </w:rPr>
              <w:t>C15.I2</w:t>
            </w:r>
          </w:p>
          <w:p w14:paraId="2A7F8C39" w14:textId="77777777" w:rsidR="003F46B9" w:rsidRDefault="0065662E">
            <w:pPr>
              <w:pStyle w:val="P68B1DB1-Normal35"/>
              <w:spacing w:after="0"/>
              <w:jc w:val="both"/>
              <w:rPr>
                <w:rFonts w:eastAsia="Times New Roman"/>
                <w:noProof/>
              </w:rPr>
            </w:pPr>
            <w:r>
              <w:rPr>
                <w:noProof/>
              </w:rPr>
              <w:t>Uspostava, opremanje i operacionalizacija 412 komplementarnih usluga za skupine u</w:t>
            </w:r>
            <w:r>
              <w:rPr>
                <w:noProof/>
              </w:rPr>
              <w:t xml:space="preserve"> nepovoljnom položaju</w:t>
            </w:r>
          </w:p>
        </w:tc>
        <w:tc>
          <w:tcPr>
            <w:tcW w:w="1275" w:type="dxa"/>
            <w:tcBorders>
              <w:top w:val="nil"/>
              <w:left w:val="nil"/>
              <w:bottom w:val="single" w:sz="4" w:space="0" w:color="auto"/>
              <w:right w:val="single" w:sz="4" w:space="0" w:color="auto"/>
            </w:tcBorders>
            <w:shd w:val="clear" w:color="auto" w:fill="C6EFCE"/>
            <w:noWrap/>
            <w:hideMark/>
          </w:tcPr>
          <w:p w14:paraId="7A332AF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180431C8" w14:textId="77777777" w:rsidR="003F46B9" w:rsidRDefault="0065662E">
            <w:pPr>
              <w:pStyle w:val="P68B1DB1-Normal35"/>
              <w:spacing w:after="0"/>
              <w:jc w:val="both"/>
              <w:rPr>
                <w:rFonts w:eastAsia="Times New Roman"/>
                <w:noProof/>
              </w:rPr>
            </w:pPr>
            <w:r>
              <w:rPr>
                <w:noProof/>
              </w:rPr>
              <w:t>Potpisivanje ugovora za uspostavu, opremanje i operacionalizaciju dopunskih usluga za skupine u nepovoljnom položaju</w:t>
            </w:r>
          </w:p>
        </w:tc>
      </w:tr>
      <w:tr w:rsidR="003F46B9" w14:paraId="06512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2A63AE" w14:textId="77777777" w:rsidR="003F46B9" w:rsidRDefault="0065662E">
            <w:pPr>
              <w:pStyle w:val="P68B1DB1-Normal35"/>
              <w:spacing w:after="0"/>
              <w:jc w:val="center"/>
              <w:rPr>
                <w:rFonts w:eastAsia="Times New Roman"/>
                <w:noProof/>
              </w:rPr>
            </w:pPr>
            <w:r>
              <w:rPr>
                <w:noProof/>
              </w:rPr>
              <w:t>469</w:t>
            </w:r>
          </w:p>
        </w:tc>
        <w:tc>
          <w:tcPr>
            <w:tcW w:w="3544" w:type="dxa"/>
            <w:tcBorders>
              <w:top w:val="nil"/>
              <w:left w:val="nil"/>
              <w:bottom w:val="single" w:sz="4" w:space="0" w:color="auto"/>
              <w:right w:val="single" w:sz="4" w:space="0" w:color="auto"/>
            </w:tcBorders>
            <w:shd w:val="clear" w:color="auto" w:fill="C6EFCE"/>
            <w:noWrap/>
          </w:tcPr>
          <w:p w14:paraId="623EDEA7" w14:textId="77777777" w:rsidR="003F46B9" w:rsidRDefault="0065662E">
            <w:pPr>
              <w:pStyle w:val="P68B1DB1-Normal35"/>
              <w:spacing w:after="0"/>
              <w:jc w:val="both"/>
              <w:rPr>
                <w:noProof/>
              </w:rPr>
            </w:pPr>
            <w:r>
              <w:rPr>
                <w:noProof/>
              </w:rPr>
              <w:t>C15.I5</w:t>
            </w:r>
          </w:p>
          <w:p w14:paraId="20F0A1B5" w14:textId="77777777" w:rsidR="003F46B9" w:rsidRDefault="0065662E">
            <w:pPr>
              <w:pStyle w:val="P68B1DB1-Normal35"/>
              <w:spacing w:after="0"/>
              <w:jc w:val="both"/>
              <w:rPr>
                <w:rFonts w:eastAsia="Times New Roman"/>
                <w:noProof/>
              </w:rPr>
            </w:pPr>
            <w:r>
              <w:rPr>
                <w:noProof/>
              </w:rPr>
              <w:t xml:space="preserve">Osposobljavanja za korisnike rumunjskog integriranog obrazovnog informacijskog sustava (SIIIR) i </w:t>
            </w:r>
            <w:r>
              <w:rPr>
                <w:noProof/>
              </w:rPr>
              <w:t>informatičkog alata mehanizma ranog upozoravanja (MATE) i sustavne intervencije za smanjenje ranog napuštanja školovanja</w:t>
            </w:r>
          </w:p>
        </w:tc>
        <w:tc>
          <w:tcPr>
            <w:tcW w:w="1275" w:type="dxa"/>
            <w:tcBorders>
              <w:top w:val="nil"/>
              <w:left w:val="nil"/>
              <w:bottom w:val="single" w:sz="4" w:space="0" w:color="auto"/>
              <w:right w:val="single" w:sz="4" w:space="0" w:color="auto"/>
            </w:tcBorders>
            <w:shd w:val="clear" w:color="auto" w:fill="C6EFCE"/>
            <w:noWrap/>
          </w:tcPr>
          <w:p w14:paraId="4A786BF4"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8D24942" w14:textId="77777777" w:rsidR="003F46B9" w:rsidRDefault="0065662E">
            <w:pPr>
              <w:pStyle w:val="P68B1DB1-Normal35"/>
              <w:spacing w:after="0"/>
              <w:jc w:val="both"/>
              <w:rPr>
                <w:rFonts w:eastAsia="Times New Roman"/>
                <w:noProof/>
              </w:rPr>
            </w:pPr>
            <w:r>
              <w:rPr>
                <w:noProof/>
              </w:rPr>
              <w:t>Osposobljeni korisnici rumunjskog integriranog obrazovnog informacijskog sustava (SIIR) i informatičkog alata MATE</w:t>
            </w:r>
          </w:p>
        </w:tc>
      </w:tr>
      <w:tr w:rsidR="003F46B9" w14:paraId="72CAC7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97E8C2" w14:textId="77777777" w:rsidR="003F46B9" w:rsidRDefault="0065662E">
            <w:pPr>
              <w:pStyle w:val="P68B1DB1-Normal35"/>
              <w:spacing w:after="0"/>
              <w:jc w:val="center"/>
              <w:rPr>
                <w:rFonts w:eastAsia="Times New Roman"/>
                <w:noProof/>
              </w:rPr>
            </w:pPr>
            <w:r>
              <w:rPr>
                <w:noProof/>
              </w:rPr>
              <w:t>24</w:t>
            </w:r>
          </w:p>
        </w:tc>
        <w:tc>
          <w:tcPr>
            <w:tcW w:w="3544" w:type="dxa"/>
            <w:tcBorders>
              <w:top w:val="nil"/>
              <w:left w:val="nil"/>
              <w:bottom w:val="single" w:sz="4" w:space="0" w:color="auto"/>
              <w:right w:val="single" w:sz="4" w:space="0" w:color="auto"/>
            </w:tcBorders>
            <w:shd w:val="clear" w:color="auto" w:fill="C6EFCE"/>
            <w:noWrap/>
          </w:tcPr>
          <w:p w14:paraId="5CC91B37" w14:textId="77777777" w:rsidR="003F46B9" w:rsidRDefault="0065662E">
            <w:pPr>
              <w:pStyle w:val="P68B1DB1-Normal35"/>
              <w:spacing w:after="0"/>
              <w:jc w:val="both"/>
              <w:rPr>
                <w:noProof/>
              </w:rPr>
            </w:pPr>
            <w:r>
              <w:rPr>
                <w:noProof/>
              </w:rPr>
              <w:t xml:space="preserve">C2.R1 </w:t>
            </w:r>
          </w:p>
          <w:p w14:paraId="2A25E46C" w14:textId="77777777" w:rsidR="003F46B9" w:rsidRDefault="0065662E">
            <w:pPr>
              <w:pStyle w:val="P68B1DB1-Normal35"/>
              <w:spacing w:after="0"/>
              <w:jc w:val="both"/>
              <w:rPr>
                <w:rFonts w:eastAsia="Times New Roman"/>
                <w:noProof/>
              </w:rPr>
            </w:pPr>
            <w:r>
              <w:rPr>
                <w:noProof/>
              </w:rPr>
              <w:t xml:space="preserve">Reforma sustava gospodarenja šumama i upravljanja šumama razvojem nove nacionalne strategije za šume i naknadnog zakonodavstva </w:t>
            </w:r>
          </w:p>
        </w:tc>
        <w:tc>
          <w:tcPr>
            <w:tcW w:w="1275" w:type="dxa"/>
            <w:tcBorders>
              <w:top w:val="nil"/>
              <w:left w:val="nil"/>
              <w:bottom w:val="single" w:sz="4" w:space="0" w:color="auto"/>
              <w:right w:val="single" w:sz="4" w:space="0" w:color="auto"/>
            </w:tcBorders>
            <w:shd w:val="clear" w:color="auto" w:fill="C6EFCE"/>
            <w:noWrap/>
          </w:tcPr>
          <w:p w14:paraId="0AB8DC1A"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0E09541" w14:textId="77777777" w:rsidR="003F46B9" w:rsidRDefault="0065662E">
            <w:pPr>
              <w:pStyle w:val="P68B1DB1-Normal35"/>
              <w:spacing w:after="0"/>
              <w:jc w:val="both"/>
              <w:rPr>
                <w:rFonts w:eastAsia="Times New Roman"/>
                <w:noProof/>
              </w:rPr>
            </w:pPr>
            <w:r>
              <w:rPr>
                <w:noProof/>
              </w:rPr>
              <w:t>Stupanje na snagu zakonodavnih akata o izmjeni i dopuni postojećeg zakonodavstva o šumama</w:t>
            </w:r>
          </w:p>
        </w:tc>
      </w:tr>
      <w:tr w:rsidR="003F46B9" w14:paraId="195CE1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8495255" w14:textId="77777777" w:rsidR="003F46B9" w:rsidRDefault="0065662E">
            <w:pPr>
              <w:pStyle w:val="P68B1DB1-Normal35"/>
              <w:spacing w:after="0"/>
              <w:jc w:val="center"/>
              <w:rPr>
                <w:noProof/>
              </w:rPr>
            </w:pPr>
            <w:r>
              <w:rPr>
                <w:noProof/>
              </w:rPr>
              <w:t>122</w:t>
            </w:r>
          </w:p>
        </w:tc>
        <w:tc>
          <w:tcPr>
            <w:tcW w:w="3544" w:type="dxa"/>
            <w:tcBorders>
              <w:top w:val="nil"/>
              <w:left w:val="nil"/>
              <w:bottom w:val="single" w:sz="4" w:space="0" w:color="auto"/>
              <w:right w:val="single" w:sz="4" w:space="0" w:color="auto"/>
            </w:tcBorders>
            <w:shd w:val="clear" w:color="auto" w:fill="C6EFCE"/>
            <w:noWrap/>
          </w:tcPr>
          <w:p w14:paraId="5FE8807C" w14:textId="77777777" w:rsidR="003F46B9" w:rsidRDefault="0065662E">
            <w:pPr>
              <w:pStyle w:val="P68B1DB1-Normal35"/>
              <w:spacing w:after="0"/>
              <w:jc w:val="both"/>
              <w:rPr>
                <w:noProof/>
              </w:rPr>
            </w:pPr>
            <w:r>
              <w:rPr>
                <w:noProof/>
              </w:rPr>
              <w:t xml:space="preserve">C6.R2 </w:t>
            </w:r>
          </w:p>
          <w:p w14:paraId="75960DAE" w14:textId="77777777" w:rsidR="003F46B9" w:rsidRDefault="0065662E">
            <w:pPr>
              <w:pStyle w:val="P68B1DB1-Normal35"/>
              <w:spacing w:after="0"/>
              <w:jc w:val="both"/>
              <w:rPr>
                <w:noProof/>
              </w:rPr>
            </w:pPr>
            <w:r>
              <w:rPr>
                <w:noProof/>
              </w:rPr>
              <w:t>Poboljšanje korporativno</w:t>
            </w:r>
            <w:r>
              <w:rPr>
                <w:noProof/>
              </w:rPr>
              <w:t>g upravljanja poduzećima u državnom vlasništvu u energetskom sektoru</w:t>
            </w:r>
          </w:p>
        </w:tc>
        <w:tc>
          <w:tcPr>
            <w:tcW w:w="1275" w:type="dxa"/>
            <w:tcBorders>
              <w:top w:val="nil"/>
              <w:left w:val="nil"/>
              <w:bottom w:val="single" w:sz="4" w:space="0" w:color="auto"/>
              <w:right w:val="single" w:sz="4" w:space="0" w:color="auto"/>
            </w:tcBorders>
            <w:shd w:val="clear" w:color="auto" w:fill="C6EFCE"/>
            <w:noWrap/>
          </w:tcPr>
          <w:p w14:paraId="1897B6F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53B53F" w14:textId="77777777" w:rsidR="003F46B9" w:rsidRDefault="0065662E">
            <w:pPr>
              <w:pStyle w:val="P68B1DB1-Normal35"/>
              <w:spacing w:after="0"/>
              <w:jc w:val="both"/>
              <w:rPr>
                <w:noProof/>
              </w:rPr>
            </w:pPr>
            <w:r>
              <w:rPr>
                <w:noProof/>
              </w:rPr>
              <w:t>Uvrštenje najmanje 15 % dionica društva Hidroelectrica dovršeno</w:t>
            </w:r>
          </w:p>
        </w:tc>
      </w:tr>
      <w:tr w:rsidR="003F46B9" w14:paraId="741CB5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39D993" w14:textId="77777777" w:rsidR="003F46B9" w:rsidRDefault="0065662E">
            <w:pPr>
              <w:pStyle w:val="P68B1DB1-Normal35"/>
              <w:spacing w:after="0"/>
              <w:jc w:val="center"/>
              <w:rPr>
                <w:rFonts w:eastAsia="Times New Roman"/>
                <w:noProof/>
              </w:rPr>
            </w:pPr>
            <w:r>
              <w:rPr>
                <w:noProof/>
              </w:rPr>
              <w:t>59</w:t>
            </w:r>
          </w:p>
        </w:tc>
        <w:tc>
          <w:tcPr>
            <w:tcW w:w="3544" w:type="dxa"/>
            <w:tcBorders>
              <w:top w:val="nil"/>
              <w:left w:val="nil"/>
              <w:bottom w:val="single" w:sz="4" w:space="0" w:color="auto"/>
              <w:right w:val="single" w:sz="4" w:space="0" w:color="auto"/>
            </w:tcBorders>
            <w:shd w:val="clear" w:color="auto" w:fill="C6EFCE"/>
            <w:noWrap/>
          </w:tcPr>
          <w:p w14:paraId="155C8BE9" w14:textId="77777777" w:rsidR="003F46B9" w:rsidRDefault="0065662E">
            <w:pPr>
              <w:pStyle w:val="P68B1DB1-Normal35"/>
              <w:spacing w:after="0"/>
              <w:jc w:val="both"/>
              <w:rPr>
                <w:noProof/>
              </w:rPr>
            </w:pPr>
            <w:r>
              <w:rPr>
                <w:noProof/>
              </w:rPr>
              <w:t>C4.R1</w:t>
            </w:r>
          </w:p>
          <w:p w14:paraId="1A702344" w14:textId="77777777" w:rsidR="003F46B9" w:rsidRDefault="0065662E">
            <w:pPr>
              <w:pStyle w:val="P68B1DB1-Normal35"/>
              <w:spacing w:after="0"/>
              <w:jc w:val="both"/>
              <w:rPr>
                <w:rFonts w:eastAsia="Times New Roman"/>
                <w:noProof/>
              </w:rPr>
            </w:pPr>
            <w:r>
              <w:rPr>
                <w:noProof/>
              </w:rPr>
              <w:t>Održivi promet, dekarbonizacija i sigurnost na cestama/</w:t>
            </w:r>
            <w:r>
              <w:rPr>
                <w:noProof/>
              </w:rPr>
              <w:br/>
            </w:r>
            <w:r>
              <w:rPr>
                <w:noProof/>
              </w:rPr>
              <w:t xml:space="preserve">Dekarbonizacija cesta u skladu s načelom „onečišćivač plaća” </w:t>
            </w:r>
          </w:p>
        </w:tc>
        <w:tc>
          <w:tcPr>
            <w:tcW w:w="1275" w:type="dxa"/>
            <w:tcBorders>
              <w:top w:val="nil"/>
              <w:left w:val="nil"/>
              <w:bottom w:val="single" w:sz="4" w:space="0" w:color="auto"/>
              <w:right w:val="single" w:sz="4" w:space="0" w:color="auto"/>
            </w:tcBorders>
            <w:shd w:val="clear" w:color="auto" w:fill="C6EFCE"/>
            <w:noWrap/>
          </w:tcPr>
          <w:p w14:paraId="5B05B554"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0A3841" w14:textId="77777777" w:rsidR="003F46B9" w:rsidRDefault="0065662E">
            <w:pPr>
              <w:pStyle w:val="P68B1DB1-Normal35"/>
              <w:spacing w:after="0"/>
              <w:jc w:val="both"/>
              <w:rPr>
                <w:rFonts w:eastAsia="Times New Roman"/>
                <w:noProof/>
              </w:rPr>
            </w:pPr>
            <w:r>
              <w:rPr>
                <w:noProof/>
              </w:rPr>
              <w:t>Stupanje na snagu zakona o provedbi novog sustava naplate na temelju udaljenosti za teška vozila (kamioni) i viših poreza na vlasništvo za putnička vozila koja najviše onečišćuju (automobili/a</w:t>
            </w:r>
            <w:r>
              <w:rPr>
                <w:noProof/>
              </w:rPr>
              <w:t>utobusi/autobusi/autobusi/autobusi) na temelju načela „onečišćivač plaća” i načela zelenog oporezivanja</w:t>
            </w:r>
          </w:p>
        </w:tc>
      </w:tr>
      <w:tr w:rsidR="003F46B9" w14:paraId="29C44B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788A44" w14:textId="77777777" w:rsidR="003F46B9" w:rsidRDefault="0065662E">
            <w:pPr>
              <w:pStyle w:val="P68B1DB1-Normal35"/>
              <w:spacing w:after="0"/>
              <w:jc w:val="center"/>
              <w:rPr>
                <w:rFonts w:eastAsia="Times New Roman"/>
                <w:noProof/>
              </w:rPr>
            </w:pPr>
            <w:r>
              <w:rPr>
                <w:noProof/>
              </w:rPr>
              <w:t>71</w:t>
            </w:r>
          </w:p>
        </w:tc>
        <w:tc>
          <w:tcPr>
            <w:tcW w:w="3544" w:type="dxa"/>
            <w:tcBorders>
              <w:top w:val="nil"/>
              <w:left w:val="nil"/>
              <w:bottom w:val="single" w:sz="4" w:space="0" w:color="auto"/>
              <w:right w:val="single" w:sz="4" w:space="0" w:color="auto"/>
            </w:tcBorders>
            <w:shd w:val="clear" w:color="auto" w:fill="C6EFCE"/>
            <w:noWrap/>
          </w:tcPr>
          <w:p w14:paraId="075D1D1C" w14:textId="77777777" w:rsidR="003F46B9" w:rsidRDefault="0065662E">
            <w:pPr>
              <w:pStyle w:val="P68B1DB1-Normal35"/>
              <w:spacing w:after="0"/>
              <w:jc w:val="both"/>
              <w:rPr>
                <w:noProof/>
              </w:rPr>
            </w:pPr>
            <w:r>
              <w:rPr>
                <w:noProof/>
              </w:rPr>
              <w:t>C4.R1</w:t>
            </w:r>
          </w:p>
          <w:p w14:paraId="1A327CD0" w14:textId="77777777" w:rsidR="003F46B9" w:rsidRDefault="0065662E">
            <w:pPr>
              <w:pStyle w:val="P68B1DB1-Normal35"/>
              <w:spacing w:after="0"/>
              <w:jc w:val="both"/>
              <w:rPr>
                <w:rFonts w:eastAsia="Times New Roman"/>
                <w:noProof/>
              </w:rPr>
            </w:pPr>
            <w:r>
              <w:rPr>
                <w:noProof/>
              </w:rPr>
              <w:t>Održivi promet, dekarbonizacija i sigurnost na cestama/strategija preusmjeravanja</w:t>
            </w:r>
          </w:p>
        </w:tc>
        <w:tc>
          <w:tcPr>
            <w:tcW w:w="1275" w:type="dxa"/>
            <w:tcBorders>
              <w:top w:val="nil"/>
              <w:left w:val="nil"/>
              <w:bottom w:val="single" w:sz="4" w:space="0" w:color="auto"/>
              <w:right w:val="single" w:sz="4" w:space="0" w:color="auto"/>
            </w:tcBorders>
            <w:shd w:val="clear" w:color="auto" w:fill="C6EFCE"/>
            <w:noWrap/>
          </w:tcPr>
          <w:p w14:paraId="1DEAEF8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8F4288B" w14:textId="77777777" w:rsidR="003F46B9" w:rsidRDefault="0065662E">
            <w:pPr>
              <w:pStyle w:val="P68B1DB1-Normal35"/>
              <w:spacing w:after="0"/>
              <w:jc w:val="both"/>
              <w:rPr>
                <w:rFonts w:eastAsia="Times New Roman"/>
                <w:noProof/>
              </w:rPr>
            </w:pPr>
            <w:r>
              <w:rPr>
                <w:noProof/>
              </w:rPr>
              <w:t>Donošenje strategije za pomorski promet</w:t>
            </w:r>
          </w:p>
        </w:tc>
      </w:tr>
      <w:tr w:rsidR="003F46B9" w14:paraId="73E5B5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846EF6" w14:textId="77777777" w:rsidR="003F46B9" w:rsidRDefault="0065662E">
            <w:pPr>
              <w:pStyle w:val="P68B1DB1-Normal35"/>
              <w:spacing w:after="0"/>
              <w:jc w:val="center"/>
              <w:rPr>
                <w:rFonts w:eastAsia="Times New Roman"/>
                <w:noProof/>
              </w:rPr>
            </w:pPr>
            <w:r>
              <w:rPr>
                <w:noProof/>
              </w:rPr>
              <w:t>76</w:t>
            </w:r>
          </w:p>
        </w:tc>
        <w:tc>
          <w:tcPr>
            <w:tcW w:w="3544" w:type="dxa"/>
            <w:tcBorders>
              <w:top w:val="nil"/>
              <w:left w:val="nil"/>
              <w:bottom w:val="single" w:sz="4" w:space="0" w:color="auto"/>
              <w:right w:val="single" w:sz="4" w:space="0" w:color="auto"/>
            </w:tcBorders>
            <w:shd w:val="clear" w:color="auto" w:fill="C6EFCE"/>
            <w:noWrap/>
          </w:tcPr>
          <w:p w14:paraId="75A1B200" w14:textId="77777777" w:rsidR="003F46B9" w:rsidRDefault="0065662E">
            <w:pPr>
              <w:pStyle w:val="P68B1DB1-Normal35"/>
              <w:spacing w:after="0"/>
              <w:jc w:val="both"/>
              <w:rPr>
                <w:noProof/>
              </w:rPr>
            </w:pPr>
            <w:r>
              <w:rPr>
                <w:noProof/>
              </w:rPr>
              <w:t>C4.I2</w:t>
            </w:r>
          </w:p>
          <w:p w14:paraId="573693A6" w14:textId="77777777" w:rsidR="003F46B9" w:rsidRDefault="0065662E">
            <w:pPr>
              <w:pStyle w:val="P68B1DB1-Normal35"/>
              <w:spacing w:after="0"/>
              <w:jc w:val="both"/>
              <w:rPr>
                <w:rFonts w:eastAsia="Times New Roman"/>
                <w:noProof/>
              </w:rPr>
            </w:pPr>
            <w:r>
              <w:rPr>
                <w:noProof/>
              </w:rPr>
              <w:t>Željeznička vozila</w:t>
            </w:r>
          </w:p>
        </w:tc>
        <w:tc>
          <w:tcPr>
            <w:tcW w:w="1275" w:type="dxa"/>
            <w:tcBorders>
              <w:top w:val="nil"/>
              <w:left w:val="nil"/>
              <w:bottom w:val="single" w:sz="4" w:space="0" w:color="auto"/>
              <w:right w:val="single" w:sz="4" w:space="0" w:color="auto"/>
            </w:tcBorders>
            <w:shd w:val="clear" w:color="auto" w:fill="C6EFCE"/>
            <w:noWrap/>
          </w:tcPr>
          <w:p w14:paraId="63CB25A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36FD25C" w14:textId="77777777" w:rsidR="003F46B9" w:rsidRDefault="0065662E">
            <w:pPr>
              <w:pStyle w:val="P68B1DB1-Normal35"/>
              <w:spacing w:after="0"/>
              <w:jc w:val="both"/>
              <w:rPr>
                <w:rFonts w:eastAsia="Times New Roman"/>
                <w:noProof/>
              </w:rPr>
            </w:pPr>
            <w:r>
              <w:rPr>
                <w:noProof/>
              </w:rPr>
              <w:t>Potpisivanje ugovora nakon otvorenih i konkurentnih natječaja</w:t>
            </w:r>
          </w:p>
        </w:tc>
      </w:tr>
      <w:tr w:rsidR="003F46B9" w14:paraId="4B64B09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E6B957D" w14:textId="77777777" w:rsidR="003F46B9" w:rsidRDefault="0065662E">
            <w:pPr>
              <w:pStyle w:val="P68B1DB1-Normal35"/>
              <w:spacing w:after="0"/>
              <w:jc w:val="center"/>
              <w:rPr>
                <w:rFonts w:eastAsia="Times New Roman"/>
                <w:noProof/>
              </w:rPr>
            </w:pPr>
            <w:r>
              <w:rPr>
                <w:noProof/>
              </w:rPr>
              <w:t>116</w:t>
            </w:r>
          </w:p>
        </w:tc>
        <w:tc>
          <w:tcPr>
            <w:tcW w:w="3544" w:type="dxa"/>
            <w:tcBorders>
              <w:top w:val="nil"/>
              <w:left w:val="nil"/>
              <w:bottom w:val="single" w:sz="4" w:space="0" w:color="auto"/>
              <w:right w:val="single" w:sz="4" w:space="0" w:color="auto"/>
            </w:tcBorders>
            <w:shd w:val="clear" w:color="auto" w:fill="C6EFCE"/>
            <w:noWrap/>
          </w:tcPr>
          <w:p w14:paraId="1052BB0C" w14:textId="77777777" w:rsidR="003F46B9" w:rsidRDefault="0065662E">
            <w:pPr>
              <w:pStyle w:val="P68B1DB1-Normal35"/>
              <w:spacing w:after="0"/>
              <w:jc w:val="both"/>
              <w:rPr>
                <w:noProof/>
              </w:rPr>
            </w:pPr>
            <w:r>
              <w:rPr>
                <w:noProof/>
              </w:rPr>
              <w:t>C6.R1</w:t>
            </w:r>
          </w:p>
          <w:p w14:paraId="50DE7EA5" w14:textId="77777777" w:rsidR="003F46B9" w:rsidRDefault="0065662E">
            <w:pPr>
              <w:pStyle w:val="P68B1DB1-Normal35"/>
              <w:spacing w:after="0"/>
              <w:jc w:val="both"/>
              <w:rPr>
                <w:rFonts w:eastAsia="Times New Roman"/>
                <w:noProof/>
              </w:rPr>
            </w:pPr>
            <w:r>
              <w:rPr>
                <w:noProof/>
              </w:rPr>
              <w:t>Reforma tržišta električne energije, zamjena ugljena u kombinaciji izvora energije i potpora zakonodavnom i regulatornom okviru za privatna ulaganja u proizvodnju</w:t>
            </w:r>
            <w:r>
              <w:rPr>
                <w:noProof/>
              </w:rPr>
              <w:t xml:space="preserve"> električne energije iz obnovljivih izvora</w:t>
            </w:r>
          </w:p>
        </w:tc>
        <w:tc>
          <w:tcPr>
            <w:tcW w:w="1275" w:type="dxa"/>
            <w:tcBorders>
              <w:top w:val="nil"/>
              <w:left w:val="nil"/>
              <w:bottom w:val="single" w:sz="4" w:space="0" w:color="auto"/>
              <w:right w:val="single" w:sz="4" w:space="0" w:color="auto"/>
            </w:tcBorders>
            <w:shd w:val="clear" w:color="auto" w:fill="C6EFCE"/>
            <w:noWrap/>
          </w:tcPr>
          <w:p w14:paraId="02AD5E21"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000D7D4" w14:textId="77777777" w:rsidR="003F46B9" w:rsidRDefault="0065662E">
            <w:pPr>
              <w:pStyle w:val="P68B1DB1-Normal35"/>
              <w:spacing w:after="0"/>
              <w:jc w:val="both"/>
              <w:rPr>
                <w:rFonts w:eastAsia="Times New Roman"/>
                <w:noProof/>
              </w:rPr>
            </w:pPr>
            <w:r>
              <w:rPr>
                <w:noProof/>
              </w:rPr>
              <w:t>Stupanje na snagu novog zakona o energiji</w:t>
            </w:r>
          </w:p>
        </w:tc>
      </w:tr>
      <w:tr w:rsidR="003F46B9" w14:paraId="154DB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D67F44" w14:textId="77777777" w:rsidR="003F46B9" w:rsidRDefault="0065662E">
            <w:pPr>
              <w:pStyle w:val="P68B1DB1-Normal35"/>
              <w:spacing w:after="0"/>
              <w:jc w:val="center"/>
              <w:rPr>
                <w:rFonts w:eastAsia="Times New Roman"/>
                <w:noProof/>
              </w:rPr>
            </w:pPr>
            <w:r>
              <w:rPr>
                <w:noProof/>
              </w:rPr>
              <w:t>158</w:t>
            </w:r>
          </w:p>
        </w:tc>
        <w:tc>
          <w:tcPr>
            <w:tcW w:w="3544" w:type="dxa"/>
            <w:tcBorders>
              <w:top w:val="nil"/>
              <w:left w:val="nil"/>
              <w:bottom w:val="single" w:sz="4" w:space="0" w:color="auto"/>
              <w:right w:val="single" w:sz="4" w:space="0" w:color="auto"/>
            </w:tcBorders>
            <w:shd w:val="clear" w:color="auto" w:fill="C6EFCE"/>
            <w:noWrap/>
          </w:tcPr>
          <w:p w14:paraId="6FDD56AD" w14:textId="77777777" w:rsidR="003F46B9" w:rsidRDefault="0065662E">
            <w:pPr>
              <w:pStyle w:val="P68B1DB1-Normal35"/>
              <w:spacing w:after="0"/>
              <w:jc w:val="both"/>
              <w:rPr>
                <w:noProof/>
              </w:rPr>
            </w:pPr>
            <w:r>
              <w:rPr>
                <w:noProof/>
              </w:rPr>
              <w:t>C7.I3</w:t>
            </w:r>
          </w:p>
          <w:p w14:paraId="1953182C" w14:textId="77777777" w:rsidR="003F46B9" w:rsidRDefault="0065662E">
            <w:pPr>
              <w:pStyle w:val="P68B1DB1-Normal35"/>
              <w:spacing w:after="0"/>
              <w:jc w:val="both"/>
              <w:rPr>
                <w:rFonts w:eastAsia="Times New Roman"/>
                <w:noProof/>
              </w:rPr>
            </w:pPr>
            <w:r>
              <w:rPr>
                <w:noProof/>
              </w:rPr>
              <w:t>Razvoj sustava e-zdravstva i telemedicine</w:t>
            </w:r>
          </w:p>
        </w:tc>
        <w:tc>
          <w:tcPr>
            <w:tcW w:w="1275" w:type="dxa"/>
            <w:tcBorders>
              <w:top w:val="nil"/>
              <w:left w:val="nil"/>
              <w:bottom w:val="single" w:sz="4" w:space="0" w:color="auto"/>
              <w:right w:val="single" w:sz="4" w:space="0" w:color="auto"/>
            </w:tcBorders>
            <w:shd w:val="clear" w:color="auto" w:fill="C6EFCE"/>
            <w:noWrap/>
          </w:tcPr>
          <w:p w14:paraId="23D30410"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4F9680" w14:textId="77777777" w:rsidR="003F46B9" w:rsidRDefault="0065662E">
            <w:pPr>
              <w:pStyle w:val="P68B1DB1-Normal35"/>
              <w:spacing w:after="0"/>
              <w:jc w:val="both"/>
              <w:rPr>
                <w:rFonts w:eastAsia="Times New Roman"/>
                <w:noProof/>
              </w:rPr>
            </w:pPr>
            <w:r>
              <w:rPr>
                <w:noProof/>
              </w:rPr>
              <w:t xml:space="preserve">Ustanove javnog zdravstva digitalizirane </w:t>
            </w:r>
          </w:p>
        </w:tc>
      </w:tr>
      <w:tr w:rsidR="003F46B9" w14:paraId="0A04B2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4FE9A" w14:textId="77777777" w:rsidR="003F46B9" w:rsidRDefault="0065662E">
            <w:pPr>
              <w:pStyle w:val="P68B1DB1-Normal35"/>
              <w:spacing w:after="0"/>
              <w:jc w:val="center"/>
              <w:rPr>
                <w:rFonts w:eastAsia="Times New Roman"/>
                <w:noProof/>
              </w:rPr>
            </w:pPr>
            <w:r>
              <w:rPr>
                <w:noProof/>
              </w:rPr>
              <w:t>163</w:t>
            </w:r>
          </w:p>
        </w:tc>
        <w:tc>
          <w:tcPr>
            <w:tcW w:w="3544" w:type="dxa"/>
            <w:tcBorders>
              <w:top w:val="nil"/>
              <w:left w:val="nil"/>
              <w:bottom w:val="single" w:sz="4" w:space="0" w:color="auto"/>
              <w:right w:val="single" w:sz="4" w:space="0" w:color="auto"/>
            </w:tcBorders>
            <w:shd w:val="clear" w:color="auto" w:fill="C6EFCE"/>
            <w:noWrap/>
          </w:tcPr>
          <w:p w14:paraId="34C836DB" w14:textId="77777777" w:rsidR="003F46B9" w:rsidRDefault="0065662E">
            <w:pPr>
              <w:pStyle w:val="P68B1DB1-Normal35"/>
              <w:spacing w:after="0"/>
              <w:jc w:val="both"/>
              <w:rPr>
                <w:noProof/>
              </w:rPr>
            </w:pPr>
            <w:r>
              <w:rPr>
                <w:noProof/>
              </w:rPr>
              <w:t>C7.I4</w:t>
            </w:r>
          </w:p>
          <w:p w14:paraId="7FED5263" w14:textId="1D61BECC" w:rsidR="003F46B9" w:rsidRDefault="0065662E">
            <w:pPr>
              <w:pStyle w:val="P68B1DB1-Normal35"/>
              <w:spacing w:after="0"/>
              <w:jc w:val="both"/>
              <w:rPr>
                <w:rFonts w:eastAsia="Times New Roman"/>
                <w:noProof/>
              </w:rPr>
            </w:pPr>
            <w:r>
              <w:rPr>
                <w:noProof/>
              </w:rPr>
              <w:t xml:space="preserve">Digitalizacija pravosuđa </w:t>
            </w:r>
          </w:p>
        </w:tc>
        <w:tc>
          <w:tcPr>
            <w:tcW w:w="1275" w:type="dxa"/>
            <w:tcBorders>
              <w:top w:val="nil"/>
              <w:left w:val="nil"/>
              <w:bottom w:val="single" w:sz="4" w:space="0" w:color="auto"/>
              <w:right w:val="single" w:sz="4" w:space="0" w:color="auto"/>
            </w:tcBorders>
            <w:shd w:val="clear" w:color="auto" w:fill="C6EFCE"/>
            <w:noWrap/>
          </w:tcPr>
          <w:p w14:paraId="4E7E903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86F1EFD" w14:textId="77777777" w:rsidR="003F46B9" w:rsidRDefault="0065662E">
            <w:pPr>
              <w:pStyle w:val="P68B1DB1-Normal35"/>
              <w:spacing w:after="0"/>
              <w:jc w:val="both"/>
              <w:rPr>
                <w:rFonts w:eastAsia="Times New Roman"/>
                <w:noProof/>
              </w:rPr>
            </w:pPr>
            <w:r>
              <w:rPr>
                <w:noProof/>
              </w:rPr>
              <w:t xml:space="preserve">Virtualizacija i centralizacija </w:t>
            </w:r>
            <w:r>
              <w:rPr>
                <w:noProof/>
              </w:rPr>
              <w:t>poslovnih aplikacija koje su operacionalizirane</w:t>
            </w:r>
          </w:p>
        </w:tc>
      </w:tr>
      <w:tr w:rsidR="003F46B9" w14:paraId="5798EE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470D08" w14:textId="77777777" w:rsidR="003F46B9" w:rsidRDefault="0065662E">
            <w:pPr>
              <w:pStyle w:val="P68B1DB1-Normal35"/>
              <w:spacing w:after="0"/>
              <w:jc w:val="center"/>
              <w:rPr>
                <w:rFonts w:eastAsia="Times New Roman"/>
                <w:noProof/>
              </w:rPr>
            </w:pPr>
            <w:r>
              <w:rPr>
                <w:noProof/>
              </w:rPr>
              <w:t>172</w:t>
            </w:r>
          </w:p>
        </w:tc>
        <w:tc>
          <w:tcPr>
            <w:tcW w:w="3544" w:type="dxa"/>
            <w:tcBorders>
              <w:top w:val="nil"/>
              <w:left w:val="nil"/>
              <w:bottom w:val="single" w:sz="4" w:space="0" w:color="auto"/>
              <w:right w:val="single" w:sz="4" w:space="0" w:color="auto"/>
            </w:tcBorders>
            <w:shd w:val="clear" w:color="auto" w:fill="C6EFCE"/>
            <w:noWrap/>
          </w:tcPr>
          <w:p w14:paraId="4DCBCD9D" w14:textId="77777777" w:rsidR="003F46B9" w:rsidRDefault="0065662E">
            <w:pPr>
              <w:pStyle w:val="P68B1DB1-Normal35"/>
              <w:spacing w:after="0"/>
              <w:jc w:val="both"/>
              <w:rPr>
                <w:noProof/>
              </w:rPr>
            </w:pPr>
            <w:r>
              <w:rPr>
                <w:noProof/>
              </w:rPr>
              <w:t>C7. I7</w:t>
            </w:r>
          </w:p>
          <w:p w14:paraId="1E9BD47B" w14:textId="77777777" w:rsidR="003F46B9" w:rsidRDefault="0065662E">
            <w:pPr>
              <w:pStyle w:val="P68B1DB1-Normal35"/>
              <w:spacing w:after="0"/>
              <w:jc w:val="both"/>
              <w:rPr>
                <w:rFonts w:eastAsia="Times New Roman"/>
                <w:noProof/>
              </w:rPr>
            </w:pPr>
            <w:r>
              <w:rPr>
                <w:noProof/>
              </w:rPr>
              <w:t xml:space="preserve">Uvođenje elektroničkih obrazaca e-obrazaca u javnoj nabavi </w:t>
            </w:r>
          </w:p>
        </w:tc>
        <w:tc>
          <w:tcPr>
            <w:tcW w:w="1275" w:type="dxa"/>
            <w:tcBorders>
              <w:top w:val="nil"/>
              <w:left w:val="nil"/>
              <w:bottom w:val="single" w:sz="4" w:space="0" w:color="auto"/>
              <w:right w:val="single" w:sz="4" w:space="0" w:color="auto"/>
            </w:tcBorders>
            <w:shd w:val="clear" w:color="auto" w:fill="C6EFCE"/>
            <w:noWrap/>
          </w:tcPr>
          <w:p w14:paraId="5B33415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85F359F" w14:textId="77777777" w:rsidR="003F46B9" w:rsidRDefault="0065662E">
            <w:pPr>
              <w:pStyle w:val="P68B1DB1-Normal35"/>
              <w:spacing w:after="0"/>
              <w:jc w:val="both"/>
              <w:rPr>
                <w:rFonts w:eastAsia="Times New Roman"/>
                <w:noProof/>
              </w:rPr>
            </w:pPr>
            <w:r>
              <w:rPr>
                <w:noProof/>
              </w:rPr>
              <w:t xml:space="preserve">Uvođenje elektroničkih nacionalnih obrazaca u postupcima javne nabave u skladu sa zakonodavstvom EU-a </w:t>
            </w:r>
          </w:p>
        </w:tc>
      </w:tr>
      <w:tr w:rsidR="003F46B9" w14:paraId="386334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FDBC02" w14:textId="77777777" w:rsidR="003F46B9" w:rsidRDefault="0065662E">
            <w:pPr>
              <w:pStyle w:val="P68B1DB1-Normal35"/>
              <w:spacing w:after="0"/>
              <w:jc w:val="center"/>
              <w:rPr>
                <w:rFonts w:eastAsia="Times New Roman"/>
                <w:noProof/>
              </w:rPr>
            </w:pPr>
            <w:r>
              <w:rPr>
                <w:noProof/>
              </w:rPr>
              <w:t>201</w:t>
            </w:r>
          </w:p>
        </w:tc>
        <w:tc>
          <w:tcPr>
            <w:tcW w:w="3544" w:type="dxa"/>
            <w:tcBorders>
              <w:top w:val="nil"/>
              <w:left w:val="nil"/>
              <w:bottom w:val="single" w:sz="4" w:space="0" w:color="auto"/>
              <w:right w:val="single" w:sz="4" w:space="0" w:color="auto"/>
            </w:tcBorders>
            <w:shd w:val="clear" w:color="auto" w:fill="C6EFCE"/>
            <w:noWrap/>
          </w:tcPr>
          <w:p w14:paraId="4122581E" w14:textId="77777777" w:rsidR="003F46B9" w:rsidRDefault="0065662E">
            <w:pPr>
              <w:pStyle w:val="P68B1DB1-Normal35"/>
              <w:spacing w:after="0"/>
              <w:jc w:val="both"/>
              <w:rPr>
                <w:noProof/>
              </w:rPr>
            </w:pPr>
            <w:r>
              <w:rPr>
                <w:noProof/>
              </w:rPr>
              <w:t>C8.R3</w:t>
            </w:r>
          </w:p>
          <w:p w14:paraId="5D9B4400"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288C8A52"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2A328DB" w14:textId="77777777" w:rsidR="003F46B9" w:rsidRDefault="0065662E">
            <w:pPr>
              <w:pStyle w:val="P68B1DB1-Normal35"/>
              <w:spacing w:after="0"/>
              <w:jc w:val="both"/>
              <w:rPr>
                <w:rFonts w:eastAsia="Times New Roman"/>
                <w:noProof/>
              </w:rPr>
            </w:pPr>
            <w:r>
              <w:rPr>
                <w:noProof/>
              </w:rPr>
              <w:t xml:space="preserve">Završetak revizije potrošnje u sektorima zdravstva i obrazovanja </w:t>
            </w:r>
          </w:p>
        </w:tc>
      </w:tr>
      <w:tr w:rsidR="003F46B9" w14:paraId="65CE30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EE3F45" w14:textId="77777777" w:rsidR="003F46B9" w:rsidRDefault="0065662E">
            <w:pPr>
              <w:pStyle w:val="P68B1DB1-Normal35"/>
              <w:spacing w:after="0"/>
              <w:jc w:val="center"/>
              <w:rPr>
                <w:rFonts w:eastAsia="Times New Roman"/>
                <w:noProof/>
              </w:rPr>
            </w:pPr>
            <w:r>
              <w:rPr>
                <w:noProof/>
              </w:rPr>
              <w:t>202</w:t>
            </w:r>
          </w:p>
        </w:tc>
        <w:tc>
          <w:tcPr>
            <w:tcW w:w="3544" w:type="dxa"/>
            <w:tcBorders>
              <w:top w:val="nil"/>
              <w:left w:val="nil"/>
              <w:bottom w:val="single" w:sz="4" w:space="0" w:color="auto"/>
              <w:right w:val="single" w:sz="4" w:space="0" w:color="auto"/>
            </w:tcBorders>
            <w:shd w:val="clear" w:color="auto" w:fill="C6EFCE"/>
            <w:noWrap/>
          </w:tcPr>
          <w:p w14:paraId="5EFE11E1" w14:textId="77777777" w:rsidR="003F46B9" w:rsidRDefault="0065662E">
            <w:pPr>
              <w:pStyle w:val="P68B1DB1-Normal35"/>
              <w:spacing w:after="0"/>
              <w:jc w:val="both"/>
              <w:rPr>
                <w:noProof/>
              </w:rPr>
            </w:pPr>
            <w:r>
              <w:rPr>
                <w:noProof/>
              </w:rPr>
              <w:t>C8.R3</w:t>
            </w:r>
          </w:p>
          <w:p w14:paraId="5400E072"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40AF4AF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FDC69A9" w14:textId="77777777" w:rsidR="003F46B9" w:rsidRDefault="0065662E">
            <w:pPr>
              <w:pStyle w:val="P68B1DB1-Normal35"/>
              <w:spacing w:after="0"/>
              <w:jc w:val="both"/>
              <w:rPr>
                <w:rFonts w:eastAsia="Times New Roman"/>
                <w:noProof/>
              </w:rPr>
            </w:pPr>
            <w:r>
              <w:rPr>
                <w:noProof/>
              </w:rPr>
              <w:t xml:space="preserve">Donošenje višegodišnje strategije i kalendara za sustavnu reviziju rashoda u svim sektorima </w:t>
            </w:r>
          </w:p>
        </w:tc>
      </w:tr>
      <w:tr w:rsidR="003F46B9" w14:paraId="071449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19B450" w14:textId="77777777" w:rsidR="003F46B9" w:rsidRDefault="0065662E">
            <w:pPr>
              <w:pStyle w:val="P68B1DB1-Normal35"/>
              <w:spacing w:after="0"/>
              <w:jc w:val="center"/>
              <w:rPr>
                <w:rFonts w:eastAsia="Times New Roman"/>
                <w:noProof/>
              </w:rPr>
            </w:pPr>
            <w:r>
              <w:rPr>
                <w:noProof/>
              </w:rPr>
              <w:t>219</w:t>
            </w:r>
          </w:p>
        </w:tc>
        <w:tc>
          <w:tcPr>
            <w:tcW w:w="3544" w:type="dxa"/>
            <w:tcBorders>
              <w:top w:val="nil"/>
              <w:left w:val="nil"/>
              <w:bottom w:val="single" w:sz="4" w:space="0" w:color="auto"/>
              <w:right w:val="single" w:sz="4" w:space="0" w:color="auto"/>
            </w:tcBorders>
            <w:shd w:val="clear" w:color="auto" w:fill="C6EFCE"/>
            <w:noWrap/>
          </w:tcPr>
          <w:p w14:paraId="1F2735BC" w14:textId="77777777" w:rsidR="003F46B9" w:rsidRDefault="0065662E">
            <w:pPr>
              <w:pStyle w:val="P68B1DB1-Normal35"/>
              <w:spacing w:after="0"/>
              <w:jc w:val="both"/>
              <w:rPr>
                <w:noProof/>
              </w:rPr>
            </w:pPr>
            <w:r>
              <w:rPr>
                <w:noProof/>
              </w:rPr>
              <w:t>C8.I2</w:t>
            </w:r>
          </w:p>
          <w:p w14:paraId="3E452A84" w14:textId="77777777" w:rsidR="003F46B9" w:rsidRDefault="0065662E">
            <w:pPr>
              <w:pStyle w:val="P68B1DB1-Normal35"/>
              <w:spacing w:after="0"/>
              <w:jc w:val="both"/>
              <w:rPr>
                <w:rFonts w:eastAsia="Times New Roman"/>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7E7CCCC9"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4C93C20" w14:textId="77777777" w:rsidR="003F46B9" w:rsidRDefault="0065662E">
            <w:pPr>
              <w:pStyle w:val="P68B1DB1-Normal35"/>
              <w:spacing w:after="0"/>
              <w:jc w:val="both"/>
              <w:rPr>
                <w:rFonts w:eastAsia="Times New Roman"/>
                <w:noProof/>
              </w:rPr>
            </w:pPr>
            <w:r>
              <w:rPr>
                <w:noProof/>
              </w:rPr>
              <w:t>Osposobljavanje osoblja o sustavu upravljanj</w:t>
            </w:r>
            <w:r>
              <w:rPr>
                <w:noProof/>
              </w:rPr>
              <w:t xml:space="preserve">a rizicima </w:t>
            </w:r>
          </w:p>
        </w:tc>
      </w:tr>
      <w:tr w:rsidR="003F46B9" w14:paraId="65097B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63F830" w14:textId="77777777" w:rsidR="003F46B9" w:rsidRDefault="0065662E">
            <w:pPr>
              <w:pStyle w:val="P68B1DB1-Normal35"/>
              <w:spacing w:after="0"/>
              <w:jc w:val="center"/>
              <w:rPr>
                <w:rFonts w:eastAsia="Times New Roman"/>
                <w:noProof/>
              </w:rPr>
            </w:pPr>
            <w:r>
              <w:rPr>
                <w:noProof/>
              </w:rPr>
              <w:t>227</w:t>
            </w:r>
          </w:p>
        </w:tc>
        <w:tc>
          <w:tcPr>
            <w:tcW w:w="3544" w:type="dxa"/>
            <w:tcBorders>
              <w:top w:val="nil"/>
              <w:left w:val="nil"/>
              <w:bottom w:val="single" w:sz="4" w:space="0" w:color="auto"/>
              <w:right w:val="single" w:sz="4" w:space="0" w:color="auto"/>
            </w:tcBorders>
            <w:shd w:val="clear" w:color="auto" w:fill="C6EFCE"/>
            <w:noWrap/>
          </w:tcPr>
          <w:p w14:paraId="0635180B" w14:textId="77777777" w:rsidR="003F46B9" w:rsidRDefault="0065662E">
            <w:pPr>
              <w:pStyle w:val="P68B1DB1-Normal35"/>
              <w:spacing w:after="0"/>
              <w:jc w:val="both"/>
              <w:rPr>
                <w:noProof/>
              </w:rPr>
            </w:pPr>
            <w:r>
              <w:rPr>
                <w:noProof/>
              </w:rPr>
              <w:t>C8.I3</w:t>
            </w:r>
          </w:p>
          <w:p w14:paraId="3DE7FFDD" w14:textId="77777777" w:rsidR="003F46B9" w:rsidRDefault="0065662E">
            <w:pPr>
              <w:pStyle w:val="P68B1DB1-Normal35"/>
              <w:spacing w:after="0"/>
              <w:jc w:val="both"/>
              <w:rPr>
                <w:rFonts w:eastAsia="Times New Roman"/>
                <w:noProof/>
              </w:rPr>
            </w:pPr>
            <w:r>
              <w:rPr>
                <w:noProof/>
              </w:rPr>
              <w:t>Osiguravanje kapaciteta za odgovor na trenutačne i buduće izazove informiranja, među ostalim u kontekstu pandemije, putem digitalne transformacije Ministarstva financija/Nacionalne agencije za fiskalnu upravu</w:t>
            </w:r>
          </w:p>
        </w:tc>
        <w:tc>
          <w:tcPr>
            <w:tcW w:w="1275" w:type="dxa"/>
            <w:tcBorders>
              <w:top w:val="nil"/>
              <w:left w:val="nil"/>
              <w:bottom w:val="single" w:sz="4" w:space="0" w:color="auto"/>
              <w:right w:val="single" w:sz="4" w:space="0" w:color="auto"/>
            </w:tcBorders>
            <w:shd w:val="clear" w:color="auto" w:fill="C6EFCE"/>
            <w:noWrap/>
          </w:tcPr>
          <w:p w14:paraId="084F9F0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946592" w14:textId="77777777" w:rsidR="003F46B9" w:rsidRDefault="0065662E">
            <w:pPr>
              <w:pStyle w:val="P68B1DB1-Normal35"/>
              <w:spacing w:after="0"/>
              <w:jc w:val="both"/>
              <w:rPr>
                <w:rFonts w:eastAsia="Times New Roman"/>
                <w:noProof/>
              </w:rPr>
            </w:pPr>
            <w:r>
              <w:rPr>
                <w:noProof/>
              </w:rPr>
              <w:t>Modernizacija hardvers</w:t>
            </w:r>
            <w:r>
              <w:rPr>
                <w:noProof/>
              </w:rPr>
              <w:t>ke i softverske infrastrukture i pomoćne infrastrukture za pružanje elektroničkih usluga poreznim obveznicima</w:t>
            </w:r>
          </w:p>
        </w:tc>
      </w:tr>
      <w:tr w:rsidR="003F46B9" w14:paraId="5C6343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CC8DD8" w14:textId="77777777" w:rsidR="003F46B9" w:rsidRDefault="0065662E">
            <w:pPr>
              <w:pStyle w:val="P68B1DB1-Normal35"/>
              <w:spacing w:after="0"/>
              <w:jc w:val="center"/>
              <w:rPr>
                <w:rFonts w:eastAsia="Times New Roman"/>
                <w:noProof/>
              </w:rPr>
            </w:pPr>
            <w:r>
              <w:rPr>
                <w:noProof/>
              </w:rPr>
              <w:t>228</w:t>
            </w:r>
          </w:p>
        </w:tc>
        <w:tc>
          <w:tcPr>
            <w:tcW w:w="3544" w:type="dxa"/>
            <w:tcBorders>
              <w:top w:val="nil"/>
              <w:left w:val="nil"/>
              <w:bottom w:val="single" w:sz="4" w:space="0" w:color="auto"/>
              <w:right w:val="single" w:sz="4" w:space="0" w:color="auto"/>
            </w:tcBorders>
            <w:shd w:val="clear" w:color="auto" w:fill="C6EFCE"/>
            <w:noWrap/>
          </w:tcPr>
          <w:p w14:paraId="3D6A72E2" w14:textId="77777777" w:rsidR="003F46B9" w:rsidRDefault="0065662E">
            <w:pPr>
              <w:pStyle w:val="P68B1DB1-Normal35"/>
              <w:spacing w:after="0"/>
              <w:jc w:val="both"/>
              <w:rPr>
                <w:noProof/>
              </w:rPr>
            </w:pPr>
            <w:r>
              <w:rPr>
                <w:noProof/>
              </w:rPr>
              <w:t>C8.I3</w:t>
            </w:r>
          </w:p>
          <w:p w14:paraId="37C612A8" w14:textId="77777777" w:rsidR="003F46B9" w:rsidRDefault="0065662E">
            <w:pPr>
              <w:pStyle w:val="P68B1DB1-Normal35"/>
              <w:spacing w:after="0"/>
              <w:jc w:val="both"/>
              <w:rPr>
                <w:rFonts w:eastAsia="Times New Roman"/>
                <w:noProof/>
              </w:rPr>
            </w:pPr>
            <w:r>
              <w:rPr>
                <w:noProof/>
              </w:rPr>
              <w:t xml:space="preserve">Osiguravanje kapaciteta za odgovor na trenutačne i buduće izazove informiranja, među ostalim u kontekstu pandemije, putem digitalne </w:t>
            </w:r>
            <w:r>
              <w:rPr>
                <w:noProof/>
              </w:rPr>
              <w:t>transformacije Ministarstva financija/Nacionalne agencije za fiskalnu upravu</w:t>
            </w:r>
          </w:p>
        </w:tc>
        <w:tc>
          <w:tcPr>
            <w:tcW w:w="1275" w:type="dxa"/>
            <w:tcBorders>
              <w:top w:val="nil"/>
              <w:left w:val="nil"/>
              <w:bottom w:val="single" w:sz="4" w:space="0" w:color="auto"/>
              <w:right w:val="single" w:sz="4" w:space="0" w:color="auto"/>
            </w:tcBorders>
            <w:shd w:val="clear" w:color="auto" w:fill="C6EFCE"/>
            <w:noWrap/>
          </w:tcPr>
          <w:p w14:paraId="44C6869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26BE68" w14:textId="77777777" w:rsidR="003F46B9" w:rsidRDefault="0065662E">
            <w:pPr>
              <w:pStyle w:val="P68B1DB1-Normal35"/>
              <w:spacing w:after="0"/>
              <w:jc w:val="both"/>
              <w:rPr>
                <w:rFonts w:eastAsia="Times New Roman"/>
                <w:noProof/>
              </w:rPr>
            </w:pPr>
            <w:r>
              <w:rPr>
                <w:noProof/>
              </w:rPr>
              <w:t>Povećana kibersigurnost računalnog sustava Ministarstva financija i ANAF-a</w:t>
            </w:r>
          </w:p>
        </w:tc>
      </w:tr>
      <w:tr w:rsidR="003F46B9" w14:paraId="0DF80E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325C2D" w14:textId="77777777" w:rsidR="003F46B9" w:rsidRDefault="0065662E">
            <w:pPr>
              <w:pStyle w:val="P68B1DB1-Normal35"/>
              <w:spacing w:after="0"/>
              <w:jc w:val="center"/>
              <w:rPr>
                <w:rFonts w:eastAsia="Times New Roman"/>
                <w:noProof/>
              </w:rPr>
            </w:pPr>
            <w:r>
              <w:rPr>
                <w:noProof/>
              </w:rPr>
              <w:t>229</w:t>
            </w:r>
          </w:p>
        </w:tc>
        <w:tc>
          <w:tcPr>
            <w:tcW w:w="3544" w:type="dxa"/>
            <w:tcBorders>
              <w:top w:val="nil"/>
              <w:left w:val="nil"/>
              <w:bottom w:val="single" w:sz="4" w:space="0" w:color="auto"/>
              <w:right w:val="single" w:sz="4" w:space="0" w:color="auto"/>
            </w:tcBorders>
            <w:shd w:val="clear" w:color="auto" w:fill="C6EFCE"/>
            <w:noWrap/>
          </w:tcPr>
          <w:p w14:paraId="12070C35" w14:textId="77777777" w:rsidR="003F46B9" w:rsidRDefault="0065662E">
            <w:pPr>
              <w:pStyle w:val="P68B1DB1-Normal35"/>
              <w:spacing w:after="0"/>
              <w:jc w:val="both"/>
              <w:rPr>
                <w:noProof/>
              </w:rPr>
            </w:pPr>
            <w:r>
              <w:rPr>
                <w:noProof/>
              </w:rPr>
              <w:t>C8.I3</w:t>
            </w:r>
          </w:p>
          <w:p w14:paraId="336C0946" w14:textId="77777777" w:rsidR="003F46B9" w:rsidRDefault="0065662E">
            <w:pPr>
              <w:pStyle w:val="P68B1DB1-Normal35"/>
              <w:spacing w:after="0"/>
              <w:jc w:val="both"/>
              <w:rPr>
                <w:rFonts w:eastAsia="Times New Roman"/>
                <w:noProof/>
              </w:rPr>
            </w:pPr>
            <w:r>
              <w:rPr>
                <w:noProof/>
              </w:rPr>
              <w:t>Osiguravanje kapaciteta za odgovor na trenutačne i buduće izazove informiranja, među ostali</w:t>
            </w:r>
            <w:r>
              <w:rPr>
                <w:noProof/>
              </w:rPr>
              <w:t>m u kontekstu pandemije, putem digitalne transformacije Ministarstva financija/Nacionalne agencije za fiskalnu upravu</w:t>
            </w:r>
          </w:p>
        </w:tc>
        <w:tc>
          <w:tcPr>
            <w:tcW w:w="1275" w:type="dxa"/>
            <w:tcBorders>
              <w:top w:val="nil"/>
              <w:left w:val="nil"/>
              <w:bottom w:val="single" w:sz="4" w:space="0" w:color="auto"/>
              <w:right w:val="single" w:sz="4" w:space="0" w:color="auto"/>
            </w:tcBorders>
            <w:shd w:val="clear" w:color="auto" w:fill="C6EFCE"/>
            <w:noWrap/>
          </w:tcPr>
          <w:p w14:paraId="52AC88DD"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00B563C" w14:textId="77777777" w:rsidR="003F46B9" w:rsidRDefault="0065662E">
            <w:pPr>
              <w:pStyle w:val="P68B1DB1-Normal35"/>
              <w:spacing w:after="0"/>
              <w:jc w:val="both"/>
              <w:rPr>
                <w:rFonts w:eastAsia="Times New Roman"/>
                <w:noProof/>
              </w:rPr>
            </w:pPr>
            <w:r>
              <w:rPr>
                <w:noProof/>
              </w:rPr>
              <w:t xml:space="preserve">80 % informatičke hardverske i softverske infrastrukture nije starije od četiri godine </w:t>
            </w:r>
          </w:p>
        </w:tc>
      </w:tr>
      <w:tr w:rsidR="003F46B9" w14:paraId="3B4F0B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04C0C6F" w14:textId="77777777" w:rsidR="003F46B9" w:rsidRDefault="0065662E">
            <w:pPr>
              <w:pStyle w:val="P68B1DB1-Normal35"/>
              <w:spacing w:after="0"/>
              <w:jc w:val="center"/>
              <w:rPr>
                <w:rFonts w:eastAsia="Times New Roman"/>
                <w:noProof/>
              </w:rPr>
            </w:pPr>
            <w:r>
              <w:rPr>
                <w:noProof/>
              </w:rPr>
              <w:t>352</w:t>
            </w:r>
          </w:p>
        </w:tc>
        <w:tc>
          <w:tcPr>
            <w:tcW w:w="3544" w:type="dxa"/>
            <w:tcBorders>
              <w:top w:val="nil"/>
              <w:left w:val="nil"/>
              <w:bottom w:val="single" w:sz="4" w:space="0" w:color="auto"/>
              <w:right w:val="single" w:sz="4" w:space="0" w:color="auto"/>
            </w:tcBorders>
            <w:shd w:val="clear" w:color="auto" w:fill="C6EFCE"/>
            <w:noWrap/>
          </w:tcPr>
          <w:p w14:paraId="0085C177" w14:textId="77777777" w:rsidR="003F46B9" w:rsidRDefault="0065662E">
            <w:pPr>
              <w:pStyle w:val="P68B1DB1-Normal35"/>
              <w:spacing w:after="0"/>
              <w:jc w:val="both"/>
              <w:rPr>
                <w:noProof/>
              </w:rPr>
            </w:pPr>
            <w:r>
              <w:rPr>
                <w:noProof/>
              </w:rPr>
              <w:t>C12.R1</w:t>
            </w:r>
          </w:p>
          <w:p w14:paraId="265B9C1E" w14:textId="77777777" w:rsidR="003F46B9" w:rsidRDefault="0065662E">
            <w:pPr>
              <w:pStyle w:val="P68B1DB1-Normal35"/>
              <w:spacing w:after="0"/>
              <w:jc w:val="both"/>
              <w:rPr>
                <w:rFonts w:eastAsia="Times New Roman"/>
                <w:noProof/>
              </w:rPr>
            </w:pPr>
            <w:r>
              <w:rPr>
                <w:noProof/>
              </w:rPr>
              <w:t xml:space="preserve">Povećani kapacitet za upravljanje fondovima za javno zdravstvo </w:t>
            </w:r>
          </w:p>
        </w:tc>
        <w:tc>
          <w:tcPr>
            <w:tcW w:w="1275" w:type="dxa"/>
            <w:tcBorders>
              <w:top w:val="nil"/>
              <w:left w:val="nil"/>
              <w:bottom w:val="single" w:sz="4" w:space="0" w:color="auto"/>
              <w:right w:val="single" w:sz="4" w:space="0" w:color="auto"/>
            </w:tcBorders>
            <w:shd w:val="clear" w:color="auto" w:fill="C6EFCE"/>
            <w:noWrap/>
          </w:tcPr>
          <w:p w14:paraId="2381015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71DBFAD" w14:textId="77777777" w:rsidR="003F46B9" w:rsidRDefault="0065662E">
            <w:pPr>
              <w:pStyle w:val="P68B1DB1-Normal35"/>
              <w:spacing w:after="0"/>
              <w:jc w:val="both"/>
              <w:rPr>
                <w:rFonts w:eastAsia="Times New Roman"/>
                <w:noProof/>
              </w:rPr>
            </w:pPr>
            <w:r>
              <w:rPr>
                <w:noProof/>
              </w:rPr>
              <w:t>Stupanje na snagu Odluke Vlade o novom predlošku okvirnog ugovora kojim se uređuju uvjeti za odobravanje medicinske pomoći, lijekova i medicinskih proizvoda, pomoćnih proizvoda i tehnologija</w:t>
            </w:r>
            <w:r>
              <w:rPr>
                <w:noProof/>
              </w:rPr>
              <w:t xml:space="preserve"> u okviru sustava zdravstvenog osiguranja </w:t>
            </w:r>
          </w:p>
        </w:tc>
      </w:tr>
      <w:tr w:rsidR="003F46B9" w14:paraId="6F329C2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78AABA" w14:textId="77777777" w:rsidR="003F46B9" w:rsidRDefault="0065662E">
            <w:pPr>
              <w:pStyle w:val="P68B1DB1-Normal35"/>
              <w:spacing w:after="0"/>
              <w:jc w:val="center"/>
              <w:rPr>
                <w:rFonts w:eastAsia="Times New Roman"/>
                <w:noProof/>
              </w:rPr>
            </w:pPr>
            <w:r>
              <w:rPr>
                <w:noProof/>
              </w:rPr>
              <w:t>367</w:t>
            </w:r>
          </w:p>
        </w:tc>
        <w:tc>
          <w:tcPr>
            <w:tcW w:w="3544" w:type="dxa"/>
            <w:tcBorders>
              <w:top w:val="nil"/>
              <w:left w:val="nil"/>
              <w:bottom w:val="single" w:sz="4" w:space="0" w:color="auto"/>
              <w:right w:val="single" w:sz="4" w:space="0" w:color="auto"/>
            </w:tcBorders>
            <w:shd w:val="clear" w:color="auto" w:fill="C6EFCE"/>
            <w:noWrap/>
          </w:tcPr>
          <w:p w14:paraId="4A3A8620" w14:textId="77777777" w:rsidR="003F46B9" w:rsidRDefault="0065662E">
            <w:pPr>
              <w:pStyle w:val="P68B1DB1-Normal35"/>
              <w:spacing w:after="0"/>
              <w:jc w:val="both"/>
              <w:rPr>
                <w:noProof/>
              </w:rPr>
            </w:pPr>
            <w:r>
              <w:rPr>
                <w:noProof/>
              </w:rPr>
              <w:t>C12.I1</w:t>
            </w:r>
          </w:p>
          <w:p w14:paraId="42384A53" w14:textId="77777777" w:rsidR="003F46B9" w:rsidRDefault="0065662E">
            <w:pPr>
              <w:pStyle w:val="P68B1DB1-Normal35"/>
              <w:spacing w:after="0"/>
              <w:jc w:val="both"/>
              <w:rPr>
                <w:rFonts w:eastAsia="Times New Roman"/>
                <w:noProof/>
              </w:rPr>
            </w:pPr>
            <w:r>
              <w:rPr>
                <w:noProof/>
              </w:rPr>
              <w:t>Razvoj pretbolničke medicinske infrastrukture</w:t>
            </w:r>
          </w:p>
        </w:tc>
        <w:tc>
          <w:tcPr>
            <w:tcW w:w="1275" w:type="dxa"/>
            <w:tcBorders>
              <w:top w:val="nil"/>
              <w:left w:val="nil"/>
              <w:bottom w:val="single" w:sz="4" w:space="0" w:color="auto"/>
              <w:right w:val="single" w:sz="4" w:space="0" w:color="auto"/>
            </w:tcBorders>
            <w:shd w:val="clear" w:color="auto" w:fill="C6EFCE"/>
            <w:noWrap/>
          </w:tcPr>
          <w:p w14:paraId="04881DAF"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4E779A5" w14:textId="77777777" w:rsidR="003F46B9" w:rsidRDefault="0065662E">
            <w:pPr>
              <w:pStyle w:val="P68B1DB1-Normal35"/>
              <w:spacing w:after="0"/>
              <w:jc w:val="both"/>
              <w:rPr>
                <w:rFonts w:eastAsia="Times New Roman"/>
                <w:noProof/>
              </w:rPr>
            </w:pPr>
            <w:r>
              <w:rPr>
                <w:noProof/>
              </w:rPr>
              <w:t>Prakse obiteljskih liječnika ili udruga za pružanje primarne skrbi koje su opremljene ili obnovljene, pri čemu se prednost daje praksama koje se nalaze u</w:t>
            </w:r>
            <w:r>
              <w:rPr>
                <w:noProof/>
              </w:rPr>
              <w:t xml:space="preserve"> marginaliziranim regijama i općinama</w:t>
            </w:r>
          </w:p>
        </w:tc>
      </w:tr>
      <w:tr w:rsidR="003F46B9" w14:paraId="00C57CC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9EB0FD" w14:textId="77777777" w:rsidR="003F46B9" w:rsidRDefault="0065662E">
            <w:pPr>
              <w:pStyle w:val="P68B1DB1-Normal35"/>
              <w:spacing w:after="0"/>
              <w:jc w:val="center"/>
              <w:rPr>
                <w:rFonts w:eastAsia="Times New Roman"/>
                <w:noProof/>
              </w:rPr>
            </w:pPr>
            <w:r>
              <w:rPr>
                <w:noProof/>
              </w:rPr>
              <w:t>368</w:t>
            </w:r>
          </w:p>
        </w:tc>
        <w:tc>
          <w:tcPr>
            <w:tcW w:w="3544" w:type="dxa"/>
            <w:tcBorders>
              <w:top w:val="nil"/>
              <w:left w:val="nil"/>
              <w:bottom w:val="single" w:sz="4" w:space="0" w:color="auto"/>
              <w:right w:val="single" w:sz="4" w:space="0" w:color="auto"/>
            </w:tcBorders>
            <w:shd w:val="clear" w:color="auto" w:fill="C6EFCE"/>
            <w:noWrap/>
          </w:tcPr>
          <w:p w14:paraId="79F87B66" w14:textId="77777777" w:rsidR="003F46B9" w:rsidRDefault="0065662E">
            <w:pPr>
              <w:pStyle w:val="P68B1DB1-Normal35"/>
              <w:spacing w:after="0"/>
              <w:jc w:val="both"/>
              <w:rPr>
                <w:noProof/>
              </w:rPr>
            </w:pPr>
            <w:r>
              <w:rPr>
                <w:noProof/>
              </w:rPr>
              <w:t>C12.I1</w:t>
            </w:r>
          </w:p>
          <w:p w14:paraId="4CA2FFAD" w14:textId="77777777" w:rsidR="003F46B9" w:rsidRDefault="0065662E">
            <w:pPr>
              <w:pStyle w:val="P68B1DB1-Normal35"/>
              <w:spacing w:after="0"/>
              <w:jc w:val="both"/>
              <w:rPr>
                <w:rFonts w:eastAsia="Times New Roman"/>
                <w:noProof/>
              </w:rPr>
            </w:pPr>
            <w:r>
              <w:rPr>
                <w:noProof/>
              </w:rPr>
              <w:t>Razvoj pretbolničke medicinske infrastrukture</w:t>
            </w:r>
          </w:p>
        </w:tc>
        <w:tc>
          <w:tcPr>
            <w:tcW w:w="1275" w:type="dxa"/>
            <w:tcBorders>
              <w:top w:val="nil"/>
              <w:left w:val="nil"/>
              <w:bottom w:val="single" w:sz="4" w:space="0" w:color="auto"/>
              <w:right w:val="single" w:sz="4" w:space="0" w:color="auto"/>
            </w:tcBorders>
            <w:shd w:val="clear" w:color="auto" w:fill="C6EFCE"/>
            <w:noWrap/>
          </w:tcPr>
          <w:p w14:paraId="243760FF"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B90E59C" w14:textId="77777777" w:rsidR="003F46B9" w:rsidRDefault="0065662E">
            <w:pPr>
              <w:pStyle w:val="P68B1DB1-Normal35"/>
              <w:spacing w:after="0"/>
              <w:jc w:val="both"/>
              <w:rPr>
                <w:rFonts w:eastAsia="Times New Roman"/>
                <w:noProof/>
              </w:rPr>
            </w:pPr>
            <w:r>
              <w:rPr>
                <w:noProof/>
              </w:rPr>
              <w:t xml:space="preserve">Mobilne medicinske jedinice opremljene za probir raka dojke i vrata maternice </w:t>
            </w:r>
          </w:p>
        </w:tc>
      </w:tr>
      <w:tr w:rsidR="003F46B9" w14:paraId="404776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4F7498" w14:textId="77777777" w:rsidR="003F46B9" w:rsidRDefault="0065662E">
            <w:pPr>
              <w:pStyle w:val="P68B1DB1-Normal35"/>
              <w:spacing w:after="0"/>
              <w:jc w:val="center"/>
              <w:rPr>
                <w:rFonts w:eastAsia="Times New Roman"/>
                <w:noProof/>
              </w:rPr>
            </w:pPr>
            <w:r>
              <w:rPr>
                <w:noProof/>
              </w:rPr>
              <w:t>393</w:t>
            </w:r>
          </w:p>
        </w:tc>
        <w:tc>
          <w:tcPr>
            <w:tcW w:w="3544" w:type="dxa"/>
            <w:tcBorders>
              <w:top w:val="nil"/>
              <w:left w:val="nil"/>
              <w:bottom w:val="single" w:sz="4" w:space="0" w:color="auto"/>
              <w:right w:val="single" w:sz="4" w:space="0" w:color="auto"/>
            </w:tcBorders>
            <w:shd w:val="clear" w:color="auto" w:fill="C6EFCE"/>
            <w:noWrap/>
          </w:tcPr>
          <w:p w14:paraId="0A38B075" w14:textId="77777777" w:rsidR="003F46B9" w:rsidRDefault="0065662E">
            <w:pPr>
              <w:pStyle w:val="P68B1DB1-Normal35"/>
              <w:spacing w:after="0"/>
              <w:jc w:val="both"/>
              <w:rPr>
                <w:noProof/>
              </w:rPr>
            </w:pPr>
            <w:r>
              <w:rPr>
                <w:noProof/>
              </w:rPr>
              <w:t>C13. I1</w:t>
            </w:r>
          </w:p>
          <w:p w14:paraId="3BD63130" w14:textId="77777777" w:rsidR="003F46B9" w:rsidRDefault="0065662E">
            <w:pPr>
              <w:pStyle w:val="P68B1DB1-Normal35"/>
              <w:spacing w:after="0" w:line="240" w:lineRule="auto"/>
              <w:jc w:val="both"/>
              <w:rPr>
                <w:noProof/>
              </w:rPr>
            </w:pPr>
            <w:r>
              <w:rPr>
                <w:noProof/>
              </w:rPr>
              <w:t>Stvaranje mreže dnevnih centara za djecu kojoj prijeti odvajanje</w:t>
            </w:r>
          </w:p>
          <w:p w14:paraId="2329D4DF" w14:textId="77777777" w:rsidR="003F46B9" w:rsidRDefault="003F46B9">
            <w:pPr>
              <w:spacing w:after="0"/>
              <w:jc w:val="both"/>
              <w:rPr>
                <w:rFonts w:ascii="Times New Roman" w:eastAsia="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16D82351"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CCF85A8" w14:textId="77777777" w:rsidR="003F46B9" w:rsidRDefault="0065662E">
            <w:pPr>
              <w:pStyle w:val="P68B1DB1-Normal35"/>
              <w:spacing w:after="0"/>
              <w:jc w:val="both"/>
              <w:rPr>
                <w:rFonts w:eastAsia="Times New Roman"/>
                <w:noProof/>
              </w:rPr>
            </w:pPr>
            <w:r>
              <w:rPr>
                <w:noProof/>
              </w:rPr>
              <w:t>Pružanje mapiranja potreba, dostupnih usluga i infrastrukturnih objekata za djecu kojoj prijeti rizik od odvajanja od obitelji, posebno u ranjivim zajednicama</w:t>
            </w:r>
          </w:p>
        </w:tc>
      </w:tr>
      <w:tr w:rsidR="003F46B9" w14:paraId="5584CCD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A60246" w14:textId="77777777" w:rsidR="003F46B9" w:rsidRDefault="0065662E">
            <w:pPr>
              <w:pStyle w:val="P68B1DB1-Normal35"/>
              <w:spacing w:after="0"/>
              <w:jc w:val="center"/>
              <w:rPr>
                <w:rFonts w:eastAsia="Times New Roman"/>
                <w:noProof/>
              </w:rPr>
            </w:pPr>
            <w:r>
              <w:rPr>
                <w:noProof/>
              </w:rPr>
              <w:t>402</w:t>
            </w:r>
          </w:p>
        </w:tc>
        <w:tc>
          <w:tcPr>
            <w:tcW w:w="3544" w:type="dxa"/>
            <w:tcBorders>
              <w:top w:val="nil"/>
              <w:left w:val="nil"/>
              <w:bottom w:val="single" w:sz="4" w:space="0" w:color="auto"/>
              <w:right w:val="single" w:sz="4" w:space="0" w:color="auto"/>
            </w:tcBorders>
            <w:shd w:val="clear" w:color="auto" w:fill="C6EFCE"/>
            <w:noWrap/>
          </w:tcPr>
          <w:p w14:paraId="4BB202CF" w14:textId="77777777" w:rsidR="003F46B9" w:rsidRDefault="0065662E">
            <w:pPr>
              <w:pStyle w:val="P68B1DB1-Normal35"/>
              <w:spacing w:after="0"/>
              <w:jc w:val="both"/>
              <w:rPr>
                <w:noProof/>
              </w:rPr>
            </w:pPr>
            <w:r>
              <w:rPr>
                <w:noProof/>
              </w:rPr>
              <w:t>C14.R1</w:t>
            </w:r>
          </w:p>
          <w:p w14:paraId="07228EB4" w14:textId="77777777" w:rsidR="003F46B9" w:rsidRDefault="0065662E">
            <w:pPr>
              <w:pStyle w:val="P68B1DB1-Normal35"/>
              <w:spacing w:after="0"/>
              <w:jc w:val="both"/>
              <w:rPr>
                <w:rFonts w:eastAsia="Times New Roman"/>
                <w:noProof/>
              </w:rPr>
            </w:pPr>
            <w:r>
              <w:rPr>
                <w:noProof/>
              </w:rPr>
              <w:t>Povećanje predvidljivosti i učinkovitosti postupaka donošenja odluka jačanjem kapac</w:t>
            </w:r>
            <w:r>
              <w:rPr>
                <w:noProof/>
              </w:rPr>
              <w:t>iteta za koordinaciju politika i analizu učinka na razini vlade i koordinacijskih ministarstava te jačanjem alata za povećanje kvalitete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53C9382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97C02D0" w14:textId="77777777" w:rsidR="003F46B9" w:rsidRDefault="0065662E">
            <w:pPr>
              <w:pStyle w:val="P68B1DB1-Normal35"/>
              <w:spacing w:after="0"/>
              <w:jc w:val="both"/>
              <w:rPr>
                <w:rFonts w:eastAsia="Times New Roman"/>
                <w:noProof/>
              </w:rPr>
            </w:pPr>
            <w:r>
              <w:rPr>
                <w:noProof/>
              </w:rPr>
              <w:t xml:space="preserve">U svim ministarstvima operativan je novi sustav strateškog upravljanja i </w:t>
            </w:r>
            <w:r>
              <w:rPr>
                <w:noProof/>
              </w:rPr>
              <w:t xml:space="preserve">strateškog planiranja </w:t>
            </w:r>
          </w:p>
        </w:tc>
      </w:tr>
      <w:tr w:rsidR="003F46B9" w14:paraId="7552C4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B22CF0" w14:textId="77777777" w:rsidR="003F46B9" w:rsidRDefault="0065662E">
            <w:pPr>
              <w:pStyle w:val="P68B1DB1-Normal35"/>
              <w:spacing w:after="0"/>
              <w:jc w:val="center"/>
              <w:rPr>
                <w:rFonts w:eastAsia="Times New Roman"/>
                <w:noProof/>
              </w:rPr>
            </w:pPr>
            <w:r>
              <w:rPr>
                <w:noProof/>
              </w:rPr>
              <w:t>416</w:t>
            </w:r>
          </w:p>
        </w:tc>
        <w:tc>
          <w:tcPr>
            <w:tcW w:w="3544" w:type="dxa"/>
            <w:tcBorders>
              <w:top w:val="nil"/>
              <w:left w:val="nil"/>
              <w:bottom w:val="single" w:sz="4" w:space="0" w:color="auto"/>
              <w:right w:val="single" w:sz="4" w:space="0" w:color="auto"/>
            </w:tcBorders>
            <w:shd w:val="clear" w:color="auto" w:fill="C6EFCE"/>
            <w:noWrap/>
          </w:tcPr>
          <w:p w14:paraId="6872EA2C" w14:textId="77777777" w:rsidR="003F46B9" w:rsidRDefault="0065662E">
            <w:pPr>
              <w:pStyle w:val="P68B1DB1-Normal35"/>
              <w:spacing w:after="0"/>
              <w:jc w:val="both"/>
              <w:rPr>
                <w:noProof/>
              </w:rPr>
            </w:pPr>
            <w:r>
              <w:rPr>
                <w:noProof/>
              </w:rPr>
              <w:t>C14.R3</w:t>
            </w:r>
          </w:p>
          <w:p w14:paraId="1B8E84E9" w14:textId="77777777" w:rsidR="003F46B9" w:rsidRDefault="0065662E">
            <w:pPr>
              <w:pStyle w:val="P68B1DB1-Normal35"/>
              <w:spacing w:after="0"/>
              <w:jc w:val="both"/>
              <w:rPr>
                <w:rFonts w:eastAsia="Times New Roman"/>
                <w:noProof/>
              </w:rPr>
            </w:pPr>
            <w:r>
              <w:rPr>
                <w:noProof/>
              </w:rPr>
              <w:t>Razvoj uspješnosti upravljanja ljudskim resursima u javnom sektoru</w:t>
            </w:r>
          </w:p>
        </w:tc>
        <w:tc>
          <w:tcPr>
            <w:tcW w:w="1275" w:type="dxa"/>
            <w:tcBorders>
              <w:top w:val="nil"/>
              <w:left w:val="nil"/>
              <w:bottom w:val="single" w:sz="4" w:space="0" w:color="auto"/>
              <w:right w:val="single" w:sz="4" w:space="0" w:color="auto"/>
            </w:tcBorders>
            <w:shd w:val="clear" w:color="auto" w:fill="C6EFCE"/>
            <w:noWrap/>
          </w:tcPr>
          <w:p w14:paraId="458D99D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453939C" w14:textId="77777777" w:rsidR="003F46B9" w:rsidRDefault="0065662E">
            <w:pPr>
              <w:pStyle w:val="P68B1DB1-Normal35"/>
              <w:spacing w:after="0"/>
              <w:jc w:val="both"/>
              <w:rPr>
                <w:rFonts w:eastAsia="Times New Roman"/>
                <w:noProof/>
              </w:rPr>
            </w:pPr>
            <w:r>
              <w:rPr>
                <w:noProof/>
              </w:rPr>
              <w:t>Ex post analiza (pilot) nacionalnog natječaja za odabir dviju kategorija javnih službi u središnjoj upravi</w:t>
            </w:r>
          </w:p>
        </w:tc>
      </w:tr>
      <w:tr w:rsidR="003F46B9" w14:paraId="01261E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A9318" w14:textId="77777777" w:rsidR="003F46B9" w:rsidRDefault="0065662E">
            <w:pPr>
              <w:pStyle w:val="P68B1DB1-Normal35"/>
              <w:spacing w:after="0"/>
              <w:jc w:val="center"/>
              <w:rPr>
                <w:rFonts w:eastAsia="Times New Roman"/>
                <w:noProof/>
              </w:rPr>
            </w:pPr>
            <w:r>
              <w:rPr>
                <w:noProof/>
              </w:rPr>
              <w:t>420</w:t>
            </w:r>
          </w:p>
        </w:tc>
        <w:tc>
          <w:tcPr>
            <w:tcW w:w="3544" w:type="dxa"/>
            <w:tcBorders>
              <w:top w:val="nil"/>
              <w:left w:val="nil"/>
              <w:bottom w:val="single" w:sz="4" w:space="0" w:color="auto"/>
              <w:right w:val="single" w:sz="4" w:space="0" w:color="auto"/>
            </w:tcBorders>
            <w:shd w:val="clear" w:color="auto" w:fill="C6EFCE"/>
            <w:noWrap/>
          </w:tcPr>
          <w:p w14:paraId="44C9BA17" w14:textId="77777777" w:rsidR="003F46B9" w:rsidRDefault="0065662E">
            <w:pPr>
              <w:pStyle w:val="P68B1DB1-Normal35"/>
              <w:spacing w:after="0"/>
              <w:jc w:val="both"/>
              <w:rPr>
                <w:noProof/>
              </w:rPr>
            </w:pPr>
            <w:r>
              <w:rPr>
                <w:noProof/>
              </w:rPr>
              <w:t>C14.R4</w:t>
            </w:r>
          </w:p>
          <w:p w14:paraId="09F4CAF1" w14:textId="77777777" w:rsidR="003F46B9" w:rsidRDefault="0065662E">
            <w:pPr>
              <w:pStyle w:val="P68B1DB1-Normal35"/>
              <w:spacing w:after="0"/>
              <w:jc w:val="both"/>
              <w:rPr>
                <w:rFonts w:eastAsia="Times New Roman"/>
                <w:noProof/>
              </w:rPr>
            </w:pPr>
            <w:r>
              <w:rPr>
                <w:noProof/>
              </w:rPr>
              <w:t xml:space="preserve">Razvoj pravednog sustava </w:t>
            </w:r>
            <w:r>
              <w:rPr>
                <w:noProof/>
              </w:rPr>
              <w:t>jedinstvenih plaća u javnom sektoru</w:t>
            </w:r>
          </w:p>
        </w:tc>
        <w:tc>
          <w:tcPr>
            <w:tcW w:w="1275" w:type="dxa"/>
            <w:tcBorders>
              <w:top w:val="nil"/>
              <w:left w:val="nil"/>
              <w:bottom w:val="single" w:sz="4" w:space="0" w:color="auto"/>
              <w:right w:val="single" w:sz="4" w:space="0" w:color="auto"/>
            </w:tcBorders>
            <w:shd w:val="clear" w:color="auto" w:fill="C6EFCE"/>
            <w:noWrap/>
          </w:tcPr>
          <w:p w14:paraId="0F1A371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BBF9E3A" w14:textId="0248F00A" w:rsidR="003F46B9" w:rsidRDefault="0065662E">
            <w:pPr>
              <w:pStyle w:val="P68B1DB1-Normal35"/>
              <w:spacing w:after="0"/>
              <w:jc w:val="both"/>
              <w:rPr>
                <w:rFonts w:eastAsia="Times New Roman"/>
                <w:noProof/>
              </w:rPr>
            </w:pPr>
            <w:r>
              <w:rPr>
                <w:noProof/>
              </w:rPr>
              <w:t xml:space="preserve">Stupanje na snagu novog pravnog okvira o plaćama državnih službenika </w:t>
            </w:r>
          </w:p>
        </w:tc>
      </w:tr>
      <w:tr w:rsidR="003F46B9" w14:paraId="6AAC35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E6B9DC3" w14:textId="77777777" w:rsidR="003F46B9" w:rsidRDefault="0065662E">
            <w:pPr>
              <w:pStyle w:val="P68B1DB1-Normal35"/>
              <w:spacing w:after="0"/>
              <w:jc w:val="center"/>
              <w:rPr>
                <w:rFonts w:eastAsia="Times New Roman"/>
                <w:noProof/>
              </w:rPr>
            </w:pPr>
            <w:r>
              <w:rPr>
                <w:noProof/>
              </w:rPr>
              <w:t>423</w:t>
            </w:r>
          </w:p>
        </w:tc>
        <w:tc>
          <w:tcPr>
            <w:tcW w:w="3544" w:type="dxa"/>
            <w:tcBorders>
              <w:top w:val="nil"/>
              <w:left w:val="nil"/>
              <w:bottom w:val="single" w:sz="4" w:space="0" w:color="auto"/>
              <w:right w:val="single" w:sz="4" w:space="0" w:color="auto"/>
            </w:tcBorders>
            <w:shd w:val="clear" w:color="auto" w:fill="C6EFCE"/>
            <w:noWrap/>
          </w:tcPr>
          <w:p w14:paraId="71901635" w14:textId="77777777" w:rsidR="003F46B9" w:rsidRDefault="0065662E">
            <w:pPr>
              <w:pStyle w:val="P68B1DB1-Normal35"/>
              <w:spacing w:after="0"/>
              <w:jc w:val="both"/>
              <w:rPr>
                <w:noProof/>
              </w:rPr>
            </w:pPr>
            <w:r>
              <w:rPr>
                <w:noProof/>
              </w:rPr>
              <w:t>C14.R5</w:t>
            </w:r>
          </w:p>
          <w:p w14:paraId="3FB0E8D3" w14:textId="77777777" w:rsidR="003F46B9" w:rsidRDefault="0065662E">
            <w:pPr>
              <w:pStyle w:val="P68B1DB1-Normal35"/>
              <w:spacing w:after="0"/>
              <w:jc w:val="both"/>
              <w:rPr>
                <w:rFonts w:eastAsia="Times New Roman"/>
                <w:noProof/>
              </w:rPr>
            </w:pPr>
            <w:r>
              <w:rPr>
                <w:noProof/>
              </w:rPr>
              <w:t>Osiguravanje neovisnosti pravosuđa, poboljšanje njegove kvalitete i učinkovitosti</w:t>
            </w:r>
          </w:p>
        </w:tc>
        <w:tc>
          <w:tcPr>
            <w:tcW w:w="1275" w:type="dxa"/>
            <w:tcBorders>
              <w:top w:val="nil"/>
              <w:left w:val="nil"/>
              <w:bottom w:val="single" w:sz="4" w:space="0" w:color="auto"/>
              <w:right w:val="single" w:sz="4" w:space="0" w:color="auto"/>
            </w:tcBorders>
            <w:shd w:val="clear" w:color="auto" w:fill="C6EFCE"/>
            <w:noWrap/>
          </w:tcPr>
          <w:p w14:paraId="00E0C8B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A81A538" w14:textId="77777777" w:rsidR="003F46B9" w:rsidRDefault="0065662E">
            <w:pPr>
              <w:pStyle w:val="P68B1DB1-Normal35"/>
              <w:spacing w:after="0"/>
              <w:jc w:val="both"/>
              <w:rPr>
                <w:rFonts w:eastAsia="Times New Roman"/>
                <w:noProof/>
              </w:rPr>
            </w:pPr>
            <w:r>
              <w:rPr>
                <w:noProof/>
              </w:rPr>
              <w:t>Stupanje na snagu „zakona o pravosuđu” (zakoni o sta</w:t>
            </w:r>
            <w:r>
              <w:rPr>
                <w:noProof/>
              </w:rPr>
              <w:t>tusu sudaca, pravosudnoj organizaciji, Vrhovnom sudskom vijeću)</w:t>
            </w:r>
          </w:p>
        </w:tc>
      </w:tr>
      <w:tr w:rsidR="003F46B9" w14:paraId="0F3D7E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97EFD4" w14:textId="77777777" w:rsidR="003F46B9" w:rsidRDefault="0065662E">
            <w:pPr>
              <w:pStyle w:val="P68B1DB1-Normal35"/>
              <w:spacing w:after="0"/>
              <w:jc w:val="center"/>
              <w:rPr>
                <w:rFonts w:eastAsia="Times New Roman"/>
                <w:noProof/>
              </w:rPr>
            </w:pPr>
            <w:r>
              <w:rPr>
                <w:noProof/>
              </w:rPr>
              <w:t>429</w:t>
            </w:r>
          </w:p>
        </w:tc>
        <w:tc>
          <w:tcPr>
            <w:tcW w:w="3544" w:type="dxa"/>
            <w:tcBorders>
              <w:top w:val="nil"/>
              <w:left w:val="nil"/>
              <w:bottom w:val="single" w:sz="4" w:space="0" w:color="auto"/>
              <w:right w:val="single" w:sz="4" w:space="0" w:color="auto"/>
            </w:tcBorders>
            <w:shd w:val="clear" w:color="auto" w:fill="C6EFCE"/>
            <w:noWrap/>
          </w:tcPr>
          <w:p w14:paraId="3ED87E5E" w14:textId="77777777" w:rsidR="003F46B9" w:rsidRDefault="0065662E">
            <w:pPr>
              <w:pStyle w:val="P68B1DB1-Normal35"/>
              <w:spacing w:after="0"/>
              <w:jc w:val="both"/>
              <w:rPr>
                <w:noProof/>
              </w:rPr>
            </w:pPr>
            <w:r>
              <w:rPr>
                <w:noProof/>
              </w:rPr>
              <w:t>C14.R6</w:t>
            </w:r>
          </w:p>
          <w:p w14:paraId="1274BAC9" w14:textId="77777777" w:rsidR="003F46B9" w:rsidRDefault="0065662E">
            <w:pPr>
              <w:pStyle w:val="P68B1DB1-Normal35"/>
              <w:spacing w:after="0"/>
              <w:jc w:val="both"/>
              <w:rPr>
                <w:rFonts w:eastAsia="Times New Roman"/>
                <w:noProof/>
              </w:rPr>
            </w:pPr>
            <w:r>
              <w:rPr>
                <w:noProof/>
              </w:rPr>
              <w:t xml:space="preserve">Jačanje borbe protiv korupcije </w:t>
            </w:r>
          </w:p>
        </w:tc>
        <w:tc>
          <w:tcPr>
            <w:tcW w:w="1275" w:type="dxa"/>
            <w:tcBorders>
              <w:top w:val="nil"/>
              <w:left w:val="nil"/>
              <w:bottom w:val="single" w:sz="4" w:space="0" w:color="auto"/>
              <w:right w:val="single" w:sz="4" w:space="0" w:color="auto"/>
            </w:tcBorders>
            <w:shd w:val="clear" w:color="auto" w:fill="C6EFCE"/>
            <w:noWrap/>
          </w:tcPr>
          <w:p w14:paraId="232E744F"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830B285" w14:textId="77777777" w:rsidR="003F46B9" w:rsidRDefault="0065662E">
            <w:pPr>
              <w:pStyle w:val="P68B1DB1-Normal35"/>
              <w:spacing w:after="0"/>
              <w:jc w:val="both"/>
              <w:rPr>
                <w:rFonts w:eastAsia="Times New Roman"/>
                <w:noProof/>
              </w:rPr>
            </w:pPr>
            <w:r>
              <w:rPr>
                <w:noProof/>
              </w:rPr>
              <w:t xml:space="preserve">Stopa popunjenosti radnih mjesta tužitelja u Nacionalnoj upravi za borbu protiv korupcije od 85 % </w:t>
            </w:r>
          </w:p>
        </w:tc>
      </w:tr>
      <w:tr w:rsidR="003F46B9" w14:paraId="18BB87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2B84DD" w14:textId="77777777" w:rsidR="003F46B9" w:rsidRDefault="0065662E">
            <w:pPr>
              <w:pStyle w:val="P68B1DB1-Normal35"/>
              <w:spacing w:after="0"/>
              <w:jc w:val="center"/>
              <w:rPr>
                <w:rFonts w:eastAsia="Times New Roman"/>
                <w:noProof/>
              </w:rPr>
            </w:pPr>
            <w:r>
              <w:rPr>
                <w:noProof/>
              </w:rPr>
              <w:t>434</w:t>
            </w:r>
          </w:p>
        </w:tc>
        <w:tc>
          <w:tcPr>
            <w:tcW w:w="3544" w:type="dxa"/>
            <w:tcBorders>
              <w:top w:val="nil"/>
              <w:left w:val="nil"/>
              <w:bottom w:val="single" w:sz="4" w:space="0" w:color="auto"/>
              <w:right w:val="single" w:sz="4" w:space="0" w:color="auto"/>
            </w:tcBorders>
            <w:shd w:val="clear" w:color="auto" w:fill="C6EFCE"/>
            <w:noWrap/>
          </w:tcPr>
          <w:p w14:paraId="3194F63E" w14:textId="77777777" w:rsidR="003F46B9" w:rsidRDefault="0065662E">
            <w:pPr>
              <w:pStyle w:val="P68B1DB1-Normal35"/>
              <w:spacing w:after="0"/>
              <w:jc w:val="both"/>
              <w:rPr>
                <w:noProof/>
              </w:rPr>
            </w:pPr>
            <w:r>
              <w:rPr>
                <w:noProof/>
              </w:rPr>
              <w:t>C14.R8</w:t>
            </w:r>
          </w:p>
          <w:p w14:paraId="3AB767D7" w14:textId="77777777" w:rsidR="003F46B9" w:rsidRDefault="0065662E">
            <w:pPr>
              <w:pStyle w:val="P68B1DB1-Normal35"/>
              <w:spacing w:after="0"/>
              <w:jc w:val="both"/>
              <w:rPr>
                <w:rFonts w:eastAsia="Times New Roman"/>
                <w:noProof/>
              </w:rPr>
            </w:pPr>
            <w:r>
              <w:rPr>
                <w:noProof/>
              </w:rPr>
              <w:t xml:space="preserve">Reforma nacionalnog sustava javne </w:t>
            </w:r>
            <w:r>
              <w:rPr>
                <w:noProof/>
              </w:rPr>
              <w:t>nabave</w:t>
            </w:r>
          </w:p>
        </w:tc>
        <w:tc>
          <w:tcPr>
            <w:tcW w:w="1275" w:type="dxa"/>
            <w:tcBorders>
              <w:top w:val="nil"/>
              <w:left w:val="nil"/>
              <w:bottom w:val="single" w:sz="4" w:space="0" w:color="auto"/>
              <w:right w:val="single" w:sz="4" w:space="0" w:color="auto"/>
            </w:tcBorders>
            <w:shd w:val="clear" w:color="auto" w:fill="C6EFCE"/>
            <w:noWrap/>
          </w:tcPr>
          <w:p w14:paraId="2917693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22D239A" w14:textId="77777777" w:rsidR="003F46B9" w:rsidRDefault="0065662E">
            <w:pPr>
              <w:pStyle w:val="P68B1DB1-Normal35"/>
              <w:spacing w:after="0"/>
              <w:jc w:val="both"/>
              <w:rPr>
                <w:rFonts w:eastAsia="Times New Roman"/>
                <w:noProof/>
              </w:rPr>
            </w:pPr>
            <w:r>
              <w:rPr>
                <w:noProof/>
              </w:rPr>
              <w:t xml:space="preserve">Stupanje na snagu strategije javne nabave, uključujući horizontalne mjere za potporu provedbi nacionalnog plana za oporavak i otpornost </w:t>
            </w:r>
          </w:p>
        </w:tc>
      </w:tr>
      <w:tr w:rsidR="003F46B9" w14:paraId="441D0A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4F5700" w14:textId="77777777" w:rsidR="003F46B9" w:rsidRDefault="0065662E">
            <w:pPr>
              <w:pStyle w:val="P68B1DB1-Normal35"/>
              <w:spacing w:after="0"/>
              <w:jc w:val="center"/>
              <w:rPr>
                <w:noProof/>
              </w:rPr>
            </w:pPr>
            <w:r>
              <w:rPr>
                <w:noProof/>
              </w:rPr>
              <w:t>441</w:t>
            </w:r>
          </w:p>
        </w:tc>
        <w:tc>
          <w:tcPr>
            <w:tcW w:w="3544" w:type="dxa"/>
            <w:tcBorders>
              <w:top w:val="nil"/>
              <w:left w:val="nil"/>
              <w:bottom w:val="single" w:sz="4" w:space="0" w:color="auto"/>
              <w:right w:val="single" w:sz="4" w:space="0" w:color="auto"/>
            </w:tcBorders>
            <w:shd w:val="clear" w:color="auto" w:fill="C6EFCE"/>
            <w:noWrap/>
          </w:tcPr>
          <w:p w14:paraId="17C9833A" w14:textId="77777777" w:rsidR="003F46B9" w:rsidRDefault="0065662E">
            <w:pPr>
              <w:pStyle w:val="P68B1DB1-Normal35"/>
              <w:spacing w:after="0"/>
              <w:jc w:val="both"/>
              <w:rPr>
                <w:noProof/>
              </w:rPr>
            </w:pPr>
            <w:r>
              <w:rPr>
                <w:noProof/>
              </w:rPr>
              <w:t>C14.R9</w:t>
            </w:r>
          </w:p>
          <w:p w14:paraId="28BC1506" w14:textId="77777777" w:rsidR="003F46B9" w:rsidRDefault="0065662E">
            <w:pPr>
              <w:pStyle w:val="P68B1DB1-Normal35"/>
              <w:spacing w:after="0"/>
              <w:jc w:val="both"/>
              <w:rPr>
                <w:noProof/>
              </w:rPr>
            </w:pPr>
            <w:r>
              <w:rPr>
                <w:noProof/>
              </w:rPr>
              <w:t xml:space="preserve">Poboljšati postupovni okvir za provedbu načela korporativnog upravljanja u poduzećima u državnom </w:t>
            </w:r>
            <w:r>
              <w:rPr>
                <w:noProof/>
              </w:rPr>
              <w:t>vlasništvu</w:t>
            </w:r>
          </w:p>
        </w:tc>
        <w:tc>
          <w:tcPr>
            <w:tcW w:w="1275" w:type="dxa"/>
            <w:tcBorders>
              <w:top w:val="nil"/>
              <w:left w:val="nil"/>
              <w:bottom w:val="single" w:sz="4" w:space="0" w:color="auto"/>
              <w:right w:val="single" w:sz="4" w:space="0" w:color="auto"/>
            </w:tcBorders>
            <w:shd w:val="clear" w:color="auto" w:fill="C6EFCE"/>
            <w:noWrap/>
          </w:tcPr>
          <w:p w14:paraId="527F4F8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1C0C9E" w14:textId="63234AE7" w:rsidR="003F46B9" w:rsidRDefault="0065662E">
            <w:pPr>
              <w:pStyle w:val="P68B1DB1-Normal35"/>
              <w:spacing w:after="0"/>
              <w:jc w:val="both"/>
              <w:rPr>
                <w:noProof/>
              </w:rPr>
            </w:pPr>
            <w:r>
              <w:rPr>
                <w:noProof/>
              </w:rPr>
              <w:t xml:space="preserve">Objava pregleda pokazatelja za praćenje s financijskim i nefinancijskim ciljevima i pokazateljima uspješnosti za sve kategorije javnih poduzeća (uključujući ključne sektore kao što su promet, energetika, komunalne usluge) </w:t>
            </w:r>
          </w:p>
        </w:tc>
      </w:tr>
      <w:tr w:rsidR="003F46B9" w14:paraId="6E360AD0"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1141F166"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29D67D8B"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249B0CC6"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B45C226" w14:textId="3D7855BE" w:rsidR="003F46B9" w:rsidRDefault="0065662E">
            <w:pPr>
              <w:pStyle w:val="P68B1DB1-Normal36"/>
              <w:spacing w:after="0"/>
              <w:jc w:val="right"/>
              <w:rPr>
                <w:noProof/>
              </w:rPr>
            </w:pPr>
            <w:r>
              <w:rPr>
                <w:noProof/>
              </w:rPr>
              <w:t>1003031904 EURA</w:t>
            </w:r>
          </w:p>
        </w:tc>
      </w:tr>
    </w:tbl>
    <w:p w14:paraId="2A49B3B1" w14:textId="77777777" w:rsidR="003F46B9" w:rsidRDefault="003F46B9">
      <w:pPr>
        <w:pStyle w:val="NumPar2"/>
        <w:tabs>
          <w:tab w:val="clear" w:pos="850"/>
        </w:tabs>
        <w:ind w:firstLine="0"/>
        <w:rPr>
          <w:noProof/>
          <w:sz w:val="22"/>
        </w:rPr>
        <w:sectPr w:rsidR="003F46B9" w:rsidSect="00CA23DD">
          <w:headerReference w:type="even" r:id="rId349"/>
          <w:headerReference w:type="default" r:id="rId350"/>
          <w:footerReference w:type="even" r:id="rId351"/>
          <w:footerReference w:type="default" r:id="rId352"/>
          <w:headerReference w:type="first" r:id="rId353"/>
          <w:footerReference w:type="first" r:id="rId354"/>
          <w:pgSz w:w="12240" w:h="15840" w:code="1"/>
          <w:pgMar w:top="1440" w:right="1440" w:bottom="1440" w:left="1440" w:header="720" w:footer="720" w:gutter="0"/>
          <w:cols w:space="720"/>
          <w:docGrid w:linePitch="360"/>
        </w:sectPr>
      </w:pPr>
    </w:p>
    <w:p w14:paraId="687F56F4" w14:textId="77777777" w:rsidR="003F46B9" w:rsidRDefault="0065662E">
      <w:pPr>
        <w:pStyle w:val="Heading3"/>
        <w:rPr>
          <w:noProof/>
        </w:rPr>
      </w:pPr>
      <w:r>
        <w:rPr>
          <w:noProof/>
        </w:rPr>
        <w:t xml:space="preserve">Peti obrok (bespovratna potpora): </w:t>
      </w:r>
    </w:p>
    <w:tbl>
      <w:tblPr>
        <w:tblW w:w="9634" w:type="dxa"/>
        <w:tblInd w:w="113" w:type="dxa"/>
        <w:tblLook w:val="04A0" w:firstRow="1" w:lastRow="0" w:firstColumn="1" w:lastColumn="0" w:noHBand="0" w:noVBand="1"/>
      </w:tblPr>
      <w:tblGrid>
        <w:gridCol w:w="1413"/>
        <w:gridCol w:w="3544"/>
        <w:gridCol w:w="1316"/>
        <w:gridCol w:w="3402"/>
      </w:tblGrid>
      <w:tr w:rsidR="003F46B9" w14:paraId="538F89AD"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37BDAE"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D74C3C2" w14:textId="77777777" w:rsidR="003F46B9" w:rsidRDefault="0065662E">
            <w:pPr>
              <w:pStyle w:val="P68B1DB1-Normal34"/>
              <w:spacing w:after="0"/>
              <w:jc w:val="center"/>
              <w:rPr>
                <w:noProof/>
              </w:rPr>
            </w:pPr>
            <w:r>
              <w:rPr>
                <w:noProof/>
              </w:rPr>
              <w:t>Povezana mjera</w:t>
            </w:r>
          </w:p>
          <w:p w14:paraId="5386B394"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1A42741"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182D76F" w14:textId="77777777" w:rsidR="003F46B9" w:rsidRDefault="0065662E">
            <w:pPr>
              <w:pStyle w:val="P68B1DB1-Normal34"/>
              <w:spacing w:after="0"/>
              <w:jc w:val="center"/>
              <w:rPr>
                <w:noProof/>
              </w:rPr>
            </w:pPr>
            <w:r>
              <w:rPr>
                <w:noProof/>
              </w:rPr>
              <w:t>Ime</w:t>
            </w:r>
          </w:p>
        </w:tc>
      </w:tr>
      <w:tr w:rsidR="003F46B9" w14:paraId="2CF2B3BB"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4A18F35"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4FFCA89"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64099AEC"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5F892F91" w14:textId="77777777" w:rsidR="003F46B9" w:rsidRDefault="003F46B9">
            <w:pPr>
              <w:spacing w:after="0"/>
              <w:jc w:val="both"/>
              <w:rPr>
                <w:rFonts w:ascii="Times New Roman" w:eastAsia="Times New Roman" w:hAnsi="Times New Roman" w:cs="Times New Roman"/>
                <w:b/>
                <w:noProof/>
              </w:rPr>
            </w:pPr>
          </w:p>
        </w:tc>
      </w:tr>
      <w:tr w:rsidR="003F46B9" w14:paraId="4D6AFD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E5CF8B" w14:textId="77777777" w:rsidR="003F46B9" w:rsidRDefault="0065662E">
            <w:pPr>
              <w:pStyle w:val="P68B1DB1-Normal35"/>
              <w:spacing w:after="0"/>
              <w:jc w:val="center"/>
              <w:rPr>
                <w:rFonts w:eastAsia="Times New Roman"/>
                <w:noProof/>
              </w:rPr>
            </w:pPr>
            <w:r>
              <w:rPr>
                <w:noProof/>
              </w:rPr>
              <w:t>123</w:t>
            </w:r>
          </w:p>
        </w:tc>
        <w:tc>
          <w:tcPr>
            <w:tcW w:w="3544" w:type="dxa"/>
            <w:tcBorders>
              <w:top w:val="nil"/>
              <w:left w:val="nil"/>
              <w:bottom w:val="single" w:sz="4" w:space="0" w:color="auto"/>
              <w:right w:val="single" w:sz="4" w:space="0" w:color="auto"/>
            </w:tcBorders>
            <w:shd w:val="clear" w:color="auto" w:fill="C6EFCE"/>
            <w:noWrap/>
          </w:tcPr>
          <w:p w14:paraId="0C57F3B2" w14:textId="77777777" w:rsidR="003F46B9" w:rsidRDefault="0065662E">
            <w:pPr>
              <w:pStyle w:val="P68B1DB1-Normal35"/>
              <w:spacing w:after="0"/>
              <w:jc w:val="both"/>
              <w:rPr>
                <w:noProof/>
              </w:rPr>
            </w:pPr>
            <w:r>
              <w:rPr>
                <w:noProof/>
              </w:rPr>
              <w:t xml:space="preserve">C6.R3 </w:t>
            </w:r>
          </w:p>
          <w:p w14:paraId="252CB23B" w14:textId="77777777" w:rsidR="003F46B9" w:rsidRDefault="0065662E">
            <w:pPr>
              <w:pStyle w:val="P68B1DB1-Normal35"/>
              <w:spacing w:after="0"/>
              <w:jc w:val="both"/>
              <w:rPr>
                <w:rFonts w:eastAsia="Times New Roman"/>
                <w:noProof/>
              </w:rPr>
            </w:pPr>
            <w:r>
              <w:rPr>
                <w:noProof/>
              </w:rPr>
              <w:t xml:space="preserve">Izrada zelenog </w:t>
            </w:r>
            <w:r>
              <w:rPr>
                <w:noProof/>
              </w:rPr>
              <w:t>proračuna</w:t>
            </w:r>
          </w:p>
        </w:tc>
        <w:tc>
          <w:tcPr>
            <w:tcW w:w="1275" w:type="dxa"/>
            <w:tcBorders>
              <w:top w:val="nil"/>
              <w:left w:val="nil"/>
              <w:bottom w:val="single" w:sz="4" w:space="0" w:color="auto"/>
              <w:right w:val="single" w:sz="4" w:space="0" w:color="auto"/>
            </w:tcBorders>
            <w:shd w:val="clear" w:color="auto" w:fill="C6EFCE"/>
            <w:noWrap/>
          </w:tcPr>
          <w:p w14:paraId="3EBE4E9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5DA93F6" w14:textId="77777777" w:rsidR="003F46B9" w:rsidRDefault="0065662E">
            <w:pPr>
              <w:pStyle w:val="P68B1DB1-Normal35"/>
              <w:spacing w:after="0"/>
              <w:jc w:val="both"/>
              <w:rPr>
                <w:rFonts w:eastAsia="Times New Roman"/>
                <w:noProof/>
              </w:rPr>
            </w:pPr>
            <w:r>
              <w:rPr>
                <w:noProof/>
              </w:rPr>
              <w:t>Dovršetak i primjena metodologije zelenog proračunskog planiranja</w:t>
            </w:r>
          </w:p>
        </w:tc>
      </w:tr>
      <w:tr w:rsidR="003F46B9" w14:paraId="20C787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84C1B4" w14:textId="77777777" w:rsidR="003F46B9" w:rsidRDefault="0065662E">
            <w:pPr>
              <w:pStyle w:val="P68B1DB1-Normal35"/>
              <w:spacing w:after="0"/>
              <w:jc w:val="center"/>
              <w:rPr>
                <w:noProof/>
              </w:rPr>
            </w:pPr>
            <w:r>
              <w:rPr>
                <w:noProof/>
              </w:rPr>
              <w:t>452</w:t>
            </w:r>
          </w:p>
        </w:tc>
        <w:tc>
          <w:tcPr>
            <w:tcW w:w="3544" w:type="dxa"/>
            <w:tcBorders>
              <w:top w:val="nil"/>
              <w:left w:val="nil"/>
              <w:bottom w:val="single" w:sz="4" w:space="0" w:color="auto"/>
              <w:right w:val="single" w:sz="4" w:space="0" w:color="auto"/>
            </w:tcBorders>
            <w:shd w:val="clear" w:color="auto" w:fill="C6EFCE"/>
            <w:noWrap/>
          </w:tcPr>
          <w:p w14:paraId="2C07CF7D" w14:textId="77777777" w:rsidR="003F46B9" w:rsidRDefault="0065662E">
            <w:pPr>
              <w:pStyle w:val="P68B1DB1-Normal35"/>
              <w:spacing w:after="0"/>
              <w:jc w:val="both"/>
              <w:rPr>
                <w:noProof/>
              </w:rPr>
            </w:pPr>
            <w:r>
              <w:rPr>
                <w:noProof/>
              </w:rPr>
              <w:t>C15.R1</w:t>
            </w:r>
          </w:p>
          <w:p w14:paraId="42AFB19F" w14:textId="77777777" w:rsidR="003F46B9" w:rsidRDefault="0065662E">
            <w:pPr>
              <w:pStyle w:val="P68B1DB1-Normal35"/>
              <w:spacing w:after="0"/>
              <w:jc w:val="both"/>
              <w:rPr>
                <w:noProof/>
              </w:rPr>
            </w:pPr>
            <w:r>
              <w:rPr>
                <w:noProof/>
              </w:rPr>
              <w:t>Izrada i donošenje zakonodavnog paketa za provedbu projekta „obrazovana Rumunjska”</w:t>
            </w:r>
          </w:p>
        </w:tc>
        <w:tc>
          <w:tcPr>
            <w:tcW w:w="1275" w:type="dxa"/>
            <w:tcBorders>
              <w:top w:val="nil"/>
              <w:left w:val="nil"/>
              <w:bottom w:val="single" w:sz="4" w:space="0" w:color="auto"/>
              <w:right w:val="single" w:sz="4" w:space="0" w:color="auto"/>
            </w:tcBorders>
            <w:shd w:val="clear" w:color="auto" w:fill="C6EFCE"/>
            <w:noWrap/>
          </w:tcPr>
          <w:p w14:paraId="693DF7F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5F1C26" w14:textId="77777777" w:rsidR="003F46B9" w:rsidRDefault="0065662E">
            <w:pPr>
              <w:pStyle w:val="P68B1DB1-Normal35"/>
              <w:spacing w:after="0"/>
              <w:jc w:val="both"/>
              <w:rPr>
                <w:noProof/>
              </w:rPr>
            </w:pPr>
            <w:r>
              <w:rPr>
                <w:noProof/>
              </w:rPr>
              <w:t xml:space="preserve">Stupanje na snagu zakonodavnog paketa za provedbu projekta „Obrazovljena </w:t>
            </w:r>
            <w:r>
              <w:rPr>
                <w:noProof/>
              </w:rPr>
              <w:t>Rumunjska”</w:t>
            </w:r>
          </w:p>
        </w:tc>
      </w:tr>
      <w:tr w:rsidR="003F46B9" w14:paraId="5A4DE4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1AA7983" w14:textId="77777777" w:rsidR="003F46B9" w:rsidRDefault="0065662E">
            <w:pPr>
              <w:pStyle w:val="P68B1DB1-Normal35"/>
              <w:spacing w:after="0"/>
              <w:jc w:val="center"/>
              <w:rPr>
                <w:rFonts w:eastAsia="Times New Roman"/>
                <w:noProof/>
              </w:rPr>
            </w:pPr>
            <w:r>
              <w:rPr>
                <w:noProof/>
              </w:rPr>
              <w:t>25</w:t>
            </w:r>
          </w:p>
        </w:tc>
        <w:tc>
          <w:tcPr>
            <w:tcW w:w="3544" w:type="dxa"/>
            <w:tcBorders>
              <w:top w:val="nil"/>
              <w:left w:val="nil"/>
              <w:bottom w:val="single" w:sz="4" w:space="0" w:color="auto"/>
              <w:right w:val="single" w:sz="4" w:space="0" w:color="auto"/>
            </w:tcBorders>
            <w:shd w:val="clear" w:color="auto" w:fill="C6EFCE"/>
            <w:noWrap/>
            <w:hideMark/>
          </w:tcPr>
          <w:p w14:paraId="24046A83" w14:textId="77777777" w:rsidR="003F46B9" w:rsidRDefault="0065662E">
            <w:pPr>
              <w:pStyle w:val="P68B1DB1-Normal35"/>
              <w:spacing w:after="0"/>
              <w:jc w:val="both"/>
              <w:rPr>
                <w:noProof/>
              </w:rPr>
            </w:pPr>
            <w:r>
              <w:rPr>
                <w:noProof/>
              </w:rPr>
              <w:t xml:space="preserve">C2.I1 </w:t>
            </w:r>
          </w:p>
          <w:p w14:paraId="5876E7D9" w14:textId="77777777" w:rsidR="003F46B9" w:rsidRDefault="0065662E">
            <w:pPr>
              <w:pStyle w:val="P68B1DB1-Normal35"/>
              <w:spacing w:after="0"/>
              <w:jc w:val="both"/>
              <w:rPr>
                <w:rFonts w:eastAsia="Times New Roman"/>
                <w:noProof/>
              </w:rPr>
            </w:pPr>
            <w:r>
              <w:rPr>
                <w:noProof/>
              </w:rPr>
              <w:t xml:space="preserve">Nacionalna kampanja za pošumljavanje i ponovno pošumljavanje, uključujući urbane šume </w:t>
            </w:r>
          </w:p>
        </w:tc>
        <w:tc>
          <w:tcPr>
            <w:tcW w:w="1275" w:type="dxa"/>
            <w:tcBorders>
              <w:top w:val="nil"/>
              <w:left w:val="nil"/>
              <w:bottom w:val="single" w:sz="4" w:space="0" w:color="auto"/>
              <w:right w:val="single" w:sz="4" w:space="0" w:color="auto"/>
            </w:tcBorders>
            <w:shd w:val="clear" w:color="auto" w:fill="C6EFCE"/>
            <w:noWrap/>
            <w:hideMark/>
          </w:tcPr>
          <w:p w14:paraId="64A95BE0"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50369DBB" w14:textId="77777777" w:rsidR="003F46B9" w:rsidRDefault="0065662E">
            <w:pPr>
              <w:pStyle w:val="P68B1DB1-Normal35"/>
              <w:spacing w:after="0"/>
              <w:jc w:val="both"/>
              <w:rPr>
                <w:rFonts w:eastAsia="Times New Roman"/>
                <w:noProof/>
              </w:rPr>
            </w:pPr>
            <w:r>
              <w:rPr>
                <w:noProof/>
              </w:rPr>
              <w:t>Nova područja pošumljenih ili ponovno pošumljenih zemljišta</w:t>
            </w:r>
          </w:p>
        </w:tc>
      </w:tr>
      <w:tr w:rsidR="003F46B9" w14:paraId="2A3DFA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93E2D3B" w14:textId="77777777" w:rsidR="003F46B9" w:rsidRDefault="0065662E">
            <w:pPr>
              <w:pStyle w:val="P68B1DB1-Normal35"/>
              <w:spacing w:after="0"/>
              <w:jc w:val="center"/>
              <w:rPr>
                <w:rFonts w:eastAsia="Times New Roman"/>
                <w:noProof/>
              </w:rPr>
            </w:pPr>
            <w:r>
              <w:rPr>
                <w:noProof/>
              </w:rPr>
              <w:t>27</w:t>
            </w:r>
          </w:p>
        </w:tc>
        <w:tc>
          <w:tcPr>
            <w:tcW w:w="3544" w:type="dxa"/>
            <w:tcBorders>
              <w:top w:val="nil"/>
              <w:left w:val="nil"/>
              <w:bottom w:val="single" w:sz="4" w:space="0" w:color="auto"/>
              <w:right w:val="single" w:sz="4" w:space="0" w:color="auto"/>
            </w:tcBorders>
            <w:shd w:val="clear" w:color="auto" w:fill="C6EFCE"/>
            <w:noWrap/>
            <w:hideMark/>
          </w:tcPr>
          <w:p w14:paraId="615A16C9" w14:textId="77777777" w:rsidR="003F46B9" w:rsidRDefault="0065662E">
            <w:pPr>
              <w:pStyle w:val="P68B1DB1-Normal35"/>
              <w:spacing w:after="0"/>
              <w:jc w:val="both"/>
              <w:rPr>
                <w:noProof/>
              </w:rPr>
            </w:pPr>
            <w:r>
              <w:rPr>
                <w:noProof/>
              </w:rPr>
              <w:t xml:space="preserve">C2.I1 </w:t>
            </w:r>
          </w:p>
          <w:p w14:paraId="5828FBA7" w14:textId="77777777" w:rsidR="003F46B9" w:rsidRDefault="0065662E">
            <w:pPr>
              <w:pStyle w:val="P68B1DB1-Normal35"/>
              <w:spacing w:after="0"/>
              <w:jc w:val="both"/>
              <w:rPr>
                <w:rFonts w:eastAsia="Times New Roman"/>
                <w:noProof/>
              </w:rPr>
            </w:pPr>
            <w:r>
              <w:rPr>
                <w:noProof/>
              </w:rPr>
              <w:t xml:space="preserve">Nacionalna kampanja za pošumljavanje i ponovno pošumljavanje, uključujući </w:t>
            </w:r>
            <w:r>
              <w:rPr>
                <w:noProof/>
              </w:rPr>
              <w:t>urbane šume</w:t>
            </w:r>
          </w:p>
        </w:tc>
        <w:tc>
          <w:tcPr>
            <w:tcW w:w="1275" w:type="dxa"/>
            <w:tcBorders>
              <w:top w:val="nil"/>
              <w:left w:val="nil"/>
              <w:bottom w:val="single" w:sz="4" w:space="0" w:color="auto"/>
              <w:right w:val="single" w:sz="4" w:space="0" w:color="auto"/>
            </w:tcBorders>
            <w:shd w:val="clear" w:color="auto" w:fill="C6EFCE"/>
            <w:noWrap/>
            <w:hideMark/>
          </w:tcPr>
          <w:p w14:paraId="374B1F51"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57FD449C" w14:textId="77777777" w:rsidR="003F46B9" w:rsidRDefault="0065662E">
            <w:pPr>
              <w:pStyle w:val="P68B1DB1-Normal35"/>
              <w:spacing w:after="0"/>
              <w:jc w:val="both"/>
              <w:rPr>
                <w:rFonts w:eastAsia="Times New Roman"/>
                <w:noProof/>
              </w:rPr>
            </w:pPr>
            <w:r>
              <w:rPr>
                <w:noProof/>
              </w:rPr>
              <w:t>Stvorena nova područja urbanih šuma</w:t>
            </w:r>
          </w:p>
        </w:tc>
      </w:tr>
      <w:tr w:rsidR="003F46B9" w14:paraId="40189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CE33ED" w14:textId="77777777" w:rsidR="003F46B9" w:rsidRDefault="0065662E">
            <w:pPr>
              <w:pStyle w:val="P68B1DB1-Normal35"/>
              <w:spacing w:after="0"/>
              <w:jc w:val="center"/>
              <w:rPr>
                <w:rFonts w:eastAsia="Times New Roman"/>
                <w:noProof/>
              </w:rPr>
            </w:pPr>
            <w:r>
              <w:rPr>
                <w:noProof/>
              </w:rPr>
              <w:t>73</w:t>
            </w:r>
          </w:p>
        </w:tc>
        <w:tc>
          <w:tcPr>
            <w:tcW w:w="3544" w:type="dxa"/>
            <w:tcBorders>
              <w:top w:val="nil"/>
              <w:left w:val="nil"/>
              <w:bottom w:val="single" w:sz="4" w:space="0" w:color="auto"/>
              <w:right w:val="single" w:sz="4" w:space="0" w:color="auto"/>
            </w:tcBorders>
            <w:shd w:val="clear" w:color="auto" w:fill="C6EFCE"/>
            <w:noWrap/>
          </w:tcPr>
          <w:p w14:paraId="4FAAC8B0" w14:textId="77777777" w:rsidR="003F46B9" w:rsidRDefault="0065662E">
            <w:pPr>
              <w:pStyle w:val="P68B1DB1-Normal35"/>
              <w:spacing w:after="0"/>
              <w:jc w:val="both"/>
              <w:rPr>
                <w:noProof/>
              </w:rPr>
            </w:pPr>
            <w:r>
              <w:rPr>
                <w:noProof/>
              </w:rPr>
              <w:t xml:space="preserve">C4.I1 </w:t>
            </w:r>
          </w:p>
          <w:p w14:paraId="65E1ED9D" w14:textId="77777777" w:rsidR="003F46B9" w:rsidRDefault="0065662E">
            <w:pPr>
              <w:pStyle w:val="P68B1DB1-Normal35"/>
              <w:spacing w:after="0"/>
              <w:jc w:val="both"/>
              <w:rPr>
                <w:rFonts w:eastAsia="Times New Roman"/>
                <w:noProof/>
              </w:rPr>
            </w:pPr>
            <w:r>
              <w:rPr>
                <w:noProof/>
              </w:rPr>
              <w:t xml:space="preserve">Modernizacija i obnova željezničke infrastrukture </w:t>
            </w:r>
          </w:p>
        </w:tc>
        <w:tc>
          <w:tcPr>
            <w:tcW w:w="1275" w:type="dxa"/>
            <w:tcBorders>
              <w:top w:val="nil"/>
              <w:left w:val="nil"/>
              <w:bottom w:val="single" w:sz="4" w:space="0" w:color="auto"/>
              <w:right w:val="single" w:sz="4" w:space="0" w:color="auto"/>
            </w:tcBorders>
            <w:shd w:val="clear" w:color="auto" w:fill="C6EFCE"/>
            <w:noWrap/>
          </w:tcPr>
          <w:p w14:paraId="27658C88"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CD17D7" w14:textId="77777777" w:rsidR="003F46B9" w:rsidRDefault="0065662E">
            <w:pPr>
              <w:pStyle w:val="P68B1DB1-Normal35"/>
              <w:spacing w:after="0"/>
              <w:jc w:val="both"/>
              <w:rPr>
                <w:rFonts w:eastAsia="Times New Roman"/>
                <w:noProof/>
              </w:rPr>
            </w:pPr>
            <w:r>
              <w:rPr>
                <w:noProof/>
              </w:rPr>
              <w:t xml:space="preserve">Potpisivanje ugovora za 100 % radova povezanih s modernizacijom, modernizacijom i obnovom željezničke infrastrukture </w:t>
            </w:r>
          </w:p>
        </w:tc>
      </w:tr>
      <w:tr w:rsidR="003F46B9" w14:paraId="15B973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399F9E" w14:textId="77777777" w:rsidR="003F46B9" w:rsidRDefault="0065662E">
            <w:pPr>
              <w:pStyle w:val="P68B1DB1-Normal35"/>
              <w:spacing w:after="0"/>
              <w:jc w:val="center"/>
              <w:rPr>
                <w:rFonts w:eastAsia="Times New Roman"/>
                <w:noProof/>
              </w:rPr>
            </w:pPr>
            <w:r>
              <w:rPr>
                <w:noProof/>
              </w:rPr>
              <w:t>117</w:t>
            </w:r>
          </w:p>
        </w:tc>
        <w:tc>
          <w:tcPr>
            <w:tcW w:w="3544" w:type="dxa"/>
            <w:tcBorders>
              <w:top w:val="nil"/>
              <w:left w:val="nil"/>
              <w:bottom w:val="single" w:sz="4" w:space="0" w:color="auto"/>
              <w:right w:val="single" w:sz="4" w:space="0" w:color="auto"/>
            </w:tcBorders>
            <w:shd w:val="clear" w:color="auto" w:fill="C6EFCE"/>
            <w:noWrap/>
          </w:tcPr>
          <w:p w14:paraId="3CAD2932" w14:textId="77777777" w:rsidR="003F46B9" w:rsidRDefault="0065662E">
            <w:pPr>
              <w:pStyle w:val="P68B1DB1-Normal35"/>
              <w:spacing w:after="0"/>
              <w:jc w:val="both"/>
              <w:rPr>
                <w:noProof/>
              </w:rPr>
            </w:pPr>
            <w:r>
              <w:rPr>
                <w:noProof/>
              </w:rPr>
              <w:t>C6.R1</w:t>
            </w:r>
          </w:p>
          <w:p w14:paraId="5A1230DD" w14:textId="25DB85F0" w:rsidR="003F46B9" w:rsidRDefault="0065662E">
            <w:pPr>
              <w:pStyle w:val="P68B1DB1-Normal35"/>
              <w:spacing w:after="0"/>
              <w:jc w:val="both"/>
              <w:rPr>
                <w:rFonts w:eastAsia="Times New Roman"/>
                <w:noProof/>
              </w:rPr>
            </w:pPr>
            <w:r>
              <w:rPr>
                <w:noProof/>
              </w:rPr>
              <w:t xml:space="preserve">Reforma tržišta električne energije, zamjena ugljena u kombinaciji izvora energije i potpora zakonodavnom i regulatornom okviru za privatna ulaganja u proizvodnju električne energije iz obnovljivih izvora </w:t>
            </w:r>
          </w:p>
        </w:tc>
        <w:tc>
          <w:tcPr>
            <w:tcW w:w="1275" w:type="dxa"/>
            <w:tcBorders>
              <w:top w:val="nil"/>
              <w:left w:val="nil"/>
              <w:bottom w:val="single" w:sz="4" w:space="0" w:color="auto"/>
              <w:right w:val="single" w:sz="4" w:space="0" w:color="auto"/>
            </w:tcBorders>
            <w:shd w:val="clear" w:color="auto" w:fill="C6EFCE"/>
            <w:noWrap/>
          </w:tcPr>
          <w:p w14:paraId="06E975F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5602D5F" w14:textId="77777777" w:rsidR="003F46B9" w:rsidRDefault="0065662E">
            <w:pPr>
              <w:pStyle w:val="P68B1DB1-Normal35"/>
              <w:spacing w:after="0"/>
              <w:jc w:val="both"/>
              <w:rPr>
                <w:rFonts w:eastAsia="Times New Roman"/>
                <w:noProof/>
              </w:rPr>
            </w:pPr>
            <w:r>
              <w:rPr>
                <w:noProof/>
              </w:rPr>
              <w:t>Potpisivanje ugovora za razliku za obnovljive iz</w:t>
            </w:r>
            <w:r>
              <w:rPr>
                <w:noProof/>
              </w:rPr>
              <w:t>vore energije</w:t>
            </w:r>
          </w:p>
        </w:tc>
      </w:tr>
      <w:tr w:rsidR="003F46B9" w14:paraId="64F2512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9B39BE" w14:textId="77777777" w:rsidR="003F46B9" w:rsidRDefault="0065662E">
            <w:pPr>
              <w:pStyle w:val="P68B1DB1-Normal35"/>
              <w:spacing w:after="0"/>
              <w:jc w:val="center"/>
              <w:rPr>
                <w:rFonts w:eastAsia="Times New Roman"/>
                <w:noProof/>
              </w:rPr>
            </w:pPr>
            <w:r>
              <w:rPr>
                <w:noProof/>
              </w:rPr>
              <w:t>203</w:t>
            </w:r>
          </w:p>
        </w:tc>
        <w:tc>
          <w:tcPr>
            <w:tcW w:w="3544" w:type="dxa"/>
            <w:tcBorders>
              <w:top w:val="nil"/>
              <w:left w:val="nil"/>
              <w:bottom w:val="single" w:sz="4" w:space="0" w:color="auto"/>
              <w:right w:val="single" w:sz="4" w:space="0" w:color="auto"/>
            </w:tcBorders>
            <w:shd w:val="clear" w:color="auto" w:fill="C6EFCE"/>
            <w:noWrap/>
          </w:tcPr>
          <w:p w14:paraId="0C02D417" w14:textId="77777777" w:rsidR="003F46B9" w:rsidRDefault="0065662E">
            <w:pPr>
              <w:pStyle w:val="P68B1DB1-Normal35"/>
              <w:spacing w:after="0"/>
              <w:jc w:val="both"/>
              <w:rPr>
                <w:noProof/>
              </w:rPr>
            </w:pPr>
            <w:r>
              <w:rPr>
                <w:noProof/>
              </w:rPr>
              <w:t>C8.R3</w:t>
            </w:r>
          </w:p>
          <w:p w14:paraId="638F3452"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07D70FF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08B8ECE" w14:textId="77777777" w:rsidR="003F46B9" w:rsidRDefault="0065662E">
            <w:pPr>
              <w:pStyle w:val="P68B1DB1-Normal35"/>
              <w:spacing w:after="0"/>
              <w:jc w:val="both"/>
              <w:rPr>
                <w:rFonts w:eastAsia="Times New Roman"/>
                <w:noProof/>
              </w:rPr>
            </w:pPr>
            <w:r>
              <w:rPr>
                <w:noProof/>
              </w:rPr>
              <w:t>Nacrt proračuna uključuje rezultate analiza potrošnje u području zdravstva i obrazovanja</w:t>
            </w:r>
          </w:p>
        </w:tc>
      </w:tr>
      <w:tr w:rsidR="003F46B9" w14:paraId="00F70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1FF041" w14:textId="77777777" w:rsidR="003F46B9" w:rsidRDefault="0065662E">
            <w:pPr>
              <w:pStyle w:val="P68B1DB1-Normal35"/>
              <w:spacing w:after="0"/>
              <w:jc w:val="center"/>
              <w:rPr>
                <w:rFonts w:eastAsia="Times New Roman"/>
                <w:noProof/>
              </w:rPr>
            </w:pPr>
            <w:r>
              <w:rPr>
                <w:noProof/>
              </w:rPr>
              <w:t>216</w:t>
            </w:r>
          </w:p>
        </w:tc>
        <w:tc>
          <w:tcPr>
            <w:tcW w:w="3544" w:type="dxa"/>
            <w:tcBorders>
              <w:top w:val="nil"/>
              <w:left w:val="nil"/>
              <w:bottom w:val="single" w:sz="4" w:space="0" w:color="auto"/>
              <w:right w:val="single" w:sz="4" w:space="0" w:color="auto"/>
            </w:tcBorders>
            <w:shd w:val="clear" w:color="auto" w:fill="C6EFCE"/>
            <w:noWrap/>
          </w:tcPr>
          <w:p w14:paraId="4750B219" w14:textId="77777777" w:rsidR="003F46B9" w:rsidRDefault="0065662E">
            <w:pPr>
              <w:pStyle w:val="P68B1DB1-Normal35"/>
              <w:spacing w:after="0"/>
              <w:jc w:val="both"/>
              <w:rPr>
                <w:noProof/>
              </w:rPr>
            </w:pPr>
            <w:r>
              <w:rPr>
                <w:noProof/>
              </w:rPr>
              <w:t>C8.I1</w:t>
            </w:r>
          </w:p>
          <w:p w14:paraId="7DCD43AB" w14:textId="77777777" w:rsidR="003F46B9" w:rsidRDefault="0065662E">
            <w:pPr>
              <w:pStyle w:val="P68B1DB1-Normal35"/>
              <w:spacing w:after="0"/>
              <w:jc w:val="both"/>
              <w:rPr>
                <w:rFonts w:eastAsia="Times New Roman"/>
                <w:noProof/>
              </w:rPr>
            </w:pPr>
            <w:r>
              <w:rPr>
                <w:noProof/>
              </w:rPr>
              <w:t xml:space="preserve">Olakšavanje ispunjavanja obveza poreznih obveznika razvojem digitalnih usluga </w:t>
            </w:r>
          </w:p>
        </w:tc>
        <w:tc>
          <w:tcPr>
            <w:tcW w:w="1275" w:type="dxa"/>
            <w:tcBorders>
              <w:top w:val="nil"/>
              <w:left w:val="nil"/>
              <w:bottom w:val="single" w:sz="4" w:space="0" w:color="auto"/>
              <w:right w:val="single" w:sz="4" w:space="0" w:color="auto"/>
            </w:tcBorders>
            <w:shd w:val="clear" w:color="auto" w:fill="C6EFCE"/>
            <w:noWrap/>
          </w:tcPr>
          <w:p w14:paraId="46A9E81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F3A7713" w14:textId="77777777" w:rsidR="003F46B9" w:rsidRDefault="0065662E">
            <w:pPr>
              <w:pStyle w:val="P68B1DB1-Normal35"/>
              <w:spacing w:after="0"/>
              <w:jc w:val="both"/>
              <w:rPr>
                <w:rFonts w:eastAsia="Times New Roman"/>
                <w:noProof/>
              </w:rPr>
            </w:pPr>
            <w:r>
              <w:rPr>
                <w:noProof/>
              </w:rPr>
              <w:t xml:space="preserve">Digitalne usluge i ključni elektronički sustavi operativni su </w:t>
            </w:r>
          </w:p>
        </w:tc>
      </w:tr>
      <w:tr w:rsidR="003F46B9" w14:paraId="00FFF08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D4F36" w14:textId="77777777" w:rsidR="003F46B9" w:rsidRDefault="0065662E">
            <w:pPr>
              <w:pStyle w:val="P68B1DB1-Normal35"/>
              <w:spacing w:after="0"/>
              <w:jc w:val="center"/>
              <w:rPr>
                <w:rFonts w:eastAsia="Times New Roman"/>
                <w:noProof/>
              </w:rPr>
            </w:pPr>
            <w:r>
              <w:rPr>
                <w:noProof/>
              </w:rPr>
              <w:t>231</w:t>
            </w:r>
          </w:p>
        </w:tc>
        <w:tc>
          <w:tcPr>
            <w:tcW w:w="3544" w:type="dxa"/>
            <w:tcBorders>
              <w:top w:val="nil"/>
              <w:left w:val="nil"/>
              <w:bottom w:val="single" w:sz="4" w:space="0" w:color="auto"/>
              <w:right w:val="single" w:sz="4" w:space="0" w:color="auto"/>
            </w:tcBorders>
            <w:shd w:val="clear" w:color="auto" w:fill="C6EFCE"/>
            <w:noWrap/>
          </w:tcPr>
          <w:p w14:paraId="4DF4964C" w14:textId="77777777" w:rsidR="003F46B9" w:rsidRDefault="0065662E">
            <w:pPr>
              <w:pStyle w:val="P68B1DB1-Normal35"/>
              <w:spacing w:after="0"/>
              <w:jc w:val="both"/>
              <w:rPr>
                <w:noProof/>
              </w:rPr>
            </w:pPr>
            <w:r>
              <w:rPr>
                <w:noProof/>
              </w:rPr>
              <w:t>C8.I4</w:t>
            </w:r>
          </w:p>
          <w:p w14:paraId="3B36B21F" w14:textId="3D319CAF" w:rsidR="003F46B9" w:rsidRDefault="0065662E">
            <w:pPr>
              <w:pStyle w:val="P68B1DB1-Normal35"/>
              <w:spacing w:after="0"/>
              <w:jc w:val="both"/>
              <w:rPr>
                <w:rFonts w:eastAsia="Times New Roman"/>
                <w:noProof/>
              </w:rPr>
            </w:pPr>
            <w:r>
              <w:rPr>
                <w:noProof/>
              </w:rPr>
              <w:t xml:space="preserve">Uvođenje elektroničke carine </w:t>
            </w:r>
          </w:p>
        </w:tc>
        <w:tc>
          <w:tcPr>
            <w:tcW w:w="1275" w:type="dxa"/>
            <w:tcBorders>
              <w:top w:val="nil"/>
              <w:left w:val="nil"/>
              <w:bottom w:val="single" w:sz="4" w:space="0" w:color="auto"/>
              <w:right w:val="single" w:sz="4" w:space="0" w:color="auto"/>
            </w:tcBorders>
            <w:shd w:val="clear" w:color="auto" w:fill="C6EFCE"/>
            <w:noWrap/>
          </w:tcPr>
          <w:p w14:paraId="3C5C1C9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4C191B7" w14:textId="77777777" w:rsidR="003F46B9" w:rsidRDefault="0065662E">
            <w:pPr>
              <w:pStyle w:val="P68B1DB1-Normal35"/>
              <w:spacing w:after="0"/>
              <w:jc w:val="both"/>
              <w:rPr>
                <w:rFonts w:eastAsia="Times New Roman"/>
                <w:noProof/>
              </w:rPr>
            </w:pPr>
            <w:r>
              <w:rPr>
                <w:noProof/>
              </w:rPr>
              <w:t xml:space="preserve">Dodjela ugovora za nove informacijske sustave za carinu </w:t>
            </w:r>
          </w:p>
        </w:tc>
      </w:tr>
      <w:tr w:rsidR="003F46B9" w14:paraId="2E06E4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BC073E" w14:textId="77777777" w:rsidR="003F46B9" w:rsidRDefault="0065662E">
            <w:pPr>
              <w:pStyle w:val="P68B1DB1-Normal35"/>
              <w:spacing w:after="0"/>
              <w:jc w:val="center"/>
              <w:rPr>
                <w:rFonts w:eastAsia="Times New Roman"/>
                <w:noProof/>
              </w:rPr>
            </w:pPr>
            <w:r>
              <w:rPr>
                <w:noProof/>
              </w:rPr>
              <w:t>234</w:t>
            </w:r>
          </w:p>
        </w:tc>
        <w:tc>
          <w:tcPr>
            <w:tcW w:w="3544" w:type="dxa"/>
            <w:tcBorders>
              <w:top w:val="nil"/>
              <w:left w:val="nil"/>
              <w:bottom w:val="single" w:sz="4" w:space="0" w:color="auto"/>
              <w:right w:val="single" w:sz="4" w:space="0" w:color="auto"/>
            </w:tcBorders>
            <w:shd w:val="clear" w:color="auto" w:fill="C6EFCE"/>
            <w:noWrap/>
          </w:tcPr>
          <w:p w14:paraId="496ED44E" w14:textId="77777777" w:rsidR="003F46B9" w:rsidRDefault="0065662E">
            <w:pPr>
              <w:pStyle w:val="P68B1DB1-Normal35"/>
              <w:spacing w:after="0"/>
              <w:jc w:val="both"/>
              <w:rPr>
                <w:noProof/>
              </w:rPr>
            </w:pPr>
            <w:r>
              <w:rPr>
                <w:noProof/>
              </w:rPr>
              <w:t>C8.I5</w:t>
            </w:r>
          </w:p>
          <w:p w14:paraId="3BD3803D" w14:textId="77777777" w:rsidR="003F46B9" w:rsidRDefault="0065662E">
            <w:pPr>
              <w:pStyle w:val="P68B1DB1-Normal35"/>
              <w:spacing w:after="0"/>
              <w:jc w:val="both"/>
              <w:rPr>
                <w:rFonts w:eastAsia="Times New Roman"/>
                <w:noProof/>
              </w:rPr>
            </w:pPr>
            <w:r>
              <w:rPr>
                <w:noProof/>
              </w:rPr>
              <w:t xml:space="preserve">Poboljšanje mehanizma proračunskog programiranja </w:t>
            </w:r>
          </w:p>
        </w:tc>
        <w:tc>
          <w:tcPr>
            <w:tcW w:w="1275" w:type="dxa"/>
            <w:tcBorders>
              <w:top w:val="nil"/>
              <w:left w:val="nil"/>
              <w:bottom w:val="single" w:sz="4" w:space="0" w:color="auto"/>
              <w:right w:val="single" w:sz="4" w:space="0" w:color="auto"/>
            </w:tcBorders>
            <w:shd w:val="clear" w:color="auto" w:fill="C6EFCE"/>
            <w:noWrap/>
          </w:tcPr>
          <w:p w14:paraId="3BEB7E13"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450778B" w14:textId="77777777" w:rsidR="003F46B9" w:rsidRDefault="0065662E">
            <w:pPr>
              <w:pStyle w:val="P68B1DB1-Normal35"/>
              <w:spacing w:after="0"/>
              <w:jc w:val="both"/>
              <w:rPr>
                <w:rFonts w:eastAsia="Times New Roman"/>
                <w:noProof/>
              </w:rPr>
            </w:pPr>
            <w:r>
              <w:rPr>
                <w:noProof/>
              </w:rPr>
              <w:t xml:space="preserve">Ažuriranje IT aplikacije </w:t>
            </w:r>
            <w:r>
              <w:rPr>
                <w:noProof/>
              </w:rPr>
              <w:t>BUGET_NG.</w:t>
            </w:r>
          </w:p>
        </w:tc>
      </w:tr>
      <w:tr w:rsidR="003F46B9" w14:paraId="35D1E8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8301CD" w14:textId="77777777" w:rsidR="003F46B9" w:rsidRDefault="0065662E">
            <w:pPr>
              <w:pStyle w:val="P68B1DB1-Normal35"/>
              <w:spacing w:after="0"/>
              <w:jc w:val="center"/>
              <w:rPr>
                <w:rFonts w:eastAsia="Times New Roman"/>
                <w:noProof/>
              </w:rPr>
            </w:pPr>
            <w:r>
              <w:rPr>
                <w:noProof/>
              </w:rPr>
              <w:t>235</w:t>
            </w:r>
          </w:p>
        </w:tc>
        <w:tc>
          <w:tcPr>
            <w:tcW w:w="3544" w:type="dxa"/>
            <w:tcBorders>
              <w:top w:val="nil"/>
              <w:left w:val="nil"/>
              <w:bottom w:val="single" w:sz="4" w:space="0" w:color="auto"/>
              <w:right w:val="single" w:sz="4" w:space="0" w:color="auto"/>
            </w:tcBorders>
            <w:shd w:val="clear" w:color="auto" w:fill="C6EFCE"/>
            <w:noWrap/>
          </w:tcPr>
          <w:p w14:paraId="11E90412" w14:textId="77777777" w:rsidR="003F46B9" w:rsidRDefault="0065662E">
            <w:pPr>
              <w:pStyle w:val="P68B1DB1-Normal35"/>
              <w:spacing w:after="0"/>
              <w:jc w:val="both"/>
              <w:rPr>
                <w:noProof/>
              </w:rPr>
            </w:pPr>
            <w:r>
              <w:rPr>
                <w:noProof/>
              </w:rPr>
              <w:t>C8.I6</w:t>
            </w:r>
          </w:p>
          <w:p w14:paraId="334DDDEA" w14:textId="77777777" w:rsidR="003F46B9" w:rsidRDefault="0065662E">
            <w:pPr>
              <w:pStyle w:val="P68B1DB1-Normal35"/>
              <w:spacing w:after="0"/>
              <w:jc w:val="both"/>
              <w:rPr>
                <w:rFonts w:eastAsia="Times New Roman"/>
                <w:noProof/>
              </w:rPr>
            </w:pPr>
            <w:r>
              <w:rPr>
                <w:noProof/>
              </w:rPr>
              <w:t>Instrument gospodarskog modeliranja (Alat za simulaciju opcija mirovinske reforme) za poboljšanje institucijskog kapaciteta za predviđanje rashoda za mirovine</w:t>
            </w:r>
          </w:p>
        </w:tc>
        <w:tc>
          <w:tcPr>
            <w:tcW w:w="1275" w:type="dxa"/>
            <w:tcBorders>
              <w:top w:val="nil"/>
              <w:left w:val="nil"/>
              <w:bottom w:val="single" w:sz="4" w:space="0" w:color="auto"/>
              <w:right w:val="single" w:sz="4" w:space="0" w:color="auto"/>
            </w:tcBorders>
            <w:shd w:val="clear" w:color="auto" w:fill="C6EFCE"/>
            <w:noWrap/>
          </w:tcPr>
          <w:p w14:paraId="4D47166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B333054" w14:textId="77777777" w:rsidR="003F46B9" w:rsidRDefault="0065662E">
            <w:pPr>
              <w:pStyle w:val="P68B1DB1-Normal35"/>
              <w:spacing w:after="0"/>
              <w:jc w:val="both"/>
              <w:rPr>
                <w:rFonts w:eastAsia="Times New Roman"/>
                <w:noProof/>
              </w:rPr>
            </w:pPr>
            <w:r>
              <w:rPr>
                <w:noProof/>
              </w:rPr>
              <w:t>Instrument za gospodarsko modeliranje (model skupa alata za simulaciju opc</w:t>
            </w:r>
            <w:r>
              <w:rPr>
                <w:noProof/>
              </w:rPr>
              <w:t xml:space="preserve">ija mirovinske reforme) </w:t>
            </w:r>
          </w:p>
        </w:tc>
      </w:tr>
      <w:tr w:rsidR="003F46B9" w14:paraId="70AC1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0C6A727" w14:textId="77777777" w:rsidR="003F46B9" w:rsidRDefault="0065662E">
            <w:pPr>
              <w:pStyle w:val="P68B1DB1-Normal35"/>
              <w:spacing w:after="0"/>
              <w:jc w:val="center"/>
              <w:rPr>
                <w:rFonts w:eastAsia="Times New Roman"/>
                <w:noProof/>
              </w:rPr>
            </w:pPr>
            <w:r>
              <w:rPr>
                <w:noProof/>
              </w:rPr>
              <w:t>236</w:t>
            </w:r>
          </w:p>
        </w:tc>
        <w:tc>
          <w:tcPr>
            <w:tcW w:w="3544" w:type="dxa"/>
            <w:tcBorders>
              <w:top w:val="nil"/>
              <w:left w:val="nil"/>
              <w:bottom w:val="single" w:sz="4" w:space="0" w:color="auto"/>
              <w:right w:val="single" w:sz="4" w:space="0" w:color="auto"/>
            </w:tcBorders>
            <w:shd w:val="clear" w:color="auto" w:fill="C6EFCE"/>
            <w:noWrap/>
          </w:tcPr>
          <w:p w14:paraId="700751D7" w14:textId="77777777" w:rsidR="003F46B9" w:rsidRDefault="0065662E">
            <w:pPr>
              <w:pStyle w:val="P68B1DB1-Normal35"/>
              <w:spacing w:after="0"/>
              <w:jc w:val="both"/>
              <w:rPr>
                <w:noProof/>
              </w:rPr>
            </w:pPr>
            <w:r>
              <w:rPr>
                <w:noProof/>
              </w:rPr>
              <w:t>C8.I6</w:t>
            </w:r>
          </w:p>
          <w:p w14:paraId="63DB9AAB" w14:textId="77777777" w:rsidR="003F46B9" w:rsidRDefault="0065662E">
            <w:pPr>
              <w:pStyle w:val="P68B1DB1-Normal35"/>
              <w:spacing w:after="0"/>
              <w:jc w:val="both"/>
              <w:rPr>
                <w:rFonts w:eastAsia="Times New Roman"/>
                <w:noProof/>
              </w:rPr>
            </w:pPr>
            <w:r>
              <w:rPr>
                <w:noProof/>
              </w:rPr>
              <w:t>Instrument gospodarskog modeliranja (Alat za simulaciju opcija mirovinske reforme) za poboljšanje institucijskog kapaciteta za predviđanje rashoda za mirovine</w:t>
            </w:r>
          </w:p>
        </w:tc>
        <w:tc>
          <w:tcPr>
            <w:tcW w:w="1275" w:type="dxa"/>
            <w:tcBorders>
              <w:top w:val="nil"/>
              <w:left w:val="nil"/>
              <w:bottom w:val="single" w:sz="4" w:space="0" w:color="auto"/>
              <w:right w:val="single" w:sz="4" w:space="0" w:color="auto"/>
            </w:tcBorders>
            <w:shd w:val="clear" w:color="auto" w:fill="C6EFCE"/>
            <w:noWrap/>
          </w:tcPr>
          <w:p w14:paraId="7AC96BCF"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C39CE4D" w14:textId="77777777" w:rsidR="003F46B9" w:rsidRDefault="0065662E">
            <w:pPr>
              <w:pStyle w:val="P68B1DB1-Normal35"/>
              <w:spacing w:after="0"/>
              <w:jc w:val="both"/>
              <w:rPr>
                <w:rFonts w:eastAsia="Times New Roman"/>
                <w:noProof/>
              </w:rPr>
            </w:pPr>
            <w:r>
              <w:rPr>
                <w:noProof/>
              </w:rPr>
              <w:t xml:space="preserve">Proširenje tima s jednog na osam stručnjaka i poboljšanje </w:t>
            </w:r>
            <w:r>
              <w:rPr>
                <w:noProof/>
              </w:rPr>
              <w:t>kapaciteta srednjoročne i dugoročne strukturne mirovinske reforme tako što će se 8 osoba osposobljavati za upotrebu modela alata za simulacije opcija mirovinske reforme</w:t>
            </w:r>
          </w:p>
        </w:tc>
      </w:tr>
      <w:tr w:rsidR="003F46B9" w14:paraId="48DD1D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9DE701" w14:textId="77777777" w:rsidR="003F46B9" w:rsidRDefault="0065662E">
            <w:pPr>
              <w:pStyle w:val="P68B1DB1-Normal35"/>
              <w:spacing w:after="0"/>
              <w:jc w:val="center"/>
              <w:rPr>
                <w:rFonts w:eastAsia="Times New Roman"/>
                <w:noProof/>
              </w:rPr>
            </w:pPr>
            <w:r>
              <w:rPr>
                <w:noProof/>
              </w:rPr>
              <w:t>239</w:t>
            </w:r>
          </w:p>
        </w:tc>
        <w:tc>
          <w:tcPr>
            <w:tcW w:w="3544" w:type="dxa"/>
            <w:tcBorders>
              <w:top w:val="nil"/>
              <w:left w:val="nil"/>
              <w:bottom w:val="single" w:sz="4" w:space="0" w:color="auto"/>
              <w:right w:val="single" w:sz="4" w:space="0" w:color="auto"/>
            </w:tcBorders>
            <w:shd w:val="clear" w:color="auto" w:fill="C6EFCE"/>
            <w:noWrap/>
          </w:tcPr>
          <w:p w14:paraId="65B3BDF2" w14:textId="77777777" w:rsidR="003F46B9" w:rsidRDefault="0065662E">
            <w:pPr>
              <w:pStyle w:val="P68B1DB1-Normal35"/>
              <w:spacing w:after="0"/>
              <w:jc w:val="both"/>
              <w:rPr>
                <w:noProof/>
              </w:rPr>
            </w:pPr>
            <w:r>
              <w:rPr>
                <w:noProof/>
              </w:rPr>
              <w:t>C8.I9</w:t>
            </w:r>
          </w:p>
          <w:p w14:paraId="3B8AC9AD" w14:textId="77777777" w:rsidR="003F46B9" w:rsidRDefault="0065662E">
            <w:pPr>
              <w:pStyle w:val="P68B1DB1-Normal35"/>
              <w:spacing w:after="0"/>
              <w:jc w:val="both"/>
              <w:rPr>
                <w:rFonts w:eastAsia="Times New Roman"/>
                <w:noProof/>
              </w:rPr>
            </w:pPr>
            <w:r>
              <w:rPr>
                <w:noProof/>
              </w:rPr>
              <w:t xml:space="preserve">Potpora postupku procjene mirovinskih dosjea </w:t>
            </w:r>
          </w:p>
        </w:tc>
        <w:tc>
          <w:tcPr>
            <w:tcW w:w="1275" w:type="dxa"/>
            <w:tcBorders>
              <w:top w:val="nil"/>
              <w:left w:val="nil"/>
              <w:bottom w:val="single" w:sz="4" w:space="0" w:color="auto"/>
              <w:right w:val="single" w:sz="4" w:space="0" w:color="auto"/>
            </w:tcBorders>
            <w:shd w:val="clear" w:color="auto" w:fill="C6EFCE"/>
            <w:noWrap/>
          </w:tcPr>
          <w:p w14:paraId="5667C6B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6403925" w14:textId="77777777" w:rsidR="003F46B9" w:rsidRDefault="0065662E">
            <w:pPr>
              <w:pStyle w:val="P68B1DB1-Normal35"/>
              <w:spacing w:after="0"/>
              <w:jc w:val="both"/>
              <w:rPr>
                <w:rFonts w:eastAsia="Times New Roman"/>
                <w:noProof/>
              </w:rPr>
            </w:pPr>
            <w:r>
              <w:rPr>
                <w:noProof/>
              </w:rPr>
              <w:t xml:space="preserve">Svi dokumenti o mirovini </w:t>
            </w:r>
            <w:r>
              <w:rPr>
                <w:noProof/>
              </w:rPr>
              <w:t>ponovno izračunani</w:t>
            </w:r>
          </w:p>
        </w:tc>
      </w:tr>
      <w:tr w:rsidR="003F46B9" w14:paraId="316B1F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908A7" w14:textId="77777777" w:rsidR="003F46B9" w:rsidRDefault="0065662E">
            <w:pPr>
              <w:pStyle w:val="P68B1DB1-Normal35"/>
              <w:spacing w:after="0"/>
              <w:jc w:val="center"/>
              <w:rPr>
                <w:rFonts w:eastAsia="Times New Roman"/>
                <w:noProof/>
              </w:rPr>
            </w:pPr>
            <w:r>
              <w:rPr>
                <w:noProof/>
              </w:rPr>
              <w:t>359</w:t>
            </w:r>
          </w:p>
        </w:tc>
        <w:tc>
          <w:tcPr>
            <w:tcW w:w="3544" w:type="dxa"/>
            <w:tcBorders>
              <w:top w:val="nil"/>
              <w:left w:val="nil"/>
              <w:bottom w:val="single" w:sz="4" w:space="0" w:color="auto"/>
              <w:right w:val="single" w:sz="4" w:space="0" w:color="auto"/>
            </w:tcBorders>
            <w:shd w:val="clear" w:color="auto" w:fill="C6EFCE"/>
            <w:noWrap/>
          </w:tcPr>
          <w:p w14:paraId="068DE309" w14:textId="77777777" w:rsidR="003F46B9" w:rsidRDefault="0065662E">
            <w:pPr>
              <w:pStyle w:val="P68B1DB1-Normal35"/>
              <w:spacing w:after="0"/>
              <w:jc w:val="both"/>
              <w:rPr>
                <w:noProof/>
              </w:rPr>
            </w:pPr>
            <w:r>
              <w:rPr>
                <w:noProof/>
              </w:rPr>
              <w:t>C12.R3</w:t>
            </w:r>
          </w:p>
          <w:p w14:paraId="0C4B871F" w14:textId="56DE048E"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75" w:type="dxa"/>
            <w:tcBorders>
              <w:top w:val="nil"/>
              <w:left w:val="nil"/>
              <w:bottom w:val="single" w:sz="4" w:space="0" w:color="auto"/>
              <w:right w:val="single" w:sz="4" w:space="0" w:color="auto"/>
            </w:tcBorders>
            <w:shd w:val="clear" w:color="auto" w:fill="C6EFCE"/>
            <w:noWrap/>
          </w:tcPr>
          <w:p w14:paraId="488B623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6449DEC" w14:textId="77777777" w:rsidR="003F46B9" w:rsidRDefault="0065662E">
            <w:pPr>
              <w:pStyle w:val="P68B1DB1-Normal35"/>
              <w:spacing w:after="0"/>
              <w:jc w:val="both"/>
              <w:rPr>
                <w:rFonts w:eastAsia="Times New Roman"/>
                <w:noProof/>
              </w:rPr>
            </w:pPr>
            <w:r>
              <w:rPr>
                <w:noProof/>
              </w:rPr>
              <w:t xml:space="preserve">Stupanje na snagu odluke ministra zdravstva kojom se uspostavlja okvir za diferencirano priznavanje profesionalnih zasluga i nagrada zdravstvenih </w:t>
            </w:r>
            <w:r>
              <w:rPr>
                <w:noProof/>
              </w:rPr>
              <w:t>djelatnika</w:t>
            </w:r>
          </w:p>
        </w:tc>
      </w:tr>
      <w:tr w:rsidR="003F46B9" w14:paraId="43E1D3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A2923C" w14:textId="77777777" w:rsidR="003F46B9" w:rsidRDefault="0065662E">
            <w:pPr>
              <w:pStyle w:val="P68B1DB1-Normal35"/>
              <w:spacing w:after="0"/>
              <w:jc w:val="center"/>
              <w:rPr>
                <w:rFonts w:eastAsia="Times New Roman"/>
                <w:noProof/>
              </w:rPr>
            </w:pPr>
            <w:r>
              <w:rPr>
                <w:noProof/>
              </w:rPr>
              <w:t>364</w:t>
            </w:r>
          </w:p>
        </w:tc>
        <w:tc>
          <w:tcPr>
            <w:tcW w:w="3544" w:type="dxa"/>
            <w:tcBorders>
              <w:top w:val="nil"/>
              <w:left w:val="nil"/>
              <w:bottom w:val="single" w:sz="4" w:space="0" w:color="auto"/>
              <w:right w:val="single" w:sz="4" w:space="0" w:color="auto"/>
            </w:tcBorders>
            <w:shd w:val="clear" w:color="auto" w:fill="C6EFCE"/>
            <w:noWrap/>
          </w:tcPr>
          <w:p w14:paraId="78D0F39E" w14:textId="77777777" w:rsidR="003F46B9" w:rsidRDefault="0065662E">
            <w:pPr>
              <w:pStyle w:val="P68B1DB1-Normal35"/>
              <w:spacing w:after="0"/>
              <w:jc w:val="both"/>
              <w:rPr>
                <w:noProof/>
              </w:rPr>
            </w:pPr>
            <w:r>
              <w:rPr>
                <w:noProof/>
              </w:rPr>
              <w:t>C12.R3</w:t>
            </w:r>
          </w:p>
          <w:p w14:paraId="031EDCED" w14:textId="23AAE5DF"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75" w:type="dxa"/>
            <w:tcBorders>
              <w:top w:val="nil"/>
              <w:left w:val="nil"/>
              <w:bottom w:val="single" w:sz="4" w:space="0" w:color="auto"/>
              <w:right w:val="single" w:sz="4" w:space="0" w:color="auto"/>
            </w:tcBorders>
            <w:shd w:val="clear" w:color="auto" w:fill="C6EFCE"/>
            <w:noWrap/>
          </w:tcPr>
          <w:p w14:paraId="520E328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5B67637" w14:textId="77777777" w:rsidR="003F46B9" w:rsidRDefault="0065662E">
            <w:pPr>
              <w:pStyle w:val="P68B1DB1-Normal35"/>
              <w:spacing w:after="0"/>
              <w:jc w:val="both"/>
              <w:rPr>
                <w:rFonts w:eastAsia="Times New Roman"/>
                <w:noProof/>
              </w:rPr>
            </w:pPr>
            <w:r>
              <w:rPr>
                <w:noProof/>
              </w:rPr>
              <w:t>Stupanje na snagu zajedničke odluke Ministarstva zdravstva i Nacionalnog zavoda za zdravstveno osiguranje (CNAS) o mehanizmu za davanje prednosti proračuns</w:t>
            </w:r>
            <w:r>
              <w:rPr>
                <w:noProof/>
              </w:rPr>
              <w:t>kim sredstvima Ministarstva zdravstva i Nacionalnog zavoda za zdravstveno osiguranje (CNAS)</w:t>
            </w:r>
          </w:p>
        </w:tc>
      </w:tr>
      <w:tr w:rsidR="003F46B9" w14:paraId="448422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652" w14:textId="77777777" w:rsidR="003F46B9" w:rsidRDefault="0065662E">
            <w:pPr>
              <w:pStyle w:val="P68B1DB1-Normal35"/>
              <w:spacing w:after="0"/>
              <w:jc w:val="center"/>
              <w:rPr>
                <w:rFonts w:eastAsia="Times New Roman"/>
                <w:noProof/>
              </w:rPr>
            </w:pPr>
            <w:r>
              <w:rPr>
                <w:noProof/>
              </w:rPr>
              <w:t>397</w:t>
            </w:r>
          </w:p>
        </w:tc>
        <w:tc>
          <w:tcPr>
            <w:tcW w:w="3544" w:type="dxa"/>
            <w:tcBorders>
              <w:top w:val="nil"/>
              <w:left w:val="nil"/>
              <w:bottom w:val="single" w:sz="4" w:space="0" w:color="auto"/>
              <w:right w:val="single" w:sz="4" w:space="0" w:color="auto"/>
            </w:tcBorders>
            <w:shd w:val="clear" w:color="auto" w:fill="C6EFCE"/>
            <w:noWrap/>
          </w:tcPr>
          <w:p w14:paraId="3E28BCF1" w14:textId="77777777" w:rsidR="003F46B9" w:rsidRDefault="0065662E">
            <w:pPr>
              <w:pStyle w:val="P68B1DB1-Normal35"/>
              <w:spacing w:after="0"/>
              <w:jc w:val="both"/>
              <w:rPr>
                <w:noProof/>
              </w:rPr>
            </w:pPr>
            <w:r>
              <w:rPr>
                <w:noProof/>
              </w:rPr>
              <w:t>C13.I3</w:t>
            </w:r>
          </w:p>
          <w:p w14:paraId="3BE54BA2" w14:textId="77777777" w:rsidR="003F46B9" w:rsidRDefault="0065662E">
            <w:pPr>
              <w:pStyle w:val="P68B1DB1-Normal35"/>
              <w:spacing w:after="0"/>
              <w:jc w:val="both"/>
              <w:rPr>
                <w:rFonts w:eastAsia="Times New Roman"/>
                <w:noProof/>
              </w:rPr>
            </w:pPr>
            <w:r>
              <w:rPr>
                <w:noProof/>
              </w:rPr>
              <w:t xml:space="preserve">Operacionalizacija uvođenja radnih iskaznica za radnike u kućanstvu </w:t>
            </w:r>
          </w:p>
        </w:tc>
        <w:tc>
          <w:tcPr>
            <w:tcW w:w="1275" w:type="dxa"/>
            <w:tcBorders>
              <w:top w:val="nil"/>
              <w:left w:val="nil"/>
              <w:bottom w:val="single" w:sz="4" w:space="0" w:color="auto"/>
              <w:right w:val="single" w:sz="4" w:space="0" w:color="auto"/>
            </w:tcBorders>
            <w:shd w:val="clear" w:color="auto" w:fill="C6EFCE"/>
            <w:noWrap/>
          </w:tcPr>
          <w:p w14:paraId="669356C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D74CA5D" w14:textId="77777777" w:rsidR="003F46B9" w:rsidRDefault="0065662E">
            <w:pPr>
              <w:pStyle w:val="P68B1DB1-Normal35"/>
              <w:spacing w:after="0"/>
              <w:jc w:val="both"/>
              <w:rPr>
                <w:rFonts w:eastAsia="Times New Roman"/>
                <w:noProof/>
              </w:rPr>
            </w:pPr>
            <w:r>
              <w:rPr>
                <w:noProof/>
              </w:rPr>
              <w:t xml:space="preserve">Početak rada funkcionalne digitalne platforme za upotrebu vaučera za radnike u </w:t>
            </w:r>
            <w:r>
              <w:rPr>
                <w:noProof/>
              </w:rPr>
              <w:t>kućanstvu</w:t>
            </w:r>
          </w:p>
        </w:tc>
      </w:tr>
      <w:tr w:rsidR="003F46B9" w14:paraId="1817E2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3A19EE" w14:textId="77777777" w:rsidR="003F46B9" w:rsidRDefault="0065662E">
            <w:pPr>
              <w:pStyle w:val="P68B1DB1-Normal35"/>
              <w:spacing w:after="0"/>
              <w:jc w:val="center"/>
              <w:rPr>
                <w:rFonts w:eastAsia="Times New Roman"/>
                <w:noProof/>
              </w:rPr>
            </w:pPr>
            <w:r>
              <w:rPr>
                <w:noProof/>
              </w:rPr>
              <w:t>417</w:t>
            </w:r>
          </w:p>
        </w:tc>
        <w:tc>
          <w:tcPr>
            <w:tcW w:w="3544" w:type="dxa"/>
            <w:tcBorders>
              <w:top w:val="nil"/>
              <w:left w:val="nil"/>
              <w:bottom w:val="single" w:sz="4" w:space="0" w:color="auto"/>
              <w:right w:val="single" w:sz="4" w:space="0" w:color="auto"/>
            </w:tcBorders>
            <w:shd w:val="clear" w:color="auto" w:fill="C6EFCE"/>
            <w:noWrap/>
          </w:tcPr>
          <w:p w14:paraId="7C01884A" w14:textId="77777777" w:rsidR="003F46B9" w:rsidRDefault="0065662E">
            <w:pPr>
              <w:pStyle w:val="P68B1DB1-Normal35"/>
              <w:spacing w:after="0"/>
              <w:jc w:val="both"/>
              <w:rPr>
                <w:noProof/>
              </w:rPr>
            </w:pPr>
            <w:r>
              <w:rPr>
                <w:noProof/>
              </w:rPr>
              <w:t>C14.R3</w:t>
            </w:r>
          </w:p>
          <w:p w14:paraId="61D66E00" w14:textId="77777777" w:rsidR="003F46B9" w:rsidRDefault="0065662E">
            <w:pPr>
              <w:pStyle w:val="P68B1DB1-Normal35"/>
              <w:spacing w:after="0"/>
              <w:jc w:val="both"/>
              <w:rPr>
                <w:rFonts w:eastAsia="Times New Roman"/>
                <w:noProof/>
              </w:rPr>
            </w:pPr>
            <w:r>
              <w:rPr>
                <w:noProof/>
              </w:rPr>
              <w:t>Razvoj uspješnosti upravljanja ljudskim resursima u javnom sektoru</w:t>
            </w:r>
          </w:p>
        </w:tc>
        <w:tc>
          <w:tcPr>
            <w:tcW w:w="1275" w:type="dxa"/>
            <w:tcBorders>
              <w:top w:val="nil"/>
              <w:left w:val="nil"/>
              <w:bottom w:val="single" w:sz="4" w:space="0" w:color="auto"/>
              <w:right w:val="single" w:sz="4" w:space="0" w:color="auto"/>
            </w:tcBorders>
            <w:shd w:val="clear" w:color="auto" w:fill="C6EFCE"/>
            <w:noWrap/>
          </w:tcPr>
          <w:p w14:paraId="7A46DE3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BC823F3" w14:textId="77777777" w:rsidR="003F46B9" w:rsidRDefault="0065662E">
            <w:pPr>
              <w:pStyle w:val="P68B1DB1-Normal35"/>
              <w:spacing w:after="0"/>
              <w:jc w:val="both"/>
              <w:rPr>
                <w:rFonts w:eastAsia="Times New Roman"/>
                <w:noProof/>
              </w:rPr>
            </w:pPr>
            <w:r>
              <w:rPr>
                <w:noProof/>
              </w:rPr>
              <w:t xml:space="preserve">Završetak najmanje dva nacionalna natječaja za zapošljavanje javnih službenika godišnje za najmanje tri kategorije/razreda javnih službenika </w:t>
            </w:r>
          </w:p>
        </w:tc>
      </w:tr>
      <w:tr w:rsidR="003F46B9" w14:paraId="1A85BC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662978" w14:textId="77777777" w:rsidR="003F46B9" w:rsidRDefault="0065662E">
            <w:pPr>
              <w:pStyle w:val="P68B1DB1-Normal35"/>
              <w:spacing w:after="0"/>
              <w:jc w:val="center"/>
              <w:rPr>
                <w:rFonts w:eastAsia="Times New Roman"/>
                <w:noProof/>
              </w:rPr>
            </w:pPr>
            <w:r>
              <w:rPr>
                <w:noProof/>
              </w:rPr>
              <w:t>436</w:t>
            </w:r>
          </w:p>
        </w:tc>
        <w:tc>
          <w:tcPr>
            <w:tcW w:w="3544" w:type="dxa"/>
            <w:tcBorders>
              <w:top w:val="nil"/>
              <w:left w:val="nil"/>
              <w:bottom w:val="single" w:sz="4" w:space="0" w:color="auto"/>
              <w:right w:val="single" w:sz="4" w:space="0" w:color="auto"/>
            </w:tcBorders>
            <w:shd w:val="clear" w:color="auto" w:fill="C6EFCE"/>
            <w:noWrap/>
          </w:tcPr>
          <w:p w14:paraId="5551D8DA" w14:textId="77777777" w:rsidR="003F46B9" w:rsidRDefault="0065662E">
            <w:pPr>
              <w:pStyle w:val="P68B1DB1-Normal35"/>
              <w:spacing w:after="0"/>
              <w:jc w:val="both"/>
              <w:rPr>
                <w:noProof/>
              </w:rPr>
            </w:pPr>
            <w:r>
              <w:rPr>
                <w:noProof/>
              </w:rPr>
              <w:t>C14.R8</w:t>
            </w:r>
          </w:p>
          <w:p w14:paraId="3FF9117D" w14:textId="77777777" w:rsidR="003F46B9" w:rsidRDefault="0065662E">
            <w:pPr>
              <w:pStyle w:val="P68B1DB1-Normal35"/>
              <w:spacing w:after="0"/>
              <w:jc w:val="both"/>
              <w:rPr>
                <w:rFonts w:eastAsia="Times New Roman"/>
                <w:noProof/>
              </w:rPr>
            </w:pPr>
            <w:r>
              <w:rPr>
                <w:noProof/>
              </w:rPr>
              <w:t>Reforma nac</w:t>
            </w:r>
            <w:r>
              <w:rPr>
                <w:noProof/>
              </w:rPr>
              <w:t>ionalnog sustava javne nabave</w:t>
            </w:r>
          </w:p>
        </w:tc>
        <w:tc>
          <w:tcPr>
            <w:tcW w:w="1275" w:type="dxa"/>
            <w:tcBorders>
              <w:top w:val="nil"/>
              <w:left w:val="nil"/>
              <w:bottom w:val="single" w:sz="4" w:space="0" w:color="auto"/>
              <w:right w:val="single" w:sz="4" w:space="0" w:color="auto"/>
            </w:tcBorders>
            <w:shd w:val="clear" w:color="auto" w:fill="C6EFCE"/>
            <w:noWrap/>
          </w:tcPr>
          <w:p w14:paraId="5120D0A2"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2F0CA17" w14:textId="77777777" w:rsidR="003F46B9" w:rsidRDefault="0065662E">
            <w:pPr>
              <w:pStyle w:val="P68B1DB1-Normal35"/>
              <w:spacing w:after="0"/>
              <w:jc w:val="both"/>
              <w:rPr>
                <w:rFonts w:eastAsia="Times New Roman"/>
                <w:noProof/>
              </w:rPr>
            </w:pPr>
            <w:r>
              <w:rPr>
                <w:noProof/>
              </w:rPr>
              <w:t>Osigurano specijalizirano osposobljavanje u području javne nabave</w:t>
            </w:r>
          </w:p>
        </w:tc>
      </w:tr>
      <w:tr w:rsidR="003F46B9" w14:paraId="5C23F4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8F2DDC" w14:textId="77777777" w:rsidR="003F46B9" w:rsidRDefault="0065662E">
            <w:pPr>
              <w:pStyle w:val="P68B1DB1-Normal35"/>
              <w:spacing w:after="0"/>
              <w:jc w:val="center"/>
              <w:rPr>
                <w:rFonts w:eastAsia="Times New Roman"/>
                <w:noProof/>
              </w:rPr>
            </w:pPr>
            <w:r>
              <w:rPr>
                <w:noProof/>
              </w:rPr>
              <w:t>437</w:t>
            </w:r>
          </w:p>
        </w:tc>
        <w:tc>
          <w:tcPr>
            <w:tcW w:w="3544" w:type="dxa"/>
            <w:tcBorders>
              <w:top w:val="nil"/>
              <w:left w:val="nil"/>
              <w:bottom w:val="single" w:sz="4" w:space="0" w:color="auto"/>
              <w:right w:val="single" w:sz="4" w:space="0" w:color="auto"/>
            </w:tcBorders>
            <w:shd w:val="clear" w:color="auto" w:fill="C6EFCE"/>
            <w:noWrap/>
          </w:tcPr>
          <w:p w14:paraId="6ADF0BAA" w14:textId="77777777" w:rsidR="003F46B9" w:rsidRDefault="0065662E">
            <w:pPr>
              <w:pStyle w:val="P68B1DB1-Normal35"/>
              <w:spacing w:after="0"/>
              <w:jc w:val="both"/>
              <w:rPr>
                <w:noProof/>
              </w:rPr>
            </w:pPr>
            <w:r>
              <w:rPr>
                <w:noProof/>
              </w:rPr>
              <w:t>C14.R8</w:t>
            </w:r>
          </w:p>
          <w:p w14:paraId="09CF6230" w14:textId="77777777" w:rsidR="003F46B9" w:rsidRDefault="0065662E">
            <w:pPr>
              <w:pStyle w:val="P68B1DB1-Normal35"/>
              <w:spacing w:after="0"/>
              <w:jc w:val="both"/>
              <w:rPr>
                <w:rFonts w:eastAsia="Times New Roman"/>
                <w:noProof/>
              </w:rPr>
            </w:pPr>
            <w:r>
              <w:rPr>
                <w:noProof/>
              </w:rPr>
              <w:t>Reforma nacionalnog sustava javne nabave</w:t>
            </w:r>
          </w:p>
        </w:tc>
        <w:tc>
          <w:tcPr>
            <w:tcW w:w="1275" w:type="dxa"/>
            <w:tcBorders>
              <w:top w:val="nil"/>
              <w:left w:val="nil"/>
              <w:bottom w:val="single" w:sz="4" w:space="0" w:color="auto"/>
              <w:right w:val="single" w:sz="4" w:space="0" w:color="auto"/>
            </w:tcBorders>
            <w:shd w:val="clear" w:color="auto" w:fill="C6EFCE"/>
            <w:noWrap/>
          </w:tcPr>
          <w:p w14:paraId="73F66E6D"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FF74521" w14:textId="77777777" w:rsidR="003F46B9" w:rsidRDefault="0065662E">
            <w:pPr>
              <w:pStyle w:val="P68B1DB1-Normal35"/>
              <w:spacing w:after="0"/>
              <w:jc w:val="both"/>
              <w:rPr>
                <w:rFonts w:eastAsia="Times New Roman"/>
                <w:noProof/>
              </w:rPr>
            </w:pPr>
            <w:r>
              <w:rPr>
                <w:noProof/>
              </w:rPr>
              <w:t xml:space="preserve">Sustav elektroničkog sustava javne nabave (SEAP) međusobno je povezan i interoperabilan s drugim bazama podataka </w:t>
            </w:r>
          </w:p>
        </w:tc>
      </w:tr>
      <w:tr w:rsidR="003F46B9" w14:paraId="52D40A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73594D" w14:textId="77777777" w:rsidR="003F46B9" w:rsidRDefault="0065662E">
            <w:pPr>
              <w:pStyle w:val="P68B1DB1-Normal35"/>
              <w:spacing w:after="0"/>
              <w:jc w:val="center"/>
              <w:rPr>
                <w:rFonts w:eastAsia="Times New Roman"/>
                <w:noProof/>
              </w:rPr>
            </w:pPr>
            <w:r>
              <w:rPr>
                <w:noProof/>
              </w:rPr>
              <w:t>442</w:t>
            </w:r>
          </w:p>
        </w:tc>
        <w:tc>
          <w:tcPr>
            <w:tcW w:w="3544" w:type="dxa"/>
            <w:tcBorders>
              <w:top w:val="nil"/>
              <w:left w:val="nil"/>
              <w:bottom w:val="single" w:sz="4" w:space="0" w:color="auto"/>
              <w:right w:val="single" w:sz="4" w:space="0" w:color="auto"/>
            </w:tcBorders>
            <w:shd w:val="clear" w:color="auto" w:fill="C6EFCE"/>
            <w:noWrap/>
          </w:tcPr>
          <w:p w14:paraId="6635D056" w14:textId="77777777" w:rsidR="003F46B9" w:rsidRDefault="0065662E">
            <w:pPr>
              <w:pStyle w:val="P68B1DB1-Normal35"/>
              <w:spacing w:after="0"/>
              <w:jc w:val="both"/>
              <w:rPr>
                <w:noProof/>
              </w:rPr>
            </w:pPr>
            <w:r>
              <w:rPr>
                <w:noProof/>
              </w:rPr>
              <w:t>C14.R9</w:t>
            </w:r>
          </w:p>
          <w:p w14:paraId="39866CA0" w14:textId="77777777" w:rsidR="003F46B9" w:rsidRDefault="0065662E">
            <w:pPr>
              <w:pStyle w:val="P68B1DB1-Normal35"/>
              <w:spacing w:after="0"/>
              <w:jc w:val="both"/>
              <w:rPr>
                <w:rFonts w:eastAsia="Times New Roman"/>
                <w:noProof/>
              </w:rPr>
            </w:pPr>
            <w:r>
              <w:rPr>
                <w:noProof/>
              </w:rPr>
              <w:t xml:space="preserve"> Poboljšati postupovni okvir za provedbu načela korporativnog upravljanja u poduzećima u državnom vlasništvu </w:t>
            </w:r>
          </w:p>
        </w:tc>
        <w:tc>
          <w:tcPr>
            <w:tcW w:w="1275" w:type="dxa"/>
            <w:tcBorders>
              <w:top w:val="nil"/>
              <w:left w:val="nil"/>
              <w:bottom w:val="single" w:sz="4" w:space="0" w:color="auto"/>
              <w:right w:val="single" w:sz="4" w:space="0" w:color="auto"/>
            </w:tcBorders>
            <w:shd w:val="clear" w:color="auto" w:fill="C6EFCE"/>
            <w:noWrap/>
          </w:tcPr>
          <w:p w14:paraId="750219DA"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A6B754" w14:textId="77777777" w:rsidR="003F46B9" w:rsidRDefault="0065662E">
            <w:pPr>
              <w:pStyle w:val="P68B1DB1-Normal35"/>
              <w:spacing w:after="0"/>
              <w:jc w:val="both"/>
              <w:rPr>
                <w:rFonts w:eastAsia="Times New Roman"/>
                <w:noProof/>
              </w:rPr>
            </w:pPr>
            <w:r>
              <w:rPr>
                <w:noProof/>
              </w:rPr>
              <w:t>Smanjenje imenovan</w:t>
            </w:r>
            <w:r>
              <w:rPr>
                <w:noProof/>
              </w:rPr>
              <w:t>ja privremenih/privremenih upravnih odbora za 50 % za poduzeća u državnom vlasništvu na središnjoj razini</w:t>
            </w:r>
          </w:p>
        </w:tc>
      </w:tr>
      <w:tr w:rsidR="003F46B9" w14:paraId="062477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A49E02" w14:textId="77777777" w:rsidR="003F46B9" w:rsidRDefault="0065662E">
            <w:pPr>
              <w:pStyle w:val="P68B1DB1-Normal35"/>
              <w:spacing w:after="0"/>
              <w:jc w:val="center"/>
              <w:rPr>
                <w:rFonts w:eastAsia="Times New Roman"/>
                <w:noProof/>
              </w:rPr>
            </w:pPr>
            <w:r>
              <w:rPr>
                <w:noProof/>
              </w:rPr>
              <w:t>444</w:t>
            </w:r>
          </w:p>
        </w:tc>
        <w:tc>
          <w:tcPr>
            <w:tcW w:w="3544" w:type="dxa"/>
            <w:tcBorders>
              <w:top w:val="nil"/>
              <w:left w:val="nil"/>
              <w:bottom w:val="single" w:sz="4" w:space="0" w:color="auto"/>
              <w:right w:val="single" w:sz="4" w:space="0" w:color="auto"/>
            </w:tcBorders>
            <w:shd w:val="clear" w:color="auto" w:fill="C6EFCE"/>
            <w:noWrap/>
          </w:tcPr>
          <w:p w14:paraId="654E78B5" w14:textId="77777777" w:rsidR="003F46B9" w:rsidRDefault="0065662E">
            <w:pPr>
              <w:pStyle w:val="P68B1DB1-Normal35"/>
              <w:spacing w:after="0"/>
              <w:jc w:val="both"/>
              <w:rPr>
                <w:noProof/>
              </w:rPr>
            </w:pPr>
            <w:r>
              <w:rPr>
                <w:noProof/>
              </w:rPr>
              <w:t>C14.R9</w:t>
            </w:r>
          </w:p>
          <w:p w14:paraId="0E79AA9F" w14:textId="77777777" w:rsidR="003F46B9" w:rsidRDefault="0065662E">
            <w:pPr>
              <w:pStyle w:val="P68B1DB1-Normal35"/>
              <w:spacing w:after="0"/>
              <w:jc w:val="both"/>
              <w:rPr>
                <w:rFonts w:eastAsia="Times New Roman"/>
                <w:noProof/>
              </w:rPr>
            </w:pPr>
            <w:r>
              <w:rPr>
                <w:noProof/>
              </w:rPr>
              <w:t xml:space="preserve">Poboljšati postupovni okvir za provedbu načela korporativnog upravljanja u poduzećima u državnom vlasništvu </w:t>
            </w:r>
          </w:p>
        </w:tc>
        <w:tc>
          <w:tcPr>
            <w:tcW w:w="1275" w:type="dxa"/>
            <w:tcBorders>
              <w:top w:val="nil"/>
              <w:left w:val="nil"/>
              <w:bottom w:val="single" w:sz="4" w:space="0" w:color="auto"/>
              <w:right w:val="single" w:sz="4" w:space="0" w:color="auto"/>
            </w:tcBorders>
            <w:shd w:val="clear" w:color="auto" w:fill="C6EFCE"/>
            <w:noWrap/>
          </w:tcPr>
          <w:p w14:paraId="6C935AB1"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0B3CB2" w14:textId="77777777" w:rsidR="003F46B9" w:rsidRDefault="0065662E">
            <w:pPr>
              <w:pStyle w:val="P68B1DB1-Normal35"/>
              <w:spacing w:after="0"/>
              <w:jc w:val="both"/>
              <w:rPr>
                <w:rFonts w:eastAsia="Times New Roman"/>
                <w:noProof/>
              </w:rPr>
            </w:pPr>
            <w:r>
              <w:rPr>
                <w:noProof/>
              </w:rPr>
              <w:t xml:space="preserve">Smanjenje </w:t>
            </w:r>
            <w:r>
              <w:rPr>
                <w:noProof/>
              </w:rPr>
              <w:t>privremenih/privremenih imenovanja upravnog odbora za 10 % za poduzeća u državnom vlasništvu na lokalnoj razini</w:t>
            </w:r>
          </w:p>
        </w:tc>
      </w:tr>
      <w:tr w:rsidR="003F46B9" w14:paraId="3A62278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0430FB" w14:textId="4C7E3883" w:rsidR="003F46B9" w:rsidRDefault="0065662E">
            <w:pPr>
              <w:pStyle w:val="P68B1DB1-Normal35"/>
              <w:spacing w:after="0"/>
              <w:jc w:val="center"/>
              <w:rPr>
                <w:rFonts w:eastAsia="Times New Roman"/>
                <w:noProof/>
              </w:rPr>
            </w:pPr>
            <w:r>
              <w:rPr>
                <w:noProof/>
              </w:rPr>
              <w:t>508</w:t>
            </w:r>
          </w:p>
        </w:tc>
        <w:tc>
          <w:tcPr>
            <w:tcW w:w="3544" w:type="dxa"/>
            <w:tcBorders>
              <w:top w:val="nil"/>
              <w:left w:val="nil"/>
              <w:bottom w:val="single" w:sz="4" w:space="0" w:color="auto"/>
              <w:right w:val="single" w:sz="4" w:space="0" w:color="auto"/>
            </w:tcBorders>
            <w:shd w:val="clear" w:color="auto" w:fill="C6EFCE"/>
            <w:noWrap/>
          </w:tcPr>
          <w:p w14:paraId="7BD7F33C" w14:textId="77777777" w:rsidR="003F46B9" w:rsidRDefault="0065662E">
            <w:pPr>
              <w:pStyle w:val="P68B1DB1-Normal35"/>
              <w:spacing w:after="0"/>
              <w:jc w:val="both"/>
              <w:rPr>
                <w:noProof/>
              </w:rPr>
            </w:pPr>
            <w:r>
              <w:rPr>
                <w:noProof/>
              </w:rPr>
              <w:t>C16.R1</w:t>
            </w:r>
          </w:p>
          <w:p w14:paraId="2A37CAD7" w14:textId="0BD2E841" w:rsidR="003F46B9" w:rsidRDefault="0065662E">
            <w:pPr>
              <w:pStyle w:val="P68B1DB1-Normal35"/>
              <w:spacing w:after="0"/>
              <w:jc w:val="both"/>
              <w:rPr>
                <w:rFonts w:eastAsia="Times New Roman"/>
                <w:noProof/>
              </w:rPr>
            </w:pPr>
            <w:r>
              <w:rPr>
                <w:noProof/>
              </w:rPr>
              <w:t xml:space="preserve">Stvaranje pravnog okvira za korištenje državnog zemljišta kao područja ubrzavanja za ulaganja u obnovljive izvore energije </w:t>
            </w:r>
          </w:p>
        </w:tc>
        <w:tc>
          <w:tcPr>
            <w:tcW w:w="1275" w:type="dxa"/>
            <w:tcBorders>
              <w:top w:val="nil"/>
              <w:left w:val="nil"/>
              <w:bottom w:val="single" w:sz="4" w:space="0" w:color="auto"/>
              <w:right w:val="single" w:sz="4" w:space="0" w:color="auto"/>
            </w:tcBorders>
            <w:shd w:val="clear" w:color="auto" w:fill="C6EFCE"/>
            <w:noWrap/>
          </w:tcPr>
          <w:p w14:paraId="396D5FA4" w14:textId="3524BF16"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3FADFA2" w14:textId="2D79F230" w:rsidR="003F46B9" w:rsidRDefault="0065662E">
            <w:pPr>
              <w:pStyle w:val="P68B1DB1-Normal35"/>
              <w:spacing w:after="0"/>
              <w:jc w:val="both"/>
              <w:rPr>
                <w:rFonts w:eastAsia="Times New Roman"/>
                <w:noProof/>
              </w:rPr>
            </w:pPr>
            <w:r>
              <w:rPr>
                <w:noProof/>
              </w:rPr>
              <w:t>Izgradnja kapaciteta Agencije za državna područja (ADS)</w:t>
            </w:r>
          </w:p>
        </w:tc>
      </w:tr>
      <w:tr w:rsidR="003F46B9" w14:paraId="387F9C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292A860" w14:textId="77777777" w:rsidR="003F46B9" w:rsidRDefault="0065662E">
            <w:pPr>
              <w:pStyle w:val="P68B1DB1-Normal35"/>
              <w:spacing w:after="0"/>
              <w:jc w:val="center"/>
              <w:rPr>
                <w:noProof/>
              </w:rPr>
            </w:pPr>
            <w:r>
              <w:rPr>
                <w:noProof/>
              </w:rPr>
              <w:t>519</w:t>
            </w:r>
          </w:p>
        </w:tc>
        <w:tc>
          <w:tcPr>
            <w:tcW w:w="3544" w:type="dxa"/>
            <w:tcBorders>
              <w:top w:val="nil"/>
              <w:left w:val="nil"/>
              <w:bottom w:val="single" w:sz="4" w:space="0" w:color="auto"/>
              <w:right w:val="single" w:sz="4" w:space="0" w:color="auto"/>
            </w:tcBorders>
            <w:shd w:val="clear" w:color="auto" w:fill="C6EFCE"/>
            <w:noWrap/>
          </w:tcPr>
          <w:p w14:paraId="2F525846" w14:textId="77777777" w:rsidR="003F46B9" w:rsidRDefault="0065662E">
            <w:pPr>
              <w:pStyle w:val="P68B1DB1-Normal35"/>
              <w:spacing w:after="0"/>
              <w:jc w:val="both"/>
              <w:rPr>
                <w:noProof/>
              </w:rPr>
            </w:pPr>
            <w:r>
              <w:rPr>
                <w:noProof/>
              </w:rPr>
              <w:t>C16.I5b</w:t>
            </w:r>
          </w:p>
          <w:p w14:paraId="05113067" w14:textId="77777777" w:rsidR="003F46B9" w:rsidRDefault="0065662E">
            <w:pPr>
              <w:pStyle w:val="P68B1DB1-Normal35"/>
              <w:spacing w:after="0"/>
              <w:jc w:val="both"/>
              <w:rPr>
                <w:noProof/>
              </w:rPr>
            </w:pPr>
            <w:r>
              <w:rPr>
                <w:noProof/>
              </w:rPr>
              <w:t>Obnova kapaciteta SMART SA</w:t>
            </w:r>
          </w:p>
        </w:tc>
        <w:tc>
          <w:tcPr>
            <w:tcW w:w="1275" w:type="dxa"/>
            <w:tcBorders>
              <w:top w:val="nil"/>
              <w:left w:val="nil"/>
              <w:bottom w:val="single" w:sz="4" w:space="0" w:color="auto"/>
              <w:right w:val="single" w:sz="4" w:space="0" w:color="auto"/>
            </w:tcBorders>
            <w:shd w:val="clear" w:color="auto" w:fill="C6EFCE"/>
            <w:noWrap/>
          </w:tcPr>
          <w:p w14:paraId="7F7A910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C1A5019" w14:textId="77777777" w:rsidR="003F46B9" w:rsidRDefault="0065662E">
            <w:pPr>
              <w:pStyle w:val="P68B1DB1-Normal35"/>
              <w:spacing w:after="0"/>
              <w:jc w:val="both"/>
              <w:rPr>
                <w:noProof/>
              </w:rPr>
            </w:pPr>
            <w:r>
              <w:rPr>
                <w:noProof/>
              </w:rPr>
              <w:t>Potpisivanje ugovora o nabavi robe</w:t>
            </w:r>
          </w:p>
        </w:tc>
      </w:tr>
      <w:tr w:rsidR="003F46B9" w14:paraId="6CB1AD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2A30CE1" w14:textId="77777777" w:rsidR="003F46B9" w:rsidRDefault="0065662E">
            <w:pPr>
              <w:pStyle w:val="P68B1DB1-Normal35"/>
              <w:spacing w:after="0"/>
              <w:jc w:val="center"/>
              <w:rPr>
                <w:noProof/>
              </w:rPr>
            </w:pPr>
            <w:r>
              <w:rPr>
                <w:noProof/>
              </w:rPr>
              <w:t xml:space="preserve">353 </w:t>
            </w:r>
          </w:p>
        </w:tc>
        <w:tc>
          <w:tcPr>
            <w:tcW w:w="3544" w:type="dxa"/>
            <w:tcBorders>
              <w:top w:val="nil"/>
              <w:left w:val="nil"/>
              <w:bottom w:val="single" w:sz="4" w:space="0" w:color="auto"/>
              <w:right w:val="single" w:sz="4" w:space="0" w:color="auto"/>
            </w:tcBorders>
            <w:shd w:val="clear" w:color="auto" w:fill="C6EFCE"/>
            <w:noWrap/>
          </w:tcPr>
          <w:p w14:paraId="1431C053" w14:textId="77777777" w:rsidR="003F46B9" w:rsidRDefault="0065662E">
            <w:pPr>
              <w:pStyle w:val="P68B1DB1-Normal35"/>
              <w:spacing w:after="0"/>
              <w:jc w:val="both"/>
              <w:rPr>
                <w:noProof/>
              </w:rPr>
            </w:pPr>
            <w:r>
              <w:rPr>
                <w:noProof/>
              </w:rPr>
              <w:t>C12.R1</w:t>
            </w:r>
          </w:p>
          <w:p w14:paraId="53ABE68D" w14:textId="77777777" w:rsidR="003F46B9" w:rsidRDefault="0065662E">
            <w:pPr>
              <w:pStyle w:val="P68B1DB1-Normal35"/>
              <w:spacing w:after="0"/>
              <w:jc w:val="both"/>
              <w:rPr>
                <w:noProof/>
              </w:rPr>
            </w:pPr>
            <w:r>
              <w:rPr>
                <w:noProof/>
              </w:rPr>
              <w:t xml:space="preserve">Povećani kapacitet za upravljanje fondovima za javno zdravstvo </w:t>
            </w:r>
          </w:p>
        </w:tc>
        <w:tc>
          <w:tcPr>
            <w:tcW w:w="1275" w:type="dxa"/>
            <w:tcBorders>
              <w:top w:val="nil"/>
              <w:left w:val="nil"/>
              <w:bottom w:val="single" w:sz="4" w:space="0" w:color="auto"/>
              <w:right w:val="single" w:sz="4" w:space="0" w:color="auto"/>
            </w:tcBorders>
            <w:shd w:val="clear" w:color="auto" w:fill="C6EFCE"/>
            <w:noWrap/>
          </w:tcPr>
          <w:p w14:paraId="04B8841F" w14:textId="77777777" w:rsidR="003F46B9" w:rsidRDefault="0065662E">
            <w:pPr>
              <w:pStyle w:val="P68B1DB1-Normal35"/>
              <w:spacing w:after="0"/>
              <w:jc w:val="center"/>
              <w:rPr>
                <w:noProof/>
              </w:rPr>
            </w:pPr>
            <w:r>
              <w:rPr>
                <w:noProof/>
              </w:rPr>
              <w:t>Prekretnica</w:t>
            </w:r>
          </w:p>
        </w:tc>
        <w:tc>
          <w:tcPr>
            <w:tcW w:w="3402" w:type="dxa"/>
            <w:tcBorders>
              <w:top w:val="nil"/>
              <w:left w:val="nil"/>
              <w:bottom w:val="single" w:sz="4" w:space="0" w:color="auto"/>
              <w:right w:val="single" w:sz="4" w:space="0" w:color="auto"/>
            </w:tcBorders>
            <w:shd w:val="clear" w:color="auto" w:fill="C6EFCE"/>
            <w:noWrap/>
          </w:tcPr>
          <w:p w14:paraId="35B14505" w14:textId="77777777" w:rsidR="003F46B9" w:rsidRDefault="0065662E">
            <w:pPr>
              <w:pStyle w:val="P68B1DB1-Normal35"/>
              <w:spacing w:after="0"/>
              <w:jc w:val="both"/>
              <w:rPr>
                <w:noProof/>
              </w:rPr>
            </w:pPr>
            <w:r>
              <w:rPr>
                <w:noProof/>
              </w:rPr>
              <w:t xml:space="preserve">Stupanje na snagu zakonodavne </w:t>
            </w:r>
            <w:r>
              <w:rPr>
                <w:noProof/>
              </w:rPr>
              <w:t>izmjene koja je potrebna kako bi se rezultati revizije proračunske potrošnje uključili u proračunski postupak</w:t>
            </w:r>
          </w:p>
        </w:tc>
      </w:tr>
      <w:tr w:rsidR="003F46B9" w14:paraId="78E937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5FBB87" w14:textId="77777777" w:rsidR="003F46B9" w:rsidRDefault="0065662E">
            <w:pPr>
              <w:pStyle w:val="P68B1DB1-Normal35"/>
              <w:spacing w:after="0"/>
              <w:jc w:val="center"/>
              <w:rPr>
                <w:noProof/>
              </w:rPr>
            </w:pPr>
            <w:r>
              <w:rPr>
                <w:noProof/>
              </w:rPr>
              <w:t>459</w:t>
            </w:r>
          </w:p>
        </w:tc>
        <w:tc>
          <w:tcPr>
            <w:tcW w:w="3544" w:type="dxa"/>
            <w:tcBorders>
              <w:top w:val="nil"/>
              <w:left w:val="nil"/>
              <w:bottom w:val="single" w:sz="4" w:space="0" w:color="auto"/>
              <w:right w:val="single" w:sz="4" w:space="0" w:color="auto"/>
            </w:tcBorders>
            <w:shd w:val="clear" w:color="auto" w:fill="C6EFCE"/>
            <w:noWrap/>
          </w:tcPr>
          <w:p w14:paraId="2EAA1E8F" w14:textId="77777777" w:rsidR="003F46B9" w:rsidRDefault="0065662E">
            <w:pPr>
              <w:pStyle w:val="P68B1DB1-Normal35"/>
              <w:spacing w:after="0"/>
              <w:jc w:val="both"/>
              <w:rPr>
                <w:noProof/>
              </w:rPr>
            </w:pPr>
            <w:r>
              <w:rPr>
                <w:noProof/>
              </w:rPr>
              <w:t>C15.I2</w:t>
            </w:r>
          </w:p>
          <w:p w14:paraId="4F6318CF" w14:textId="77777777" w:rsidR="003F46B9" w:rsidRDefault="0065662E">
            <w:pPr>
              <w:pStyle w:val="P68B1DB1-Normal35"/>
              <w:spacing w:after="0"/>
              <w:jc w:val="both"/>
              <w:rPr>
                <w:noProof/>
              </w:rPr>
            </w:pPr>
            <w:r>
              <w:rPr>
                <w:noProof/>
              </w:rPr>
              <w:t>Uspostava, opremanje i operacionalizacija 412 komplementarnih usluga za skupine u nepovoljnom položaju</w:t>
            </w:r>
          </w:p>
        </w:tc>
        <w:tc>
          <w:tcPr>
            <w:tcW w:w="1275" w:type="dxa"/>
            <w:tcBorders>
              <w:top w:val="nil"/>
              <w:left w:val="nil"/>
              <w:bottom w:val="single" w:sz="4" w:space="0" w:color="auto"/>
              <w:right w:val="single" w:sz="4" w:space="0" w:color="auto"/>
            </w:tcBorders>
            <w:shd w:val="clear" w:color="auto" w:fill="C6EFCE"/>
            <w:noWrap/>
          </w:tcPr>
          <w:p w14:paraId="27BB9445"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233D117" w14:textId="77777777" w:rsidR="003F46B9" w:rsidRDefault="0065662E">
            <w:pPr>
              <w:pStyle w:val="P68B1DB1-Normal35"/>
              <w:spacing w:after="0"/>
              <w:jc w:val="both"/>
              <w:rPr>
                <w:noProof/>
              </w:rPr>
            </w:pPr>
            <w:r>
              <w:rPr>
                <w:noProof/>
              </w:rPr>
              <w:t xml:space="preserve">Uspostava, opremanje i </w:t>
            </w:r>
            <w:r>
              <w:rPr>
                <w:noProof/>
              </w:rPr>
              <w:t>djelovanje dodatnih usluga</w:t>
            </w:r>
          </w:p>
        </w:tc>
      </w:tr>
      <w:tr w:rsidR="003F46B9" w14:paraId="158D5A4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0D674C" w14:textId="77777777" w:rsidR="003F46B9" w:rsidRDefault="0065662E">
            <w:pPr>
              <w:pStyle w:val="P68B1DB1-Normal35"/>
              <w:spacing w:after="0"/>
              <w:jc w:val="center"/>
              <w:rPr>
                <w:noProof/>
              </w:rPr>
            </w:pPr>
            <w:r>
              <w:rPr>
                <w:noProof/>
              </w:rPr>
              <w:t>60</w:t>
            </w:r>
          </w:p>
        </w:tc>
        <w:tc>
          <w:tcPr>
            <w:tcW w:w="3544" w:type="dxa"/>
            <w:tcBorders>
              <w:top w:val="nil"/>
              <w:left w:val="nil"/>
              <w:bottom w:val="single" w:sz="4" w:space="0" w:color="auto"/>
              <w:right w:val="single" w:sz="4" w:space="0" w:color="auto"/>
            </w:tcBorders>
            <w:shd w:val="clear" w:color="auto" w:fill="C6EFCE"/>
            <w:noWrap/>
          </w:tcPr>
          <w:p w14:paraId="6B408348" w14:textId="77777777" w:rsidR="003F46B9" w:rsidRDefault="0065662E">
            <w:pPr>
              <w:pStyle w:val="P68B1DB1-Normal35"/>
              <w:spacing w:after="0"/>
              <w:jc w:val="both"/>
              <w:rPr>
                <w:noProof/>
              </w:rPr>
            </w:pPr>
            <w:r>
              <w:rPr>
                <w:noProof/>
              </w:rPr>
              <w:t>C4.R1</w:t>
            </w:r>
          </w:p>
          <w:p w14:paraId="24F95599" w14:textId="77777777" w:rsidR="003F46B9" w:rsidRDefault="0065662E">
            <w:pPr>
              <w:pStyle w:val="P68B1DB1-Normal35"/>
              <w:spacing w:after="0"/>
              <w:jc w:val="both"/>
              <w:rPr>
                <w:noProof/>
              </w:rPr>
            </w:pPr>
            <w:r>
              <w:rPr>
                <w:noProof/>
              </w:rPr>
              <w:t>Održivi promet, dekarbonizacija i sigurnost na cestama/</w:t>
            </w:r>
          </w:p>
          <w:p w14:paraId="0C558C8D" w14:textId="77777777" w:rsidR="003F46B9" w:rsidRDefault="0065662E">
            <w:pPr>
              <w:pStyle w:val="P68B1DB1-Normal35"/>
              <w:spacing w:after="0"/>
              <w:jc w:val="both"/>
              <w:rPr>
                <w:noProof/>
              </w:rPr>
            </w:pPr>
            <w:r>
              <w:rPr>
                <w:noProof/>
              </w:rPr>
              <w:t>Dekarbonizacija cesta u skladu s načelom „onečišćivač plaća”</w:t>
            </w:r>
          </w:p>
        </w:tc>
        <w:tc>
          <w:tcPr>
            <w:tcW w:w="1275" w:type="dxa"/>
            <w:tcBorders>
              <w:top w:val="nil"/>
              <w:left w:val="nil"/>
              <w:bottom w:val="single" w:sz="4" w:space="0" w:color="auto"/>
              <w:right w:val="single" w:sz="4" w:space="0" w:color="auto"/>
            </w:tcBorders>
            <w:shd w:val="clear" w:color="auto" w:fill="C6EFCE"/>
            <w:noWrap/>
          </w:tcPr>
          <w:p w14:paraId="48FDB90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8AFA658" w14:textId="77777777" w:rsidR="003F46B9" w:rsidRDefault="0065662E">
            <w:pPr>
              <w:pStyle w:val="P68B1DB1-Normal35"/>
              <w:spacing w:after="0"/>
              <w:jc w:val="both"/>
              <w:rPr>
                <w:noProof/>
              </w:rPr>
            </w:pPr>
            <w:r>
              <w:rPr>
                <w:noProof/>
              </w:rPr>
              <w:t>Stupanje na snagu zakona za poticanje upotrebe čistih vozila i programa obnove voznog parka za domać</w:t>
            </w:r>
            <w:r>
              <w:rPr>
                <w:noProof/>
              </w:rPr>
              <w:t>e korisnike, privatna poduzeća i javne institucije</w:t>
            </w:r>
          </w:p>
        </w:tc>
      </w:tr>
      <w:tr w:rsidR="003F46B9" w14:paraId="14C930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CD4D9A" w14:textId="77777777" w:rsidR="003F46B9" w:rsidRDefault="0065662E">
            <w:pPr>
              <w:pStyle w:val="P68B1DB1-Normal35"/>
              <w:spacing w:after="0"/>
              <w:jc w:val="center"/>
              <w:rPr>
                <w:noProof/>
              </w:rPr>
            </w:pPr>
            <w:r>
              <w:rPr>
                <w:noProof/>
              </w:rPr>
              <w:t>392</w:t>
            </w:r>
          </w:p>
        </w:tc>
        <w:tc>
          <w:tcPr>
            <w:tcW w:w="3544" w:type="dxa"/>
            <w:tcBorders>
              <w:top w:val="nil"/>
              <w:left w:val="nil"/>
              <w:bottom w:val="single" w:sz="4" w:space="0" w:color="auto"/>
              <w:right w:val="single" w:sz="4" w:space="0" w:color="auto"/>
            </w:tcBorders>
            <w:shd w:val="clear" w:color="auto" w:fill="C6EFCE"/>
            <w:noWrap/>
          </w:tcPr>
          <w:p w14:paraId="6126F7CB" w14:textId="77777777" w:rsidR="003F46B9" w:rsidRDefault="0065662E">
            <w:pPr>
              <w:pStyle w:val="P68B1DB1-Normal35"/>
              <w:spacing w:after="0"/>
              <w:jc w:val="both"/>
              <w:rPr>
                <w:noProof/>
              </w:rPr>
            </w:pPr>
            <w:r>
              <w:rPr>
                <w:noProof/>
              </w:rPr>
              <w:t>C13.R5</w:t>
            </w:r>
          </w:p>
          <w:p w14:paraId="2EFD017C" w14:textId="77777777" w:rsidR="003F46B9" w:rsidRDefault="0065662E">
            <w:pPr>
              <w:pStyle w:val="P68B1DB1-Normal35"/>
              <w:spacing w:after="0"/>
              <w:jc w:val="both"/>
              <w:rPr>
                <w:noProof/>
              </w:rPr>
            </w:pPr>
            <w:r>
              <w:rPr>
                <w:noProof/>
              </w:rPr>
              <w:t xml:space="preserve">Osigurati određivanje minimalne plaće </w:t>
            </w:r>
          </w:p>
        </w:tc>
        <w:tc>
          <w:tcPr>
            <w:tcW w:w="1275" w:type="dxa"/>
            <w:tcBorders>
              <w:top w:val="nil"/>
              <w:left w:val="nil"/>
              <w:bottom w:val="single" w:sz="4" w:space="0" w:color="auto"/>
              <w:right w:val="single" w:sz="4" w:space="0" w:color="auto"/>
            </w:tcBorders>
            <w:shd w:val="clear" w:color="auto" w:fill="C6EFCE"/>
            <w:noWrap/>
            <w:vAlign w:val="center"/>
          </w:tcPr>
          <w:p w14:paraId="3B2ECA9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D1FB757" w14:textId="77777777" w:rsidR="003F46B9" w:rsidRDefault="0065662E">
            <w:pPr>
              <w:pStyle w:val="P68B1DB1-Normal35"/>
              <w:spacing w:after="0"/>
              <w:jc w:val="both"/>
              <w:rPr>
                <w:noProof/>
              </w:rPr>
            </w:pPr>
            <w:r>
              <w:rPr>
                <w:noProof/>
              </w:rPr>
              <w:t>Stupanje na snagu uredbe kojom se uređuje novi sustav određivanja minimalne plaće</w:t>
            </w:r>
          </w:p>
        </w:tc>
      </w:tr>
      <w:tr w:rsidR="003F46B9" w14:paraId="6340439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683B97" w14:textId="77777777" w:rsidR="003F46B9" w:rsidRDefault="0065662E">
            <w:pPr>
              <w:pStyle w:val="P68B1DB1-Normal35"/>
              <w:spacing w:after="0"/>
              <w:jc w:val="center"/>
              <w:rPr>
                <w:noProof/>
              </w:rPr>
            </w:pPr>
            <w:r>
              <w:rPr>
                <w:noProof/>
              </w:rPr>
              <w:t>360</w:t>
            </w:r>
          </w:p>
        </w:tc>
        <w:tc>
          <w:tcPr>
            <w:tcW w:w="3544" w:type="dxa"/>
            <w:tcBorders>
              <w:top w:val="nil"/>
              <w:left w:val="nil"/>
              <w:bottom w:val="single" w:sz="4" w:space="0" w:color="auto"/>
              <w:right w:val="single" w:sz="4" w:space="0" w:color="auto"/>
            </w:tcBorders>
            <w:shd w:val="clear" w:color="auto" w:fill="C6EFCE"/>
            <w:noWrap/>
          </w:tcPr>
          <w:p w14:paraId="0AC2CAC1" w14:textId="77777777" w:rsidR="003F46B9" w:rsidRDefault="0065662E">
            <w:pPr>
              <w:pStyle w:val="P68B1DB1-Normal35"/>
              <w:spacing w:after="0"/>
              <w:jc w:val="both"/>
              <w:rPr>
                <w:noProof/>
              </w:rPr>
            </w:pPr>
            <w:r>
              <w:rPr>
                <w:noProof/>
              </w:rPr>
              <w:t>C12.R3</w:t>
            </w:r>
          </w:p>
          <w:p w14:paraId="6DE8F8BF" w14:textId="77777777" w:rsidR="003F46B9" w:rsidRDefault="0065662E">
            <w:pPr>
              <w:pStyle w:val="P68B1DB1-Normal35"/>
              <w:spacing w:after="0"/>
              <w:jc w:val="both"/>
              <w:rPr>
                <w:noProof/>
              </w:rPr>
            </w:pPr>
            <w:r>
              <w:rPr>
                <w:noProof/>
              </w:rPr>
              <w:t xml:space="preserve">Povećani kapaciteti za upravljanje zdravljem i ljudske </w:t>
            </w:r>
            <w:r>
              <w:rPr>
                <w:noProof/>
              </w:rPr>
              <w:t>resurse u zdravstvu</w:t>
            </w:r>
          </w:p>
        </w:tc>
        <w:tc>
          <w:tcPr>
            <w:tcW w:w="1275" w:type="dxa"/>
            <w:tcBorders>
              <w:top w:val="nil"/>
              <w:left w:val="nil"/>
              <w:bottom w:val="single" w:sz="4" w:space="0" w:color="auto"/>
              <w:right w:val="single" w:sz="4" w:space="0" w:color="auto"/>
            </w:tcBorders>
            <w:shd w:val="clear" w:color="auto" w:fill="C6EFCE"/>
            <w:noWrap/>
          </w:tcPr>
          <w:p w14:paraId="1D9B9ECA"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6277855" w14:textId="5CF4A4AA" w:rsidR="003F46B9" w:rsidRDefault="0065662E">
            <w:pPr>
              <w:pStyle w:val="P68B1DB1-Normal35"/>
              <w:spacing w:after="0"/>
              <w:jc w:val="both"/>
              <w:rPr>
                <w:noProof/>
              </w:rPr>
            </w:pPr>
            <w:r>
              <w:rPr>
                <w:noProof/>
              </w:rPr>
              <w:t xml:space="preserve">Izgradnja i potpuno opremanje dvaju novih centara za razvoj vještina za javno zdravstveno osoblje </w:t>
            </w:r>
          </w:p>
        </w:tc>
      </w:tr>
      <w:tr w:rsidR="003F46B9" w14:paraId="1D0F14A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6F1696" w14:textId="77777777" w:rsidR="003F46B9" w:rsidRDefault="0065662E">
            <w:pPr>
              <w:pStyle w:val="P68B1DB1-Normal35"/>
              <w:spacing w:after="0"/>
              <w:jc w:val="center"/>
              <w:rPr>
                <w:noProof/>
              </w:rPr>
            </w:pPr>
            <w:r>
              <w:rPr>
                <w:noProof/>
              </w:rPr>
              <w:t>385</w:t>
            </w:r>
          </w:p>
        </w:tc>
        <w:tc>
          <w:tcPr>
            <w:tcW w:w="3544" w:type="dxa"/>
            <w:tcBorders>
              <w:top w:val="nil"/>
              <w:left w:val="nil"/>
              <w:bottom w:val="single" w:sz="4" w:space="0" w:color="auto"/>
              <w:right w:val="single" w:sz="4" w:space="0" w:color="auto"/>
            </w:tcBorders>
            <w:shd w:val="clear" w:color="auto" w:fill="C6EFCE"/>
            <w:noWrap/>
            <w:vAlign w:val="center"/>
          </w:tcPr>
          <w:p w14:paraId="47C23A94" w14:textId="77777777" w:rsidR="003F46B9" w:rsidRDefault="0065662E">
            <w:pPr>
              <w:pStyle w:val="P68B1DB1-Normal35"/>
              <w:spacing w:after="0"/>
              <w:jc w:val="both"/>
              <w:rPr>
                <w:noProof/>
              </w:rPr>
            </w:pPr>
            <w:r>
              <w:rPr>
                <w:noProof/>
              </w:rPr>
              <w:t>C13.R3</w:t>
            </w:r>
          </w:p>
          <w:p w14:paraId="014E218D" w14:textId="77777777" w:rsidR="003F46B9" w:rsidRDefault="0065662E">
            <w:pPr>
              <w:pStyle w:val="P68B1DB1-Normal35"/>
              <w:spacing w:after="0"/>
              <w:jc w:val="both"/>
              <w:rPr>
                <w:noProof/>
              </w:rPr>
            </w:pPr>
            <w:r>
              <w:rPr>
                <w:noProof/>
              </w:rPr>
              <w:t>Provedba minimalnog dohotka za uključivanje (VMI)</w:t>
            </w:r>
          </w:p>
        </w:tc>
        <w:tc>
          <w:tcPr>
            <w:tcW w:w="1275" w:type="dxa"/>
            <w:tcBorders>
              <w:top w:val="nil"/>
              <w:left w:val="nil"/>
              <w:bottom w:val="single" w:sz="4" w:space="0" w:color="auto"/>
              <w:right w:val="single" w:sz="4" w:space="0" w:color="auto"/>
            </w:tcBorders>
            <w:shd w:val="clear" w:color="auto" w:fill="C6EFCE"/>
            <w:noWrap/>
            <w:vAlign w:val="center"/>
          </w:tcPr>
          <w:p w14:paraId="2D69D346"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vAlign w:val="center"/>
          </w:tcPr>
          <w:p w14:paraId="4FDAEEFC" w14:textId="77777777" w:rsidR="003F46B9" w:rsidRDefault="0065662E">
            <w:pPr>
              <w:pStyle w:val="P68B1DB1-Normal35"/>
              <w:spacing w:after="0"/>
              <w:jc w:val="both"/>
              <w:rPr>
                <w:noProof/>
              </w:rPr>
            </w:pPr>
            <w:r>
              <w:rPr>
                <w:noProof/>
              </w:rPr>
              <w:t xml:space="preserve">Broj dodatnih prihvatljivih obiteljskih primatelja poboljšanog programa </w:t>
            </w:r>
          </w:p>
        </w:tc>
      </w:tr>
      <w:tr w:rsidR="003F46B9" w14:paraId="031E9E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96FC77" w14:textId="77777777" w:rsidR="003F46B9" w:rsidRDefault="0065662E">
            <w:pPr>
              <w:pStyle w:val="P68B1DB1-Normal35"/>
              <w:spacing w:after="0"/>
              <w:jc w:val="center"/>
              <w:rPr>
                <w:noProof/>
              </w:rPr>
            </w:pPr>
            <w:r>
              <w:rPr>
                <w:noProof/>
              </w:rPr>
              <w:t>374</w:t>
            </w:r>
          </w:p>
        </w:tc>
        <w:tc>
          <w:tcPr>
            <w:tcW w:w="3544" w:type="dxa"/>
            <w:tcBorders>
              <w:top w:val="nil"/>
              <w:left w:val="nil"/>
              <w:bottom w:val="single" w:sz="4" w:space="0" w:color="auto"/>
              <w:right w:val="single" w:sz="4" w:space="0" w:color="auto"/>
            </w:tcBorders>
            <w:shd w:val="clear" w:color="auto" w:fill="C6EFCE"/>
            <w:noWrap/>
          </w:tcPr>
          <w:p w14:paraId="49603FDD" w14:textId="77777777" w:rsidR="003F46B9" w:rsidRDefault="0065662E">
            <w:pPr>
              <w:pStyle w:val="P68B1DB1-Normal35"/>
              <w:spacing w:after="0"/>
              <w:jc w:val="both"/>
              <w:rPr>
                <w:noProof/>
              </w:rPr>
            </w:pPr>
            <w:r>
              <w:rPr>
                <w:noProof/>
              </w:rPr>
              <w:t>C12.I1</w:t>
            </w:r>
          </w:p>
          <w:p w14:paraId="0C7EEAF0" w14:textId="1ECC9BC6" w:rsidR="003F46B9" w:rsidRDefault="0065662E">
            <w:pPr>
              <w:pStyle w:val="P68B1DB1-Normal35"/>
              <w:spacing w:after="0"/>
              <w:jc w:val="both"/>
              <w:rPr>
                <w:noProof/>
              </w:rPr>
            </w:pPr>
            <w:r>
              <w:rPr>
                <w:noProof/>
              </w:rPr>
              <w:t xml:space="preserve">Razvoj pretbolničke medicinske infrastrukture </w:t>
            </w:r>
          </w:p>
        </w:tc>
        <w:tc>
          <w:tcPr>
            <w:tcW w:w="1275" w:type="dxa"/>
            <w:tcBorders>
              <w:top w:val="nil"/>
              <w:left w:val="nil"/>
              <w:bottom w:val="single" w:sz="4" w:space="0" w:color="auto"/>
              <w:right w:val="single" w:sz="4" w:space="0" w:color="auto"/>
            </w:tcBorders>
            <w:shd w:val="clear" w:color="auto" w:fill="C6EFCE"/>
            <w:noWrap/>
          </w:tcPr>
          <w:p w14:paraId="7C07B10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1E7FEE" w14:textId="77777777" w:rsidR="003F46B9" w:rsidRDefault="0065662E">
            <w:pPr>
              <w:pStyle w:val="P68B1DB1-Normal35"/>
              <w:spacing w:after="0"/>
              <w:jc w:val="both"/>
              <w:rPr>
                <w:noProof/>
              </w:rPr>
            </w:pPr>
            <w:r>
              <w:rPr>
                <w:noProof/>
              </w:rPr>
              <w:t>Povećanje broja preventivnih savjetovanja</w:t>
            </w:r>
          </w:p>
        </w:tc>
      </w:tr>
      <w:tr w:rsidR="003F46B9" w14:paraId="7F3809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A096AE" w14:textId="77777777" w:rsidR="003F46B9" w:rsidRDefault="0065662E">
            <w:pPr>
              <w:pStyle w:val="P68B1DB1-Normal35"/>
              <w:spacing w:after="0"/>
              <w:jc w:val="center"/>
              <w:rPr>
                <w:noProof/>
              </w:rPr>
            </w:pPr>
            <w:r>
              <w:rPr>
                <w:noProof/>
              </w:rPr>
              <w:t>375</w:t>
            </w:r>
          </w:p>
        </w:tc>
        <w:tc>
          <w:tcPr>
            <w:tcW w:w="3544" w:type="dxa"/>
            <w:tcBorders>
              <w:top w:val="nil"/>
              <w:left w:val="nil"/>
              <w:bottom w:val="single" w:sz="4" w:space="0" w:color="auto"/>
              <w:right w:val="single" w:sz="4" w:space="0" w:color="auto"/>
            </w:tcBorders>
            <w:shd w:val="clear" w:color="auto" w:fill="C6EFCE"/>
            <w:noWrap/>
          </w:tcPr>
          <w:p w14:paraId="53C176E4" w14:textId="77777777" w:rsidR="003F46B9" w:rsidRDefault="0065662E">
            <w:pPr>
              <w:pStyle w:val="P68B1DB1-Normal35"/>
              <w:spacing w:after="0"/>
              <w:jc w:val="both"/>
              <w:rPr>
                <w:noProof/>
              </w:rPr>
            </w:pPr>
            <w:r>
              <w:rPr>
                <w:noProof/>
              </w:rPr>
              <w:t>C12.I2</w:t>
            </w:r>
          </w:p>
          <w:p w14:paraId="3FFAE5F7" w14:textId="2570604D" w:rsidR="003F46B9" w:rsidRDefault="0065662E">
            <w:pPr>
              <w:pStyle w:val="P68B1DB1-Normal35"/>
              <w:spacing w:after="0"/>
              <w:jc w:val="both"/>
              <w:rPr>
                <w:noProof/>
              </w:rPr>
            </w:pPr>
            <w:r>
              <w:rPr>
                <w:noProof/>
              </w:rPr>
              <w:t xml:space="preserve">Razvoj javne bolničke infrastrukture </w:t>
            </w:r>
          </w:p>
        </w:tc>
        <w:tc>
          <w:tcPr>
            <w:tcW w:w="1275" w:type="dxa"/>
            <w:tcBorders>
              <w:top w:val="nil"/>
              <w:left w:val="nil"/>
              <w:bottom w:val="single" w:sz="4" w:space="0" w:color="auto"/>
              <w:right w:val="single" w:sz="4" w:space="0" w:color="auto"/>
            </w:tcBorders>
            <w:shd w:val="clear" w:color="auto" w:fill="C6EFCE"/>
            <w:noWrap/>
          </w:tcPr>
          <w:p w14:paraId="1755061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3D7F753" w14:textId="77777777" w:rsidR="003F46B9" w:rsidRDefault="0065662E">
            <w:pPr>
              <w:pStyle w:val="P68B1DB1-Normal35"/>
              <w:spacing w:after="0"/>
              <w:jc w:val="both"/>
              <w:rPr>
                <w:noProof/>
              </w:rPr>
            </w:pPr>
            <w:r>
              <w:rPr>
                <w:noProof/>
              </w:rPr>
              <w:t xml:space="preserve">Javne bolnice koje imaju </w:t>
            </w:r>
            <w:r>
              <w:rPr>
                <w:noProof/>
              </w:rPr>
              <w:t>koristi od opreme i materijala za smanjenje rizika od infekcija</w:t>
            </w:r>
          </w:p>
        </w:tc>
      </w:tr>
      <w:tr w:rsidR="003F46B9" w14:paraId="633866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3DF2D8B" w14:textId="77777777" w:rsidR="003F46B9" w:rsidRDefault="0065662E">
            <w:pPr>
              <w:pStyle w:val="P68B1DB1-Normal35"/>
              <w:spacing w:after="0"/>
              <w:jc w:val="center"/>
              <w:rPr>
                <w:noProof/>
              </w:rPr>
            </w:pPr>
            <w:r>
              <w:rPr>
                <w:noProof/>
              </w:rPr>
              <w:t>460</w:t>
            </w:r>
          </w:p>
        </w:tc>
        <w:tc>
          <w:tcPr>
            <w:tcW w:w="3544" w:type="dxa"/>
            <w:tcBorders>
              <w:top w:val="nil"/>
              <w:left w:val="nil"/>
              <w:bottom w:val="single" w:sz="4" w:space="0" w:color="auto"/>
              <w:right w:val="single" w:sz="4" w:space="0" w:color="auto"/>
            </w:tcBorders>
            <w:shd w:val="clear" w:color="auto" w:fill="C6EFCE"/>
            <w:noWrap/>
          </w:tcPr>
          <w:p w14:paraId="43E2E146" w14:textId="77777777" w:rsidR="003F46B9" w:rsidRDefault="0065662E">
            <w:pPr>
              <w:pStyle w:val="P68B1DB1-Normal35"/>
              <w:spacing w:after="0"/>
              <w:jc w:val="both"/>
              <w:rPr>
                <w:noProof/>
              </w:rPr>
            </w:pPr>
            <w:r>
              <w:rPr>
                <w:noProof/>
              </w:rPr>
              <w:t>C15.I3</w:t>
            </w:r>
          </w:p>
          <w:p w14:paraId="71E9019C" w14:textId="77777777" w:rsidR="003F46B9" w:rsidRDefault="0065662E">
            <w:pPr>
              <w:pStyle w:val="P68B1DB1-Normal35"/>
              <w:spacing w:after="0"/>
              <w:jc w:val="both"/>
              <w:rPr>
                <w:noProof/>
              </w:rPr>
            </w:pPr>
            <w:r>
              <w:rPr>
                <w:noProof/>
              </w:rPr>
              <w:t>Razvoj okvirnog programa za trajno osposobljavanje stručnjaka u području usluga ranog i predškolskog odgoja i obrazovanja</w:t>
            </w:r>
          </w:p>
        </w:tc>
        <w:tc>
          <w:tcPr>
            <w:tcW w:w="1275" w:type="dxa"/>
            <w:tcBorders>
              <w:top w:val="nil"/>
              <w:left w:val="nil"/>
              <w:bottom w:val="single" w:sz="4" w:space="0" w:color="auto"/>
              <w:right w:val="single" w:sz="4" w:space="0" w:color="auto"/>
            </w:tcBorders>
            <w:shd w:val="clear" w:color="auto" w:fill="C6EFCE"/>
            <w:noWrap/>
          </w:tcPr>
          <w:p w14:paraId="12EFACF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FCA695A" w14:textId="77777777" w:rsidR="003F46B9" w:rsidRDefault="0065662E">
            <w:pPr>
              <w:pStyle w:val="P68B1DB1-Normal35"/>
              <w:spacing w:after="0"/>
              <w:jc w:val="both"/>
              <w:rPr>
                <w:noProof/>
              </w:rPr>
            </w:pPr>
            <w:r>
              <w:rPr>
                <w:noProof/>
              </w:rPr>
              <w:t>Predavači u kurikulumu i obučeni u područjima praćenja</w:t>
            </w:r>
          </w:p>
        </w:tc>
      </w:tr>
      <w:tr w:rsidR="003F46B9" w14:paraId="0AF2FC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5BA8D0B" w14:textId="77777777" w:rsidR="003F46B9" w:rsidRDefault="0065662E">
            <w:pPr>
              <w:pStyle w:val="P68B1DB1-Normal35"/>
              <w:spacing w:after="0"/>
              <w:jc w:val="center"/>
              <w:rPr>
                <w:noProof/>
              </w:rPr>
            </w:pPr>
            <w:r>
              <w:rPr>
                <w:noProof/>
              </w:rPr>
              <w:t>479</w:t>
            </w:r>
          </w:p>
        </w:tc>
        <w:tc>
          <w:tcPr>
            <w:tcW w:w="3544" w:type="dxa"/>
            <w:tcBorders>
              <w:top w:val="nil"/>
              <w:left w:val="nil"/>
              <w:bottom w:val="single" w:sz="4" w:space="0" w:color="auto"/>
              <w:right w:val="single" w:sz="4" w:space="0" w:color="auto"/>
            </w:tcBorders>
            <w:shd w:val="clear" w:color="auto" w:fill="C6EFCE"/>
            <w:noWrap/>
          </w:tcPr>
          <w:p w14:paraId="60C1A162" w14:textId="77777777" w:rsidR="003F46B9" w:rsidRDefault="0065662E">
            <w:pPr>
              <w:pStyle w:val="P68B1DB1-Normal35"/>
              <w:spacing w:after="0"/>
              <w:jc w:val="both"/>
              <w:rPr>
                <w:noProof/>
              </w:rPr>
            </w:pPr>
            <w:r>
              <w:rPr>
                <w:noProof/>
              </w:rPr>
              <w:t>C15.R5</w:t>
            </w:r>
          </w:p>
          <w:p w14:paraId="7F5903E4" w14:textId="77777777" w:rsidR="003F46B9" w:rsidRDefault="0065662E">
            <w:pPr>
              <w:pStyle w:val="P68B1DB1-Normal35"/>
              <w:spacing w:after="0"/>
              <w:jc w:val="both"/>
              <w:rPr>
                <w:noProof/>
              </w:rPr>
            </w:pPr>
            <w:r>
              <w:rPr>
                <w:noProof/>
              </w:rPr>
              <w:t>Donošenje zakonodavnog okvira za digitalizaciju obrazovanja</w:t>
            </w:r>
          </w:p>
        </w:tc>
        <w:tc>
          <w:tcPr>
            <w:tcW w:w="1275" w:type="dxa"/>
            <w:tcBorders>
              <w:top w:val="nil"/>
              <w:left w:val="nil"/>
              <w:bottom w:val="single" w:sz="4" w:space="0" w:color="auto"/>
              <w:right w:val="single" w:sz="4" w:space="0" w:color="auto"/>
            </w:tcBorders>
            <w:shd w:val="clear" w:color="auto" w:fill="C6EFCE"/>
            <w:noWrap/>
          </w:tcPr>
          <w:p w14:paraId="14F7331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70F850" w14:textId="77777777" w:rsidR="003F46B9" w:rsidRDefault="0065662E">
            <w:pPr>
              <w:pStyle w:val="P68B1DB1-Normal35"/>
              <w:spacing w:after="0"/>
              <w:jc w:val="both"/>
              <w:rPr>
                <w:noProof/>
              </w:rPr>
            </w:pPr>
            <w:r>
              <w:rPr>
                <w:noProof/>
              </w:rPr>
              <w:t>Stupanje na snagu zakona kojim se utvrđuje nacionalni referentni okvir za digitalne vještine za predsveučilišno obrazovanje</w:t>
            </w:r>
          </w:p>
        </w:tc>
      </w:tr>
      <w:tr w:rsidR="003F46B9" w14:paraId="39D9296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DD6D68" w14:textId="77777777" w:rsidR="003F46B9" w:rsidRDefault="0065662E">
            <w:pPr>
              <w:pStyle w:val="P68B1DB1-Normal35"/>
              <w:spacing w:after="0"/>
              <w:jc w:val="center"/>
              <w:rPr>
                <w:noProof/>
              </w:rPr>
            </w:pPr>
            <w:r>
              <w:rPr>
                <w:noProof/>
              </w:rPr>
              <w:t>491</w:t>
            </w:r>
          </w:p>
        </w:tc>
        <w:tc>
          <w:tcPr>
            <w:tcW w:w="3544" w:type="dxa"/>
            <w:tcBorders>
              <w:top w:val="nil"/>
              <w:left w:val="nil"/>
              <w:bottom w:val="single" w:sz="4" w:space="0" w:color="auto"/>
              <w:right w:val="single" w:sz="4" w:space="0" w:color="auto"/>
            </w:tcBorders>
            <w:shd w:val="clear" w:color="auto" w:fill="C6EFCE"/>
            <w:noWrap/>
          </w:tcPr>
          <w:p w14:paraId="17BB04CD" w14:textId="77777777" w:rsidR="003F46B9" w:rsidRDefault="0065662E">
            <w:pPr>
              <w:pStyle w:val="P68B1DB1-Normal35"/>
              <w:spacing w:after="0"/>
              <w:jc w:val="both"/>
              <w:rPr>
                <w:noProof/>
              </w:rPr>
            </w:pPr>
            <w:r>
              <w:rPr>
                <w:noProof/>
              </w:rPr>
              <w:t>C15.I11</w:t>
            </w:r>
          </w:p>
          <w:p w14:paraId="7CB3F407" w14:textId="77777777" w:rsidR="003F46B9" w:rsidRDefault="0065662E">
            <w:pPr>
              <w:pStyle w:val="P68B1DB1-Normal35"/>
              <w:spacing w:after="0"/>
              <w:jc w:val="both"/>
              <w:rPr>
                <w:noProof/>
              </w:rPr>
            </w:pPr>
            <w:r>
              <w:rPr>
                <w:noProof/>
              </w:rPr>
              <w:t>Osiguravanje objekata za predsveučilišne učion</w:t>
            </w:r>
            <w:r>
              <w:rPr>
                <w:noProof/>
              </w:rPr>
              <w:t>ice i školske laboratorije/radionice</w:t>
            </w:r>
          </w:p>
        </w:tc>
        <w:tc>
          <w:tcPr>
            <w:tcW w:w="1275" w:type="dxa"/>
            <w:tcBorders>
              <w:top w:val="nil"/>
              <w:left w:val="nil"/>
              <w:bottom w:val="single" w:sz="4" w:space="0" w:color="auto"/>
              <w:right w:val="single" w:sz="4" w:space="0" w:color="auto"/>
            </w:tcBorders>
            <w:shd w:val="clear" w:color="auto" w:fill="C6EFCE"/>
            <w:noWrap/>
          </w:tcPr>
          <w:p w14:paraId="1EA59C4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269A483" w14:textId="77777777" w:rsidR="003F46B9" w:rsidRDefault="0065662E">
            <w:pPr>
              <w:pStyle w:val="P68B1DB1-Normal35"/>
              <w:spacing w:after="0"/>
              <w:jc w:val="both"/>
              <w:rPr>
                <w:noProof/>
              </w:rPr>
            </w:pPr>
            <w:r>
              <w:rPr>
                <w:noProof/>
              </w:rPr>
              <w:t>Predsveučilišne učionice opremljene namještajem</w:t>
            </w:r>
          </w:p>
        </w:tc>
      </w:tr>
      <w:tr w:rsidR="003F46B9" w14:paraId="2FD55F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733C1" w14:textId="77777777" w:rsidR="003F46B9" w:rsidRDefault="0065662E">
            <w:pPr>
              <w:pStyle w:val="P68B1DB1-Normal35"/>
              <w:spacing w:after="0"/>
              <w:jc w:val="center"/>
              <w:rPr>
                <w:noProof/>
              </w:rPr>
            </w:pPr>
            <w:r>
              <w:rPr>
                <w:noProof/>
              </w:rPr>
              <w:t>492</w:t>
            </w:r>
          </w:p>
        </w:tc>
        <w:tc>
          <w:tcPr>
            <w:tcW w:w="3544" w:type="dxa"/>
            <w:tcBorders>
              <w:top w:val="nil"/>
              <w:left w:val="nil"/>
              <w:bottom w:val="single" w:sz="4" w:space="0" w:color="auto"/>
              <w:right w:val="single" w:sz="4" w:space="0" w:color="auto"/>
            </w:tcBorders>
            <w:shd w:val="clear" w:color="auto" w:fill="C6EFCE"/>
            <w:noWrap/>
          </w:tcPr>
          <w:p w14:paraId="2429684E" w14:textId="77777777" w:rsidR="003F46B9" w:rsidRDefault="0065662E">
            <w:pPr>
              <w:pStyle w:val="P68B1DB1-Normal35"/>
              <w:spacing w:after="0"/>
              <w:jc w:val="both"/>
              <w:rPr>
                <w:noProof/>
              </w:rPr>
            </w:pPr>
            <w:r>
              <w:rPr>
                <w:noProof/>
              </w:rPr>
              <w:t>C15.I11</w:t>
            </w:r>
          </w:p>
          <w:p w14:paraId="63932F1B" w14:textId="77777777" w:rsidR="003F46B9" w:rsidRDefault="0065662E">
            <w:pPr>
              <w:pStyle w:val="P68B1DB1-Normal35"/>
              <w:spacing w:after="0"/>
              <w:jc w:val="both"/>
              <w:rPr>
                <w:noProof/>
              </w:rPr>
            </w:pPr>
            <w:r>
              <w:rPr>
                <w:noProof/>
              </w:rPr>
              <w:t>Osiguravanje objekata za predsveučilišne učionice i školske laboratorije/radionice</w:t>
            </w:r>
          </w:p>
        </w:tc>
        <w:tc>
          <w:tcPr>
            <w:tcW w:w="1275" w:type="dxa"/>
            <w:tcBorders>
              <w:top w:val="nil"/>
              <w:left w:val="nil"/>
              <w:bottom w:val="single" w:sz="4" w:space="0" w:color="auto"/>
              <w:right w:val="single" w:sz="4" w:space="0" w:color="auto"/>
            </w:tcBorders>
            <w:shd w:val="clear" w:color="auto" w:fill="C6EFCE"/>
            <w:noWrap/>
          </w:tcPr>
          <w:p w14:paraId="2083168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004B660" w14:textId="77777777" w:rsidR="003F46B9" w:rsidRDefault="0065662E">
            <w:pPr>
              <w:pStyle w:val="P68B1DB1-Normal35"/>
              <w:spacing w:after="0"/>
              <w:jc w:val="both"/>
              <w:rPr>
                <w:noProof/>
              </w:rPr>
            </w:pPr>
            <w:r>
              <w:rPr>
                <w:noProof/>
              </w:rPr>
              <w:t>Opremljeni laboratoriji/kabine</w:t>
            </w:r>
          </w:p>
        </w:tc>
      </w:tr>
      <w:tr w:rsidR="003F46B9" w14:paraId="66B55E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C0C7BF" w14:textId="77777777" w:rsidR="003F46B9" w:rsidRDefault="0065662E">
            <w:pPr>
              <w:pStyle w:val="P68B1DB1-Normal36"/>
              <w:spacing w:after="0"/>
              <w:jc w:val="center"/>
              <w:rPr>
                <w:noProof/>
              </w:rPr>
            </w:pPr>
            <w:r>
              <w:rPr>
                <w:noProof/>
              </w:rPr>
              <w:t>204</w:t>
            </w:r>
          </w:p>
        </w:tc>
        <w:tc>
          <w:tcPr>
            <w:tcW w:w="3544" w:type="dxa"/>
            <w:tcBorders>
              <w:top w:val="nil"/>
              <w:left w:val="nil"/>
              <w:bottom w:val="single" w:sz="4" w:space="0" w:color="auto"/>
              <w:right w:val="single" w:sz="4" w:space="0" w:color="auto"/>
            </w:tcBorders>
            <w:shd w:val="clear" w:color="auto" w:fill="C6EFCE"/>
            <w:noWrap/>
          </w:tcPr>
          <w:p w14:paraId="29BBC474" w14:textId="77777777" w:rsidR="003F46B9" w:rsidRDefault="0065662E">
            <w:pPr>
              <w:pStyle w:val="P68B1DB1-Normal36"/>
              <w:spacing w:after="0"/>
              <w:jc w:val="both"/>
              <w:rPr>
                <w:noProof/>
              </w:rPr>
            </w:pPr>
            <w:r>
              <w:rPr>
                <w:noProof/>
              </w:rPr>
              <w:t>C8.R3</w:t>
            </w:r>
          </w:p>
          <w:p w14:paraId="236C565B" w14:textId="77777777" w:rsidR="003F46B9" w:rsidRDefault="0065662E">
            <w:pPr>
              <w:pStyle w:val="P68B1DB1-Normal36"/>
              <w:spacing w:after="0"/>
              <w:jc w:val="both"/>
              <w:rPr>
                <w:noProof/>
              </w:rPr>
            </w:pPr>
            <w:r>
              <w:rPr>
                <w:noProof/>
              </w:rPr>
              <w:t xml:space="preserve">Poboljšanje mehanizma </w:t>
            </w:r>
            <w:r>
              <w:rPr>
                <w:noProof/>
              </w:rPr>
              <w:t>proračunskog programiranja</w:t>
            </w:r>
          </w:p>
        </w:tc>
        <w:tc>
          <w:tcPr>
            <w:tcW w:w="1275" w:type="dxa"/>
            <w:tcBorders>
              <w:top w:val="nil"/>
              <w:left w:val="nil"/>
              <w:bottom w:val="single" w:sz="4" w:space="0" w:color="auto"/>
              <w:right w:val="single" w:sz="4" w:space="0" w:color="auto"/>
            </w:tcBorders>
            <w:shd w:val="clear" w:color="auto" w:fill="C6EFCE"/>
            <w:noWrap/>
          </w:tcPr>
          <w:p w14:paraId="0E39AE17"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D85157" w14:textId="77777777" w:rsidR="003F46B9" w:rsidRDefault="0065662E">
            <w:pPr>
              <w:pStyle w:val="P68B1DB1-Normal36"/>
              <w:spacing w:after="0"/>
              <w:jc w:val="both"/>
              <w:rPr>
                <w:noProof/>
              </w:rPr>
            </w:pPr>
            <w:r>
              <w:rPr>
                <w:noProof/>
              </w:rPr>
              <w:t>Stupanje na snagu zakona kojim se Fiskalnom vijeću povjerava redovita procjena učinka revizija rashoda i priprema izvješća o provedbi</w:t>
            </w:r>
          </w:p>
        </w:tc>
      </w:tr>
      <w:tr w:rsidR="003F46B9" w14:paraId="23F3ED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E9FF6B" w14:textId="77777777" w:rsidR="003F46B9" w:rsidRDefault="0065662E">
            <w:pPr>
              <w:pStyle w:val="P68B1DB1-Normal36"/>
              <w:spacing w:after="0"/>
              <w:jc w:val="center"/>
              <w:rPr>
                <w:noProof/>
              </w:rPr>
            </w:pPr>
            <w:r>
              <w:rPr>
                <w:noProof/>
              </w:rPr>
              <w:t>218</w:t>
            </w:r>
          </w:p>
        </w:tc>
        <w:tc>
          <w:tcPr>
            <w:tcW w:w="3544" w:type="dxa"/>
            <w:tcBorders>
              <w:top w:val="nil"/>
              <w:left w:val="nil"/>
              <w:bottom w:val="single" w:sz="4" w:space="0" w:color="auto"/>
              <w:right w:val="single" w:sz="4" w:space="0" w:color="auto"/>
            </w:tcBorders>
            <w:shd w:val="clear" w:color="auto" w:fill="C6EFCE"/>
            <w:noWrap/>
          </w:tcPr>
          <w:p w14:paraId="69F8925F" w14:textId="77777777" w:rsidR="003F46B9" w:rsidRDefault="0065662E">
            <w:pPr>
              <w:pStyle w:val="P68B1DB1-Normal36"/>
              <w:spacing w:after="0"/>
              <w:jc w:val="both"/>
              <w:rPr>
                <w:noProof/>
              </w:rPr>
            </w:pPr>
            <w:r>
              <w:rPr>
                <w:noProof/>
              </w:rPr>
              <w:t>C8.I1</w:t>
            </w:r>
          </w:p>
          <w:p w14:paraId="001432F0" w14:textId="77777777" w:rsidR="003F46B9" w:rsidRDefault="0065662E">
            <w:pPr>
              <w:pStyle w:val="P68B1DB1-Normal36"/>
              <w:spacing w:after="0"/>
              <w:jc w:val="both"/>
              <w:rPr>
                <w:noProof/>
              </w:rPr>
            </w:pPr>
            <w:r>
              <w:rPr>
                <w:noProof/>
              </w:rPr>
              <w:t>Olakšavanje ispunjavanja obveza poreznih obveznika razvojem digitalnih usluga</w:t>
            </w:r>
          </w:p>
        </w:tc>
        <w:tc>
          <w:tcPr>
            <w:tcW w:w="1275" w:type="dxa"/>
            <w:tcBorders>
              <w:top w:val="nil"/>
              <w:left w:val="nil"/>
              <w:bottom w:val="single" w:sz="4" w:space="0" w:color="auto"/>
              <w:right w:val="single" w:sz="4" w:space="0" w:color="auto"/>
            </w:tcBorders>
            <w:shd w:val="clear" w:color="auto" w:fill="C6EFCE"/>
            <w:noWrap/>
          </w:tcPr>
          <w:p w14:paraId="21F2CE4C"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AE0FA6C" w14:textId="77777777" w:rsidR="003F46B9" w:rsidRDefault="0065662E">
            <w:pPr>
              <w:pStyle w:val="P68B1DB1-Normal36"/>
              <w:spacing w:after="0"/>
              <w:jc w:val="both"/>
              <w:rPr>
                <w:noProof/>
              </w:rPr>
            </w:pPr>
            <w:r>
              <w:rPr>
                <w:noProof/>
              </w:rPr>
              <w:t>Internetska platforma za dražbu nekretnina i mobilnih nekretnina znatne vrijednosti (prema vrsti imovine) operacionalizirana</w:t>
            </w:r>
          </w:p>
        </w:tc>
      </w:tr>
      <w:tr w:rsidR="003F46B9" w14:paraId="2B00C8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FE2BA4C" w14:textId="77777777" w:rsidR="003F46B9" w:rsidRDefault="0065662E">
            <w:pPr>
              <w:pStyle w:val="P68B1DB1-Normal35"/>
              <w:spacing w:after="0"/>
              <w:jc w:val="center"/>
              <w:rPr>
                <w:noProof/>
              </w:rPr>
            </w:pPr>
            <w:r>
              <w:rPr>
                <w:noProof/>
              </w:rPr>
              <w:t>466</w:t>
            </w:r>
          </w:p>
        </w:tc>
        <w:tc>
          <w:tcPr>
            <w:tcW w:w="3544" w:type="dxa"/>
            <w:tcBorders>
              <w:top w:val="nil"/>
              <w:left w:val="nil"/>
              <w:bottom w:val="single" w:sz="4" w:space="0" w:color="auto"/>
              <w:right w:val="single" w:sz="4" w:space="0" w:color="auto"/>
            </w:tcBorders>
            <w:shd w:val="clear" w:color="auto" w:fill="C6EFCE"/>
            <w:noWrap/>
          </w:tcPr>
          <w:p w14:paraId="1811D8F8" w14:textId="77777777" w:rsidR="003F46B9" w:rsidRDefault="0065662E">
            <w:pPr>
              <w:pStyle w:val="P68B1DB1-Normal35"/>
              <w:spacing w:after="0"/>
              <w:jc w:val="both"/>
              <w:rPr>
                <w:noProof/>
              </w:rPr>
            </w:pPr>
            <w:r>
              <w:rPr>
                <w:noProof/>
              </w:rPr>
              <w:t>C15.I4</w:t>
            </w:r>
          </w:p>
          <w:p w14:paraId="7FBD5005" w14:textId="77777777" w:rsidR="003F46B9" w:rsidRDefault="0065662E">
            <w:pPr>
              <w:pStyle w:val="P68B1DB1-Normal35"/>
              <w:spacing w:after="0"/>
              <w:jc w:val="both"/>
              <w:rPr>
                <w:noProof/>
              </w:rPr>
            </w:pPr>
            <w:r>
              <w:rPr>
                <w:noProof/>
              </w:rPr>
              <w:t>Potpora obrazovnim ustanovama s visokim rizikom od napuštanja školovanja</w:t>
            </w:r>
          </w:p>
        </w:tc>
        <w:tc>
          <w:tcPr>
            <w:tcW w:w="1275" w:type="dxa"/>
            <w:tcBorders>
              <w:top w:val="nil"/>
              <w:left w:val="nil"/>
              <w:bottom w:val="single" w:sz="4" w:space="0" w:color="auto"/>
              <w:right w:val="single" w:sz="4" w:space="0" w:color="auto"/>
            </w:tcBorders>
            <w:shd w:val="clear" w:color="auto" w:fill="C6EFCE"/>
            <w:noWrap/>
          </w:tcPr>
          <w:p w14:paraId="1CB3DD4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B3CEA99" w14:textId="77777777" w:rsidR="003F46B9" w:rsidRDefault="0065662E">
            <w:pPr>
              <w:pStyle w:val="P68B1DB1-Normal35"/>
              <w:spacing w:after="0"/>
              <w:jc w:val="both"/>
              <w:rPr>
                <w:noProof/>
              </w:rPr>
            </w:pPr>
            <w:r>
              <w:rPr>
                <w:noProof/>
              </w:rPr>
              <w:t xml:space="preserve">Obrazovne ustanove kojima je dodijeljen </w:t>
            </w:r>
            <w:r>
              <w:rPr>
                <w:noProof/>
              </w:rPr>
              <w:t>program bespovratnih sredstava (2. grupa)</w:t>
            </w:r>
          </w:p>
        </w:tc>
      </w:tr>
      <w:tr w:rsidR="003F46B9" w14:paraId="65E31B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16A796" w14:textId="77777777" w:rsidR="003F46B9" w:rsidRDefault="0065662E">
            <w:pPr>
              <w:pStyle w:val="P68B1DB1-Normal35"/>
              <w:spacing w:after="0"/>
              <w:jc w:val="center"/>
              <w:rPr>
                <w:noProof/>
              </w:rPr>
            </w:pPr>
            <w:r>
              <w:rPr>
                <w:noProof/>
              </w:rPr>
              <w:t>515</w:t>
            </w:r>
          </w:p>
        </w:tc>
        <w:tc>
          <w:tcPr>
            <w:tcW w:w="3544" w:type="dxa"/>
            <w:tcBorders>
              <w:top w:val="nil"/>
              <w:left w:val="nil"/>
              <w:bottom w:val="single" w:sz="4" w:space="0" w:color="auto"/>
              <w:right w:val="single" w:sz="4" w:space="0" w:color="auto"/>
            </w:tcBorders>
            <w:shd w:val="clear" w:color="auto" w:fill="C6EFCE"/>
            <w:noWrap/>
          </w:tcPr>
          <w:p w14:paraId="78280E17" w14:textId="77777777" w:rsidR="003F46B9" w:rsidRDefault="0065662E">
            <w:pPr>
              <w:pStyle w:val="P68B1DB1-Normal35"/>
              <w:spacing w:after="0"/>
              <w:jc w:val="both"/>
              <w:rPr>
                <w:noProof/>
              </w:rPr>
            </w:pPr>
            <w:r>
              <w:rPr>
                <w:noProof/>
              </w:rPr>
              <w:t>C16.I4</w:t>
            </w:r>
          </w:p>
          <w:p w14:paraId="33B17813" w14:textId="77777777" w:rsidR="003F46B9" w:rsidRDefault="0065662E">
            <w:pPr>
              <w:pStyle w:val="P68B1DB1-Normal35"/>
              <w:spacing w:after="0"/>
              <w:jc w:val="both"/>
              <w:rPr>
                <w:noProof/>
              </w:rPr>
            </w:pPr>
            <w:r>
              <w:rPr>
                <w:noProof/>
              </w:rPr>
              <w:t>Program dodjele kupona kako bi se ubrzalo uvođenje energije iz obnovljivih izvora u kućanstvima</w:t>
            </w:r>
          </w:p>
        </w:tc>
        <w:tc>
          <w:tcPr>
            <w:tcW w:w="1275" w:type="dxa"/>
            <w:tcBorders>
              <w:top w:val="nil"/>
              <w:left w:val="nil"/>
              <w:bottom w:val="single" w:sz="4" w:space="0" w:color="auto"/>
              <w:right w:val="single" w:sz="4" w:space="0" w:color="auto"/>
            </w:tcBorders>
            <w:shd w:val="clear" w:color="auto" w:fill="C6EFCE"/>
            <w:noWrap/>
          </w:tcPr>
          <w:p w14:paraId="3A584426"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73B3813" w14:textId="77777777" w:rsidR="003F46B9" w:rsidRDefault="0065662E">
            <w:pPr>
              <w:pStyle w:val="P68B1DB1-Normal35"/>
              <w:spacing w:after="0"/>
              <w:jc w:val="both"/>
              <w:rPr>
                <w:noProof/>
              </w:rPr>
            </w:pPr>
            <w:r>
              <w:rPr>
                <w:noProof/>
              </w:rPr>
              <w:t>Objava poziva na podnošenje projekata</w:t>
            </w:r>
          </w:p>
        </w:tc>
      </w:tr>
      <w:tr w:rsidR="003F46B9" w14:paraId="61DB7FC2"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54A98F77"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7F1BD59"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5FF9AF22"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08C0A736" w14:textId="326AF8FF" w:rsidR="003F46B9" w:rsidRDefault="0065662E">
            <w:pPr>
              <w:pStyle w:val="P68B1DB1-Normal36"/>
              <w:spacing w:after="0"/>
              <w:jc w:val="right"/>
              <w:rPr>
                <w:noProof/>
              </w:rPr>
            </w:pPr>
            <w:r>
              <w:rPr>
                <w:noProof/>
              </w:rPr>
              <w:t>1351912566 EURA</w:t>
            </w:r>
          </w:p>
        </w:tc>
      </w:tr>
    </w:tbl>
    <w:p w14:paraId="3CC117B5" w14:textId="77777777" w:rsidR="003F46B9" w:rsidRDefault="0065662E">
      <w:pPr>
        <w:rPr>
          <w:rFonts w:ascii="Times New Roman" w:hAnsi="Times New Roman" w:cs="Times New Roman"/>
          <w:noProof/>
          <w:sz w:val="24"/>
        </w:rPr>
      </w:pPr>
      <w:r>
        <w:rPr>
          <w:noProof/>
        </w:rPr>
        <w:br w:type="page"/>
      </w:r>
    </w:p>
    <w:p w14:paraId="56B7599D" w14:textId="77777777" w:rsidR="003F46B9" w:rsidRDefault="0065662E">
      <w:pPr>
        <w:pStyle w:val="Heading3"/>
        <w:rPr>
          <w:noProof/>
        </w:rPr>
      </w:pPr>
      <w:r>
        <w:rPr>
          <w:noProof/>
        </w:rPr>
        <w:t xml:space="preserve">Šesti obrok (bespovratna potpora): </w:t>
      </w:r>
    </w:p>
    <w:tbl>
      <w:tblPr>
        <w:tblW w:w="9634" w:type="dxa"/>
        <w:tblInd w:w="113" w:type="dxa"/>
        <w:tblLook w:val="04A0" w:firstRow="1" w:lastRow="0" w:firstColumn="1" w:lastColumn="0" w:noHBand="0" w:noVBand="1"/>
      </w:tblPr>
      <w:tblGrid>
        <w:gridCol w:w="1422"/>
        <w:gridCol w:w="3534"/>
        <w:gridCol w:w="1316"/>
        <w:gridCol w:w="3393"/>
      </w:tblGrid>
      <w:tr w:rsidR="003F46B9" w14:paraId="61E1D52D" w14:textId="77777777">
        <w:trPr>
          <w:trHeight w:val="906"/>
          <w:tblHeader/>
        </w:trPr>
        <w:tc>
          <w:tcPr>
            <w:tcW w:w="142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2F5B43A" w14:textId="77777777" w:rsidR="003F46B9" w:rsidRDefault="0065662E">
            <w:pPr>
              <w:pStyle w:val="P68B1DB1-Normal34"/>
              <w:spacing w:after="0"/>
              <w:jc w:val="center"/>
              <w:rPr>
                <w:noProof/>
              </w:rPr>
            </w:pPr>
            <w:r>
              <w:rPr>
                <w:noProof/>
              </w:rPr>
              <w:t>Redni broj</w:t>
            </w:r>
          </w:p>
        </w:tc>
        <w:tc>
          <w:tcPr>
            <w:tcW w:w="353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70FE6E5" w14:textId="77777777" w:rsidR="003F46B9" w:rsidRDefault="0065662E">
            <w:pPr>
              <w:pStyle w:val="P68B1DB1-Normal34"/>
              <w:spacing w:after="0"/>
              <w:jc w:val="center"/>
              <w:rPr>
                <w:noProof/>
              </w:rPr>
            </w:pPr>
            <w:r>
              <w:rPr>
                <w:noProof/>
              </w:rPr>
              <w:t>Povezana mjera</w:t>
            </w:r>
          </w:p>
          <w:p w14:paraId="7819A027" w14:textId="77777777" w:rsidR="003F46B9" w:rsidRDefault="0065662E">
            <w:pPr>
              <w:pStyle w:val="P68B1DB1-Normal34"/>
              <w:spacing w:after="0"/>
              <w:jc w:val="center"/>
              <w:rPr>
                <w:noProof/>
              </w:rPr>
            </w:pPr>
            <w:r>
              <w:rPr>
                <w:noProof/>
              </w:rPr>
              <w:t>(Reforma ili ulaganje)</w:t>
            </w:r>
          </w:p>
        </w:tc>
        <w:tc>
          <w:tcPr>
            <w:tcW w:w="128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A21E485" w14:textId="77777777" w:rsidR="003F46B9" w:rsidRDefault="0065662E">
            <w:pPr>
              <w:pStyle w:val="P68B1DB1-Normal34"/>
              <w:spacing w:after="0"/>
              <w:jc w:val="center"/>
              <w:rPr>
                <w:noProof/>
              </w:rPr>
            </w:pPr>
            <w:r>
              <w:rPr>
                <w:noProof/>
              </w:rPr>
              <w:t>Ključna etapa/ciljna vrijednost</w:t>
            </w:r>
          </w:p>
        </w:tc>
        <w:tc>
          <w:tcPr>
            <w:tcW w:w="339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148689B" w14:textId="77777777" w:rsidR="003F46B9" w:rsidRDefault="0065662E">
            <w:pPr>
              <w:pStyle w:val="P68B1DB1-Normal34"/>
              <w:spacing w:after="0"/>
              <w:jc w:val="center"/>
              <w:rPr>
                <w:noProof/>
              </w:rPr>
            </w:pPr>
            <w:r>
              <w:rPr>
                <w:noProof/>
              </w:rPr>
              <w:t>Ime</w:t>
            </w:r>
          </w:p>
        </w:tc>
      </w:tr>
      <w:tr w:rsidR="003F46B9" w14:paraId="53CE5DE2" w14:textId="77777777">
        <w:trPr>
          <w:trHeight w:val="509"/>
          <w:tblHeader/>
        </w:trPr>
        <w:tc>
          <w:tcPr>
            <w:tcW w:w="1422" w:type="dxa"/>
            <w:vMerge/>
            <w:tcBorders>
              <w:top w:val="single" w:sz="4" w:space="0" w:color="auto"/>
              <w:left w:val="single" w:sz="4" w:space="0" w:color="auto"/>
              <w:bottom w:val="single" w:sz="4" w:space="0" w:color="000000"/>
              <w:right w:val="single" w:sz="4" w:space="0" w:color="auto"/>
            </w:tcBorders>
            <w:vAlign w:val="center"/>
            <w:hideMark/>
          </w:tcPr>
          <w:p w14:paraId="2FBC1B81" w14:textId="77777777" w:rsidR="003F46B9" w:rsidRDefault="003F46B9">
            <w:pPr>
              <w:spacing w:after="0"/>
              <w:rPr>
                <w:rFonts w:ascii="Times New Roman" w:eastAsia="Times New Roman" w:hAnsi="Times New Roman" w:cs="Times New Roman"/>
                <w:b/>
                <w:noProof/>
              </w:rPr>
            </w:pPr>
          </w:p>
        </w:tc>
        <w:tc>
          <w:tcPr>
            <w:tcW w:w="3534" w:type="dxa"/>
            <w:vMerge/>
            <w:tcBorders>
              <w:top w:val="single" w:sz="4" w:space="0" w:color="auto"/>
              <w:left w:val="single" w:sz="4" w:space="0" w:color="auto"/>
              <w:bottom w:val="single" w:sz="4" w:space="0" w:color="000000"/>
              <w:right w:val="single" w:sz="4" w:space="0" w:color="auto"/>
            </w:tcBorders>
            <w:vAlign w:val="center"/>
            <w:hideMark/>
          </w:tcPr>
          <w:p w14:paraId="5E77FCE0" w14:textId="77777777" w:rsidR="003F46B9" w:rsidRDefault="003F46B9">
            <w:pPr>
              <w:spacing w:after="0"/>
              <w:jc w:val="both"/>
              <w:rPr>
                <w:rFonts w:ascii="Times New Roman" w:eastAsia="Times New Roman" w:hAnsi="Times New Roman" w:cs="Times New Roman"/>
                <w:b/>
                <w:noProof/>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14:paraId="3C2D157C" w14:textId="77777777" w:rsidR="003F46B9" w:rsidRDefault="003F46B9">
            <w:pPr>
              <w:spacing w:after="0"/>
              <w:jc w:val="center"/>
              <w:rPr>
                <w:rFonts w:ascii="Times New Roman" w:eastAsia="Times New Roman" w:hAnsi="Times New Roman" w:cs="Times New Roman"/>
                <w:b/>
                <w:noProof/>
              </w:rPr>
            </w:pPr>
          </w:p>
        </w:tc>
        <w:tc>
          <w:tcPr>
            <w:tcW w:w="3393" w:type="dxa"/>
            <w:vMerge/>
            <w:tcBorders>
              <w:top w:val="single" w:sz="4" w:space="0" w:color="auto"/>
              <w:left w:val="nil"/>
              <w:bottom w:val="single" w:sz="4" w:space="0" w:color="000000"/>
              <w:right w:val="single" w:sz="4" w:space="0" w:color="auto"/>
            </w:tcBorders>
            <w:vAlign w:val="center"/>
            <w:hideMark/>
          </w:tcPr>
          <w:p w14:paraId="289E1668" w14:textId="77777777" w:rsidR="003F46B9" w:rsidRDefault="003F46B9">
            <w:pPr>
              <w:spacing w:after="0"/>
              <w:jc w:val="both"/>
              <w:rPr>
                <w:rFonts w:ascii="Times New Roman" w:eastAsia="Times New Roman" w:hAnsi="Times New Roman" w:cs="Times New Roman"/>
                <w:b/>
                <w:noProof/>
              </w:rPr>
            </w:pPr>
          </w:p>
        </w:tc>
      </w:tr>
      <w:tr w:rsidR="003F46B9" w14:paraId="27F00301"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EF49998" w14:textId="4CDF1BD0" w:rsidR="003F46B9" w:rsidRDefault="0065662E">
            <w:pPr>
              <w:pStyle w:val="P68B1DB1-Normal35"/>
              <w:spacing w:after="0"/>
              <w:jc w:val="center"/>
              <w:rPr>
                <w:noProof/>
              </w:rPr>
            </w:pPr>
            <w:r>
              <w:rPr>
                <w:noProof/>
              </w:rPr>
              <w:t>29</w:t>
            </w:r>
          </w:p>
        </w:tc>
        <w:tc>
          <w:tcPr>
            <w:tcW w:w="3534" w:type="dxa"/>
            <w:tcBorders>
              <w:top w:val="nil"/>
              <w:left w:val="nil"/>
              <w:bottom w:val="single" w:sz="4" w:space="0" w:color="auto"/>
              <w:right w:val="single" w:sz="4" w:space="0" w:color="auto"/>
            </w:tcBorders>
            <w:shd w:val="clear" w:color="auto" w:fill="C6EFCE"/>
            <w:noWrap/>
          </w:tcPr>
          <w:p w14:paraId="78B524AC" w14:textId="77777777" w:rsidR="003F46B9" w:rsidRDefault="0065662E">
            <w:pPr>
              <w:pStyle w:val="P68B1DB1-Normal35"/>
              <w:spacing w:after="0"/>
              <w:jc w:val="both"/>
              <w:rPr>
                <w:noProof/>
              </w:rPr>
            </w:pPr>
            <w:r>
              <w:rPr>
                <w:noProof/>
              </w:rPr>
              <w:t>C2.I2</w:t>
            </w:r>
          </w:p>
          <w:p w14:paraId="15661B2C" w14:textId="07DF42F1" w:rsidR="003F46B9" w:rsidRDefault="0065662E">
            <w:pPr>
              <w:pStyle w:val="P68B1DB1-Normal35"/>
              <w:spacing w:after="0"/>
              <w:jc w:val="both"/>
              <w:rPr>
                <w:noProof/>
              </w:rPr>
            </w:pPr>
            <w:r>
              <w:rPr>
                <w:noProof/>
              </w:rPr>
              <w:t>Razvoj modernih proizvodnih kapaciteta šumskog reprodukcijskog materijala</w:t>
            </w:r>
          </w:p>
        </w:tc>
        <w:tc>
          <w:tcPr>
            <w:tcW w:w="1285" w:type="dxa"/>
            <w:tcBorders>
              <w:top w:val="nil"/>
              <w:left w:val="nil"/>
              <w:bottom w:val="single" w:sz="4" w:space="0" w:color="auto"/>
              <w:right w:val="single" w:sz="4" w:space="0" w:color="auto"/>
            </w:tcBorders>
            <w:shd w:val="clear" w:color="auto" w:fill="C6EFCE"/>
            <w:noWrap/>
          </w:tcPr>
          <w:p w14:paraId="092D1299" w14:textId="1B17DAC4"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212F201F" w14:textId="53A07564" w:rsidR="003F46B9" w:rsidRDefault="0065662E">
            <w:pPr>
              <w:pStyle w:val="P68B1DB1-Normal35"/>
              <w:spacing w:after="0"/>
              <w:jc w:val="both"/>
              <w:rPr>
                <w:noProof/>
              </w:rPr>
            </w:pPr>
            <w:r>
              <w:rPr>
                <w:noProof/>
              </w:rPr>
              <w:t xml:space="preserve">Novi i obnovljeni rasadnici stabala </w:t>
            </w:r>
            <w:r>
              <w:rPr>
                <w:noProof/>
              </w:rPr>
              <w:t>(uspostavljeni ili obnovljeni)</w:t>
            </w:r>
          </w:p>
        </w:tc>
      </w:tr>
      <w:tr w:rsidR="003F46B9" w14:paraId="7D45896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3DB00A9D" w14:textId="4DC46BC6" w:rsidR="003F46B9" w:rsidRDefault="0065662E">
            <w:pPr>
              <w:pStyle w:val="P68B1DB1-Normal35"/>
              <w:spacing w:after="0"/>
              <w:jc w:val="center"/>
              <w:rPr>
                <w:noProof/>
              </w:rPr>
            </w:pPr>
            <w:r>
              <w:rPr>
                <w:noProof/>
              </w:rPr>
              <w:t>482</w:t>
            </w:r>
          </w:p>
        </w:tc>
        <w:tc>
          <w:tcPr>
            <w:tcW w:w="3534" w:type="dxa"/>
            <w:tcBorders>
              <w:top w:val="nil"/>
              <w:left w:val="nil"/>
              <w:bottom w:val="single" w:sz="4" w:space="0" w:color="auto"/>
              <w:right w:val="single" w:sz="4" w:space="0" w:color="auto"/>
            </w:tcBorders>
            <w:shd w:val="clear" w:color="auto" w:fill="C6EFCE"/>
            <w:noWrap/>
          </w:tcPr>
          <w:p w14:paraId="25940D4B" w14:textId="77777777" w:rsidR="003F46B9" w:rsidRDefault="0065662E">
            <w:pPr>
              <w:pStyle w:val="P68B1DB1-Normal35"/>
              <w:spacing w:after="0"/>
              <w:jc w:val="both"/>
              <w:rPr>
                <w:noProof/>
              </w:rPr>
            </w:pPr>
            <w:r>
              <w:rPr>
                <w:noProof/>
              </w:rPr>
              <w:t>C15.I9</w:t>
            </w:r>
          </w:p>
          <w:p w14:paraId="0285AD8E" w14:textId="7C381B15" w:rsidR="003F46B9" w:rsidRDefault="0065662E">
            <w:pPr>
              <w:pStyle w:val="P68B1DB1-Normal35"/>
              <w:spacing w:after="0"/>
              <w:jc w:val="both"/>
              <w:rPr>
                <w:noProof/>
              </w:rPr>
            </w:pPr>
            <w:r>
              <w:rPr>
                <w:noProof/>
              </w:rPr>
              <w:t>Osiguravanje digitalne tehnološke opreme i resursa za škole</w:t>
            </w:r>
          </w:p>
        </w:tc>
        <w:tc>
          <w:tcPr>
            <w:tcW w:w="1285" w:type="dxa"/>
            <w:tcBorders>
              <w:top w:val="nil"/>
              <w:left w:val="nil"/>
              <w:bottom w:val="single" w:sz="4" w:space="0" w:color="auto"/>
              <w:right w:val="single" w:sz="4" w:space="0" w:color="auto"/>
            </w:tcBorders>
            <w:shd w:val="clear" w:color="auto" w:fill="C6EFCE"/>
            <w:noWrap/>
          </w:tcPr>
          <w:p w14:paraId="5D5FD629" w14:textId="0F73E5EC"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40A7B7DE" w14:textId="2ECFB8DF" w:rsidR="003F46B9" w:rsidRDefault="0065662E">
            <w:pPr>
              <w:pStyle w:val="P68B1DB1-Normal35"/>
              <w:spacing w:after="0"/>
              <w:jc w:val="both"/>
              <w:rPr>
                <w:noProof/>
              </w:rPr>
            </w:pPr>
            <w:r>
              <w:rPr>
                <w:noProof/>
              </w:rPr>
              <w:t>Škole imaju nove tehnološke resurse za opremanje informatičkih laboratorija</w:t>
            </w:r>
          </w:p>
        </w:tc>
      </w:tr>
      <w:tr w:rsidR="003F46B9" w14:paraId="43DD9FEF"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FB41DE2" w14:textId="71F4138F" w:rsidR="003F46B9" w:rsidRDefault="0065662E">
            <w:pPr>
              <w:pStyle w:val="P68B1DB1-Normal35"/>
              <w:spacing w:after="0"/>
              <w:jc w:val="center"/>
              <w:rPr>
                <w:noProof/>
              </w:rPr>
            </w:pPr>
            <w:r>
              <w:rPr>
                <w:noProof/>
              </w:rPr>
              <w:t>67</w:t>
            </w:r>
          </w:p>
        </w:tc>
        <w:tc>
          <w:tcPr>
            <w:tcW w:w="3534" w:type="dxa"/>
            <w:tcBorders>
              <w:top w:val="nil"/>
              <w:left w:val="nil"/>
              <w:bottom w:val="single" w:sz="4" w:space="0" w:color="auto"/>
              <w:right w:val="single" w:sz="4" w:space="0" w:color="auto"/>
            </w:tcBorders>
            <w:shd w:val="clear" w:color="auto" w:fill="C6EFCE"/>
            <w:noWrap/>
          </w:tcPr>
          <w:p w14:paraId="6BEB6A99" w14:textId="77777777" w:rsidR="003F46B9" w:rsidRDefault="0065662E">
            <w:pPr>
              <w:pStyle w:val="P68B1DB1-Normal35"/>
              <w:spacing w:after="0"/>
              <w:jc w:val="both"/>
              <w:rPr>
                <w:noProof/>
              </w:rPr>
            </w:pPr>
            <w:r>
              <w:rPr>
                <w:noProof/>
              </w:rPr>
              <w:t>C4.R1</w:t>
            </w:r>
          </w:p>
          <w:p w14:paraId="272C42CF" w14:textId="4891951F" w:rsidR="003F46B9" w:rsidRDefault="0065662E">
            <w:pPr>
              <w:pStyle w:val="P68B1DB1-Normal35"/>
              <w:spacing w:after="0"/>
              <w:jc w:val="both"/>
              <w:rPr>
                <w:noProof/>
              </w:rPr>
            </w:pPr>
            <w:r>
              <w:rPr>
                <w:noProof/>
              </w:rPr>
              <w:t xml:space="preserve">Održivi promet, dekarbonizacija i sigurnost na cestama/sigurnost </w:t>
            </w:r>
            <w:r>
              <w:rPr>
                <w:noProof/>
              </w:rPr>
              <w:t>na cestama</w:t>
            </w:r>
          </w:p>
        </w:tc>
        <w:tc>
          <w:tcPr>
            <w:tcW w:w="1285" w:type="dxa"/>
            <w:tcBorders>
              <w:top w:val="nil"/>
              <w:left w:val="nil"/>
              <w:bottom w:val="single" w:sz="4" w:space="0" w:color="auto"/>
              <w:right w:val="single" w:sz="4" w:space="0" w:color="auto"/>
            </w:tcBorders>
            <w:shd w:val="clear" w:color="auto" w:fill="C6EFCE"/>
            <w:noWrap/>
          </w:tcPr>
          <w:p w14:paraId="680BC5B4" w14:textId="141294A4"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26AC87AC" w14:textId="65F82A04" w:rsidR="003F46B9" w:rsidRDefault="0065662E">
            <w:pPr>
              <w:pStyle w:val="P68B1DB1-Normal35"/>
              <w:spacing w:after="0"/>
              <w:jc w:val="both"/>
              <w:rPr>
                <w:noProof/>
              </w:rPr>
            </w:pPr>
            <w:r>
              <w:rPr>
                <w:noProof/>
              </w:rPr>
              <w:t>Ugrađena i funkcionalna oprema za povećanje provedbe brzine i usklađenosti s pravilima o sigurnosti na cestama</w:t>
            </w:r>
          </w:p>
        </w:tc>
      </w:tr>
      <w:tr w:rsidR="003F46B9" w14:paraId="247595CC"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84D747C" w14:textId="7C70BD15" w:rsidR="003F46B9" w:rsidRDefault="0065662E">
            <w:pPr>
              <w:pStyle w:val="P68B1DB1-Normal35"/>
              <w:spacing w:after="0"/>
              <w:jc w:val="center"/>
              <w:rPr>
                <w:noProof/>
              </w:rPr>
            </w:pPr>
            <w:r>
              <w:rPr>
                <w:noProof/>
              </w:rPr>
              <w:t>74</w:t>
            </w:r>
          </w:p>
        </w:tc>
        <w:tc>
          <w:tcPr>
            <w:tcW w:w="3534" w:type="dxa"/>
            <w:tcBorders>
              <w:top w:val="nil"/>
              <w:left w:val="nil"/>
              <w:bottom w:val="single" w:sz="4" w:space="0" w:color="auto"/>
              <w:right w:val="single" w:sz="4" w:space="0" w:color="auto"/>
            </w:tcBorders>
            <w:shd w:val="clear" w:color="auto" w:fill="C6EFCE"/>
            <w:noWrap/>
          </w:tcPr>
          <w:p w14:paraId="3E7A78A9" w14:textId="77777777" w:rsidR="003F46B9" w:rsidRDefault="0065662E">
            <w:pPr>
              <w:pStyle w:val="P68B1DB1-Normal35"/>
              <w:spacing w:after="0"/>
              <w:jc w:val="both"/>
              <w:rPr>
                <w:noProof/>
              </w:rPr>
            </w:pPr>
            <w:r>
              <w:rPr>
                <w:noProof/>
              </w:rPr>
              <w:t xml:space="preserve">C4.I1 </w:t>
            </w:r>
          </w:p>
          <w:p w14:paraId="249BB260" w14:textId="760DD015" w:rsidR="003F46B9" w:rsidRDefault="0065662E">
            <w:pPr>
              <w:pStyle w:val="P68B1DB1-Normal35"/>
              <w:spacing w:after="0"/>
              <w:jc w:val="both"/>
              <w:rPr>
                <w:noProof/>
              </w:rPr>
            </w:pPr>
            <w:r>
              <w:rPr>
                <w:noProof/>
              </w:rPr>
              <w:t xml:space="preserve">Modernizacija i obnova željezničke infrastrukture </w:t>
            </w:r>
          </w:p>
        </w:tc>
        <w:tc>
          <w:tcPr>
            <w:tcW w:w="1285" w:type="dxa"/>
            <w:tcBorders>
              <w:top w:val="nil"/>
              <w:left w:val="nil"/>
              <w:bottom w:val="single" w:sz="4" w:space="0" w:color="auto"/>
              <w:right w:val="single" w:sz="4" w:space="0" w:color="auto"/>
            </w:tcBorders>
            <w:shd w:val="clear" w:color="auto" w:fill="C6EFCE"/>
            <w:noWrap/>
          </w:tcPr>
          <w:p w14:paraId="0416CB25" w14:textId="0AF4AE1E"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797BFBBE" w14:textId="0ECBF761" w:rsidR="003F46B9" w:rsidRDefault="0065662E">
            <w:pPr>
              <w:pStyle w:val="P68B1DB1-Normal35"/>
              <w:spacing w:after="0"/>
              <w:jc w:val="both"/>
              <w:rPr>
                <w:noProof/>
              </w:rPr>
            </w:pPr>
            <w:r>
              <w:rPr>
                <w:noProof/>
              </w:rPr>
              <w:t xml:space="preserve">Završetak radova za najmanje 50 % ukupnih ulaganja u željezničku </w:t>
            </w:r>
            <w:r>
              <w:rPr>
                <w:noProof/>
              </w:rPr>
              <w:t>infrastrukturu</w:t>
            </w:r>
          </w:p>
        </w:tc>
      </w:tr>
      <w:tr w:rsidR="003F46B9" w14:paraId="76506F14"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4E006AA1" w14:textId="41DDEBE0" w:rsidR="003F46B9" w:rsidRDefault="0065662E">
            <w:pPr>
              <w:pStyle w:val="P68B1DB1-Normal35"/>
              <w:spacing w:after="0"/>
              <w:jc w:val="center"/>
              <w:rPr>
                <w:noProof/>
              </w:rPr>
            </w:pPr>
            <w:r>
              <w:rPr>
                <w:noProof/>
              </w:rPr>
              <w:t>154</w:t>
            </w:r>
          </w:p>
        </w:tc>
        <w:tc>
          <w:tcPr>
            <w:tcW w:w="3534" w:type="dxa"/>
            <w:tcBorders>
              <w:top w:val="nil"/>
              <w:left w:val="nil"/>
              <w:bottom w:val="single" w:sz="4" w:space="0" w:color="auto"/>
              <w:right w:val="single" w:sz="4" w:space="0" w:color="auto"/>
            </w:tcBorders>
            <w:shd w:val="clear" w:color="auto" w:fill="C6EFCE"/>
            <w:noWrap/>
          </w:tcPr>
          <w:p w14:paraId="1AA62CBF" w14:textId="18541FAC" w:rsidR="003F46B9" w:rsidRDefault="0065662E">
            <w:pPr>
              <w:pStyle w:val="P68B1DB1-Normal35"/>
              <w:spacing w:after="0"/>
              <w:jc w:val="both"/>
              <w:rPr>
                <w:noProof/>
              </w:rPr>
            </w:pPr>
            <w:r>
              <w:rPr>
                <w:noProof/>
              </w:rPr>
              <w:t>C7.I1</w:t>
            </w:r>
            <w:r>
              <w:rPr>
                <w:noProof/>
              </w:rPr>
              <w:br/>
              <w:t xml:space="preserve">Uvođenje državne infrastrukture oblaka </w:t>
            </w:r>
          </w:p>
        </w:tc>
        <w:tc>
          <w:tcPr>
            <w:tcW w:w="1285" w:type="dxa"/>
            <w:tcBorders>
              <w:top w:val="nil"/>
              <w:left w:val="nil"/>
              <w:bottom w:val="single" w:sz="4" w:space="0" w:color="auto"/>
              <w:right w:val="single" w:sz="4" w:space="0" w:color="auto"/>
            </w:tcBorders>
            <w:shd w:val="clear" w:color="auto" w:fill="C6EFCE"/>
            <w:noWrap/>
          </w:tcPr>
          <w:p w14:paraId="740F577A" w14:textId="6E4FCC18"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0B9BE297" w14:textId="2A55655E" w:rsidR="003F46B9" w:rsidRDefault="0065662E">
            <w:pPr>
              <w:pStyle w:val="P68B1DB1-Normal35"/>
              <w:spacing w:after="0"/>
              <w:jc w:val="both"/>
              <w:rPr>
                <w:noProof/>
              </w:rPr>
            </w:pPr>
            <w:r>
              <w:rPr>
                <w:noProof/>
              </w:rPr>
              <w:t>Javne institucije povezane putem državnog oblaka</w:t>
            </w:r>
          </w:p>
        </w:tc>
      </w:tr>
      <w:tr w:rsidR="003F46B9" w14:paraId="704B6017"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06C24343" w14:textId="291E7E13" w:rsidR="003F46B9" w:rsidRDefault="0065662E">
            <w:pPr>
              <w:pStyle w:val="P68B1DB1-Normal35"/>
              <w:spacing w:after="0"/>
              <w:jc w:val="center"/>
              <w:rPr>
                <w:noProof/>
              </w:rPr>
            </w:pPr>
            <w:r>
              <w:rPr>
                <w:noProof/>
              </w:rPr>
              <w:t>159</w:t>
            </w:r>
          </w:p>
        </w:tc>
        <w:tc>
          <w:tcPr>
            <w:tcW w:w="3534" w:type="dxa"/>
            <w:tcBorders>
              <w:top w:val="nil"/>
              <w:left w:val="nil"/>
              <w:bottom w:val="single" w:sz="4" w:space="0" w:color="auto"/>
              <w:right w:val="single" w:sz="4" w:space="0" w:color="auto"/>
            </w:tcBorders>
            <w:shd w:val="clear" w:color="auto" w:fill="C6EFCE"/>
            <w:noWrap/>
          </w:tcPr>
          <w:p w14:paraId="08FBED4B" w14:textId="1D290A0E" w:rsidR="003F46B9" w:rsidRDefault="0065662E">
            <w:pPr>
              <w:pStyle w:val="P68B1DB1-Normal35"/>
              <w:spacing w:after="0"/>
              <w:jc w:val="both"/>
              <w:rPr>
                <w:noProof/>
              </w:rPr>
            </w:pPr>
            <w:r>
              <w:rPr>
                <w:noProof/>
              </w:rPr>
              <w:t>C7.I3</w:t>
            </w:r>
            <w:r>
              <w:rPr>
                <w:noProof/>
              </w:rPr>
              <w:br/>
              <w:t>Razvoj sustava e-zdravstva i telemedicine</w:t>
            </w:r>
          </w:p>
        </w:tc>
        <w:tc>
          <w:tcPr>
            <w:tcW w:w="1285" w:type="dxa"/>
            <w:tcBorders>
              <w:top w:val="nil"/>
              <w:left w:val="nil"/>
              <w:bottom w:val="single" w:sz="4" w:space="0" w:color="auto"/>
              <w:right w:val="single" w:sz="4" w:space="0" w:color="auto"/>
            </w:tcBorders>
            <w:shd w:val="clear" w:color="auto" w:fill="C6EFCE"/>
            <w:noWrap/>
          </w:tcPr>
          <w:p w14:paraId="43CAFEC8" w14:textId="4A737E4C" w:rsidR="003F46B9" w:rsidRDefault="0065662E">
            <w:pPr>
              <w:pStyle w:val="P68B1DB1-Normal35"/>
              <w:spacing w:after="0"/>
              <w:jc w:val="center"/>
              <w:rPr>
                <w:noProof/>
              </w:rPr>
            </w:pPr>
            <w:r>
              <w:rPr>
                <w:noProof/>
              </w:rPr>
              <w:t>M</w:t>
            </w:r>
          </w:p>
        </w:tc>
        <w:tc>
          <w:tcPr>
            <w:tcW w:w="3393" w:type="dxa"/>
            <w:tcBorders>
              <w:top w:val="nil"/>
              <w:left w:val="nil"/>
              <w:bottom w:val="single" w:sz="4" w:space="0" w:color="auto"/>
              <w:right w:val="single" w:sz="4" w:space="0" w:color="auto"/>
            </w:tcBorders>
            <w:shd w:val="clear" w:color="auto" w:fill="C6EFCE"/>
            <w:noWrap/>
          </w:tcPr>
          <w:p w14:paraId="5D9D22C2" w14:textId="0E18AEFF" w:rsidR="003F46B9" w:rsidRDefault="0065662E">
            <w:pPr>
              <w:pStyle w:val="P68B1DB1-Normal35"/>
              <w:spacing w:after="0"/>
              <w:jc w:val="both"/>
              <w:rPr>
                <w:noProof/>
              </w:rPr>
            </w:pPr>
            <w:r>
              <w:rPr>
                <w:noProof/>
              </w:rPr>
              <w:t>Uveden sustav telemedicine</w:t>
            </w:r>
          </w:p>
        </w:tc>
      </w:tr>
      <w:tr w:rsidR="003F46B9" w14:paraId="51879A07"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16B2369D" w14:textId="63FE2DBF" w:rsidR="003F46B9" w:rsidRDefault="0065662E">
            <w:pPr>
              <w:pStyle w:val="P68B1DB1-Normal35"/>
              <w:spacing w:after="0"/>
              <w:jc w:val="center"/>
              <w:rPr>
                <w:noProof/>
              </w:rPr>
            </w:pPr>
            <w:r>
              <w:rPr>
                <w:noProof/>
              </w:rPr>
              <w:t>167</w:t>
            </w:r>
          </w:p>
        </w:tc>
        <w:tc>
          <w:tcPr>
            <w:tcW w:w="3534" w:type="dxa"/>
            <w:tcBorders>
              <w:top w:val="nil"/>
              <w:left w:val="nil"/>
              <w:bottom w:val="single" w:sz="4" w:space="0" w:color="auto"/>
              <w:right w:val="single" w:sz="4" w:space="0" w:color="auto"/>
            </w:tcBorders>
            <w:shd w:val="clear" w:color="auto" w:fill="C6EFCE"/>
            <w:noWrap/>
          </w:tcPr>
          <w:p w14:paraId="05E968AE" w14:textId="02314E89" w:rsidR="003F46B9" w:rsidRDefault="0065662E">
            <w:pPr>
              <w:pStyle w:val="P68B1DB1-Normal35"/>
              <w:spacing w:after="0"/>
              <w:jc w:val="both"/>
              <w:rPr>
                <w:noProof/>
              </w:rPr>
            </w:pPr>
            <w:r>
              <w:rPr>
                <w:noProof/>
              </w:rPr>
              <w:t>C7.I5</w:t>
            </w:r>
            <w:r>
              <w:rPr>
                <w:noProof/>
              </w:rPr>
              <w:br/>
              <w:t>Digitalizacija u području okoliša</w:t>
            </w:r>
          </w:p>
        </w:tc>
        <w:tc>
          <w:tcPr>
            <w:tcW w:w="1285" w:type="dxa"/>
            <w:tcBorders>
              <w:top w:val="nil"/>
              <w:left w:val="nil"/>
              <w:bottom w:val="single" w:sz="4" w:space="0" w:color="auto"/>
              <w:right w:val="single" w:sz="4" w:space="0" w:color="auto"/>
            </w:tcBorders>
            <w:shd w:val="clear" w:color="auto" w:fill="C6EFCE"/>
            <w:noWrap/>
          </w:tcPr>
          <w:p w14:paraId="6661888A" w14:textId="389E8CE6" w:rsidR="003F46B9" w:rsidRDefault="0065662E">
            <w:pPr>
              <w:pStyle w:val="P68B1DB1-Normal35"/>
              <w:spacing w:after="0"/>
              <w:jc w:val="center"/>
              <w:rPr>
                <w:noProof/>
              </w:rPr>
            </w:pPr>
            <w:r>
              <w:rPr>
                <w:noProof/>
              </w:rPr>
              <w:t>M</w:t>
            </w:r>
          </w:p>
        </w:tc>
        <w:tc>
          <w:tcPr>
            <w:tcW w:w="3393" w:type="dxa"/>
            <w:tcBorders>
              <w:top w:val="nil"/>
              <w:left w:val="nil"/>
              <w:bottom w:val="single" w:sz="4" w:space="0" w:color="auto"/>
              <w:right w:val="single" w:sz="4" w:space="0" w:color="auto"/>
            </w:tcBorders>
            <w:shd w:val="clear" w:color="auto" w:fill="C6EFCE"/>
            <w:noWrap/>
          </w:tcPr>
          <w:p w14:paraId="46C01237" w14:textId="35903710" w:rsidR="003F46B9" w:rsidRDefault="0065662E">
            <w:pPr>
              <w:pStyle w:val="P68B1DB1-Normal35"/>
              <w:spacing w:after="0"/>
              <w:jc w:val="both"/>
              <w:rPr>
                <w:noProof/>
              </w:rPr>
            </w:pPr>
            <w:r>
              <w:rPr>
                <w:noProof/>
              </w:rPr>
              <w:t xml:space="preserve">Povećani </w:t>
            </w:r>
            <w:r>
              <w:rPr>
                <w:noProof/>
              </w:rPr>
              <w:t>kapacitet za nadzor, kontrolu i praćenje šuma s pomoću integriranog IT sustava</w:t>
            </w:r>
          </w:p>
        </w:tc>
      </w:tr>
      <w:tr w:rsidR="003F46B9" w14:paraId="71A201A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5A2CD469" w14:textId="789D33AE" w:rsidR="003F46B9" w:rsidRDefault="0065662E">
            <w:pPr>
              <w:pStyle w:val="P68B1DB1-Normal35"/>
              <w:spacing w:after="0"/>
              <w:jc w:val="center"/>
              <w:rPr>
                <w:noProof/>
              </w:rPr>
            </w:pPr>
            <w:r>
              <w:rPr>
                <w:noProof/>
              </w:rPr>
              <w:t>169</w:t>
            </w:r>
          </w:p>
        </w:tc>
        <w:tc>
          <w:tcPr>
            <w:tcW w:w="3534" w:type="dxa"/>
            <w:tcBorders>
              <w:top w:val="nil"/>
              <w:left w:val="nil"/>
              <w:bottom w:val="single" w:sz="4" w:space="0" w:color="auto"/>
              <w:right w:val="single" w:sz="4" w:space="0" w:color="auto"/>
            </w:tcBorders>
            <w:shd w:val="clear" w:color="auto" w:fill="C6EFCE"/>
            <w:noWrap/>
          </w:tcPr>
          <w:p w14:paraId="04DDA022" w14:textId="77777777" w:rsidR="003F46B9" w:rsidRDefault="0065662E">
            <w:pPr>
              <w:pStyle w:val="P68B1DB1-Normal35"/>
              <w:spacing w:after="0"/>
              <w:jc w:val="both"/>
              <w:rPr>
                <w:noProof/>
              </w:rPr>
            </w:pPr>
            <w:r>
              <w:rPr>
                <w:noProof/>
              </w:rPr>
              <w:t>C7. I6</w:t>
            </w:r>
          </w:p>
          <w:p w14:paraId="64136AC4" w14:textId="31828E9D" w:rsidR="003F46B9" w:rsidRDefault="0065662E">
            <w:pPr>
              <w:pStyle w:val="P68B1DB1-Normal35"/>
              <w:spacing w:after="0"/>
              <w:jc w:val="both"/>
              <w:rPr>
                <w:noProof/>
              </w:rPr>
            </w:pPr>
            <w:r>
              <w:rPr>
                <w:noProof/>
              </w:rPr>
              <w:t>Digitalizacija u području zapošljavanja i socijalne zaštite</w:t>
            </w:r>
          </w:p>
        </w:tc>
        <w:tc>
          <w:tcPr>
            <w:tcW w:w="1285" w:type="dxa"/>
            <w:tcBorders>
              <w:top w:val="nil"/>
              <w:left w:val="nil"/>
              <w:bottom w:val="single" w:sz="4" w:space="0" w:color="auto"/>
              <w:right w:val="single" w:sz="4" w:space="0" w:color="auto"/>
            </w:tcBorders>
            <w:shd w:val="clear" w:color="auto" w:fill="C6EFCE"/>
            <w:noWrap/>
          </w:tcPr>
          <w:p w14:paraId="57F3CE26" w14:textId="78A5E783" w:rsidR="003F46B9" w:rsidRDefault="0065662E">
            <w:pPr>
              <w:pStyle w:val="P68B1DB1-Normal35"/>
              <w:spacing w:after="0"/>
              <w:jc w:val="center"/>
              <w:rPr>
                <w:noProof/>
              </w:rPr>
            </w:pPr>
            <w:r>
              <w:rPr>
                <w:noProof/>
              </w:rPr>
              <w:t>M</w:t>
            </w:r>
          </w:p>
        </w:tc>
        <w:tc>
          <w:tcPr>
            <w:tcW w:w="3393" w:type="dxa"/>
            <w:tcBorders>
              <w:top w:val="nil"/>
              <w:left w:val="nil"/>
              <w:bottom w:val="single" w:sz="4" w:space="0" w:color="auto"/>
              <w:right w:val="single" w:sz="4" w:space="0" w:color="auto"/>
            </w:tcBorders>
            <w:shd w:val="clear" w:color="auto" w:fill="C6EFCE"/>
            <w:noWrap/>
          </w:tcPr>
          <w:p w14:paraId="3F3865B1" w14:textId="736CD028" w:rsidR="003F46B9" w:rsidRDefault="0065662E">
            <w:pPr>
              <w:pStyle w:val="P68B1DB1-Normal35"/>
              <w:spacing w:after="0"/>
              <w:jc w:val="both"/>
              <w:rPr>
                <w:noProof/>
              </w:rPr>
            </w:pPr>
            <w:r>
              <w:rPr>
                <w:noProof/>
              </w:rPr>
              <w:t>Početak rada internetskog sustava REGES</w:t>
            </w:r>
          </w:p>
        </w:tc>
      </w:tr>
      <w:tr w:rsidR="003F46B9" w14:paraId="701EA160"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2D79BA5" w14:textId="216BCD8E" w:rsidR="003F46B9" w:rsidRDefault="0065662E">
            <w:pPr>
              <w:pStyle w:val="P68B1DB1-Normal38"/>
              <w:spacing w:after="0"/>
              <w:jc w:val="center"/>
              <w:rPr>
                <w:noProof/>
              </w:rPr>
            </w:pPr>
            <w:r>
              <w:rPr>
                <w:noProof/>
              </w:rPr>
              <w:t>175</w:t>
            </w:r>
          </w:p>
        </w:tc>
        <w:tc>
          <w:tcPr>
            <w:tcW w:w="3534" w:type="dxa"/>
            <w:tcBorders>
              <w:top w:val="nil"/>
              <w:left w:val="nil"/>
              <w:bottom w:val="single" w:sz="4" w:space="0" w:color="auto"/>
              <w:right w:val="single" w:sz="4" w:space="0" w:color="auto"/>
            </w:tcBorders>
            <w:shd w:val="clear" w:color="auto" w:fill="C6EFCE"/>
            <w:noWrap/>
          </w:tcPr>
          <w:p w14:paraId="3FB9842C" w14:textId="77777777" w:rsidR="003F46B9" w:rsidRDefault="0065662E">
            <w:pPr>
              <w:pStyle w:val="P68B1DB1-Normal38"/>
              <w:spacing w:after="0"/>
              <w:jc w:val="both"/>
              <w:rPr>
                <w:noProof/>
              </w:rPr>
            </w:pPr>
            <w:r>
              <w:rPr>
                <w:noProof/>
              </w:rPr>
              <w:t>C7.I9</w:t>
            </w:r>
          </w:p>
          <w:p w14:paraId="447AD9DD" w14:textId="4B105FAE" w:rsidR="003F46B9" w:rsidRDefault="0065662E">
            <w:pPr>
              <w:pStyle w:val="P68B1DB1-Normal38"/>
              <w:spacing w:after="0"/>
              <w:jc w:val="both"/>
              <w:rPr>
                <w:noProof/>
              </w:rPr>
            </w:pPr>
            <w:r>
              <w:rPr>
                <w:noProof/>
              </w:rPr>
              <w:t>Digitalizacija sektora nevladinih organizacija</w:t>
            </w:r>
          </w:p>
        </w:tc>
        <w:tc>
          <w:tcPr>
            <w:tcW w:w="1285" w:type="dxa"/>
            <w:tcBorders>
              <w:top w:val="nil"/>
              <w:left w:val="nil"/>
              <w:bottom w:val="single" w:sz="4" w:space="0" w:color="auto"/>
              <w:right w:val="single" w:sz="4" w:space="0" w:color="auto"/>
            </w:tcBorders>
            <w:shd w:val="clear" w:color="auto" w:fill="C6EFCE"/>
            <w:noWrap/>
          </w:tcPr>
          <w:p w14:paraId="3804D3B8" w14:textId="4E336BEE" w:rsidR="003F46B9" w:rsidRDefault="0065662E">
            <w:pPr>
              <w:pStyle w:val="P68B1DB1-Normal38"/>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2C3B0AEB" w14:textId="25C05B82" w:rsidR="003F46B9" w:rsidRDefault="0065662E">
            <w:pPr>
              <w:pStyle w:val="P68B1DB1-Normal38"/>
              <w:spacing w:after="0"/>
              <w:jc w:val="both"/>
              <w:rPr>
                <w:noProof/>
              </w:rPr>
            </w:pPr>
            <w:r>
              <w:rPr>
                <w:noProof/>
              </w:rPr>
              <w:t>Dovršeni projekti za digitalizaciju nevladinih organizacija</w:t>
            </w:r>
          </w:p>
        </w:tc>
      </w:tr>
      <w:tr w:rsidR="003F46B9" w14:paraId="093C3D5F"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054F1EFB" w14:textId="307A9421" w:rsidR="003F46B9" w:rsidRDefault="0065662E">
            <w:pPr>
              <w:pStyle w:val="P68B1DB1-Normal35"/>
              <w:spacing w:after="0"/>
              <w:jc w:val="center"/>
              <w:rPr>
                <w:noProof/>
              </w:rPr>
            </w:pPr>
            <w:r>
              <w:rPr>
                <w:noProof/>
              </w:rPr>
              <w:t>182</w:t>
            </w:r>
          </w:p>
        </w:tc>
        <w:tc>
          <w:tcPr>
            <w:tcW w:w="3534" w:type="dxa"/>
            <w:tcBorders>
              <w:top w:val="nil"/>
              <w:left w:val="nil"/>
              <w:bottom w:val="single" w:sz="4" w:space="0" w:color="auto"/>
              <w:right w:val="single" w:sz="4" w:space="0" w:color="auto"/>
            </w:tcBorders>
            <w:shd w:val="clear" w:color="auto" w:fill="C6EFCE"/>
            <w:noWrap/>
          </w:tcPr>
          <w:p w14:paraId="476429EC" w14:textId="77777777" w:rsidR="003F46B9" w:rsidRDefault="0065662E">
            <w:pPr>
              <w:pStyle w:val="P68B1DB1-Normal35"/>
              <w:spacing w:after="0"/>
              <w:jc w:val="both"/>
              <w:rPr>
                <w:noProof/>
              </w:rPr>
            </w:pPr>
            <w:r>
              <w:rPr>
                <w:noProof/>
              </w:rPr>
              <w:t>C7.I14</w:t>
            </w:r>
          </w:p>
          <w:p w14:paraId="3A32EB27" w14:textId="62CFD1AF" w:rsidR="003F46B9" w:rsidRDefault="0065662E">
            <w:pPr>
              <w:pStyle w:val="P68B1DB1-Normal35"/>
              <w:spacing w:after="0"/>
              <w:jc w:val="both"/>
              <w:rPr>
                <w:noProof/>
              </w:rPr>
            </w:pPr>
            <w:r>
              <w:rPr>
                <w:noProof/>
              </w:rPr>
              <w:t>Povećanje otpornosti i kibersigurnosti infrastrukturnih usluga pružatelja internetskih usluga koje se pružaju javnim tijelima u Rumunjskoj</w:t>
            </w:r>
          </w:p>
        </w:tc>
        <w:tc>
          <w:tcPr>
            <w:tcW w:w="1285" w:type="dxa"/>
            <w:tcBorders>
              <w:top w:val="nil"/>
              <w:left w:val="nil"/>
              <w:bottom w:val="single" w:sz="4" w:space="0" w:color="auto"/>
              <w:right w:val="single" w:sz="4" w:space="0" w:color="auto"/>
            </w:tcBorders>
            <w:shd w:val="clear" w:color="auto" w:fill="C6EFCE"/>
            <w:noWrap/>
          </w:tcPr>
          <w:p w14:paraId="4E74126E" w14:textId="59AC06A2"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55F3E8F1" w14:textId="37874972" w:rsidR="003F46B9" w:rsidRDefault="0065662E">
            <w:pPr>
              <w:pStyle w:val="P68B1DB1-Normal35"/>
              <w:spacing w:after="0"/>
              <w:jc w:val="both"/>
              <w:rPr>
                <w:noProof/>
              </w:rPr>
            </w:pPr>
            <w:r>
              <w:rPr>
                <w:noProof/>
              </w:rPr>
              <w:t xml:space="preserve">Centri koji središnjim i lokalnim </w:t>
            </w:r>
            <w:r>
              <w:rPr>
                <w:noProof/>
              </w:rPr>
              <w:t>institucijama i subjektima od javnog interesa omogućuju pristup uslugama pružatelja internetskih usluga (ISP)</w:t>
            </w:r>
          </w:p>
        </w:tc>
      </w:tr>
      <w:tr w:rsidR="003F46B9" w14:paraId="7EC9FFD5"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70B147D" w14:textId="5C197706" w:rsidR="003F46B9" w:rsidRDefault="0065662E">
            <w:pPr>
              <w:pStyle w:val="P68B1DB1-Normal35"/>
              <w:spacing w:after="0"/>
              <w:jc w:val="center"/>
              <w:rPr>
                <w:noProof/>
              </w:rPr>
            </w:pPr>
            <w:r>
              <w:rPr>
                <w:noProof/>
              </w:rPr>
              <w:t>209</w:t>
            </w:r>
          </w:p>
        </w:tc>
        <w:tc>
          <w:tcPr>
            <w:tcW w:w="3534" w:type="dxa"/>
            <w:tcBorders>
              <w:top w:val="nil"/>
              <w:left w:val="nil"/>
              <w:bottom w:val="single" w:sz="4" w:space="0" w:color="auto"/>
              <w:right w:val="single" w:sz="4" w:space="0" w:color="auto"/>
            </w:tcBorders>
            <w:shd w:val="clear" w:color="auto" w:fill="C6EFCE"/>
            <w:noWrap/>
          </w:tcPr>
          <w:p w14:paraId="2F1DFB58" w14:textId="77777777" w:rsidR="003F46B9" w:rsidRDefault="0065662E">
            <w:pPr>
              <w:pStyle w:val="P68B1DB1-Normal35"/>
              <w:spacing w:after="0"/>
              <w:jc w:val="both"/>
              <w:rPr>
                <w:noProof/>
              </w:rPr>
            </w:pPr>
            <w:r>
              <w:rPr>
                <w:noProof/>
              </w:rPr>
              <w:t>C8.R5</w:t>
            </w:r>
          </w:p>
          <w:p w14:paraId="338E9460" w14:textId="44C17F6B" w:rsidR="003F46B9" w:rsidRDefault="0065662E">
            <w:pPr>
              <w:pStyle w:val="P68B1DB1-Normal35"/>
              <w:spacing w:after="0"/>
              <w:jc w:val="both"/>
              <w:rPr>
                <w:noProof/>
              </w:rPr>
            </w:pPr>
            <w:r>
              <w:rPr>
                <w:noProof/>
              </w:rPr>
              <w:t>Osnivanje i operacionalizacija Nacionalne razvojne banke</w:t>
            </w:r>
          </w:p>
        </w:tc>
        <w:tc>
          <w:tcPr>
            <w:tcW w:w="1285" w:type="dxa"/>
            <w:tcBorders>
              <w:top w:val="nil"/>
              <w:left w:val="nil"/>
              <w:bottom w:val="single" w:sz="4" w:space="0" w:color="auto"/>
              <w:right w:val="single" w:sz="4" w:space="0" w:color="auto"/>
            </w:tcBorders>
            <w:shd w:val="clear" w:color="auto" w:fill="C6EFCE"/>
            <w:noWrap/>
          </w:tcPr>
          <w:p w14:paraId="7FDF061B" w14:textId="4E41FCB8" w:rsidR="003F46B9" w:rsidRDefault="0065662E">
            <w:pPr>
              <w:pStyle w:val="P68B1DB1-Normal35"/>
              <w:spacing w:after="0"/>
              <w:jc w:val="center"/>
              <w:rPr>
                <w:noProof/>
              </w:rPr>
            </w:pPr>
            <w:r>
              <w:rPr>
                <w:noProof/>
              </w:rPr>
              <w:t>M</w:t>
            </w:r>
          </w:p>
        </w:tc>
        <w:tc>
          <w:tcPr>
            <w:tcW w:w="3393" w:type="dxa"/>
            <w:tcBorders>
              <w:top w:val="nil"/>
              <w:left w:val="nil"/>
              <w:bottom w:val="single" w:sz="4" w:space="0" w:color="auto"/>
              <w:right w:val="single" w:sz="4" w:space="0" w:color="auto"/>
            </w:tcBorders>
            <w:shd w:val="clear" w:color="auto" w:fill="C6EFCE"/>
            <w:noWrap/>
          </w:tcPr>
          <w:p w14:paraId="29FA34D8" w14:textId="25AAC3E5" w:rsidR="003F46B9" w:rsidRDefault="0065662E">
            <w:pPr>
              <w:pStyle w:val="P68B1DB1-Normal35"/>
              <w:spacing w:after="0"/>
              <w:jc w:val="both"/>
              <w:rPr>
                <w:noProof/>
              </w:rPr>
            </w:pPr>
            <w:r>
              <w:rPr>
                <w:noProof/>
              </w:rPr>
              <w:t xml:space="preserve">Operacionalizacija Nacionalne razvojne banke </w:t>
            </w:r>
          </w:p>
        </w:tc>
      </w:tr>
      <w:tr w:rsidR="003F46B9" w14:paraId="1348B7EC"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26688584" w14:textId="2329EFD3" w:rsidR="003F46B9" w:rsidRDefault="0065662E">
            <w:pPr>
              <w:pStyle w:val="P68B1DB1-Normal35"/>
              <w:spacing w:after="0"/>
              <w:jc w:val="center"/>
              <w:rPr>
                <w:noProof/>
              </w:rPr>
            </w:pPr>
            <w:r>
              <w:rPr>
                <w:noProof/>
              </w:rPr>
              <w:t>217</w:t>
            </w:r>
          </w:p>
        </w:tc>
        <w:tc>
          <w:tcPr>
            <w:tcW w:w="3534" w:type="dxa"/>
            <w:tcBorders>
              <w:top w:val="nil"/>
              <w:left w:val="nil"/>
              <w:bottom w:val="single" w:sz="4" w:space="0" w:color="auto"/>
              <w:right w:val="single" w:sz="4" w:space="0" w:color="auto"/>
            </w:tcBorders>
            <w:shd w:val="clear" w:color="auto" w:fill="C6EFCE"/>
            <w:noWrap/>
          </w:tcPr>
          <w:p w14:paraId="12D6EB9A" w14:textId="77777777" w:rsidR="003F46B9" w:rsidRDefault="0065662E">
            <w:pPr>
              <w:pStyle w:val="P68B1DB1-Normal35"/>
              <w:spacing w:after="0"/>
              <w:jc w:val="both"/>
              <w:rPr>
                <w:noProof/>
              </w:rPr>
            </w:pPr>
            <w:r>
              <w:rPr>
                <w:noProof/>
              </w:rPr>
              <w:t>C8.I1</w:t>
            </w:r>
          </w:p>
          <w:p w14:paraId="13E657C3" w14:textId="42BD647C" w:rsidR="003F46B9" w:rsidRDefault="0065662E">
            <w:pPr>
              <w:pStyle w:val="P68B1DB1-Normal35"/>
              <w:spacing w:after="0"/>
              <w:jc w:val="both"/>
              <w:rPr>
                <w:noProof/>
              </w:rPr>
            </w:pPr>
            <w:r>
              <w:rPr>
                <w:noProof/>
              </w:rPr>
              <w:t>Olakšavanje ispunja</w:t>
            </w:r>
            <w:r>
              <w:rPr>
                <w:noProof/>
              </w:rPr>
              <w:t xml:space="preserve">vanja obveza poreznih obveznika razvojem digitalnih usluga </w:t>
            </w:r>
          </w:p>
        </w:tc>
        <w:tc>
          <w:tcPr>
            <w:tcW w:w="1285" w:type="dxa"/>
            <w:tcBorders>
              <w:top w:val="nil"/>
              <w:left w:val="nil"/>
              <w:bottom w:val="single" w:sz="4" w:space="0" w:color="auto"/>
              <w:right w:val="single" w:sz="4" w:space="0" w:color="auto"/>
            </w:tcBorders>
            <w:shd w:val="clear" w:color="auto" w:fill="C6EFCE"/>
            <w:noWrap/>
          </w:tcPr>
          <w:p w14:paraId="06C17E1A" w14:textId="76C4C0A3"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480F7001" w14:textId="426DFC07" w:rsidR="003F46B9" w:rsidRDefault="0065662E">
            <w:pPr>
              <w:pStyle w:val="P68B1DB1-Normal35"/>
              <w:spacing w:after="0"/>
              <w:jc w:val="both"/>
              <w:rPr>
                <w:noProof/>
              </w:rPr>
            </w:pPr>
            <w:r>
              <w:rPr>
                <w:noProof/>
              </w:rPr>
              <w:t>Usluge za obveznike poreza na dobit dostupne su na internetu</w:t>
            </w:r>
          </w:p>
        </w:tc>
      </w:tr>
      <w:tr w:rsidR="003F46B9" w14:paraId="7027FAD8" w14:textId="77777777">
        <w:trPr>
          <w:trHeight w:val="302"/>
        </w:trPr>
        <w:tc>
          <w:tcPr>
            <w:tcW w:w="1422" w:type="dxa"/>
            <w:tcBorders>
              <w:top w:val="nil"/>
              <w:left w:val="single" w:sz="4" w:space="0" w:color="auto"/>
              <w:bottom w:val="single" w:sz="4" w:space="0" w:color="auto"/>
              <w:right w:val="single" w:sz="4" w:space="0" w:color="auto"/>
            </w:tcBorders>
            <w:shd w:val="clear" w:color="auto" w:fill="C6EFCE"/>
            <w:noWrap/>
          </w:tcPr>
          <w:p w14:paraId="67C49F3D" w14:textId="106A61D3" w:rsidR="003F46B9" w:rsidRDefault="0065662E">
            <w:pPr>
              <w:pStyle w:val="P68B1DB1-Normal35"/>
              <w:spacing w:after="0"/>
              <w:jc w:val="center"/>
              <w:rPr>
                <w:noProof/>
              </w:rPr>
            </w:pPr>
            <w:r>
              <w:rPr>
                <w:noProof/>
              </w:rPr>
              <w:t>233</w:t>
            </w:r>
          </w:p>
        </w:tc>
        <w:tc>
          <w:tcPr>
            <w:tcW w:w="3534" w:type="dxa"/>
            <w:tcBorders>
              <w:top w:val="nil"/>
              <w:left w:val="nil"/>
              <w:bottom w:val="single" w:sz="4" w:space="0" w:color="auto"/>
              <w:right w:val="single" w:sz="4" w:space="0" w:color="auto"/>
            </w:tcBorders>
            <w:shd w:val="clear" w:color="auto" w:fill="C6EFCE"/>
            <w:noWrap/>
          </w:tcPr>
          <w:p w14:paraId="7D1DE470" w14:textId="77777777" w:rsidR="003F46B9" w:rsidRDefault="0065662E">
            <w:pPr>
              <w:pStyle w:val="P68B1DB1-Normal35"/>
              <w:spacing w:after="0"/>
              <w:jc w:val="both"/>
              <w:rPr>
                <w:noProof/>
              </w:rPr>
            </w:pPr>
            <w:r>
              <w:rPr>
                <w:noProof/>
              </w:rPr>
              <w:t>C8.I4</w:t>
            </w:r>
          </w:p>
          <w:p w14:paraId="48C7BC3B" w14:textId="5782CAB4" w:rsidR="003F46B9" w:rsidRDefault="0065662E">
            <w:pPr>
              <w:pStyle w:val="P68B1DB1-Normal35"/>
              <w:spacing w:after="0"/>
              <w:jc w:val="both"/>
              <w:rPr>
                <w:noProof/>
              </w:rPr>
            </w:pPr>
            <w:r>
              <w:rPr>
                <w:noProof/>
              </w:rPr>
              <w:t>Uvođenje elektroničke carine</w:t>
            </w:r>
          </w:p>
        </w:tc>
        <w:tc>
          <w:tcPr>
            <w:tcW w:w="1285" w:type="dxa"/>
            <w:tcBorders>
              <w:top w:val="nil"/>
              <w:left w:val="nil"/>
              <w:bottom w:val="single" w:sz="4" w:space="0" w:color="auto"/>
              <w:right w:val="single" w:sz="4" w:space="0" w:color="auto"/>
            </w:tcBorders>
            <w:shd w:val="clear" w:color="auto" w:fill="C6EFCE"/>
            <w:noWrap/>
          </w:tcPr>
          <w:p w14:paraId="318D1075" w14:textId="4FA73228" w:rsidR="003F46B9" w:rsidRDefault="0065662E">
            <w:pPr>
              <w:pStyle w:val="P68B1DB1-Normal35"/>
              <w:spacing w:after="0"/>
              <w:jc w:val="center"/>
              <w:rPr>
                <w:noProof/>
              </w:rPr>
            </w:pPr>
            <w:r>
              <w:rPr>
                <w:noProof/>
              </w:rPr>
              <w:t>T</w:t>
            </w:r>
          </w:p>
        </w:tc>
        <w:tc>
          <w:tcPr>
            <w:tcW w:w="3393" w:type="dxa"/>
            <w:tcBorders>
              <w:top w:val="nil"/>
              <w:left w:val="nil"/>
              <w:bottom w:val="single" w:sz="4" w:space="0" w:color="auto"/>
              <w:right w:val="single" w:sz="4" w:space="0" w:color="auto"/>
            </w:tcBorders>
            <w:shd w:val="clear" w:color="auto" w:fill="C6EFCE"/>
            <w:noWrap/>
          </w:tcPr>
          <w:p w14:paraId="0BBD16FF" w14:textId="5C3C0F68" w:rsidR="003F46B9" w:rsidRDefault="0065662E">
            <w:pPr>
              <w:pStyle w:val="P68B1DB1-Normal35"/>
              <w:spacing w:after="0"/>
              <w:jc w:val="both"/>
              <w:rPr>
                <w:noProof/>
              </w:rPr>
            </w:pPr>
            <w:r>
              <w:rPr>
                <w:noProof/>
              </w:rPr>
              <w:t xml:space="preserve">Postotak aktivnosti carinjenja, razmjena informacija između gospodarskih subjekata i carinskih tijela, razmjena informacija među carinskim tijelima u državama članicama </w:t>
            </w:r>
            <w:r>
              <w:rPr>
                <w:noProof/>
              </w:rPr>
              <w:br/>
              <w:t>obavljeno elektroničkim putem</w:t>
            </w:r>
          </w:p>
        </w:tc>
      </w:tr>
      <w:tr w:rsidR="003F46B9" w14:paraId="5EA6209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8CF11E0" w14:textId="0727F1AF" w:rsidR="003F46B9" w:rsidRDefault="0065662E">
            <w:pPr>
              <w:pStyle w:val="P68B1DB1-Normal35"/>
              <w:spacing w:after="0"/>
              <w:jc w:val="center"/>
              <w:rPr>
                <w:rFonts w:eastAsia="Times New Roman"/>
                <w:noProof/>
              </w:rPr>
            </w:pPr>
            <w:r>
              <w:rPr>
                <w:noProof/>
              </w:rPr>
              <w:t>238</w:t>
            </w:r>
          </w:p>
        </w:tc>
        <w:tc>
          <w:tcPr>
            <w:tcW w:w="3534" w:type="dxa"/>
            <w:tcBorders>
              <w:top w:val="single" w:sz="4" w:space="0" w:color="auto"/>
              <w:left w:val="nil"/>
              <w:bottom w:val="single" w:sz="4" w:space="0" w:color="auto"/>
              <w:right w:val="single" w:sz="4" w:space="0" w:color="auto"/>
            </w:tcBorders>
            <w:shd w:val="clear" w:color="auto" w:fill="C6EFCE"/>
            <w:noWrap/>
          </w:tcPr>
          <w:p w14:paraId="4AED9D4F" w14:textId="77777777" w:rsidR="003F46B9" w:rsidRDefault="0065662E">
            <w:pPr>
              <w:pStyle w:val="P68B1DB1-Normal35"/>
              <w:spacing w:after="0"/>
              <w:jc w:val="both"/>
              <w:rPr>
                <w:noProof/>
              </w:rPr>
            </w:pPr>
            <w:r>
              <w:rPr>
                <w:noProof/>
              </w:rPr>
              <w:t>C8.I8</w:t>
            </w:r>
          </w:p>
          <w:p w14:paraId="027ECBA0" w14:textId="43BB64AD" w:rsidR="003F46B9" w:rsidRDefault="0065662E">
            <w:pPr>
              <w:pStyle w:val="P68B1DB1-Normal35"/>
              <w:spacing w:after="0"/>
              <w:jc w:val="both"/>
              <w:rPr>
                <w:rFonts w:eastAsia="Times New Roman"/>
                <w:noProof/>
              </w:rPr>
            </w:pPr>
            <w:r>
              <w:rPr>
                <w:noProof/>
              </w:rPr>
              <w:t>Operacionalizacija Nacionalne razvojne banke</w:t>
            </w:r>
          </w:p>
        </w:tc>
        <w:tc>
          <w:tcPr>
            <w:tcW w:w="1285" w:type="dxa"/>
            <w:tcBorders>
              <w:top w:val="single" w:sz="4" w:space="0" w:color="auto"/>
              <w:left w:val="nil"/>
              <w:bottom w:val="single" w:sz="4" w:space="0" w:color="auto"/>
              <w:right w:val="single" w:sz="4" w:space="0" w:color="auto"/>
            </w:tcBorders>
            <w:shd w:val="clear" w:color="auto" w:fill="C6EFCE"/>
            <w:noWrap/>
          </w:tcPr>
          <w:p w14:paraId="55567A76" w14:textId="07120E6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1A4E9B1" w14:textId="408DDFC9" w:rsidR="003F46B9" w:rsidRDefault="0065662E">
            <w:pPr>
              <w:pStyle w:val="P68B1DB1-Normal35"/>
              <w:spacing w:after="0"/>
              <w:jc w:val="both"/>
              <w:rPr>
                <w:rFonts w:eastAsia="Times New Roman"/>
                <w:noProof/>
              </w:rPr>
            </w:pPr>
            <w:r>
              <w:rPr>
                <w:noProof/>
              </w:rPr>
              <w:t>Kupnja softvera (dozvola) i hardvera (prijenosna računala), informatičke usluge za osoblje, osposobljavanje osoblja Nacionalne razvojne banke i osoblja Ministarstva financija</w:t>
            </w:r>
          </w:p>
        </w:tc>
      </w:tr>
      <w:tr w:rsidR="003F46B9" w14:paraId="572F832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63C187E" w14:textId="1DCEEFDF" w:rsidR="003F46B9" w:rsidRDefault="0065662E">
            <w:pPr>
              <w:pStyle w:val="P68B1DB1-Normal35"/>
              <w:spacing w:after="0"/>
              <w:jc w:val="center"/>
              <w:rPr>
                <w:rFonts w:eastAsia="Times New Roman"/>
                <w:noProof/>
              </w:rPr>
            </w:pPr>
            <w:r>
              <w:rPr>
                <w:noProof/>
              </w:rPr>
              <w:t>240</w:t>
            </w:r>
          </w:p>
        </w:tc>
        <w:tc>
          <w:tcPr>
            <w:tcW w:w="3534" w:type="dxa"/>
            <w:tcBorders>
              <w:top w:val="single" w:sz="4" w:space="0" w:color="auto"/>
              <w:left w:val="nil"/>
              <w:bottom w:val="single" w:sz="4" w:space="0" w:color="auto"/>
              <w:right w:val="single" w:sz="4" w:space="0" w:color="auto"/>
            </w:tcBorders>
            <w:shd w:val="clear" w:color="auto" w:fill="C6EFCE"/>
            <w:noWrap/>
          </w:tcPr>
          <w:p w14:paraId="6A846DFE" w14:textId="77777777" w:rsidR="003F46B9" w:rsidRDefault="0065662E">
            <w:pPr>
              <w:pStyle w:val="P68B1DB1-Normal35"/>
              <w:spacing w:after="0"/>
              <w:jc w:val="both"/>
              <w:rPr>
                <w:noProof/>
              </w:rPr>
            </w:pPr>
            <w:r>
              <w:rPr>
                <w:noProof/>
              </w:rPr>
              <w:t>C8.I10</w:t>
            </w:r>
          </w:p>
          <w:p w14:paraId="45B03658" w14:textId="229ED645" w:rsidR="003F46B9" w:rsidRDefault="0065662E">
            <w:pPr>
              <w:pStyle w:val="P68B1DB1-Normal35"/>
              <w:spacing w:after="0"/>
              <w:jc w:val="both"/>
              <w:rPr>
                <w:rFonts w:eastAsia="Times New Roman"/>
                <w:noProof/>
              </w:rPr>
            </w:pPr>
            <w:r>
              <w:rPr>
                <w:noProof/>
              </w:rPr>
              <w:t xml:space="preserve">Operativna učinkovitost i napredne e-usluge putem digitalizacije mirovinskog sustava </w:t>
            </w:r>
          </w:p>
        </w:tc>
        <w:tc>
          <w:tcPr>
            <w:tcW w:w="1285" w:type="dxa"/>
            <w:tcBorders>
              <w:top w:val="single" w:sz="4" w:space="0" w:color="auto"/>
              <w:left w:val="nil"/>
              <w:bottom w:val="single" w:sz="4" w:space="0" w:color="auto"/>
              <w:right w:val="single" w:sz="4" w:space="0" w:color="auto"/>
            </w:tcBorders>
            <w:shd w:val="clear" w:color="auto" w:fill="C6EFCE"/>
            <w:noWrap/>
          </w:tcPr>
          <w:p w14:paraId="1421A69D" w14:textId="428EDEB9"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6A0183F0" w14:textId="4E717A69" w:rsidR="003F46B9" w:rsidRDefault="0065662E">
            <w:pPr>
              <w:pStyle w:val="P68B1DB1-Normal35"/>
              <w:spacing w:after="0"/>
              <w:jc w:val="both"/>
              <w:rPr>
                <w:rFonts w:eastAsia="Times New Roman"/>
                <w:noProof/>
              </w:rPr>
            </w:pPr>
            <w:r>
              <w:rPr>
                <w:noProof/>
              </w:rPr>
              <w:t xml:space="preserve">Informacijski sustav u Nacionalnoj javnoj agenciji za mirovinsko osiguranje koja djeluje </w:t>
            </w:r>
          </w:p>
        </w:tc>
      </w:tr>
      <w:tr w:rsidR="003F46B9" w14:paraId="3B816CC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4C73766" w14:textId="77777777" w:rsidR="003F46B9" w:rsidRDefault="0065662E">
            <w:pPr>
              <w:pStyle w:val="P68B1DB1-Normal35"/>
              <w:spacing w:after="0"/>
              <w:jc w:val="center"/>
              <w:rPr>
                <w:rFonts w:eastAsia="Times New Roman"/>
                <w:noProof/>
              </w:rPr>
            </w:pPr>
            <w:r>
              <w:rPr>
                <w:noProof/>
              </w:rPr>
              <w:t>299</w:t>
            </w:r>
          </w:p>
        </w:tc>
        <w:tc>
          <w:tcPr>
            <w:tcW w:w="3534" w:type="dxa"/>
            <w:tcBorders>
              <w:top w:val="single" w:sz="4" w:space="0" w:color="auto"/>
              <w:left w:val="nil"/>
              <w:bottom w:val="single" w:sz="4" w:space="0" w:color="auto"/>
              <w:right w:val="single" w:sz="4" w:space="0" w:color="auto"/>
            </w:tcBorders>
            <w:shd w:val="clear" w:color="auto" w:fill="C6EFCE"/>
            <w:noWrap/>
          </w:tcPr>
          <w:p w14:paraId="79A521C9" w14:textId="77777777" w:rsidR="003F46B9" w:rsidRDefault="0065662E">
            <w:pPr>
              <w:pStyle w:val="P68B1DB1-Normal35"/>
              <w:spacing w:after="0"/>
              <w:jc w:val="both"/>
              <w:rPr>
                <w:noProof/>
              </w:rPr>
            </w:pPr>
            <w:r>
              <w:rPr>
                <w:noProof/>
              </w:rPr>
              <w:t>C10.I1</w:t>
            </w:r>
          </w:p>
          <w:p w14:paraId="4F0E2523" w14:textId="77777777" w:rsidR="003F46B9" w:rsidRDefault="0065662E">
            <w:pPr>
              <w:pStyle w:val="P68B1DB1-Normal35"/>
              <w:spacing w:after="0"/>
              <w:jc w:val="both"/>
              <w:rPr>
                <w:rFonts w:eastAsia="Times New Roman"/>
                <w:noProof/>
              </w:rPr>
            </w:pPr>
            <w:r>
              <w:rPr>
                <w:noProof/>
              </w:rPr>
              <w:t>Održiva gradska mobilnost</w:t>
            </w:r>
          </w:p>
        </w:tc>
        <w:tc>
          <w:tcPr>
            <w:tcW w:w="1285" w:type="dxa"/>
            <w:tcBorders>
              <w:top w:val="single" w:sz="4" w:space="0" w:color="auto"/>
              <w:left w:val="nil"/>
              <w:bottom w:val="single" w:sz="4" w:space="0" w:color="auto"/>
              <w:right w:val="single" w:sz="4" w:space="0" w:color="auto"/>
            </w:tcBorders>
            <w:shd w:val="clear" w:color="auto" w:fill="C6EFCE"/>
            <w:noWrap/>
          </w:tcPr>
          <w:p w14:paraId="6CB39923"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106C35C" w14:textId="77777777" w:rsidR="003F46B9" w:rsidRDefault="0065662E">
            <w:pPr>
              <w:pStyle w:val="P68B1DB1-Normal35"/>
              <w:spacing w:after="0"/>
              <w:jc w:val="both"/>
              <w:rPr>
                <w:rFonts w:eastAsia="Times New Roman"/>
                <w:noProof/>
              </w:rPr>
            </w:pPr>
            <w:r>
              <w:rPr>
                <w:noProof/>
              </w:rPr>
              <w:t>Operativne administrativne teritorijal</w:t>
            </w:r>
            <w:r>
              <w:rPr>
                <w:noProof/>
              </w:rPr>
              <w:t>ne jedinice s razvijenim/proširenim sustavima – inteligentni prometni sustavi i e-karte/ostale infrastrukture IKT-a</w:t>
            </w:r>
          </w:p>
        </w:tc>
      </w:tr>
      <w:tr w:rsidR="003F46B9" w14:paraId="10529D3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F36C54A" w14:textId="77777777" w:rsidR="003F46B9" w:rsidRDefault="0065662E">
            <w:pPr>
              <w:pStyle w:val="P68B1DB1-Normal35"/>
              <w:spacing w:after="0"/>
              <w:jc w:val="center"/>
              <w:rPr>
                <w:rFonts w:eastAsia="Times New Roman"/>
                <w:noProof/>
              </w:rPr>
            </w:pPr>
            <w:r>
              <w:rPr>
                <w:noProof/>
              </w:rPr>
              <w:t>365</w:t>
            </w:r>
          </w:p>
        </w:tc>
        <w:tc>
          <w:tcPr>
            <w:tcW w:w="3534" w:type="dxa"/>
            <w:tcBorders>
              <w:top w:val="single" w:sz="4" w:space="0" w:color="auto"/>
              <w:left w:val="nil"/>
              <w:bottom w:val="single" w:sz="4" w:space="0" w:color="auto"/>
              <w:right w:val="single" w:sz="4" w:space="0" w:color="auto"/>
            </w:tcBorders>
            <w:shd w:val="clear" w:color="auto" w:fill="C6EFCE"/>
            <w:noWrap/>
          </w:tcPr>
          <w:p w14:paraId="233B8E29" w14:textId="77777777" w:rsidR="003F46B9" w:rsidRDefault="0065662E">
            <w:pPr>
              <w:pStyle w:val="P68B1DB1-Normal35"/>
              <w:spacing w:after="0"/>
              <w:jc w:val="both"/>
              <w:rPr>
                <w:noProof/>
              </w:rPr>
            </w:pPr>
            <w:r>
              <w:rPr>
                <w:noProof/>
              </w:rPr>
              <w:t xml:space="preserve">C12.R3 </w:t>
            </w:r>
          </w:p>
          <w:p w14:paraId="3EC9927C" w14:textId="0A1AFF2D"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85" w:type="dxa"/>
            <w:tcBorders>
              <w:top w:val="single" w:sz="4" w:space="0" w:color="auto"/>
              <w:left w:val="nil"/>
              <w:bottom w:val="single" w:sz="4" w:space="0" w:color="auto"/>
              <w:right w:val="single" w:sz="4" w:space="0" w:color="auto"/>
            </w:tcBorders>
            <w:shd w:val="clear" w:color="auto" w:fill="C6EFCE"/>
            <w:noWrap/>
          </w:tcPr>
          <w:p w14:paraId="560585D9"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CECB7C4" w14:textId="77777777" w:rsidR="003F46B9" w:rsidRDefault="0065662E">
            <w:pPr>
              <w:pStyle w:val="P68B1DB1-Normal35"/>
              <w:spacing w:after="0"/>
              <w:jc w:val="both"/>
              <w:rPr>
                <w:rFonts w:eastAsia="Times New Roman"/>
                <w:noProof/>
              </w:rPr>
            </w:pPr>
            <w:r>
              <w:rPr>
                <w:noProof/>
              </w:rPr>
              <w:t xml:space="preserve">Operacionalizacija portala transparenta.ms.ro o </w:t>
            </w:r>
            <w:r>
              <w:rPr>
                <w:noProof/>
              </w:rPr>
              <w:t>upotrebi javnih sredstava</w:t>
            </w:r>
          </w:p>
        </w:tc>
      </w:tr>
      <w:tr w:rsidR="003F46B9" w14:paraId="202D9E3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C65231D" w14:textId="77777777" w:rsidR="003F46B9" w:rsidRDefault="0065662E">
            <w:pPr>
              <w:pStyle w:val="P68B1DB1-Normal35"/>
              <w:spacing w:after="0"/>
              <w:jc w:val="center"/>
              <w:rPr>
                <w:rFonts w:eastAsia="Times New Roman"/>
                <w:noProof/>
              </w:rPr>
            </w:pPr>
            <w:r>
              <w:rPr>
                <w:noProof/>
              </w:rPr>
              <w:t>369</w:t>
            </w:r>
          </w:p>
        </w:tc>
        <w:tc>
          <w:tcPr>
            <w:tcW w:w="3534" w:type="dxa"/>
            <w:tcBorders>
              <w:top w:val="single" w:sz="4" w:space="0" w:color="auto"/>
              <w:left w:val="nil"/>
              <w:bottom w:val="single" w:sz="4" w:space="0" w:color="auto"/>
              <w:right w:val="single" w:sz="4" w:space="0" w:color="auto"/>
            </w:tcBorders>
            <w:shd w:val="clear" w:color="auto" w:fill="C6EFCE"/>
            <w:noWrap/>
          </w:tcPr>
          <w:p w14:paraId="5F00DFDB" w14:textId="77777777" w:rsidR="003F46B9" w:rsidRDefault="0065662E">
            <w:pPr>
              <w:pStyle w:val="P68B1DB1-Normal35"/>
              <w:spacing w:after="0"/>
              <w:jc w:val="both"/>
              <w:rPr>
                <w:noProof/>
              </w:rPr>
            </w:pPr>
            <w:r>
              <w:rPr>
                <w:noProof/>
              </w:rPr>
              <w:t xml:space="preserve">C12.I1 </w:t>
            </w:r>
          </w:p>
          <w:p w14:paraId="3F98C9F9" w14:textId="77777777" w:rsidR="003F46B9" w:rsidRDefault="0065662E">
            <w:pPr>
              <w:pStyle w:val="P68B1DB1-Normal35"/>
              <w:spacing w:after="0"/>
              <w:jc w:val="both"/>
              <w:rPr>
                <w:rFonts w:eastAsia="Times New Roman"/>
                <w:noProof/>
              </w:rPr>
            </w:pPr>
            <w:r>
              <w:rPr>
                <w:noProof/>
              </w:rPr>
              <w:t>Razvoj pretbolničke medicinske infrastrukture</w:t>
            </w:r>
          </w:p>
        </w:tc>
        <w:tc>
          <w:tcPr>
            <w:tcW w:w="1285" w:type="dxa"/>
            <w:tcBorders>
              <w:top w:val="single" w:sz="4" w:space="0" w:color="auto"/>
              <w:left w:val="nil"/>
              <w:bottom w:val="single" w:sz="4" w:space="0" w:color="auto"/>
              <w:right w:val="single" w:sz="4" w:space="0" w:color="auto"/>
            </w:tcBorders>
            <w:shd w:val="clear" w:color="auto" w:fill="C6EFCE"/>
            <w:noWrap/>
          </w:tcPr>
          <w:p w14:paraId="63892122"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1EC900BA" w14:textId="77777777" w:rsidR="003F46B9" w:rsidRDefault="0065662E">
            <w:pPr>
              <w:pStyle w:val="P68B1DB1-Normal35"/>
              <w:spacing w:after="0"/>
              <w:jc w:val="both"/>
              <w:rPr>
                <w:rFonts w:eastAsia="Times New Roman"/>
                <w:noProof/>
              </w:rPr>
            </w:pPr>
            <w:r>
              <w:rPr>
                <w:noProof/>
              </w:rPr>
              <w:t>Novoizgrađene/obnovljene i opremljene ustanove za izvanbolničku skrb</w:t>
            </w:r>
          </w:p>
        </w:tc>
      </w:tr>
      <w:tr w:rsidR="003F46B9" w14:paraId="700FFB6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11B51C4" w14:textId="77777777" w:rsidR="003F46B9" w:rsidRDefault="0065662E">
            <w:pPr>
              <w:pStyle w:val="P68B1DB1-Normal35"/>
              <w:spacing w:after="0"/>
              <w:jc w:val="center"/>
              <w:rPr>
                <w:rFonts w:eastAsia="Times New Roman"/>
                <w:noProof/>
              </w:rPr>
            </w:pPr>
            <w:r>
              <w:rPr>
                <w:noProof/>
              </w:rPr>
              <w:t>376</w:t>
            </w:r>
          </w:p>
        </w:tc>
        <w:tc>
          <w:tcPr>
            <w:tcW w:w="3534" w:type="dxa"/>
            <w:tcBorders>
              <w:top w:val="single" w:sz="4" w:space="0" w:color="auto"/>
              <w:left w:val="nil"/>
              <w:bottom w:val="single" w:sz="4" w:space="0" w:color="auto"/>
              <w:right w:val="single" w:sz="4" w:space="0" w:color="auto"/>
            </w:tcBorders>
            <w:shd w:val="clear" w:color="auto" w:fill="C6EFCE"/>
            <w:noWrap/>
          </w:tcPr>
          <w:p w14:paraId="601C7F01" w14:textId="77777777" w:rsidR="003F46B9" w:rsidRDefault="0065662E">
            <w:pPr>
              <w:pStyle w:val="P68B1DB1-Normal35"/>
              <w:spacing w:after="0"/>
              <w:jc w:val="both"/>
              <w:rPr>
                <w:noProof/>
              </w:rPr>
            </w:pPr>
            <w:r>
              <w:rPr>
                <w:noProof/>
              </w:rPr>
              <w:t>C12.I2</w:t>
            </w:r>
          </w:p>
          <w:p w14:paraId="4041290C" w14:textId="70780B57" w:rsidR="003F46B9" w:rsidRDefault="0065662E">
            <w:pPr>
              <w:pStyle w:val="P68B1DB1-Normal35"/>
              <w:spacing w:after="0"/>
              <w:jc w:val="both"/>
              <w:rPr>
                <w:rFonts w:eastAsia="Times New Roman"/>
                <w:noProof/>
              </w:rPr>
            </w:pPr>
            <w:r>
              <w:rPr>
                <w:noProof/>
              </w:rPr>
              <w:t xml:space="preserve">Razvoj javne bolničke infrastrukture </w:t>
            </w:r>
          </w:p>
        </w:tc>
        <w:tc>
          <w:tcPr>
            <w:tcW w:w="1285" w:type="dxa"/>
            <w:tcBorders>
              <w:top w:val="single" w:sz="4" w:space="0" w:color="auto"/>
              <w:left w:val="nil"/>
              <w:bottom w:val="single" w:sz="4" w:space="0" w:color="auto"/>
              <w:right w:val="single" w:sz="4" w:space="0" w:color="auto"/>
            </w:tcBorders>
            <w:shd w:val="clear" w:color="auto" w:fill="C6EFCE"/>
            <w:noWrap/>
          </w:tcPr>
          <w:p w14:paraId="1ED0897A"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136D82D" w14:textId="77777777" w:rsidR="003F46B9" w:rsidRDefault="0065662E">
            <w:pPr>
              <w:pStyle w:val="P68B1DB1-Normal35"/>
              <w:spacing w:after="0"/>
              <w:jc w:val="both"/>
              <w:rPr>
                <w:rFonts w:eastAsia="Times New Roman"/>
                <w:noProof/>
              </w:rPr>
            </w:pPr>
            <w:r>
              <w:rPr>
                <w:noProof/>
              </w:rPr>
              <w:t xml:space="preserve">Opremljene jedinice intenzivne njege novorođenčadi, uključujući vozila hitne pomoći novorođenčadi (za regionalne centre) </w:t>
            </w:r>
          </w:p>
        </w:tc>
      </w:tr>
      <w:tr w:rsidR="003F46B9" w14:paraId="2CA889A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02D96EF" w14:textId="77777777" w:rsidR="003F46B9" w:rsidRDefault="0065662E">
            <w:pPr>
              <w:pStyle w:val="P68B1DB1-Normal35"/>
              <w:spacing w:after="0"/>
              <w:jc w:val="center"/>
              <w:rPr>
                <w:rFonts w:eastAsia="Times New Roman"/>
                <w:noProof/>
              </w:rPr>
            </w:pPr>
            <w:r>
              <w:rPr>
                <w:noProof/>
              </w:rPr>
              <w:t>388</w:t>
            </w:r>
          </w:p>
        </w:tc>
        <w:tc>
          <w:tcPr>
            <w:tcW w:w="3534" w:type="dxa"/>
            <w:tcBorders>
              <w:top w:val="single" w:sz="4" w:space="0" w:color="auto"/>
              <w:left w:val="nil"/>
              <w:bottom w:val="single" w:sz="4" w:space="0" w:color="auto"/>
              <w:right w:val="single" w:sz="4" w:space="0" w:color="auto"/>
            </w:tcBorders>
            <w:shd w:val="clear" w:color="auto" w:fill="C6EFCE"/>
            <w:noWrap/>
          </w:tcPr>
          <w:p w14:paraId="60041EEC" w14:textId="77777777" w:rsidR="003F46B9" w:rsidRDefault="0065662E">
            <w:pPr>
              <w:pStyle w:val="P68B1DB1-Normal35"/>
              <w:spacing w:after="0"/>
              <w:jc w:val="both"/>
              <w:rPr>
                <w:noProof/>
              </w:rPr>
            </w:pPr>
            <w:r>
              <w:rPr>
                <w:noProof/>
              </w:rPr>
              <w:t>C13.R4</w:t>
            </w:r>
          </w:p>
          <w:p w14:paraId="1923243F" w14:textId="77777777" w:rsidR="003F46B9" w:rsidRDefault="0065662E">
            <w:pPr>
              <w:pStyle w:val="P68B1DB1-Normal35"/>
              <w:spacing w:after="0"/>
              <w:jc w:val="both"/>
              <w:rPr>
                <w:rFonts w:eastAsia="Times New Roman"/>
                <w:noProof/>
              </w:rPr>
            </w:pPr>
            <w:r>
              <w:rPr>
                <w:noProof/>
              </w:rPr>
              <w:t>Uvođenje radnih iskaznica i formalizacija rada radnika u kućanstvu</w:t>
            </w:r>
          </w:p>
        </w:tc>
        <w:tc>
          <w:tcPr>
            <w:tcW w:w="1285" w:type="dxa"/>
            <w:tcBorders>
              <w:top w:val="single" w:sz="4" w:space="0" w:color="auto"/>
              <w:left w:val="nil"/>
              <w:bottom w:val="single" w:sz="4" w:space="0" w:color="auto"/>
              <w:right w:val="single" w:sz="4" w:space="0" w:color="auto"/>
            </w:tcBorders>
            <w:shd w:val="clear" w:color="auto" w:fill="C6EFCE"/>
            <w:noWrap/>
          </w:tcPr>
          <w:p w14:paraId="74323690"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5641C90" w14:textId="77777777" w:rsidR="003F46B9" w:rsidRDefault="0065662E">
            <w:pPr>
              <w:pStyle w:val="P68B1DB1-Normal35"/>
              <w:spacing w:after="0"/>
              <w:jc w:val="both"/>
              <w:rPr>
                <w:rFonts w:eastAsia="Times New Roman"/>
                <w:noProof/>
              </w:rPr>
            </w:pPr>
            <w:r>
              <w:rPr>
                <w:noProof/>
              </w:rPr>
              <w:t xml:space="preserve">Korisnici (radnici u kućanstvu) </w:t>
            </w:r>
          </w:p>
        </w:tc>
      </w:tr>
      <w:tr w:rsidR="003F46B9" w14:paraId="69FA83F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8B6384A" w14:textId="77777777" w:rsidR="003F46B9" w:rsidRDefault="0065662E">
            <w:pPr>
              <w:pStyle w:val="P68B1DB1-Normal35"/>
              <w:spacing w:after="0"/>
              <w:jc w:val="center"/>
              <w:rPr>
                <w:rFonts w:eastAsia="Times New Roman"/>
                <w:noProof/>
              </w:rPr>
            </w:pPr>
            <w:r>
              <w:rPr>
                <w:noProof/>
              </w:rPr>
              <w:t>390</w:t>
            </w:r>
          </w:p>
        </w:tc>
        <w:tc>
          <w:tcPr>
            <w:tcW w:w="3534" w:type="dxa"/>
            <w:tcBorders>
              <w:top w:val="single" w:sz="4" w:space="0" w:color="auto"/>
              <w:left w:val="nil"/>
              <w:bottom w:val="single" w:sz="4" w:space="0" w:color="auto"/>
              <w:right w:val="single" w:sz="4" w:space="0" w:color="auto"/>
            </w:tcBorders>
            <w:shd w:val="clear" w:color="auto" w:fill="C6EFCE"/>
            <w:noWrap/>
          </w:tcPr>
          <w:p w14:paraId="619A608C" w14:textId="77777777" w:rsidR="003F46B9" w:rsidRDefault="0065662E">
            <w:pPr>
              <w:pStyle w:val="P68B1DB1-Normal35"/>
              <w:spacing w:after="0"/>
              <w:jc w:val="both"/>
              <w:rPr>
                <w:noProof/>
              </w:rPr>
            </w:pPr>
            <w:r>
              <w:rPr>
                <w:noProof/>
              </w:rPr>
              <w:t>C13.R4</w:t>
            </w:r>
          </w:p>
          <w:p w14:paraId="7A76C9C0" w14:textId="77777777" w:rsidR="003F46B9" w:rsidRDefault="0065662E">
            <w:pPr>
              <w:pStyle w:val="P68B1DB1-Normal35"/>
              <w:spacing w:after="0"/>
              <w:jc w:val="both"/>
              <w:rPr>
                <w:rFonts w:eastAsia="Times New Roman"/>
                <w:noProof/>
              </w:rPr>
            </w:pPr>
            <w:r>
              <w:rPr>
                <w:noProof/>
              </w:rPr>
              <w:t>Uvođenje</w:t>
            </w:r>
            <w:r>
              <w:rPr>
                <w:noProof/>
              </w:rPr>
              <w:t xml:space="preserve"> radnih iskaznica i formalizacija rada radnika u kućanstvu</w:t>
            </w:r>
          </w:p>
        </w:tc>
        <w:tc>
          <w:tcPr>
            <w:tcW w:w="1285" w:type="dxa"/>
            <w:tcBorders>
              <w:top w:val="single" w:sz="4" w:space="0" w:color="auto"/>
              <w:left w:val="nil"/>
              <w:bottom w:val="single" w:sz="4" w:space="0" w:color="auto"/>
              <w:right w:val="single" w:sz="4" w:space="0" w:color="auto"/>
            </w:tcBorders>
            <w:shd w:val="clear" w:color="auto" w:fill="C6EFCE"/>
            <w:noWrap/>
          </w:tcPr>
          <w:p w14:paraId="3A26C45C"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47CFC4" w14:textId="77777777" w:rsidR="003F46B9" w:rsidRDefault="0065662E">
            <w:pPr>
              <w:pStyle w:val="P68B1DB1-Normal35"/>
              <w:spacing w:after="0"/>
              <w:jc w:val="both"/>
              <w:rPr>
                <w:rFonts w:eastAsia="Times New Roman"/>
                <w:noProof/>
              </w:rPr>
            </w:pPr>
            <w:r>
              <w:rPr>
                <w:noProof/>
              </w:rPr>
              <w:t>Radnici/pružatelji usluga u kućanstvu koji su prethodno evidentirani kao nezaposleni ili neaktivni pružaju usluge s pomoću radnih kartica</w:t>
            </w:r>
          </w:p>
        </w:tc>
      </w:tr>
      <w:tr w:rsidR="003F46B9" w14:paraId="526F7C67"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AA4AA90" w14:textId="77777777" w:rsidR="003F46B9" w:rsidRDefault="0065662E">
            <w:pPr>
              <w:pStyle w:val="P68B1DB1-Normal35"/>
              <w:spacing w:after="0"/>
              <w:jc w:val="center"/>
              <w:rPr>
                <w:rFonts w:eastAsia="Times New Roman"/>
                <w:noProof/>
              </w:rPr>
            </w:pPr>
            <w:r>
              <w:rPr>
                <w:noProof/>
              </w:rPr>
              <w:t>394</w:t>
            </w:r>
          </w:p>
        </w:tc>
        <w:tc>
          <w:tcPr>
            <w:tcW w:w="3534" w:type="dxa"/>
            <w:tcBorders>
              <w:top w:val="single" w:sz="4" w:space="0" w:color="auto"/>
              <w:left w:val="nil"/>
              <w:bottom w:val="single" w:sz="4" w:space="0" w:color="auto"/>
              <w:right w:val="single" w:sz="4" w:space="0" w:color="auto"/>
            </w:tcBorders>
            <w:shd w:val="clear" w:color="auto" w:fill="C6EFCE"/>
            <w:noWrap/>
          </w:tcPr>
          <w:p w14:paraId="2A303360" w14:textId="77777777" w:rsidR="003F46B9" w:rsidRDefault="0065662E">
            <w:pPr>
              <w:pStyle w:val="P68B1DB1-Normal35"/>
              <w:spacing w:after="0"/>
              <w:jc w:val="both"/>
              <w:rPr>
                <w:noProof/>
              </w:rPr>
            </w:pPr>
            <w:r>
              <w:rPr>
                <w:noProof/>
              </w:rPr>
              <w:t>C13.I1</w:t>
            </w:r>
          </w:p>
          <w:p w14:paraId="162FB448" w14:textId="77777777" w:rsidR="003F46B9" w:rsidRDefault="0065662E">
            <w:pPr>
              <w:pStyle w:val="P68B1DB1-Normal35"/>
              <w:spacing w:after="0"/>
              <w:jc w:val="both"/>
              <w:rPr>
                <w:rFonts w:eastAsia="Times New Roman"/>
                <w:noProof/>
              </w:rPr>
            </w:pPr>
            <w:r>
              <w:rPr>
                <w:noProof/>
              </w:rPr>
              <w:t xml:space="preserve">Stvaranje mreže dnevnih centara za djecu </w:t>
            </w:r>
            <w:r>
              <w:rPr>
                <w:noProof/>
              </w:rPr>
              <w:t>kojoj prijeti odvajanje</w:t>
            </w:r>
          </w:p>
        </w:tc>
        <w:tc>
          <w:tcPr>
            <w:tcW w:w="1285" w:type="dxa"/>
            <w:tcBorders>
              <w:top w:val="single" w:sz="4" w:space="0" w:color="auto"/>
              <w:left w:val="nil"/>
              <w:bottom w:val="single" w:sz="4" w:space="0" w:color="auto"/>
              <w:right w:val="single" w:sz="4" w:space="0" w:color="auto"/>
            </w:tcBorders>
            <w:shd w:val="clear" w:color="auto" w:fill="C6EFCE"/>
            <w:noWrap/>
          </w:tcPr>
          <w:p w14:paraId="3F23EFCB"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60B31D14" w14:textId="77777777" w:rsidR="003F46B9" w:rsidRDefault="0065662E">
            <w:pPr>
              <w:pStyle w:val="P68B1DB1-Normal35"/>
              <w:spacing w:after="0"/>
              <w:jc w:val="both"/>
              <w:rPr>
                <w:rFonts w:eastAsia="Times New Roman"/>
                <w:noProof/>
              </w:rPr>
            </w:pPr>
            <w:r>
              <w:rPr>
                <w:noProof/>
              </w:rPr>
              <w:t>Dnevni centri za sprečavanje odvajanja djece od obitelji</w:t>
            </w:r>
          </w:p>
        </w:tc>
      </w:tr>
      <w:tr w:rsidR="003F46B9" w14:paraId="75E40318"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A046A17" w14:textId="77777777" w:rsidR="003F46B9" w:rsidRDefault="0065662E">
            <w:pPr>
              <w:pStyle w:val="P68B1DB1-Normal35"/>
              <w:spacing w:after="0"/>
              <w:jc w:val="center"/>
              <w:rPr>
                <w:rFonts w:eastAsia="Times New Roman"/>
                <w:noProof/>
              </w:rPr>
            </w:pPr>
            <w:r>
              <w:rPr>
                <w:noProof/>
              </w:rPr>
              <w:t>395</w:t>
            </w:r>
          </w:p>
        </w:tc>
        <w:tc>
          <w:tcPr>
            <w:tcW w:w="3534" w:type="dxa"/>
            <w:tcBorders>
              <w:top w:val="single" w:sz="4" w:space="0" w:color="auto"/>
              <w:left w:val="nil"/>
              <w:bottom w:val="single" w:sz="4" w:space="0" w:color="auto"/>
              <w:right w:val="single" w:sz="4" w:space="0" w:color="auto"/>
            </w:tcBorders>
            <w:shd w:val="clear" w:color="auto" w:fill="C6EFCE"/>
            <w:noWrap/>
          </w:tcPr>
          <w:p w14:paraId="3666B2B2" w14:textId="77777777" w:rsidR="003F46B9" w:rsidRDefault="0065662E">
            <w:pPr>
              <w:pStyle w:val="P68B1DB1-Normal35"/>
              <w:spacing w:after="0"/>
              <w:jc w:val="both"/>
              <w:rPr>
                <w:noProof/>
              </w:rPr>
            </w:pPr>
            <w:r>
              <w:rPr>
                <w:noProof/>
              </w:rPr>
              <w:t>C13.I2</w:t>
            </w:r>
          </w:p>
          <w:p w14:paraId="1CE2354D" w14:textId="77777777" w:rsidR="003F46B9" w:rsidRDefault="0065662E">
            <w:pPr>
              <w:pStyle w:val="P68B1DB1-Normal35"/>
              <w:spacing w:after="0"/>
              <w:jc w:val="both"/>
              <w:rPr>
                <w:rFonts w:eastAsia="Times New Roman"/>
                <w:noProof/>
              </w:rPr>
            </w:pPr>
            <w:r>
              <w:rPr>
                <w:noProof/>
              </w:rPr>
              <w:t>Sanacija, obnova i razvoj socijalne infrastrukture za osobe s invaliditetom</w:t>
            </w:r>
          </w:p>
        </w:tc>
        <w:tc>
          <w:tcPr>
            <w:tcW w:w="1285" w:type="dxa"/>
            <w:tcBorders>
              <w:top w:val="single" w:sz="4" w:space="0" w:color="auto"/>
              <w:left w:val="nil"/>
              <w:bottom w:val="single" w:sz="4" w:space="0" w:color="auto"/>
              <w:right w:val="single" w:sz="4" w:space="0" w:color="auto"/>
            </w:tcBorders>
            <w:shd w:val="clear" w:color="auto" w:fill="C6EFCE"/>
            <w:noWrap/>
          </w:tcPr>
          <w:p w14:paraId="2D238E42"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8155829" w14:textId="77777777" w:rsidR="003F46B9" w:rsidRDefault="0065662E">
            <w:pPr>
              <w:pStyle w:val="P68B1DB1-Normal35"/>
              <w:spacing w:after="0"/>
              <w:jc w:val="both"/>
              <w:rPr>
                <w:rFonts w:eastAsia="Times New Roman"/>
                <w:noProof/>
              </w:rPr>
            </w:pPr>
            <w:r>
              <w:rPr>
                <w:noProof/>
              </w:rPr>
              <w:t xml:space="preserve">Modernizirane usluge u zajednici za osobe s invaliditetom </w:t>
            </w:r>
          </w:p>
        </w:tc>
      </w:tr>
      <w:tr w:rsidR="003F46B9" w14:paraId="423B917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757A6A1" w14:textId="77777777" w:rsidR="003F46B9" w:rsidRDefault="0065662E">
            <w:pPr>
              <w:pStyle w:val="P68B1DB1-Normal35"/>
              <w:spacing w:after="0"/>
              <w:jc w:val="center"/>
              <w:rPr>
                <w:rFonts w:eastAsia="Times New Roman"/>
                <w:noProof/>
              </w:rPr>
            </w:pPr>
            <w:r>
              <w:rPr>
                <w:noProof/>
              </w:rPr>
              <w:t>405</w:t>
            </w:r>
          </w:p>
        </w:tc>
        <w:tc>
          <w:tcPr>
            <w:tcW w:w="3534" w:type="dxa"/>
            <w:tcBorders>
              <w:top w:val="single" w:sz="4" w:space="0" w:color="auto"/>
              <w:left w:val="nil"/>
              <w:bottom w:val="single" w:sz="4" w:space="0" w:color="auto"/>
              <w:right w:val="single" w:sz="4" w:space="0" w:color="auto"/>
            </w:tcBorders>
            <w:shd w:val="clear" w:color="auto" w:fill="C6EFCE"/>
            <w:noWrap/>
          </w:tcPr>
          <w:p w14:paraId="08A05285" w14:textId="77777777" w:rsidR="003F46B9" w:rsidRDefault="0065662E">
            <w:pPr>
              <w:pStyle w:val="P68B1DB1-Normal35"/>
              <w:spacing w:after="0"/>
              <w:jc w:val="both"/>
              <w:rPr>
                <w:noProof/>
              </w:rPr>
            </w:pPr>
            <w:r>
              <w:rPr>
                <w:noProof/>
              </w:rPr>
              <w:t>C14.R1</w:t>
            </w:r>
          </w:p>
          <w:p w14:paraId="098A7E9A" w14:textId="77777777" w:rsidR="003F46B9" w:rsidRDefault="0065662E">
            <w:pPr>
              <w:pStyle w:val="P68B1DB1-Normal35"/>
              <w:spacing w:after="0"/>
              <w:jc w:val="both"/>
              <w:rPr>
                <w:rFonts w:eastAsia="Times New Roman"/>
                <w:noProof/>
              </w:rPr>
            </w:pPr>
            <w:r>
              <w:rPr>
                <w:noProof/>
              </w:rPr>
              <w:t xml:space="preserve">Povećanje </w:t>
            </w:r>
            <w:r>
              <w:rPr>
                <w:noProof/>
              </w:rPr>
              <w:t>predvidljivosti i učinkovitosti postupaka donošenja odluka jačanjem kapaciteta za koordinaciju politika i analizu učinka na razini vlade i koordinacijskih ministarstava te jačanjem alata za povećanje kvalitete javnih savjetovanja na svim razinama uprave</w:t>
            </w:r>
          </w:p>
        </w:tc>
        <w:tc>
          <w:tcPr>
            <w:tcW w:w="1285" w:type="dxa"/>
            <w:tcBorders>
              <w:top w:val="single" w:sz="4" w:space="0" w:color="auto"/>
              <w:left w:val="nil"/>
              <w:bottom w:val="single" w:sz="4" w:space="0" w:color="auto"/>
              <w:right w:val="single" w:sz="4" w:space="0" w:color="auto"/>
            </w:tcBorders>
            <w:shd w:val="clear" w:color="auto" w:fill="C6EFCE"/>
            <w:noWrap/>
          </w:tcPr>
          <w:p w14:paraId="21279BF6"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0796E0D2" w14:textId="77777777" w:rsidR="003F46B9" w:rsidRDefault="0065662E">
            <w:pPr>
              <w:pStyle w:val="P68B1DB1-Normal35"/>
              <w:spacing w:after="0"/>
              <w:jc w:val="both"/>
              <w:rPr>
                <w:rFonts w:eastAsia="Times New Roman"/>
                <w:noProof/>
              </w:rPr>
            </w:pPr>
            <w:r>
              <w:rPr>
                <w:noProof/>
              </w:rPr>
              <w:t>Operativna IT platforma za praćenje inovacija u javnoj upravi</w:t>
            </w:r>
          </w:p>
        </w:tc>
      </w:tr>
      <w:tr w:rsidR="003F46B9" w14:paraId="1AA0F69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248260D" w14:textId="77777777" w:rsidR="003F46B9" w:rsidRDefault="0065662E">
            <w:pPr>
              <w:pStyle w:val="P68B1DB1-Normal35"/>
              <w:spacing w:after="0"/>
              <w:jc w:val="center"/>
              <w:rPr>
                <w:rFonts w:eastAsia="Times New Roman"/>
                <w:noProof/>
              </w:rPr>
            </w:pPr>
            <w:r>
              <w:rPr>
                <w:noProof/>
              </w:rPr>
              <w:t>408</w:t>
            </w:r>
          </w:p>
        </w:tc>
        <w:tc>
          <w:tcPr>
            <w:tcW w:w="3534" w:type="dxa"/>
            <w:tcBorders>
              <w:top w:val="single" w:sz="4" w:space="0" w:color="auto"/>
              <w:left w:val="nil"/>
              <w:bottom w:val="single" w:sz="4" w:space="0" w:color="auto"/>
              <w:right w:val="single" w:sz="4" w:space="0" w:color="auto"/>
            </w:tcBorders>
            <w:shd w:val="clear" w:color="auto" w:fill="C6EFCE"/>
            <w:noWrap/>
          </w:tcPr>
          <w:p w14:paraId="24E86D75" w14:textId="77777777" w:rsidR="003F46B9" w:rsidRDefault="0065662E">
            <w:pPr>
              <w:pStyle w:val="P68B1DB1-Normal35"/>
              <w:spacing w:after="0"/>
              <w:jc w:val="both"/>
              <w:rPr>
                <w:noProof/>
              </w:rPr>
            </w:pPr>
            <w:r>
              <w:rPr>
                <w:noProof/>
              </w:rPr>
              <w:t>C14.R1</w:t>
            </w:r>
          </w:p>
          <w:p w14:paraId="03BBE5D8" w14:textId="77777777" w:rsidR="003F46B9" w:rsidRDefault="0065662E">
            <w:pPr>
              <w:pStyle w:val="P68B1DB1-Normal35"/>
              <w:spacing w:after="0"/>
              <w:jc w:val="both"/>
              <w:rPr>
                <w:rFonts w:eastAsia="Times New Roman"/>
                <w:noProof/>
              </w:rPr>
            </w:pPr>
            <w:r>
              <w:rPr>
                <w:noProof/>
              </w:rPr>
              <w:t xml:space="preserve">Povećanje predvidljivosti i učinkovitosti postupaka donošenja odluka jačanjem kapaciteta za koordinaciju politika i analizu učinka na razini vlade i koordinacijskih ministarstava te </w:t>
            </w:r>
            <w:r>
              <w:rPr>
                <w:noProof/>
              </w:rPr>
              <w:t>jačanjem alata za povećanje kvalitete javnih savjetovanja na svim razinama uprave</w:t>
            </w:r>
          </w:p>
        </w:tc>
        <w:tc>
          <w:tcPr>
            <w:tcW w:w="1285" w:type="dxa"/>
            <w:tcBorders>
              <w:top w:val="single" w:sz="4" w:space="0" w:color="auto"/>
              <w:left w:val="nil"/>
              <w:bottom w:val="single" w:sz="4" w:space="0" w:color="auto"/>
              <w:right w:val="single" w:sz="4" w:space="0" w:color="auto"/>
            </w:tcBorders>
            <w:shd w:val="clear" w:color="auto" w:fill="C6EFCE"/>
            <w:noWrap/>
          </w:tcPr>
          <w:p w14:paraId="5A6D4CC2"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2E269EA5" w14:textId="77777777" w:rsidR="003F46B9" w:rsidRDefault="0065662E">
            <w:pPr>
              <w:pStyle w:val="P68B1DB1-Normal35"/>
              <w:spacing w:after="0"/>
              <w:jc w:val="both"/>
              <w:rPr>
                <w:rFonts w:eastAsia="Times New Roman"/>
                <w:noProof/>
              </w:rPr>
            </w:pPr>
            <w:r>
              <w:rPr>
                <w:noProof/>
              </w:rPr>
              <w:t xml:space="preserve">25 % alata za prezentaciju i motivaciju ispunjava utvrđene kriterije kvalitete (tj. ocjenjuju se na izvrsnoj ili zadovoljavajućoj razini) u skladu s vladinom metodologijom </w:t>
            </w:r>
          </w:p>
        </w:tc>
      </w:tr>
      <w:tr w:rsidR="003F46B9" w14:paraId="08E9A624"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C1FA4E4" w14:textId="77777777" w:rsidR="003F46B9" w:rsidRDefault="0065662E">
            <w:pPr>
              <w:pStyle w:val="P68B1DB1-Normal35"/>
              <w:spacing w:after="0"/>
              <w:jc w:val="center"/>
              <w:rPr>
                <w:rFonts w:eastAsia="Times New Roman"/>
                <w:noProof/>
              </w:rPr>
            </w:pPr>
            <w:r>
              <w:rPr>
                <w:noProof/>
              </w:rPr>
              <w:t>418</w:t>
            </w:r>
          </w:p>
        </w:tc>
        <w:tc>
          <w:tcPr>
            <w:tcW w:w="3534" w:type="dxa"/>
            <w:tcBorders>
              <w:top w:val="single" w:sz="4" w:space="0" w:color="auto"/>
              <w:left w:val="nil"/>
              <w:bottom w:val="single" w:sz="4" w:space="0" w:color="auto"/>
              <w:right w:val="single" w:sz="4" w:space="0" w:color="auto"/>
            </w:tcBorders>
            <w:shd w:val="clear" w:color="auto" w:fill="C6EFCE"/>
            <w:noWrap/>
          </w:tcPr>
          <w:p w14:paraId="5505899B" w14:textId="77777777" w:rsidR="003F46B9" w:rsidRDefault="0065662E">
            <w:pPr>
              <w:pStyle w:val="P68B1DB1-Normal35"/>
              <w:spacing w:after="0"/>
              <w:jc w:val="both"/>
              <w:rPr>
                <w:noProof/>
              </w:rPr>
            </w:pPr>
            <w:r>
              <w:rPr>
                <w:noProof/>
              </w:rPr>
              <w:t>C14.R3</w:t>
            </w:r>
          </w:p>
          <w:p w14:paraId="507CE3C9" w14:textId="77777777" w:rsidR="003F46B9" w:rsidRDefault="0065662E">
            <w:pPr>
              <w:pStyle w:val="P68B1DB1-Normal35"/>
              <w:spacing w:after="0"/>
              <w:jc w:val="both"/>
              <w:rPr>
                <w:rFonts w:eastAsia="Times New Roman"/>
                <w:noProof/>
              </w:rPr>
            </w:pPr>
            <w:r>
              <w:rPr>
                <w:noProof/>
              </w:rPr>
              <w:t>Razvoj uspješnosti upravljanja ljudskim resursima u javnom sektoru</w:t>
            </w:r>
          </w:p>
        </w:tc>
        <w:tc>
          <w:tcPr>
            <w:tcW w:w="1285" w:type="dxa"/>
            <w:tcBorders>
              <w:top w:val="single" w:sz="4" w:space="0" w:color="auto"/>
              <w:left w:val="nil"/>
              <w:bottom w:val="single" w:sz="4" w:space="0" w:color="auto"/>
              <w:right w:val="single" w:sz="4" w:space="0" w:color="auto"/>
            </w:tcBorders>
            <w:shd w:val="clear" w:color="auto" w:fill="C6EFCE"/>
            <w:noWrap/>
          </w:tcPr>
          <w:p w14:paraId="623B861C"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094D630" w14:textId="77777777" w:rsidR="003F46B9" w:rsidRDefault="0065662E">
            <w:pPr>
              <w:pStyle w:val="P68B1DB1-Normal35"/>
              <w:spacing w:after="0"/>
              <w:jc w:val="both"/>
              <w:rPr>
                <w:rFonts w:eastAsia="Times New Roman"/>
                <w:noProof/>
              </w:rPr>
            </w:pPr>
            <w:r>
              <w:rPr>
                <w:noProof/>
              </w:rPr>
              <w:t xml:space="preserve">Stupanje na snagu dvaju zakonodavnih akata o upravljanju ljudskim resursima </w:t>
            </w:r>
          </w:p>
        </w:tc>
      </w:tr>
      <w:tr w:rsidR="003F46B9" w14:paraId="1556C1A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697571F" w14:textId="77777777" w:rsidR="003F46B9" w:rsidRDefault="0065662E">
            <w:pPr>
              <w:pStyle w:val="P68B1DB1-Normal35"/>
              <w:spacing w:after="0"/>
              <w:jc w:val="center"/>
              <w:rPr>
                <w:rFonts w:eastAsia="Times New Roman"/>
                <w:noProof/>
              </w:rPr>
            </w:pPr>
            <w:r>
              <w:rPr>
                <w:noProof/>
              </w:rPr>
              <w:t>431</w:t>
            </w:r>
          </w:p>
        </w:tc>
        <w:tc>
          <w:tcPr>
            <w:tcW w:w="3534" w:type="dxa"/>
            <w:tcBorders>
              <w:top w:val="single" w:sz="4" w:space="0" w:color="auto"/>
              <w:left w:val="nil"/>
              <w:bottom w:val="single" w:sz="4" w:space="0" w:color="auto"/>
              <w:right w:val="single" w:sz="4" w:space="0" w:color="auto"/>
            </w:tcBorders>
            <w:shd w:val="clear" w:color="auto" w:fill="C6EFCE"/>
            <w:noWrap/>
          </w:tcPr>
          <w:p w14:paraId="76F601E5" w14:textId="77777777" w:rsidR="003F46B9" w:rsidRDefault="0065662E">
            <w:pPr>
              <w:pStyle w:val="P68B1DB1-Normal35"/>
              <w:spacing w:after="0"/>
              <w:jc w:val="both"/>
              <w:rPr>
                <w:noProof/>
              </w:rPr>
            </w:pPr>
            <w:r>
              <w:rPr>
                <w:noProof/>
              </w:rPr>
              <w:t>C14.R7</w:t>
            </w:r>
          </w:p>
          <w:p w14:paraId="56B3B2E3" w14:textId="77777777" w:rsidR="003F46B9" w:rsidRDefault="0065662E">
            <w:pPr>
              <w:pStyle w:val="P68B1DB1-Normal35"/>
              <w:spacing w:after="0"/>
              <w:jc w:val="both"/>
              <w:rPr>
                <w:rFonts w:eastAsia="Times New Roman"/>
                <w:noProof/>
              </w:rPr>
            </w:pPr>
            <w:r>
              <w:rPr>
                <w:noProof/>
              </w:rPr>
              <w:t>Evaluacija i ažuriranje zakonodavstva o okviru za integritet</w:t>
            </w:r>
          </w:p>
        </w:tc>
        <w:tc>
          <w:tcPr>
            <w:tcW w:w="1285" w:type="dxa"/>
            <w:tcBorders>
              <w:top w:val="single" w:sz="4" w:space="0" w:color="auto"/>
              <w:left w:val="nil"/>
              <w:bottom w:val="single" w:sz="4" w:space="0" w:color="auto"/>
              <w:right w:val="single" w:sz="4" w:space="0" w:color="auto"/>
            </w:tcBorders>
            <w:shd w:val="clear" w:color="auto" w:fill="C6EFCE"/>
            <w:noWrap/>
          </w:tcPr>
          <w:p w14:paraId="46E2A2AE"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F87BC7B" w14:textId="77777777" w:rsidR="003F46B9" w:rsidRDefault="0065662E">
            <w:pPr>
              <w:pStyle w:val="P68B1DB1-Normal35"/>
              <w:spacing w:after="0"/>
              <w:jc w:val="both"/>
              <w:rPr>
                <w:rFonts w:eastAsia="Times New Roman"/>
                <w:noProof/>
              </w:rPr>
            </w:pPr>
            <w:r>
              <w:rPr>
                <w:noProof/>
              </w:rPr>
              <w:t xml:space="preserve">Stupanje na snagu konsolidiranih zakona o integritetu </w:t>
            </w:r>
          </w:p>
        </w:tc>
      </w:tr>
      <w:tr w:rsidR="003F46B9" w14:paraId="42C4893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C4F1C93" w14:textId="77777777" w:rsidR="003F46B9" w:rsidRDefault="0065662E">
            <w:pPr>
              <w:pStyle w:val="P68B1DB1-Normal35"/>
              <w:spacing w:after="0"/>
              <w:jc w:val="center"/>
              <w:rPr>
                <w:rFonts w:eastAsia="Times New Roman"/>
                <w:noProof/>
              </w:rPr>
            </w:pPr>
            <w:r>
              <w:rPr>
                <w:noProof/>
              </w:rPr>
              <w:t>432</w:t>
            </w:r>
          </w:p>
        </w:tc>
        <w:tc>
          <w:tcPr>
            <w:tcW w:w="3534" w:type="dxa"/>
            <w:tcBorders>
              <w:top w:val="single" w:sz="4" w:space="0" w:color="auto"/>
              <w:left w:val="nil"/>
              <w:bottom w:val="single" w:sz="4" w:space="0" w:color="auto"/>
              <w:right w:val="single" w:sz="4" w:space="0" w:color="auto"/>
            </w:tcBorders>
            <w:shd w:val="clear" w:color="auto" w:fill="C6EFCE"/>
            <w:noWrap/>
          </w:tcPr>
          <w:p w14:paraId="4207FA23" w14:textId="77777777" w:rsidR="003F46B9" w:rsidRDefault="0065662E">
            <w:pPr>
              <w:pStyle w:val="P68B1DB1-Normal35"/>
              <w:spacing w:after="0"/>
              <w:jc w:val="both"/>
              <w:rPr>
                <w:noProof/>
              </w:rPr>
            </w:pPr>
            <w:r>
              <w:rPr>
                <w:noProof/>
              </w:rPr>
              <w:t>C14.R7</w:t>
            </w:r>
          </w:p>
          <w:p w14:paraId="4713D62C" w14:textId="77777777" w:rsidR="003F46B9" w:rsidRDefault="0065662E">
            <w:pPr>
              <w:pStyle w:val="P68B1DB1-Normal35"/>
              <w:spacing w:after="0"/>
              <w:jc w:val="both"/>
              <w:rPr>
                <w:rFonts w:eastAsia="Times New Roman"/>
                <w:noProof/>
              </w:rPr>
            </w:pPr>
            <w:r>
              <w:rPr>
                <w:noProof/>
              </w:rPr>
              <w:t>Evaluacija i ažuriranje zakonodavstva o okviru za integritet</w:t>
            </w:r>
          </w:p>
        </w:tc>
        <w:tc>
          <w:tcPr>
            <w:tcW w:w="1285" w:type="dxa"/>
            <w:tcBorders>
              <w:top w:val="single" w:sz="4" w:space="0" w:color="auto"/>
              <w:left w:val="nil"/>
              <w:bottom w:val="single" w:sz="4" w:space="0" w:color="auto"/>
              <w:right w:val="single" w:sz="4" w:space="0" w:color="auto"/>
            </w:tcBorders>
            <w:shd w:val="clear" w:color="auto" w:fill="C6EFCE"/>
            <w:noWrap/>
          </w:tcPr>
          <w:p w14:paraId="5F0C3E6F"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3C40A1A" w14:textId="77777777" w:rsidR="003F46B9" w:rsidRDefault="0065662E">
            <w:pPr>
              <w:pStyle w:val="P68B1DB1-Normal35"/>
              <w:spacing w:after="0"/>
              <w:jc w:val="both"/>
              <w:rPr>
                <w:rFonts w:eastAsia="Times New Roman"/>
                <w:noProof/>
              </w:rPr>
            </w:pPr>
            <w:r>
              <w:rPr>
                <w:noProof/>
              </w:rPr>
              <w:t xml:space="preserve">Odobrena revidirana verzija etičkog kodeksa i kodeksa ponašanja za vladu, uz postojeće kodekse za državnu službu te donošenje </w:t>
            </w:r>
            <w:r>
              <w:rPr>
                <w:noProof/>
              </w:rPr>
              <w:t>i provedbu izvršnih mjera</w:t>
            </w:r>
          </w:p>
        </w:tc>
      </w:tr>
      <w:tr w:rsidR="003F46B9" w14:paraId="392CEAB3"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8D11A44" w14:textId="77777777" w:rsidR="003F46B9" w:rsidRDefault="0065662E">
            <w:pPr>
              <w:pStyle w:val="P68B1DB1-Normal35"/>
              <w:spacing w:after="0"/>
              <w:jc w:val="center"/>
              <w:rPr>
                <w:rFonts w:eastAsia="Times New Roman"/>
                <w:noProof/>
              </w:rPr>
            </w:pPr>
            <w:r>
              <w:rPr>
                <w:noProof/>
              </w:rPr>
              <w:t>483</w:t>
            </w:r>
          </w:p>
        </w:tc>
        <w:tc>
          <w:tcPr>
            <w:tcW w:w="3534" w:type="dxa"/>
            <w:tcBorders>
              <w:top w:val="single" w:sz="4" w:space="0" w:color="auto"/>
              <w:left w:val="nil"/>
              <w:bottom w:val="single" w:sz="4" w:space="0" w:color="auto"/>
              <w:right w:val="single" w:sz="4" w:space="0" w:color="auto"/>
            </w:tcBorders>
            <w:shd w:val="clear" w:color="auto" w:fill="C6EFCE"/>
            <w:noWrap/>
          </w:tcPr>
          <w:p w14:paraId="58E94BEA" w14:textId="77777777" w:rsidR="003F46B9" w:rsidRDefault="0065662E">
            <w:pPr>
              <w:pStyle w:val="P68B1DB1-Normal35"/>
              <w:spacing w:after="0"/>
              <w:jc w:val="both"/>
              <w:rPr>
                <w:noProof/>
              </w:rPr>
            </w:pPr>
            <w:r>
              <w:rPr>
                <w:noProof/>
              </w:rPr>
              <w:t xml:space="preserve">C15.I9 </w:t>
            </w:r>
          </w:p>
          <w:p w14:paraId="0912261B" w14:textId="77777777" w:rsidR="003F46B9" w:rsidRDefault="0065662E">
            <w:pPr>
              <w:pStyle w:val="P68B1DB1-Normal35"/>
              <w:spacing w:after="0"/>
              <w:jc w:val="both"/>
              <w:rPr>
                <w:rFonts w:eastAsia="Times New Roman"/>
                <w:noProof/>
              </w:rPr>
            </w:pPr>
            <w:r>
              <w:rPr>
                <w:noProof/>
              </w:rPr>
              <w:t>Osiguravanje digitalne tehnološke opreme i resursa za škole</w:t>
            </w:r>
          </w:p>
        </w:tc>
        <w:tc>
          <w:tcPr>
            <w:tcW w:w="1285" w:type="dxa"/>
            <w:tcBorders>
              <w:top w:val="single" w:sz="4" w:space="0" w:color="auto"/>
              <w:left w:val="nil"/>
              <w:bottom w:val="single" w:sz="4" w:space="0" w:color="auto"/>
              <w:right w:val="single" w:sz="4" w:space="0" w:color="auto"/>
            </w:tcBorders>
            <w:shd w:val="clear" w:color="auto" w:fill="C6EFCE"/>
            <w:noWrap/>
          </w:tcPr>
          <w:p w14:paraId="184C81F9"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A22EEB8" w14:textId="77777777" w:rsidR="003F46B9" w:rsidRDefault="0065662E">
            <w:pPr>
              <w:pStyle w:val="P68B1DB1-Normal35"/>
              <w:spacing w:after="0"/>
              <w:jc w:val="both"/>
              <w:rPr>
                <w:rFonts w:eastAsia="Times New Roman"/>
                <w:noProof/>
              </w:rPr>
            </w:pPr>
            <w:r>
              <w:rPr>
                <w:noProof/>
              </w:rPr>
              <w:t>Škole s tehnološkom infrastrukturom i opremom</w:t>
            </w:r>
          </w:p>
        </w:tc>
      </w:tr>
      <w:tr w:rsidR="003F46B9" w14:paraId="65B557F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B34B769" w14:textId="77777777" w:rsidR="003F46B9" w:rsidRDefault="0065662E">
            <w:pPr>
              <w:pStyle w:val="P68B1DB1-Normal35"/>
              <w:spacing w:after="0"/>
              <w:jc w:val="center"/>
              <w:rPr>
                <w:rFonts w:eastAsia="Times New Roman"/>
                <w:noProof/>
              </w:rPr>
            </w:pPr>
            <w:r>
              <w:rPr>
                <w:noProof/>
              </w:rPr>
              <w:t>125</w:t>
            </w:r>
          </w:p>
        </w:tc>
        <w:tc>
          <w:tcPr>
            <w:tcW w:w="3534" w:type="dxa"/>
            <w:tcBorders>
              <w:top w:val="single" w:sz="4" w:space="0" w:color="auto"/>
              <w:left w:val="nil"/>
              <w:bottom w:val="single" w:sz="4" w:space="0" w:color="auto"/>
              <w:right w:val="single" w:sz="4" w:space="0" w:color="auto"/>
            </w:tcBorders>
            <w:shd w:val="clear" w:color="auto" w:fill="C6EFCE"/>
            <w:noWrap/>
          </w:tcPr>
          <w:p w14:paraId="006CFD95" w14:textId="77777777" w:rsidR="003F46B9" w:rsidRDefault="0065662E">
            <w:pPr>
              <w:pStyle w:val="P68B1DB1-Normal35"/>
              <w:spacing w:after="0"/>
              <w:jc w:val="both"/>
              <w:rPr>
                <w:noProof/>
              </w:rPr>
            </w:pPr>
            <w:r>
              <w:rPr>
                <w:noProof/>
              </w:rPr>
              <w:t>C6.I1</w:t>
            </w:r>
          </w:p>
          <w:p w14:paraId="7048E6B6" w14:textId="77777777" w:rsidR="003F46B9" w:rsidRDefault="0065662E">
            <w:pPr>
              <w:pStyle w:val="P68B1DB1-Normal35"/>
              <w:spacing w:after="0"/>
              <w:jc w:val="both"/>
              <w:rPr>
                <w:rFonts w:eastAsia="Times New Roman"/>
                <w:noProof/>
              </w:rPr>
            </w:pPr>
            <w:r>
              <w:rPr>
                <w:noProof/>
              </w:rPr>
              <w:t>Novi kapaciteti za proizvodnju električne energije iz obnovljivih izvora</w:t>
            </w:r>
          </w:p>
        </w:tc>
        <w:tc>
          <w:tcPr>
            <w:tcW w:w="1285" w:type="dxa"/>
            <w:tcBorders>
              <w:top w:val="single" w:sz="4" w:space="0" w:color="auto"/>
              <w:left w:val="nil"/>
              <w:bottom w:val="single" w:sz="4" w:space="0" w:color="auto"/>
              <w:right w:val="single" w:sz="4" w:space="0" w:color="auto"/>
            </w:tcBorders>
            <w:shd w:val="clear" w:color="auto" w:fill="C6EFCE"/>
            <w:noWrap/>
          </w:tcPr>
          <w:p w14:paraId="37C7CD0E"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712578C" w14:textId="77777777" w:rsidR="003F46B9" w:rsidRDefault="0065662E">
            <w:pPr>
              <w:pStyle w:val="P68B1DB1-Normal35"/>
              <w:spacing w:after="0"/>
              <w:jc w:val="both"/>
              <w:rPr>
                <w:rFonts w:eastAsia="Times New Roman"/>
                <w:noProof/>
              </w:rPr>
            </w:pPr>
            <w:r>
              <w:rPr>
                <w:noProof/>
              </w:rPr>
              <w:t>Dodatni kapacitet insta</w:t>
            </w:r>
            <w:r>
              <w:rPr>
                <w:noProof/>
              </w:rPr>
              <w:t>liran iz obnovljivih izvora (vjetar i solarna energija)</w:t>
            </w:r>
          </w:p>
        </w:tc>
      </w:tr>
      <w:tr w:rsidR="003F46B9" w14:paraId="36E2B98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8FBC0B1" w14:textId="77777777" w:rsidR="003F46B9" w:rsidRDefault="0065662E">
            <w:pPr>
              <w:pStyle w:val="P68B1DB1-Normal35"/>
              <w:spacing w:after="0"/>
              <w:jc w:val="center"/>
              <w:rPr>
                <w:rFonts w:eastAsia="Times New Roman"/>
                <w:noProof/>
              </w:rPr>
            </w:pPr>
            <w:r>
              <w:rPr>
                <w:noProof/>
              </w:rPr>
              <w:t>467</w:t>
            </w:r>
          </w:p>
        </w:tc>
        <w:tc>
          <w:tcPr>
            <w:tcW w:w="3534" w:type="dxa"/>
            <w:tcBorders>
              <w:top w:val="single" w:sz="4" w:space="0" w:color="auto"/>
              <w:left w:val="nil"/>
              <w:bottom w:val="single" w:sz="4" w:space="0" w:color="auto"/>
              <w:right w:val="single" w:sz="4" w:space="0" w:color="auto"/>
            </w:tcBorders>
            <w:shd w:val="clear" w:color="auto" w:fill="C6EFCE"/>
            <w:noWrap/>
          </w:tcPr>
          <w:p w14:paraId="6D1C4813" w14:textId="77777777" w:rsidR="003F46B9" w:rsidRDefault="0065662E">
            <w:pPr>
              <w:pStyle w:val="P68B1DB1-Normal35"/>
              <w:spacing w:after="0"/>
              <w:jc w:val="both"/>
              <w:rPr>
                <w:noProof/>
              </w:rPr>
            </w:pPr>
            <w:r>
              <w:rPr>
                <w:noProof/>
              </w:rPr>
              <w:t xml:space="preserve">C15.I4 </w:t>
            </w:r>
          </w:p>
          <w:p w14:paraId="7105F1D1" w14:textId="77777777" w:rsidR="003F46B9" w:rsidRDefault="0065662E">
            <w:pPr>
              <w:pStyle w:val="P68B1DB1-Normal35"/>
              <w:spacing w:after="0"/>
              <w:jc w:val="both"/>
              <w:rPr>
                <w:rFonts w:eastAsia="Times New Roman"/>
                <w:noProof/>
              </w:rPr>
            </w:pPr>
            <w:r>
              <w:rPr>
                <w:noProof/>
              </w:rPr>
              <w:t>Potpora obrazovnim ustanovama s visokim rizikom od napuštanja školovanja</w:t>
            </w:r>
          </w:p>
        </w:tc>
        <w:tc>
          <w:tcPr>
            <w:tcW w:w="1285" w:type="dxa"/>
            <w:tcBorders>
              <w:top w:val="single" w:sz="4" w:space="0" w:color="auto"/>
              <w:left w:val="nil"/>
              <w:bottom w:val="single" w:sz="4" w:space="0" w:color="auto"/>
              <w:right w:val="single" w:sz="4" w:space="0" w:color="auto"/>
            </w:tcBorders>
            <w:shd w:val="clear" w:color="auto" w:fill="C6EFCE"/>
            <w:noWrap/>
          </w:tcPr>
          <w:p w14:paraId="0C1AD4F1"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67D852" w14:textId="77777777" w:rsidR="003F46B9" w:rsidRDefault="0065662E">
            <w:pPr>
              <w:pStyle w:val="P68B1DB1-Normal35"/>
              <w:spacing w:after="0"/>
              <w:jc w:val="both"/>
              <w:rPr>
                <w:rFonts w:eastAsia="Times New Roman"/>
                <w:noProof/>
              </w:rPr>
            </w:pPr>
            <w:r>
              <w:rPr>
                <w:noProof/>
              </w:rPr>
              <w:t>Obrazovne ustanove uključene u program napuštanja školovanja s digitaliziranim učionicama</w:t>
            </w:r>
          </w:p>
        </w:tc>
      </w:tr>
      <w:tr w:rsidR="003F46B9" w14:paraId="33300E6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2F42DB6" w14:textId="77777777" w:rsidR="003F46B9" w:rsidRDefault="0065662E">
            <w:pPr>
              <w:pStyle w:val="P68B1DB1-Normal35"/>
              <w:spacing w:after="0"/>
              <w:jc w:val="center"/>
              <w:rPr>
                <w:rFonts w:eastAsia="Times New Roman"/>
                <w:noProof/>
              </w:rPr>
            </w:pPr>
            <w:r>
              <w:rPr>
                <w:noProof/>
              </w:rPr>
              <w:t>486</w:t>
            </w:r>
          </w:p>
        </w:tc>
        <w:tc>
          <w:tcPr>
            <w:tcW w:w="3534" w:type="dxa"/>
            <w:tcBorders>
              <w:top w:val="single" w:sz="4" w:space="0" w:color="auto"/>
              <w:left w:val="nil"/>
              <w:bottom w:val="single" w:sz="4" w:space="0" w:color="auto"/>
              <w:right w:val="single" w:sz="4" w:space="0" w:color="auto"/>
            </w:tcBorders>
            <w:shd w:val="clear" w:color="auto" w:fill="C6EFCE"/>
            <w:noWrap/>
          </w:tcPr>
          <w:p w14:paraId="5C8A6566" w14:textId="77777777" w:rsidR="003F46B9" w:rsidRDefault="0065662E">
            <w:pPr>
              <w:pStyle w:val="P68B1DB1-Normal35"/>
              <w:spacing w:after="0"/>
              <w:jc w:val="both"/>
              <w:rPr>
                <w:noProof/>
              </w:rPr>
            </w:pPr>
            <w:r>
              <w:rPr>
                <w:noProof/>
              </w:rPr>
              <w:t>C15.I10</w:t>
            </w:r>
          </w:p>
          <w:p w14:paraId="4460E26E" w14:textId="77777777" w:rsidR="003F46B9" w:rsidRDefault="0065662E">
            <w:pPr>
              <w:pStyle w:val="P68B1DB1-Normal35"/>
              <w:spacing w:after="0"/>
              <w:jc w:val="both"/>
              <w:rPr>
                <w:rFonts w:eastAsia="Times New Roman"/>
                <w:noProof/>
              </w:rPr>
            </w:pPr>
            <w:r>
              <w:rPr>
                <w:noProof/>
              </w:rPr>
              <w:t xml:space="preserve">Razvoj </w:t>
            </w:r>
            <w:r>
              <w:rPr>
                <w:noProof/>
              </w:rPr>
              <w:t>mreže zelenih škola i kupnja zelenih minibusa</w:t>
            </w:r>
          </w:p>
        </w:tc>
        <w:tc>
          <w:tcPr>
            <w:tcW w:w="1285" w:type="dxa"/>
            <w:tcBorders>
              <w:top w:val="single" w:sz="4" w:space="0" w:color="auto"/>
              <w:left w:val="nil"/>
              <w:bottom w:val="single" w:sz="4" w:space="0" w:color="auto"/>
              <w:right w:val="single" w:sz="4" w:space="0" w:color="auto"/>
            </w:tcBorders>
            <w:shd w:val="clear" w:color="auto" w:fill="C6EFCE"/>
            <w:noWrap/>
          </w:tcPr>
          <w:p w14:paraId="53DB70C6"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24823B77" w14:textId="77777777" w:rsidR="003F46B9" w:rsidRDefault="0065662E">
            <w:pPr>
              <w:pStyle w:val="P68B1DB1-Normal35"/>
              <w:spacing w:after="0"/>
              <w:jc w:val="both"/>
              <w:rPr>
                <w:rFonts w:eastAsia="Times New Roman"/>
                <w:noProof/>
              </w:rPr>
            </w:pPr>
            <w:r>
              <w:rPr>
                <w:noProof/>
              </w:rPr>
              <w:t>Električni minibusi kupljeni i u uporabi</w:t>
            </w:r>
          </w:p>
        </w:tc>
      </w:tr>
      <w:tr w:rsidR="003F46B9" w14:paraId="3F5DB7B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5A5A53D" w14:textId="77777777" w:rsidR="003F46B9" w:rsidRDefault="0065662E">
            <w:pPr>
              <w:pStyle w:val="P68B1DB1-Normal35"/>
              <w:spacing w:after="0"/>
              <w:jc w:val="center"/>
              <w:rPr>
                <w:rFonts w:eastAsia="Times New Roman"/>
                <w:noProof/>
              </w:rPr>
            </w:pPr>
            <w:r>
              <w:rPr>
                <w:noProof/>
              </w:rPr>
              <w:t>495</w:t>
            </w:r>
          </w:p>
        </w:tc>
        <w:tc>
          <w:tcPr>
            <w:tcW w:w="3534" w:type="dxa"/>
            <w:tcBorders>
              <w:top w:val="single" w:sz="4" w:space="0" w:color="auto"/>
              <w:left w:val="nil"/>
              <w:bottom w:val="single" w:sz="4" w:space="0" w:color="auto"/>
              <w:right w:val="single" w:sz="4" w:space="0" w:color="auto"/>
            </w:tcBorders>
            <w:shd w:val="clear" w:color="auto" w:fill="C6EFCE"/>
            <w:noWrap/>
          </w:tcPr>
          <w:p w14:paraId="4EC0FFDC" w14:textId="77777777" w:rsidR="003F46B9" w:rsidRDefault="0065662E">
            <w:pPr>
              <w:pStyle w:val="P68B1DB1-Normal35"/>
              <w:spacing w:after="0"/>
              <w:jc w:val="both"/>
              <w:rPr>
                <w:noProof/>
              </w:rPr>
            </w:pPr>
            <w:r>
              <w:rPr>
                <w:noProof/>
              </w:rPr>
              <w:t>C15.R7</w:t>
            </w:r>
          </w:p>
          <w:p w14:paraId="5D246792" w14:textId="77777777" w:rsidR="003F46B9" w:rsidRDefault="0065662E">
            <w:pPr>
              <w:pStyle w:val="P68B1DB1-Normal35"/>
              <w:spacing w:after="0"/>
              <w:jc w:val="both"/>
              <w:rPr>
                <w:rFonts w:eastAsia="Times New Roman"/>
                <w:noProof/>
              </w:rPr>
            </w:pPr>
            <w:r>
              <w:rPr>
                <w:noProof/>
              </w:rPr>
              <w:t>Reforma upravljanja sustavom predsveučilišnog obrazovanja i profesionalizacija uprave</w:t>
            </w:r>
          </w:p>
        </w:tc>
        <w:tc>
          <w:tcPr>
            <w:tcW w:w="1285" w:type="dxa"/>
            <w:tcBorders>
              <w:top w:val="single" w:sz="4" w:space="0" w:color="auto"/>
              <w:left w:val="nil"/>
              <w:bottom w:val="single" w:sz="4" w:space="0" w:color="auto"/>
              <w:right w:val="single" w:sz="4" w:space="0" w:color="auto"/>
            </w:tcBorders>
            <w:shd w:val="clear" w:color="auto" w:fill="C6EFCE"/>
            <w:noWrap/>
          </w:tcPr>
          <w:p w14:paraId="58A64546"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DBC6438" w14:textId="77777777" w:rsidR="003F46B9" w:rsidRDefault="0065662E">
            <w:pPr>
              <w:pStyle w:val="P68B1DB1-Normal35"/>
              <w:spacing w:after="0"/>
              <w:jc w:val="both"/>
              <w:rPr>
                <w:rFonts w:eastAsia="Times New Roman"/>
                <w:noProof/>
              </w:rPr>
            </w:pPr>
            <w:r>
              <w:rPr>
                <w:noProof/>
              </w:rPr>
              <w:t xml:space="preserve">Objava i provedba akcijskog plana za reformu upravljanja, </w:t>
            </w:r>
            <w:r>
              <w:rPr>
                <w:noProof/>
              </w:rPr>
              <w:t>uključujući program osposobljavanja i obuke za rukovoditelje i inspektore</w:t>
            </w:r>
          </w:p>
        </w:tc>
      </w:tr>
      <w:tr w:rsidR="003F46B9" w14:paraId="1709F61D"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95E05F5" w14:textId="77777777" w:rsidR="003F46B9" w:rsidRDefault="0065662E">
            <w:pPr>
              <w:pStyle w:val="P68B1DB1-Normal35"/>
              <w:spacing w:after="0"/>
              <w:jc w:val="center"/>
              <w:rPr>
                <w:rFonts w:eastAsia="Times New Roman"/>
                <w:noProof/>
              </w:rPr>
            </w:pPr>
            <w:r>
              <w:rPr>
                <w:noProof/>
              </w:rPr>
              <w:t>509</w:t>
            </w:r>
          </w:p>
        </w:tc>
        <w:tc>
          <w:tcPr>
            <w:tcW w:w="3534" w:type="dxa"/>
            <w:tcBorders>
              <w:top w:val="single" w:sz="4" w:space="0" w:color="auto"/>
              <w:left w:val="nil"/>
              <w:bottom w:val="single" w:sz="4" w:space="0" w:color="auto"/>
              <w:right w:val="single" w:sz="4" w:space="0" w:color="auto"/>
            </w:tcBorders>
            <w:shd w:val="clear" w:color="auto" w:fill="C6EFCE"/>
            <w:noWrap/>
          </w:tcPr>
          <w:p w14:paraId="771741FF" w14:textId="77777777" w:rsidR="003F46B9" w:rsidRDefault="0065662E">
            <w:pPr>
              <w:pStyle w:val="P68B1DB1-Normal35"/>
              <w:spacing w:after="0"/>
              <w:jc w:val="both"/>
              <w:rPr>
                <w:noProof/>
              </w:rPr>
            </w:pPr>
            <w:r>
              <w:rPr>
                <w:noProof/>
              </w:rPr>
              <w:t>C16.R1</w:t>
            </w:r>
          </w:p>
          <w:p w14:paraId="524BC41A" w14:textId="77777777" w:rsidR="003F46B9" w:rsidRDefault="0065662E">
            <w:pPr>
              <w:pStyle w:val="P68B1DB1-Normal35"/>
              <w:spacing w:after="0"/>
              <w:jc w:val="both"/>
              <w:rPr>
                <w:rFonts w:eastAsia="Times New Roman"/>
                <w:noProof/>
              </w:rPr>
            </w:pPr>
            <w:r>
              <w:rPr>
                <w:noProof/>
              </w:rPr>
              <w:t>Stvaranje pravnog okvira za korištenje državnog zemljišta kao područja ubrzavanja za ulaganja u obnovljive izvore energije</w:t>
            </w:r>
          </w:p>
        </w:tc>
        <w:tc>
          <w:tcPr>
            <w:tcW w:w="1285" w:type="dxa"/>
            <w:tcBorders>
              <w:top w:val="single" w:sz="4" w:space="0" w:color="auto"/>
              <w:left w:val="nil"/>
              <w:bottom w:val="single" w:sz="4" w:space="0" w:color="auto"/>
              <w:right w:val="single" w:sz="4" w:space="0" w:color="auto"/>
            </w:tcBorders>
            <w:shd w:val="clear" w:color="auto" w:fill="C6EFCE"/>
            <w:noWrap/>
          </w:tcPr>
          <w:p w14:paraId="3FAF0C03"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396C9E84" w14:textId="77777777" w:rsidR="003F46B9" w:rsidRDefault="0065662E">
            <w:pPr>
              <w:pStyle w:val="P68B1DB1-Normal35"/>
              <w:spacing w:after="0"/>
              <w:jc w:val="both"/>
              <w:rPr>
                <w:rFonts w:eastAsia="Times New Roman"/>
                <w:noProof/>
              </w:rPr>
            </w:pPr>
            <w:r>
              <w:rPr>
                <w:noProof/>
              </w:rPr>
              <w:t>Stupanje na snagu pravnog okvira</w:t>
            </w:r>
          </w:p>
        </w:tc>
      </w:tr>
      <w:tr w:rsidR="003F46B9" w14:paraId="5D0B50B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43366F0" w14:textId="77777777" w:rsidR="003F46B9" w:rsidRDefault="0065662E">
            <w:pPr>
              <w:pStyle w:val="P68B1DB1-Normal35"/>
              <w:spacing w:after="0"/>
              <w:jc w:val="center"/>
              <w:rPr>
                <w:rFonts w:eastAsia="Times New Roman"/>
                <w:noProof/>
              </w:rPr>
            </w:pPr>
            <w:r>
              <w:rPr>
                <w:noProof/>
              </w:rPr>
              <w:t>510</w:t>
            </w:r>
          </w:p>
        </w:tc>
        <w:tc>
          <w:tcPr>
            <w:tcW w:w="3534" w:type="dxa"/>
            <w:tcBorders>
              <w:top w:val="single" w:sz="4" w:space="0" w:color="auto"/>
              <w:left w:val="nil"/>
              <w:bottom w:val="single" w:sz="4" w:space="0" w:color="auto"/>
              <w:right w:val="single" w:sz="4" w:space="0" w:color="auto"/>
            </w:tcBorders>
            <w:shd w:val="clear" w:color="auto" w:fill="C6EFCE"/>
            <w:noWrap/>
          </w:tcPr>
          <w:p w14:paraId="7300EC10" w14:textId="77777777" w:rsidR="003F46B9" w:rsidRDefault="0065662E">
            <w:pPr>
              <w:pStyle w:val="P68B1DB1-Normal35"/>
              <w:spacing w:after="0"/>
              <w:jc w:val="both"/>
              <w:rPr>
                <w:noProof/>
              </w:rPr>
            </w:pPr>
            <w:r>
              <w:rPr>
                <w:noProof/>
              </w:rPr>
              <w:t>C16.R1</w:t>
            </w:r>
          </w:p>
          <w:p w14:paraId="056D0ACA" w14:textId="77777777" w:rsidR="003F46B9" w:rsidRDefault="0065662E">
            <w:pPr>
              <w:pStyle w:val="P68B1DB1-Normal35"/>
              <w:spacing w:after="0"/>
              <w:jc w:val="both"/>
              <w:rPr>
                <w:rFonts w:eastAsia="Times New Roman"/>
                <w:noProof/>
              </w:rPr>
            </w:pPr>
            <w:r>
              <w:rPr>
                <w:noProof/>
              </w:rPr>
              <w:t>Stvaranje pravnog okvira za korištenje državnog zemljišta kao područja ubrzavanja za ulaganja u obnovljive izvore energije</w:t>
            </w:r>
          </w:p>
        </w:tc>
        <w:tc>
          <w:tcPr>
            <w:tcW w:w="1285" w:type="dxa"/>
            <w:tcBorders>
              <w:top w:val="single" w:sz="4" w:space="0" w:color="auto"/>
              <w:left w:val="nil"/>
              <w:bottom w:val="single" w:sz="4" w:space="0" w:color="auto"/>
              <w:right w:val="single" w:sz="4" w:space="0" w:color="auto"/>
            </w:tcBorders>
            <w:shd w:val="clear" w:color="auto" w:fill="C6EFCE"/>
            <w:noWrap/>
          </w:tcPr>
          <w:p w14:paraId="4343AD4B"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165BDBC8" w14:textId="77777777" w:rsidR="003F46B9" w:rsidRDefault="0065662E">
            <w:pPr>
              <w:pStyle w:val="P68B1DB1-Normal35"/>
              <w:spacing w:after="0"/>
              <w:jc w:val="both"/>
              <w:rPr>
                <w:rFonts w:eastAsia="Times New Roman"/>
                <w:noProof/>
              </w:rPr>
            </w:pPr>
            <w:r>
              <w:rPr>
                <w:noProof/>
              </w:rPr>
              <w:t>Uspostava jedinstvenog nacionalnog registra zemljišta u državnom vlasništvu</w:t>
            </w:r>
          </w:p>
        </w:tc>
      </w:tr>
      <w:tr w:rsidR="003F46B9" w14:paraId="29FC7AEC"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62433C8" w14:textId="77777777" w:rsidR="003F46B9" w:rsidRDefault="0065662E">
            <w:pPr>
              <w:pStyle w:val="P68B1DB1-Normal35"/>
              <w:spacing w:after="0"/>
              <w:jc w:val="center"/>
              <w:rPr>
                <w:rFonts w:eastAsia="Times New Roman"/>
                <w:noProof/>
              </w:rPr>
            </w:pPr>
            <w:r>
              <w:rPr>
                <w:noProof/>
              </w:rPr>
              <w:t>512</w:t>
            </w:r>
          </w:p>
        </w:tc>
        <w:tc>
          <w:tcPr>
            <w:tcW w:w="3534" w:type="dxa"/>
            <w:tcBorders>
              <w:top w:val="single" w:sz="4" w:space="0" w:color="auto"/>
              <w:left w:val="nil"/>
              <w:bottom w:val="single" w:sz="4" w:space="0" w:color="auto"/>
              <w:right w:val="single" w:sz="4" w:space="0" w:color="auto"/>
            </w:tcBorders>
            <w:shd w:val="clear" w:color="auto" w:fill="C6EFCE"/>
            <w:noWrap/>
          </w:tcPr>
          <w:p w14:paraId="05E33516" w14:textId="77777777" w:rsidR="003F46B9" w:rsidRDefault="0065662E">
            <w:pPr>
              <w:pStyle w:val="P68B1DB1-Normal35"/>
              <w:spacing w:after="0"/>
              <w:jc w:val="both"/>
              <w:rPr>
                <w:noProof/>
              </w:rPr>
            </w:pPr>
            <w:r>
              <w:rPr>
                <w:noProof/>
              </w:rPr>
              <w:t>C16.I1</w:t>
            </w:r>
          </w:p>
          <w:p w14:paraId="78782DA8" w14:textId="77777777" w:rsidR="003F46B9" w:rsidRDefault="0065662E">
            <w:pPr>
              <w:pStyle w:val="P68B1DB1-Normal35"/>
              <w:spacing w:after="0"/>
              <w:jc w:val="both"/>
              <w:rPr>
                <w:rFonts w:eastAsia="Times New Roman"/>
                <w:noProof/>
              </w:rPr>
            </w:pPr>
            <w:r>
              <w:rPr>
                <w:noProof/>
              </w:rPr>
              <w:t xml:space="preserve">Osposobljavanje za vještine povezane sa </w:t>
            </w:r>
            <w:r>
              <w:rPr>
                <w:noProof/>
              </w:rPr>
              <w:t>zelenom energijom</w:t>
            </w:r>
          </w:p>
        </w:tc>
        <w:tc>
          <w:tcPr>
            <w:tcW w:w="1285" w:type="dxa"/>
            <w:tcBorders>
              <w:top w:val="single" w:sz="4" w:space="0" w:color="auto"/>
              <w:left w:val="nil"/>
              <w:bottom w:val="single" w:sz="4" w:space="0" w:color="auto"/>
              <w:right w:val="single" w:sz="4" w:space="0" w:color="auto"/>
            </w:tcBorders>
            <w:shd w:val="clear" w:color="auto" w:fill="C6EFCE"/>
            <w:noWrap/>
          </w:tcPr>
          <w:p w14:paraId="357C8DBA"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655F09D" w14:textId="74F7B7B3" w:rsidR="003F46B9" w:rsidRDefault="0065662E">
            <w:pPr>
              <w:pStyle w:val="P68B1DB1-Normal35"/>
              <w:spacing w:after="0"/>
              <w:jc w:val="both"/>
              <w:rPr>
                <w:rFonts w:eastAsia="Times New Roman"/>
                <w:noProof/>
              </w:rPr>
            </w:pPr>
            <w:r>
              <w:rPr>
                <w:noProof/>
              </w:rPr>
              <w:t xml:space="preserve">Odobreni standardi zanimanja u području proizvodnje obnovljive energije </w:t>
            </w:r>
          </w:p>
        </w:tc>
      </w:tr>
      <w:tr w:rsidR="003F46B9" w14:paraId="60D340F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60478F0" w14:textId="77777777" w:rsidR="003F46B9" w:rsidRDefault="0065662E">
            <w:pPr>
              <w:pStyle w:val="P68B1DB1-Normal35"/>
              <w:spacing w:after="0"/>
              <w:jc w:val="center"/>
              <w:rPr>
                <w:rFonts w:eastAsia="Times New Roman"/>
                <w:noProof/>
              </w:rPr>
            </w:pPr>
            <w:r>
              <w:rPr>
                <w:noProof/>
              </w:rPr>
              <w:t>521</w:t>
            </w:r>
          </w:p>
        </w:tc>
        <w:tc>
          <w:tcPr>
            <w:tcW w:w="3534" w:type="dxa"/>
            <w:tcBorders>
              <w:top w:val="single" w:sz="4" w:space="0" w:color="auto"/>
              <w:left w:val="nil"/>
              <w:bottom w:val="single" w:sz="4" w:space="0" w:color="auto"/>
              <w:right w:val="single" w:sz="4" w:space="0" w:color="auto"/>
            </w:tcBorders>
            <w:shd w:val="clear" w:color="auto" w:fill="C6EFCE"/>
            <w:noWrap/>
          </w:tcPr>
          <w:p w14:paraId="04A07ACA" w14:textId="77777777" w:rsidR="003F46B9" w:rsidRDefault="0065662E">
            <w:pPr>
              <w:pStyle w:val="P68B1DB1-Normal35"/>
              <w:spacing w:after="0"/>
              <w:jc w:val="both"/>
              <w:rPr>
                <w:noProof/>
              </w:rPr>
            </w:pPr>
            <w:r>
              <w:rPr>
                <w:noProof/>
              </w:rPr>
              <w:t>C16.I5c</w:t>
            </w:r>
          </w:p>
          <w:p w14:paraId="1B934491" w14:textId="77777777" w:rsidR="003F46B9" w:rsidRDefault="0065662E">
            <w:pPr>
              <w:pStyle w:val="P68B1DB1-Normal35"/>
              <w:spacing w:after="0"/>
              <w:jc w:val="both"/>
              <w:rPr>
                <w:rFonts w:eastAsia="Times New Roman"/>
                <w:noProof/>
              </w:rPr>
            </w:pPr>
            <w:r>
              <w:rPr>
                <w:noProof/>
              </w:rPr>
              <w:t>Optimizacija komunikacijske mreže i stvaranje podatkovnog centra – Teletrans SA</w:t>
            </w:r>
          </w:p>
        </w:tc>
        <w:tc>
          <w:tcPr>
            <w:tcW w:w="1285" w:type="dxa"/>
            <w:tcBorders>
              <w:top w:val="single" w:sz="4" w:space="0" w:color="auto"/>
              <w:left w:val="nil"/>
              <w:bottom w:val="single" w:sz="4" w:space="0" w:color="auto"/>
              <w:right w:val="single" w:sz="4" w:space="0" w:color="auto"/>
            </w:tcBorders>
            <w:shd w:val="clear" w:color="auto" w:fill="C6EFCE"/>
            <w:noWrap/>
          </w:tcPr>
          <w:p w14:paraId="7BBA3674"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31C800CB" w14:textId="77777777" w:rsidR="003F46B9" w:rsidRDefault="0065662E">
            <w:pPr>
              <w:pStyle w:val="P68B1DB1-Normal35"/>
              <w:spacing w:after="0"/>
              <w:jc w:val="both"/>
              <w:rPr>
                <w:rFonts w:eastAsia="Times New Roman"/>
                <w:noProof/>
              </w:rPr>
            </w:pPr>
            <w:r>
              <w:rPr>
                <w:noProof/>
              </w:rPr>
              <w:t>Potpisivanje ugovora o nabavi robe</w:t>
            </w:r>
          </w:p>
        </w:tc>
      </w:tr>
      <w:tr w:rsidR="003F46B9" w14:paraId="0572FE1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36F252F" w14:textId="77777777" w:rsidR="003F46B9" w:rsidRDefault="0065662E">
            <w:pPr>
              <w:pStyle w:val="P68B1DB1-Normal35"/>
              <w:spacing w:after="0"/>
              <w:jc w:val="center"/>
              <w:rPr>
                <w:rFonts w:eastAsia="Times New Roman"/>
                <w:noProof/>
              </w:rPr>
            </w:pPr>
            <w:r>
              <w:rPr>
                <w:noProof/>
              </w:rPr>
              <w:t>208</w:t>
            </w:r>
          </w:p>
        </w:tc>
        <w:tc>
          <w:tcPr>
            <w:tcW w:w="3534" w:type="dxa"/>
            <w:tcBorders>
              <w:top w:val="single" w:sz="4" w:space="0" w:color="auto"/>
              <w:left w:val="nil"/>
              <w:bottom w:val="single" w:sz="4" w:space="0" w:color="auto"/>
              <w:right w:val="single" w:sz="4" w:space="0" w:color="auto"/>
            </w:tcBorders>
            <w:shd w:val="clear" w:color="auto" w:fill="C6EFCE"/>
            <w:noWrap/>
          </w:tcPr>
          <w:p w14:paraId="79F2486C" w14:textId="77777777" w:rsidR="003F46B9" w:rsidRDefault="0065662E">
            <w:pPr>
              <w:pStyle w:val="P68B1DB1-Normal35"/>
              <w:spacing w:after="0"/>
              <w:jc w:val="both"/>
              <w:rPr>
                <w:noProof/>
              </w:rPr>
            </w:pPr>
            <w:r>
              <w:rPr>
                <w:noProof/>
              </w:rPr>
              <w:t>C8.R4</w:t>
            </w:r>
          </w:p>
          <w:p w14:paraId="5ED15AF5" w14:textId="77777777" w:rsidR="003F46B9" w:rsidRDefault="0065662E">
            <w:pPr>
              <w:pStyle w:val="P68B1DB1-Normal35"/>
              <w:spacing w:after="0"/>
              <w:jc w:val="both"/>
              <w:rPr>
                <w:rFonts w:eastAsia="Times New Roman"/>
                <w:noProof/>
              </w:rPr>
            </w:pPr>
            <w:r>
              <w:rPr>
                <w:noProof/>
              </w:rPr>
              <w:t xml:space="preserve">Revizija poreznog </w:t>
            </w:r>
            <w:r>
              <w:rPr>
                <w:noProof/>
              </w:rPr>
              <w:t>okvira</w:t>
            </w:r>
          </w:p>
        </w:tc>
        <w:tc>
          <w:tcPr>
            <w:tcW w:w="1285" w:type="dxa"/>
            <w:tcBorders>
              <w:top w:val="single" w:sz="4" w:space="0" w:color="auto"/>
              <w:left w:val="nil"/>
              <w:bottom w:val="single" w:sz="4" w:space="0" w:color="auto"/>
              <w:right w:val="single" w:sz="4" w:space="0" w:color="auto"/>
            </w:tcBorders>
            <w:shd w:val="clear" w:color="auto" w:fill="C6EFCE"/>
            <w:noWrap/>
          </w:tcPr>
          <w:p w14:paraId="209B4F6F"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0143146B" w14:textId="77777777" w:rsidR="003F46B9" w:rsidRDefault="0065662E">
            <w:pPr>
              <w:pStyle w:val="P68B1DB1-Normal35"/>
              <w:spacing w:after="0"/>
              <w:jc w:val="both"/>
              <w:rPr>
                <w:rFonts w:eastAsia="Times New Roman"/>
                <w:noProof/>
              </w:rPr>
            </w:pPr>
            <w:r>
              <w:rPr>
                <w:noProof/>
              </w:rPr>
              <w:t xml:space="preserve">Stupanje na snagu izmjena Poreznog zakonika (Zakon br.227/2015) kojima se postupno smanjuju porezni poticaji za osoblje zaposleno u građevinskom sektoru </w:t>
            </w:r>
          </w:p>
        </w:tc>
      </w:tr>
      <w:tr w:rsidR="003F46B9" w14:paraId="628F12E1"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78AEBE3" w14:textId="77777777" w:rsidR="003F46B9" w:rsidRDefault="0065662E">
            <w:pPr>
              <w:pStyle w:val="P68B1DB1-Normal35"/>
              <w:spacing w:after="0"/>
              <w:jc w:val="center"/>
              <w:rPr>
                <w:rFonts w:eastAsia="Times New Roman"/>
                <w:noProof/>
              </w:rPr>
            </w:pPr>
            <w:r>
              <w:rPr>
                <w:noProof/>
              </w:rPr>
              <w:t>438</w:t>
            </w:r>
          </w:p>
        </w:tc>
        <w:tc>
          <w:tcPr>
            <w:tcW w:w="3534" w:type="dxa"/>
            <w:tcBorders>
              <w:top w:val="single" w:sz="4" w:space="0" w:color="auto"/>
              <w:left w:val="nil"/>
              <w:bottom w:val="single" w:sz="4" w:space="0" w:color="auto"/>
              <w:right w:val="single" w:sz="4" w:space="0" w:color="auto"/>
            </w:tcBorders>
            <w:shd w:val="clear" w:color="auto" w:fill="C6EFCE"/>
            <w:noWrap/>
          </w:tcPr>
          <w:p w14:paraId="17882A88" w14:textId="77777777" w:rsidR="003F46B9" w:rsidRDefault="0065662E">
            <w:pPr>
              <w:pStyle w:val="P68B1DB1-Normal35"/>
              <w:spacing w:after="0"/>
              <w:jc w:val="both"/>
              <w:rPr>
                <w:noProof/>
              </w:rPr>
            </w:pPr>
            <w:r>
              <w:rPr>
                <w:noProof/>
              </w:rPr>
              <w:t>C14.R8</w:t>
            </w:r>
          </w:p>
          <w:p w14:paraId="5DD46D65" w14:textId="77777777" w:rsidR="003F46B9" w:rsidRDefault="0065662E">
            <w:pPr>
              <w:pStyle w:val="P68B1DB1-Normal35"/>
              <w:spacing w:after="0"/>
              <w:jc w:val="both"/>
              <w:rPr>
                <w:rFonts w:eastAsia="Times New Roman"/>
                <w:noProof/>
              </w:rPr>
            </w:pPr>
            <w:r>
              <w:rPr>
                <w:noProof/>
              </w:rPr>
              <w:t>Reforma nacionalnog sustava javne nabave</w:t>
            </w:r>
          </w:p>
        </w:tc>
        <w:tc>
          <w:tcPr>
            <w:tcW w:w="1285" w:type="dxa"/>
            <w:tcBorders>
              <w:top w:val="single" w:sz="4" w:space="0" w:color="auto"/>
              <w:left w:val="nil"/>
              <w:bottom w:val="single" w:sz="4" w:space="0" w:color="auto"/>
              <w:right w:val="single" w:sz="4" w:space="0" w:color="auto"/>
            </w:tcBorders>
            <w:shd w:val="clear" w:color="auto" w:fill="C6EFCE"/>
            <w:noWrap/>
          </w:tcPr>
          <w:p w14:paraId="3975B6E9"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3F6EA7F" w14:textId="77777777" w:rsidR="003F46B9" w:rsidRDefault="0065662E">
            <w:pPr>
              <w:pStyle w:val="P68B1DB1-Normal35"/>
              <w:spacing w:after="0"/>
              <w:jc w:val="both"/>
              <w:rPr>
                <w:rFonts w:eastAsia="Times New Roman"/>
                <w:noProof/>
              </w:rPr>
            </w:pPr>
            <w:r>
              <w:rPr>
                <w:noProof/>
              </w:rPr>
              <w:t xml:space="preserve">Operativni sustav e-nabave </w:t>
            </w:r>
          </w:p>
        </w:tc>
      </w:tr>
      <w:tr w:rsidR="003F46B9" w14:paraId="4F08A64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5D42E9C" w14:textId="77777777" w:rsidR="003F46B9" w:rsidRDefault="0065662E">
            <w:pPr>
              <w:pStyle w:val="P68B1DB1-Normal35"/>
              <w:spacing w:after="0"/>
              <w:jc w:val="center"/>
              <w:rPr>
                <w:rFonts w:eastAsia="Times New Roman"/>
                <w:noProof/>
              </w:rPr>
            </w:pPr>
            <w:r>
              <w:rPr>
                <w:noProof/>
              </w:rPr>
              <w:t>484</w:t>
            </w:r>
          </w:p>
        </w:tc>
        <w:tc>
          <w:tcPr>
            <w:tcW w:w="3534" w:type="dxa"/>
            <w:tcBorders>
              <w:top w:val="single" w:sz="4" w:space="0" w:color="auto"/>
              <w:left w:val="nil"/>
              <w:bottom w:val="single" w:sz="4" w:space="0" w:color="auto"/>
              <w:right w:val="single" w:sz="4" w:space="0" w:color="auto"/>
            </w:tcBorders>
            <w:shd w:val="clear" w:color="auto" w:fill="C6EFCE"/>
            <w:noWrap/>
          </w:tcPr>
          <w:p w14:paraId="580CED96" w14:textId="77777777" w:rsidR="003F46B9" w:rsidRDefault="0065662E">
            <w:pPr>
              <w:pStyle w:val="P68B1DB1-Normal35"/>
              <w:spacing w:after="0"/>
              <w:jc w:val="both"/>
              <w:rPr>
                <w:noProof/>
              </w:rPr>
            </w:pPr>
            <w:r>
              <w:rPr>
                <w:noProof/>
              </w:rPr>
              <w:t>C15.I</w:t>
            </w:r>
            <w:r>
              <w:rPr>
                <w:noProof/>
              </w:rPr>
              <w:t xml:space="preserve">9 </w:t>
            </w:r>
          </w:p>
          <w:p w14:paraId="0303884F" w14:textId="77777777" w:rsidR="003F46B9" w:rsidRDefault="0065662E">
            <w:pPr>
              <w:pStyle w:val="P68B1DB1-Normal35"/>
              <w:spacing w:after="0"/>
              <w:jc w:val="both"/>
              <w:rPr>
                <w:rFonts w:eastAsia="Times New Roman"/>
                <w:noProof/>
              </w:rPr>
            </w:pPr>
            <w:r>
              <w:rPr>
                <w:noProof/>
              </w:rPr>
              <w:t>Osiguravanje digitalne tehnološke opreme i resursa za škole</w:t>
            </w:r>
          </w:p>
        </w:tc>
        <w:tc>
          <w:tcPr>
            <w:tcW w:w="1285" w:type="dxa"/>
            <w:tcBorders>
              <w:top w:val="single" w:sz="4" w:space="0" w:color="auto"/>
              <w:left w:val="nil"/>
              <w:bottom w:val="single" w:sz="4" w:space="0" w:color="auto"/>
              <w:right w:val="single" w:sz="4" w:space="0" w:color="auto"/>
            </w:tcBorders>
            <w:shd w:val="clear" w:color="auto" w:fill="C6EFCE"/>
            <w:noWrap/>
          </w:tcPr>
          <w:p w14:paraId="3990F8FF"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9AD0E42" w14:textId="77777777" w:rsidR="003F46B9" w:rsidRDefault="0065662E">
            <w:pPr>
              <w:pStyle w:val="P68B1DB1-Normal35"/>
              <w:spacing w:after="0"/>
              <w:jc w:val="both"/>
              <w:rPr>
                <w:rFonts w:eastAsia="Times New Roman"/>
                <w:noProof/>
              </w:rPr>
            </w:pPr>
            <w:r>
              <w:rPr>
                <w:noProof/>
              </w:rPr>
              <w:t>Pametni laboratoriji kupljeni za jedinice srednjeg i srednjeg obrazovanja</w:t>
            </w:r>
          </w:p>
        </w:tc>
      </w:tr>
      <w:tr w:rsidR="003F46B9" w14:paraId="561629E5"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9DF193B" w14:textId="77777777" w:rsidR="003F46B9" w:rsidRDefault="0065662E">
            <w:pPr>
              <w:pStyle w:val="P68B1DB1-Normal35"/>
              <w:spacing w:after="0"/>
              <w:jc w:val="center"/>
              <w:rPr>
                <w:rFonts w:eastAsia="Times New Roman"/>
                <w:noProof/>
              </w:rPr>
            </w:pPr>
            <w:r>
              <w:rPr>
                <w:noProof/>
              </w:rPr>
              <w:t>118</w:t>
            </w:r>
          </w:p>
        </w:tc>
        <w:tc>
          <w:tcPr>
            <w:tcW w:w="3534" w:type="dxa"/>
            <w:tcBorders>
              <w:top w:val="single" w:sz="4" w:space="0" w:color="auto"/>
              <w:left w:val="nil"/>
              <w:bottom w:val="single" w:sz="4" w:space="0" w:color="auto"/>
              <w:right w:val="single" w:sz="4" w:space="0" w:color="auto"/>
            </w:tcBorders>
            <w:shd w:val="clear" w:color="auto" w:fill="C6EFCE"/>
            <w:noWrap/>
          </w:tcPr>
          <w:p w14:paraId="1ED7AB73" w14:textId="77777777" w:rsidR="003F46B9" w:rsidRDefault="0065662E">
            <w:pPr>
              <w:pStyle w:val="P68B1DB1-Normal35"/>
              <w:spacing w:after="0"/>
              <w:jc w:val="both"/>
              <w:rPr>
                <w:noProof/>
              </w:rPr>
            </w:pPr>
            <w:r>
              <w:rPr>
                <w:noProof/>
              </w:rPr>
              <w:t>C6.R1</w:t>
            </w:r>
          </w:p>
          <w:p w14:paraId="52D92B66" w14:textId="245C150A" w:rsidR="003F46B9" w:rsidRDefault="0065662E">
            <w:pPr>
              <w:pStyle w:val="P68B1DB1-Normal35"/>
              <w:spacing w:after="0"/>
              <w:jc w:val="both"/>
              <w:rPr>
                <w:rFonts w:eastAsia="Times New Roman"/>
                <w:noProof/>
              </w:rPr>
            </w:pPr>
            <w:r>
              <w:rPr>
                <w:noProof/>
              </w:rPr>
              <w:t xml:space="preserve">Reforma tržišta električne energije, zamjena ugljena u kombinaciji izvora energije i potpora zakonodavnom </w:t>
            </w:r>
            <w:r>
              <w:rPr>
                <w:noProof/>
              </w:rPr>
              <w:t>i regulatornom okviru za privatna ulaganja u proizvodnju električne energije iz obnovljivih izvora</w:t>
            </w:r>
          </w:p>
        </w:tc>
        <w:tc>
          <w:tcPr>
            <w:tcW w:w="1285" w:type="dxa"/>
            <w:tcBorders>
              <w:top w:val="single" w:sz="4" w:space="0" w:color="auto"/>
              <w:left w:val="nil"/>
              <w:bottom w:val="single" w:sz="4" w:space="0" w:color="auto"/>
              <w:right w:val="single" w:sz="4" w:space="0" w:color="auto"/>
            </w:tcBorders>
            <w:shd w:val="clear" w:color="auto" w:fill="C6EFCE"/>
            <w:noWrap/>
          </w:tcPr>
          <w:p w14:paraId="7062D2FA"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1A44A261" w14:textId="77777777" w:rsidR="003F46B9" w:rsidRDefault="0065662E">
            <w:pPr>
              <w:pStyle w:val="P68B1DB1-Normal35"/>
              <w:spacing w:after="0"/>
              <w:jc w:val="both"/>
              <w:rPr>
                <w:rFonts w:eastAsia="Times New Roman"/>
                <w:noProof/>
              </w:rPr>
            </w:pPr>
            <w:r>
              <w:rPr>
                <w:noProof/>
              </w:rPr>
              <w:t xml:space="preserve">Potpisivanje ugovora za razliku za obnovljive izvore energije </w:t>
            </w:r>
          </w:p>
        </w:tc>
      </w:tr>
      <w:tr w:rsidR="003F46B9" w14:paraId="16224879"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B521B0C" w14:textId="77777777" w:rsidR="003F46B9" w:rsidRDefault="0065662E">
            <w:pPr>
              <w:pStyle w:val="P68B1DB1-Normal35"/>
              <w:spacing w:after="0"/>
              <w:jc w:val="center"/>
              <w:rPr>
                <w:rFonts w:eastAsia="Times New Roman"/>
                <w:noProof/>
              </w:rPr>
            </w:pPr>
            <w:r>
              <w:rPr>
                <w:noProof/>
              </w:rPr>
              <w:t>156</w:t>
            </w:r>
          </w:p>
        </w:tc>
        <w:tc>
          <w:tcPr>
            <w:tcW w:w="3534" w:type="dxa"/>
            <w:tcBorders>
              <w:top w:val="single" w:sz="4" w:space="0" w:color="auto"/>
              <w:left w:val="nil"/>
              <w:bottom w:val="single" w:sz="4" w:space="0" w:color="auto"/>
              <w:right w:val="single" w:sz="4" w:space="0" w:color="auto"/>
            </w:tcBorders>
            <w:shd w:val="clear" w:color="auto" w:fill="C6EFCE"/>
            <w:noWrap/>
          </w:tcPr>
          <w:p w14:paraId="07E46192" w14:textId="77777777" w:rsidR="003F46B9" w:rsidRDefault="0065662E">
            <w:pPr>
              <w:pStyle w:val="P68B1DB1-Normal35"/>
              <w:spacing w:after="0"/>
              <w:jc w:val="both"/>
              <w:rPr>
                <w:rFonts w:eastAsia="Times New Roman"/>
                <w:noProof/>
              </w:rPr>
            </w:pPr>
            <w:r>
              <w:rPr>
                <w:noProof/>
              </w:rPr>
              <w:t>C7.I2</w:t>
            </w:r>
            <w:r>
              <w:rPr>
                <w:noProof/>
              </w:rPr>
              <w:br/>
              <w:t xml:space="preserve">Razvoj računalstva u oblaku i migracije </w:t>
            </w:r>
          </w:p>
        </w:tc>
        <w:tc>
          <w:tcPr>
            <w:tcW w:w="1285" w:type="dxa"/>
            <w:tcBorders>
              <w:top w:val="single" w:sz="4" w:space="0" w:color="auto"/>
              <w:left w:val="nil"/>
              <w:bottom w:val="single" w:sz="4" w:space="0" w:color="auto"/>
              <w:right w:val="single" w:sz="4" w:space="0" w:color="auto"/>
            </w:tcBorders>
            <w:shd w:val="clear" w:color="auto" w:fill="C6EFCE"/>
            <w:noWrap/>
          </w:tcPr>
          <w:p w14:paraId="5F7FD915"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6B7D990" w14:textId="77777777" w:rsidR="003F46B9" w:rsidRDefault="0065662E">
            <w:pPr>
              <w:pStyle w:val="P68B1DB1-Normal35"/>
              <w:spacing w:after="0"/>
              <w:jc w:val="both"/>
              <w:rPr>
                <w:rFonts w:eastAsia="Times New Roman"/>
                <w:noProof/>
              </w:rPr>
            </w:pPr>
            <w:r>
              <w:rPr>
                <w:noProof/>
              </w:rPr>
              <w:t>Aplikacije digitalnih usluga za državn</w:t>
            </w:r>
            <w:r>
              <w:rPr>
                <w:noProof/>
              </w:rPr>
              <w:t>e potrebe migrirale su u infrastrukturu kao uslugu – IaaS/Platforma kao usluga – PaaS/</w:t>
            </w:r>
          </w:p>
        </w:tc>
      </w:tr>
      <w:tr w:rsidR="003F46B9" w14:paraId="3405FC10"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3C4317A9" w14:textId="77777777" w:rsidR="003F46B9" w:rsidRDefault="0065662E">
            <w:pPr>
              <w:pStyle w:val="P68B1DB1-Normal35"/>
              <w:spacing w:after="0"/>
              <w:jc w:val="center"/>
              <w:rPr>
                <w:rFonts w:eastAsia="Times New Roman"/>
                <w:noProof/>
              </w:rPr>
            </w:pPr>
            <w:r>
              <w:rPr>
                <w:noProof/>
              </w:rPr>
              <w:t>160</w:t>
            </w:r>
          </w:p>
        </w:tc>
        <w:tc>
          <w:tcPr>
            <w:tcW w:w="3534" w:type="dxa"/>
            <w:tcBorders>
              <w:top w:val="single" w:sz="4" w:space="0" w:color="auto"/>
              <w:left w:val="nil"/>
              <w:bottom w:val="single" w:sz="4" w:space="0" w:color="auto"/>
              <w:right w:val="single" w:sz="4" w:space="0" w:color="auto"/>
            </w:tcBorders>
            <w:shd w:val="clear" w:color="auto" w:fill="C6EFCE"/>
            <w:noWrap/>
          </w:tcPr>
          <w:p w14:paraId="74EF6FBB" w14:textId="77777777" w:rsidR="003F46B9" w:rsidRDefault="0065662E">
            <w:pPr>
              <w:pStyle w:val="P68B1DB1-Normal35"/>
              <w:spacing w:after="0"/>
              <w:jc w:val="both"/>
              <w:rPr>
                <w:noProof/>
              </w:rPr>
            </w:pPr>
            <w:r>
              <w:rPr>
                <w:noProof/>
              </w:rPr>
              <w:t xml:space="preserve">C7.I3 </w:t>
            </w:r>
          </w:p>
          <w:p w14:paraId="209E41C3" w14:textId="77777777" w:rsidR="003F46B9" w:rsidRDefault="0065662E">
            <w:pPr>
              <w:pStyle w:val="P68B1DB1-Normal35"/>
              <w:spacing w:after="0"/>
              <w:jc w:val="both"/>
              <w:rPr>
                <w:rFonts w:eastAsia="Times New Roman"/>
                <w:noProof/>
              </w:rPr>
            </w:pPr>
            <w:r>
              <w:rPr>
                <w:noProof/>
              </w:rPr>
              <w:t xml:space="preserve">Razvoj sustava e-zdravstva i telemedicine </w:t>
            </w:r>
          </w:p>
        </w:tc>
        <w:tc>
          <w:tcPr>
            <w:tcW w:w="1285" w:type="dxa"/>
            <w:tcBorders>
              <w:top w:val="single" w:sz="4" w:space="0" w:color="auto"/>
              <w:left w:val="nil"/>
              <w:bottom w:val="single" w:sz="4" w:space="0" w:color="auto"/>
              <w:right w:val="single" w:sz="4" w:space="0" w:color="auto"/>
            </w:tcBorders>
            <w:shd w:val="clear" w:color="auto" w:fill="C6EFCE"/>
            <w:noWrap/>
          </w:tcPr>
          <w:p w14:paraId="724D8DCF"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4463257" w14:textId="77777777" w:rsidR="003F46B9" w:rsidRDefault="0065662E">
            <w:pPr>
              <w:pStyle w:val="P68B1DB1-Normal35"/>
              <w:spacing w:after="0"/>
              <w:jc w:val="both"/>
              <w:rPr>
                <w:rFonts w:eastAsia="Times New Roman"/>
                <w:noProof/>
              </w:rPr>
            </w:pPr>
            <w:r>
              <w:rPr>
                <w:noProof/>
              </w:rPr>
              <w:t>U funkciji je nova IT platforma za zdravstveno osiguranje</w:t>
            </w:r>
          </w:p>
        </w:tc>
      </w:tr>
      <w:tr w:rsidR="003F46B9" w14:paraId="74C2D48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4A3BE16" w14:textId="77777777" w:rsidR="003F46B9" w:rsidRDefault="0065662E">
            <w:pPr>
              <w:pStyle w:val="P68B1DB1-Normal35"/>
              <w:spacing w:after="0"/>
              <w:jc w:val="center"/>
              <w:rPr>
                <w:rFonts w:eastAsia="Times New Roman"/>
                <w:noProof/>
              </w:rPr>
            </w:pPr>
            <w:r>
              <w:rPr>
                <w:noProof/>
              </w:rPr>
              <w:t>161</w:t>
            </w:r>
          </w:p>
        </w:tc>
        <w:tc>
          <w:tcPr>
            <w:tcW w:w="3534" w:type="dxa"/>
            <w:tcBorders>
              <w:top w:val="single" w:sz="4" w:space="0" w:color="auto"/>
              <w:left w:val="nil"/>
              <w:bottom w:val="single" w:sz="4" w:space="0" w:color="auto"/>
              <w:right w:val="single" w:sz="4" w:space="0" w:color="auto"/>
            </w:tcBorders>
            <w:shd w:val="clear" w:color="auto" w:fill="C6EFCE"/>
            <w:noWrap/>
          </w:tcPr>
          <w:p w14:paraId="78C04EBF" w14:textId="77777777" w:rsidR="003F46B9" w:rsidRDefault="0065662E">
            <w:pPr>
              <w:pStyle w:val="P68B1DB1-Normal35"/>
              <w:spacing w:after="0"/>
              <w:jc w:val="both"/>
              <w:rPr>
                <w:noProof/>
              </w:rPr>
            </w:pPr>
            <w:r>
              <w:rPr>
                <w:noProof/>
              </w:rPr>
              <w:t>C7.I3</w:t>
            </w:r>
          </w:p>
          <w:p w14:paraId="0499DFCA" w14:textId="77777777" w:rsidR="003F46B9" w:rsidRDefault="0065662E">
            <w:pPr>
              <w:pStyle w:val="P68B1DB1-Normal35"/>
              <w:spacing w:after="0"/>
              <w:jc w:val="both"/>
              <w:rPr>
                <w:rFonts w:eastAsia="Times New Roman"/>
                <w:noProof/>
              </w:rPr>
            </w:pPr>
            <w:r>
              <w:rPr>
                <w:noProof/>
              </w:rPr>
              <w:t xml:space="preserve">Razvoj sustava e-zdravstva i telemedicine </w:t>
            </w:r>
          </w:p>
        </w:tc>
        <w:tc>
          <w:tcPr>
            <w:tcW w:w="1285" w:type="dxa"/>
            <w:tcBorders>
              <w:top w:val="single" w:sz="4" w:space="0" w:color="auto"/>
              <w:left w:val="nil"/>
              <w:bottom w:val="single" w:sz="4" w:space="0" w:color="auto"/>
              <w:right w:val="single" w:sz="4" w:space="0" w:color="auto"/>
            </w:tcBorders>
            <w:shd w:val="clear" w:color="auto" w:fill="C6EFCE"/>
            <w:noWrap/>
          </w:tcPr>
          <w:p w14:paraId="1E2AF92A"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1A57D3F" w14:textId="77777777" w:rsidR="003F46B9" w:rsidRDefault="0065662E">
            <w:pPr>
              <w:pStyle w:val="P68B1DB1-Normal35"/>
              <w:spacing w:after="0"/>
              <w:jc w:val="both"/>
              <w:rPr>
                <w:rFonts w:eastAsia="Times New Roman"/>
                <w:noProof/>
              </w:rPr>
            </w:pPr>
            <w:r>
              <w:rPr>
                <w:noProof/>
              </w:rPr>
              <w:t>Digitalizacija 200 ustanova javnog zdravstva</w:t>
            </w:r>
          </w:p>
        </w:tc>
      </w:tr>
      <w:tr w:rsidR="003F46B9" w14:paraId="4453E38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160BFAB" w14:textId="77777777" w:rsidR="003F46B9" w:rsidRDefault="0065662E">
            <w:pPr>
              <w:pStyle w:val="P68B1DB1-Normal35"/>
              <w:spacing w:after="0"/>
              <w:jc w:val="center"/>
              <w:rPr>
                <w:rFonts w:eastAsia="Times New Roman"/>
                <w:noProof/>
              </w:rPr>
            </w:pPr>
            <w:r>
              <w:rPr>
                <w:noProof/>
              </w:rPr>
              <w:t>176</w:t>
            </w:r>
          </w:p>
        </w:tc>
        <w:tc>
          <w:tcPr>
            <w:tcW w:w="3534" w:type="dxa"/>
            <w:tcBorders>
              <w:top w:val="single" w:sz="4" w:space="0" w:color="auto"/>
              <w:left w:val="nil"/>
              <w:bottom w:val="single" w:sz="4" w:space="0" w:color="auto"/>
              <w:right w:val="single" w:sz="4" w:space="0" w:color="auto"/>
            </w:tcBorders>
            <w:shd w:val="clear" w:color="auto" w:fill="C6EFCE"/>
            <w:noWrap/>
          </w:tcPr>
          <w:p w14:paraId="27A607F9" w14:textId="77777777" w:rsidR="003F46B9" w:rsidRDefault="0065662E">
            <w:pPr>
              <w:pStyle w:val="P68B1DB1-Normal35"/>
              <w:spacing w:after="0"/>
              <w:jc w:val="both"/>
              <w:rPr>
                <w:noProof/>
              </w:rPr>
            </w:pPr>
            <w:r>
              <w:rPr>
                <w:noProof/>
              </w:rPr>
              <w:t>C7.I9</w:t>
            </w:r>
          </w:p>
          <w:p w14:paraId="278C90E2" w14:textId="77777777" w:rsidR="003F46B9" w:rsidRDefault="0065662E">
            <w:pPr>
              <w:pStyle w:val="P68B1DB1-Normal35"/>
              <w:spacing w:after="0"/>
              <w:jc w:val="both"/>
              <w:rPr>
                <w:rFonts w:eastAsia="Times New Roman"/>
                <w:noProof/>
              </w:rPr>
            </w:pPr>
            <w:r>
              <w:rPr>
                <w:noProof/>
              </w:rPr>
              <w:t>Digitalizacija sektora nevladinih organizacija</w:t>
            </w:r>
          </w:p>
        </w:tc>
        <w:tc>
          <w:tcPr>
            <w:tcW w:w="1285" w:type="dxa"/>
            <w:tcBorders>
              <w:top w:val="single" w:sz="4" w:space="0" w:color="auto"/>
              <w:left w:val="nil"/>
              <w:bottom w:val="single" w:sz="4" w:space="0" w:color="auto"/>
              <w:right w:val="single" w:sz="4" w:space="0" w:color="auto"/>
            </w:tcBorders>
            <w:shd w:val="clear" w:color="auto" w:fill="C6EFCE"/>
            <w:noWrap/>
          </w:tcPr>
          <w:p w14:paraId="569EF522"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2B2EFAAF" w14:textId="77777777" w:rsidR="003F46B9" w:rsidRDefault="0065662E">
            <w:pPr>
              <w:pStyle w:val="P68B1DB1-Normal35"/>
              <w:spacing w:after="0"/>
              <w:jc w:val="both"/>
              <w:rPr>
                <w:rFonts w:eastAsia="Times New Roman"/>
                <w:noProof/>
              </w:rPr>
            </w:pPr>
            <w:r>
              <w:rPr>
                <w:noProof/>
              </w:rPr>
              <w:t>Resursni centar za digitalnu transformaciju nevladinih organizacija</w:t>
            </w:r>
          </w:p>
        </w:tc>
      </w:tr>
      <w:tr w:rsidR="003F46B9" w14:paraId="257B8B7B"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614D0869" w14:textId="77777777" w:rsidR="003F46B9" w:rsidRDefault="0065662E">
            <w:pPr>
              <w:pStyle w:val="P68B1DB1-Normal35"/>
              <w:spacing w:after="0"/>
              <w:jc w:val="center"/>
              <w:rPr>
                <w:rFonts w:eastAsia="Times New Roman"/>
                <w:noProof/>
              </w:rPr>
            </w:pPr>
            <w:r>
              <w:rPr>
                <w:noProof/>
              </w:rPr>
              <w:t>361</w:t>
            </w:r>
          </w:p>
        </w:tc>
        <w:tc>
          <w:tcPr>
            <w:tcW w:w="3534" w:type="dxa"/>
            <w:tcBorders>
              <w:top w:val="single" w:sz="4" w:space="0" w:color="auto"/>
              <w:left w:val="nil"/>
              <w:bottom w:val="single" w:sz="4" w:space="0" w:color="auto"/>
              <w:right w:val="single" w:sz="4" w:space="0" w:color="auto"/>
            </w:tcBorders>
            <w:shd w:val="clear" w:color="auto" w:fill="C6EFCE"/>
            <w:noWrap/>
          </w:tcPr>
          <w:p w14:paraId="634897D5" w14:textId="77777777" w:rsidR="003F46B9" w:rsidRDefault="0065662E">
            <w:pPr>
              <w:pStyle w:val="P68B1DB1-Normal35"/>
              <w:spacing w:after="0"/>
              <w:jc w:val="both"/>
              <w:rPr>
                <w:noProof/>
              </w:rPr>
            </w:pPr>
            <w:r>
              <w:rPr>
                <w:noProof/>
              </w:rPr>
              <w:t>C12.R3</w:t>
            </w:r>
          </w:p>
          <w:p w14:paraId="72F5B199" w14:textId="42926E8D"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85" w:type="dxa"/>
            <w:tcBorders>
              <w:top w:val="single" w:sz="4" w:space="0" w:color="auto"/>
              <w:left w:val="nil"/>
              <w:bottom w:val="single" w:sz="4" w:space="0" w:color="auto"/>
              <w:right w:val="single" w:sz="4" w:space="0" w:color="auto"/>
            </w:tcBorders>
            <w:shd w:val="clear" w:color="auto" w:fill="C6EFCE"/>
            <w:noWrap/>
          </w:tcPr>
          <w:p w14:paraId="56AB3803"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190A7A1" w14:textId="77777777" w:rsidR="003F46B9" w:rsidRDefault="0065662E">
            <w:pPr>
              <w:pStyle w:val="P68B1DB1-Normal35"/>
              <w:spacing w:after="0"/>
              <w:jc w:val="both"/>
              <w:rPr>
                <w:rFonts w:eastAsia="Times New Roman"/>
                <w:noProof/>
              </w:rPr>
            </w:pPr>
            <w:r>
              <w:rPr>
                <w:noProof/>
              </w:rPr>
              <w:t>Osobe koje su sudjelovale u osposobljavanju za upravljanje zdravstvenim službama</w:t>
            </w:r>
          </w:p>
        </w:tc>
      </w:tr>
      <w:tr w:rsidR="003F46B9" w14:paraId="5FC51A02"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0FA2A5CF" w14:textId="77777777" w:rsidR="003F46B9" w:rsidRDefault="0065662E">
            <w:pPr>
              <w:pStyle w:val="P68B1DB1-Normal35"/>
              <w:spacing w:after="0"/>
              <w:jc w:val="center"/>
              <w:rPr>
                <w:rFonts w:eastAsia="Times New Roman"/>
                <w:noProof/>
              </w:rPr>
            </w:pPr>
            <w:r>
              <w:rPr>
                <w:noProof/>
              </w:rPr>
              <w:t>362</w:t>
            </w:r>
          </w:p>
        </w:tc>
        <w:tc>
          <w:tcPr>
            <w:tcW w:w="3534" w:type="dxa"/>
            <w:tcBorders>
              <w:top w:val="single" w:sz="4" w:space="0" w:color="auto"/>
              <w:left w:val="nil"/>
              <w:bottom w:val="single" w:sz="4" w:space="0" w:color="auto"/>
              <w:right w:val="single" w:sz="4" w:space="0" w:color="auto"/>
            </w:tcBorders>
            <w:shd w:val="clear" w:color="auto" w:fill="C6EFCE"/>
            <w:noWrap/>
          </w:tcPr>
          <w:p w14:paraId="6DBFB70C" w14:textId="77777777" w:rsidR="003F46B9" w:rsidRDefault="0065662E">
            <w:pPr>
              <w:pStyle w:val="P68B1DB1-Normal35"/>
              <w:spacing w:after="0"/>
              <w:jc w:val="both"/>
              <w:rPr>
                <w:noProof/>
              </w:rPr>
            </w:pPr>
            <w:r>
              <w:rPr>
                <w:noProof/>
              </w:rPr>
              <w:t>C12.R3</w:t>
            </w:r>
          </w:p>
          <w:p w14:paraId="6EDE3C6F" w14:textId="7627E9D7"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85" w:type="dxa"/>
            <w:tcBorders>
              <w:top w:val="single" w:sz="4" w:space="0" w:color="auto"/>
              <w:left w:val="nil"/>
              <w:bottom w:val="single" w:sz="4" w:space="0" w:color="auto"/>
              <w:right w:val="single" w:sz="4" w:space="0" w:color="auto"/>
            </w:tcBorders>
            <w:shd w:val="clear" w:color="auto" w:fill="C6EFCE"/>
            <w:noWrap/>
          </w:tcPr>
          <w:p w14:paraId="5EC1544D"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39CBF00E" w14:textId="77777777" w:rsidR="003F46B9" w:rsidRDefault="0065662E">
            <w:pPr>
              <w:pStyle w:val="P68B1DB1-Normal35"/>
              <w:spacing w:after="0"/>
              <w:jc w:val="both"/>
              <w:rPr>
                <w:rFonts w:eastAsia="Times New Roman"/>
                <w:noProof/>
              </w:rPr>
            </w:pPr>
            <w:r>
              <w:rPr>
                <w:noProof/>
              </w:rPr>
              <w:t xml:space="preserve">Osobe </w:t>
            </w:r>
            <w:r>
              <w:rPr>
                <w:noProof/>
              </w:rPr>
              <w:t>koje su sudjelovale u osposobljavanju o upravljanju ljudskim resursima u zdravstvenim ustanovama</w:t>
            </w:r>
          </w:p>
        </w:tc>
      </w:tr>
      <w:tr w:rsidR="003F46B9" w14:paraId="6B3618E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7839F29" w14:textId="77777777" w:rsidR="003F46B9" w:rsidRDefault="0065662E">
            <w:pPr>
              <w:pStyle w:val="P68B1DB1-Normal35"/>
              <w:spacing w:after="0"/>
              <w:jc w:val="center"/>
              <w:rPr>
                <w:rFonts w:eastAsia="Times New Roman"/>
                <w:noProof/>
              </w:rPr>
            </w:pPr>
            <w:r>
              <w:rPr>
                <w:noProof/>
              </w:rPr>
              <w:t>363</w:t>
            </w:r>
          </w:p>
        </w:tc>
        <w:tc>
          <w:tcPr>
            <w:tcW w:w="3534" w:type="dxa"/>
            <w:tcBorders>
              <w:top w:val="single" w:sz="4" w:space="0" w:color="auto"/>
              <w:left w:val="nil"/>
              <w:bottom w:val="single" w:sz="4" w:space="0" w:color="auto"/>
              <w:right w:val="single" w:sz="4" w:space="0" w:color="auto"/>
            </w:tcBorders>
            <w:shd w:val="clear" w:color="auto" w:fill="C6EFCE"/>
            <w:noWrap/>
          </w:tcPr>
          <w:p w14:paraId="7F7DB8F7" w14:textId="77777777" w:rsidR="003F46B9" w:rsidRDefault="0065662E">
            <w:pPr>
              <w:pStyle w:val="P68B1DB1-Normal35"/>
              <w:spacing w:after="0"/>
              <w:jc w:val="both"/>
              <w:rPr>
                <w:noProof/>
              </w:rPr>
            </w:pPr>
            <w:r>
              <w:rPr>
                <w:noProof/>
              </w:rPr>
              <w:t>C12.R3</w:t>
            </w:r>
          </w:p>
          <w:p w14:paraId="152DCA1A" w14:textId="4361FAC2" w:rsidR="003F46B9" w:rsidRDefault="0065662E">
            <w:pPr>
              <w:pStyle w:val="P68B1DB1-Normal35"/>
              <w:spacing w:after="0"/>
              <w:jc w:val="both"/>
              <w:rPr>
                <w:rFonts w:eastAsia="Times New Roman"/>
                <w:noProof/>
              </w:rPr>
            </w:pPr>
            <w:r>
              <w:rPr>
                <w:noProof/>
              </w:rPr>
              <w:t xml:space="preserve">Povećani kapaciteti za upravljanje zdravljem i ljudske resurse u zdravstvu </w:t>
            </w:r>
          </w:p>
        </w:tc>
        <w:tc>
          <w:tcPr>
            <w:tcW w:w="1285" w:type="dxa"/>
            <w:tcBorders>
              <w:top w:val="single" w:sz="4" w:space="0" w:color="auto"/>
              <w:left w:val="nil"/>
              <w:bottom w:val="single" w:sz="4" w:space="0" w:color="auto"/>
              <w:right w:val="single" w:sz="4" w:space="0" w:color="auto"/>
            </w:tcBorders>
            <w:shd w:val="clear" w:color="auto" w:fill="C6EFCE"/>
            <w:noWrap/>
          </w:tcPr>
          <w:p w14:paraId="18AF105A"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F131C6C" w14:textId="77777777" w:rsidR="003F46B9" w:rsidRDefault="0065662E">
            <w:pPr>
              <w:pStyle w:val="P68B1DB1-Normal35"/>
              <w:spacing w:after="0"/>
              <w:jc w:val="both"/>
              <w:rPr>
                <w:rFonts w:eastAsia="Times New Roman"/>
                <w:noProof/>
              </w:rPr>
            </w:pPr>
            <w:r>
              <w:rPr>
                <w:noProof/>
              </w:rPr>
              <w:t>Zdravstveni djelatnici koji su sudjelovali u programima osposobljavan</w:t>
            </w:r>
            <w:r>
              <w:rPr>
                <w:noProof/>
              </w:rPr>
              <w:t>ja za integritet</w:t>
            </w:r>
          </w:p>
        </w:tc>
      </w:tr>
      <w:tr w:rsidR="003F46B9" w14:paraId="2CE41BC4"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15661C34" w14:textId="77777777" w:rsidR="003F46B9" w:rsidRDefault="0065662E">
            <w:pPr>
              <w:pStyle w:val="P68B1DB1-Normal35"/>
              <w:spacing w:after="0"/>
              <w:jc w:val="center"/>
              <w:rPr>
                <w:rFonts w:eastAsia="Times New Roman"/>
                <w:noProof/>
              </w:rPr>
            </w:pPr>
            <w:r>
              <w:rPr>
                <w:noProof/>
              </w:rPr>
              <w:t>370</w:t>
            </w:r>
          </w:p>
        </w:tc>
        <w:tc>
          <w:tcPr>
            <w:tcW w:w="3534" w:type="dxa"/>
            <w:tcBorders>
              <w:top w:val="single" w:sz="4" w:space="0" w:color="auto"/>
              <w:left w:val="nil"/>
              <w:bottom w:val="single" w:sz="4" w:space="0" w:color="auto"/>
              <w:right w:val="single" w:sz="4" w:space="0" w:color="auto"/>
            </w:tcBorders>
            <w:shd w:val="clear" w:color="auto" w:fill="C6EFCE"/>
            <w:noWrap/>
          </w:tcPr>
          <w:p w14:paraId="0954B90E" w14:textId="77777777" w:rsidR="003F46B9" w:rsidRDefault="0065662E">
            <w:pPr>
              <w:pStyle w:val="P68B1DB1-Normal35"/>
              <w:spacing w:after="0"/>
              <w:jc w:val="both"/>
              <w:rPr>
                <w:noProof/>
              </w:rPr>
            </w:pPr>
            <w:r>
              <w:rPr>
                <w:noProof/>
              </w:rPr>
              <w:t xml:space="preserve">C12.I1 </w:t>
            </w:r>
          </w:p>
          <w:p w14:paraId="124C107A" w14:textId="77777777" w:rsidR="003F46B9" w:rsidRDefault="0065662E">
            <w:pPr>
              <w:pStyle w:val="P68B1DB1-Normal35"/>
              <w:spacing w:after="0"/>
              <w:jc w:val="both"/>
              <w:rPr>
                <w:rFonts w:eastAsia="Times New Roman"/>
                <w:noProof/>
              </w:rPr>
            </w:pPr>
            <w:r>
              <w:rPr>
                <w:noProof/>
              </w:rPr>
              <w:t>Razvoj pretbolničke medicinske infrastrukture</w:t>
            </w:r>
          </w:p>
        </w:tc>
        <w:tc>
          <w:tcPr>
            <w:tcW w:w="1285" w:type="dxa"/>
            <w:tcBorders>
              <w:top w:val="single" w:sz="4" w:space="0" w:color="auto"/>
              <w:left w:val="nil"/>
              <w:bottom w:val="single" w:sz="4" w:space="0" w:color="auto"/>
              <w:right w:val="single" w:sz="4" w:space="0" w:color="auto"/>
            </w:tcBorders>
            <w:shd w:val="clear" w:color="auto" w:fill="C6EFCE"/>
            <w:noWrap/>
          </w:tcPr>
          <w:p w14:paraId="0B20C941"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03D5672F" w14:textId="77777777" w:rsidR="003F46B9" w:rsidRDefault="0065662E">
            <w:pPr>
              <w:pStyle w:val="P68B1DB1-Normal35"/>
              <w:spacing w:after="0"/>
              <w:jc w:val="both"/>
              <w:rPr>
                <w:rFonts w:eastAsia="Times New Roman"/>
                <w:noProof/>
              </w:rPr>
            </w:pPr>
            <w:r>
              <w:rPr>
                <w:noProof/>
              </w:rPr>
              <w:t>Novoizgrađeni/obnovljeni i opremljeni integrirani centri zajednice, uključujući odgovarajuće osoblje</w:t>
            </w:r>
          </w:p>
        </w:tc>
      </w:tr>
      <w:tr w:rsidR="003F46B9" w14:paraId="6B376A8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609EFB1" w14:textId="77777777" w:rsidR="003F46B9" w:rsidRDefault="0065662E">
            <w:pPr>
              <w:pStyle w:val="P68B1DB1-Normal35"/>
              <w:spacing w:after="0"/>
              <w:jc w:val="center"/>
              <w:rPr>
                <w:rFonts w:eastAsia="Times New Roman"/>
                <w:noProof/>
              </w:rPr>
            </w:pPr>
            <w:r>
              <w:rPr>
                <w:noProof/>
              </w:rPr>
              <w:t>371</w:t>
            </w:r>
          </w:p>
        </w:tc>
        <w:tc>
          <w:tcPr>
            <w:tcW w:w="3534" w:type="dxa"/>
            <w:tcBorders>
              <w:top w:val="single" w:sz="4" w:space="0" w:color="auto"/>
              <w:left w:val="nil"/>
              <w:bottom w:val="single" w:sz="4" w:space="0" w:color="auto"/>
              <w:right w:val="single" w:sz="4" w:space="0" w:color="auto"/>
            </w:tcBorders>
            <w:shd w:val="clear" w:color="auto" w:fill="C6EFCE"/>
            <w:noWrap/>
          </w:tcPr>
          <w:p w14:paraId="063D29B4" w14:textId="77777777" w:rsidR="003F46B9" w:rsidRDefault="0065662E">
            <w:pPr>
              <w:pStyle w:val="P68B1DB1-Normal35"/>
              <w:spacing w:after="0"/>
              <w:jc w:val="both"/>
              <w:rPr>
                <w:noProof/>
              </w:rPr>
            </w:pPr>
            <w:r>
              <w:rPr>
                <w:noProof/>
              </w:rPr>
              <w:t xml:space="preserve">C12.I1 </w:t>
            </w:r>
          </w:p>
          <w:p w14:paraId="73758E0B" w14:textId="77777777" w:rsidR="003F46B9" w:rsidRDefault="0065662E">
            <w:pPr>
              <w:pStyle w:val="P68B1DB1-Normal35"/>
              <w:spacing w:after="0"/>
              <w:jc w:val="both"/>
              <w:rPr>
                <w:rFonts w:eastAsia="Times New Roman"/>
                <w:noProof/>
              </w:rPr>
            </w:pPr>
            <w:r>
              <w:rPr>
                <w:noProof/>
              </w:rPr>
              <w:t>Razvoj pretbolničke medicinske infrastrukture</w:t>
            </w:r>
          </w:p>
        </w:tc>
        <w:tc>
          <w:tcPr>
            <w:tcW w:w="1285" w:type="dxa"/>
            <w:tcBorders>
              <w:top w:val="single" w:sz="4" w:space="0" w:color="auto"/>
              <w:left w:val="nil"/>
              <w:bottom w:val="single" w:sz="4" w:space="0" w:color="auto"/>
              <w:right w:val="single" w:sz="4" w:space="0" w:color="auto"/>
            </w:tcBorders>
            <w:shd w:val="clear" w:color="auto" w:fill="C6EFCE"/>
            <w:noWrap/>
          </w:tcPr>
          <w:p w14:paraId="7FD729EA"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7C6FE1D4" w14:textId="77777777" w:rsidR="003F46B9" w:rsidRDefault="0065662E">
            <w:pPr>
              <w:pStyle w:val="P68B1DB1-Normal35"/>
              <w:spacing w:after="0"/>
              <w:jc w:val="both"/>
              <w:rPr>
                <w:rFonts w:eastAsia="Times New Roman"/>
                <w:noProof/>
              </w:rPr>
            </w:pPr>
            <w:r>
              <w:rPr>
                <w:noProof/>
              </w:rPr>
              <w:t xml:space="preserve">Zapostavljene </w:t>
            </w:r>
            <w:r>
              <w:rPr>
                <w:noProof/>
              </w:rPr>
              <w:t>zajednice, uključujući Rome, imaju pristup zdravstvenoj skrbi u zajednici</w:t>
            </w:r>
          </w:p>
        </w:tc>
      </w:tr>
      <w:tr w:rsidR="003F46B9" w14:paraId="668E292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7FF18F5" w14:textId="77777777" w:rsidR="003F46B9" w:rsidRDefault="0065662E">
            <w:pPr>
              <w:pStyle w:val="P68B1DB1-Normal35"/>
              <w:spacing w:after="0"/>
              <w:jc w:val="center"/>
              <w:rPr>
                <w:rFonts w:eastAsia="Times New Roman"/>
                <w:noProof/>
              </w:rPr>
            </w:pPr>
            <w:r>
              <w:rPr>
                <w:noProof/>
              </w:rPr>
              <w:t>373</w:t>
            </w:r>
          </w:p>
        </w:tc>
        <w:tc>
          <w:tcPr>
            <w:tcW w:w="3534" w:type="dxa"/>
            <w:tcBorders>
              <w:top w:val="single" w:sz="4" w:space="0" w:color="auto"/>
              <w:left w:val="nil"/>
              <w:bottom w:val="single" w:sz="4" w:space="0" w:color="auto"/>
              <w:right w:val="single" w:sz="4" w:space="0" w:color="auto"/>
            </w:tcBorders>
            <w:shd w:val="clear" w:color="auto" w:fill="C6EFCE"/>
            <w:noWrap/>
          </w:tcPr>
          <w:p w14:paraId="206D4D57" w14:textId="77777777" w:rsidR="003F46B9" w:rsidRDefault="0065662E">
            <w:pPr>
              <w:pStyle w:val="P68B1DB1-Normal35"/>
              <w:spacing w:after="0"/>
              <w:jc w:val="both"/>
              <w:rPr>
                <w:noProof/>
              </w:rPr>
            </w:pPr>
            <w:r>
              <w:rPr>
                <w:noProof/>
              </w:rPr>
              <w:t xml:space="preserve">C12.I1 </w:t>
            </w:r>
          </w:p>
          <w:p w14:paraId="1C3CD062" w14:textId="77777777" w:rsidR="003F46B9" w:rsidRDefault="0065662E">
            <w:pPr>
              <w:pStyle w:val="P68B1DB1-Normal35"/>
              <w:spacing w:after="0"/>
              <w:jc w:val="both"/>
              <w:rPr>
                <w:rFonts w:eastAsia="Times New Roman"/>
                <w:noProof/>
              </w:rPr>
            </w:pPr>
            <w:r>
              <w:rPr>
                <w:noProof/>
              </w:rPr>
              <w:t>Razvoj pretbolničke medicinske infrastrukture</w:t>
            </w:r>
          </w:p>
        </w:tc>
        <w:tc>
          <w:tcPr>
            <w:tcW w:w="1285" w:type="dxa"/>
            <w:tcBorders>
              <w:top w:val="single" w:sz="4" w:space="0" w:color="auto"/>
              <w:left w:val="nil"/>
              <w:bottom w:val="single" w:sz="4" w:space="0" w:color="auto"/>
              <w:right w:val="single" w:sz="4" w:space="0" w:color="auto"/>
            </w:tcBorders>
            <w:shd w:val="clear" w:color="auto" w:fill="C6EFCE"/>
            <w:noWrap/>
          </w:tcPr>
          <w:p w14:paraId="641307E8"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92333FC" w14:textId="77777777" w:rsidR="003F46B9" w:rsidRDefault="0065662E">
            <w:pPr>
              <w:pStyle w:val="P68B1DB1-Normal35"/>
              <w:spacing w:after="0"/>
              <w:jc w:val="both"/>
              <w:rPr>
                <w:rFonts w:eastAsia="Times New Roman"/>
                <w:noProof/>
              </w:rPr>
            </w:pPr>
            <w:r>
              <w:rPr>
                <w:noProof/>
              </w:rPr>
              <w:t>Povećati pristup primarnoj zdravstvenoj zaštiti</w:t>
            </w:r>
          </w:p>
        </w:tc>
      </w:tr>
      <w:tr w:rsidR="003F46B9" w14:paraId="2F76C9E5"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6CEB35B" w14:textId="77777777" w:rsidR="003F46B9" w:rsidRDefault="0065662E">
            <w:pPr>
              <w:pStyle w:val="P68B1DB1-Normal35"/>
              <w:spacing w:after="0"/>
              <w:jc w:val="center"/>
              <w:rPr>
                <w:rFonts w:eastAsia="Times New Roman"/>
                <w:noProof/>
              </w:rPr>
            </w:pPr>
            <w:r>
              <w:rPr>
                <w:noProof/>
              </w:rPr>
              <w:t>386</w:t>
            </w:r>
          </w:p>
        </w:tc>
        <w:tc>
          <w:tcPr>
            <w:tcW w:w="3534" w:type="dxa"/>
            <w:tcBorders>
              <w:top w:val="single" w:sz="4" w:space="0" w:color="auto"/>
              <w:left w:val="nil"/>
              <w:bottom w:val="single" w:sz="4" w:space="0" w:color="auto"/>
              <w:right w:val="single" w:sz="4" w:space="0" w:color="auto"/>
            </w:tcBorders>
            <w:shd w:val="clear" w:color="auto" w:fill="C6EFCE"/>
            <w:noWrap/>
          </w:tcPr>
          <w:p w14:paraId="72C3AE9B" w14:textId="77777777" w:rsidR="003F46B9" w:rsidRDefault="0065662E">
            <w:pPr>
              <w:pStyle w:val="P68B1DB1-Normal35"/>
              <w:spacing w:after="0"/>
              <w:jc w:val="both"/>
              <w:rPr>
                <w:noProof/>
              </w:rPr>
            </w:pPr>
            <w:r>
              <w:rPr>
                <w:noProof/>
              </w:rPr>
              <w:t>C13.R3</w:t>
            </w:r>
          </w:p>
          <w:p w14:paraId="580E5696" w14:textId="77777777" w:rsidR="003F46B9" w:rsidRDefault="0065662E">
            <w:pPr>
              <w:pStyle w:val="P68B1DB1-Normal35"/>
              <w:spacing w:after="0"/>
              <w:jc w:val="both"/>
              <w:rPr>
                <w:rFonts w:eastAsia="Times New Roman"/>
                <w:noProof/>
              </w:rPr>
            </w:pPr>
            <w:r>
              <w:rPr>
                <w:noProof/>
              </w:rPr>
              <w:t>Provedba minimalnog dohotka za uključivanje (VMI)</w:t>
            </w:r>
          </w:p>
        </w:tc>
        <w:tc>
          <w:tcPr>
            <w:tcW w:w="1285" w:type="dxa"/>
            <w:tcBorders>
              <w:top w:val="single" w:sz="4" w:space="0" w:color="auto"/>
              <w:left w:val="nil"/>
              <w:bottom w:val="single" w:sz="4" w:space="0" w:color="auto"/>
              <w:right w:val="single" w:sz="4" w:space="0" w:color="auto"/>
            </w:tcBorders>
            <w:shd w:val="clear" w:color="auto" w:fill="C6EFCE"/>
            <w:noWrap/>
          </w:tcPr>
          <w:p w14:paraId="391C9016"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17D05C6F" w14:textId="77777777" w:rsidR="003F46B9" w:rsidRDefault="0065662E">
            <w:pPr>
              <w:pStyle w:val="P68B1DB1-Normal35"/>
              <w:spacing w:after="0"/>
              <w:jc w:val="both"/>
              <w:rPr>
                <w:rFonts w:eastAsia="Times New Roman"/>
                <w:noProof/>
              </w:rPr>
            </w:pPr>
            <w:r>
              <w:rPr>
                <w:noProof/>
              </w:rPr>
              <w:t xml:space="preserve">Primatelj minimalnog prihoda za uključivanje prima barem jednu aktivacijsku mjeru </w:t>
            </w:r>
          </w:p>
        </w:tc>
      </w:tr>
      <w:tr w:rsidR="003F46B9" w14:paraId="4770E626"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7B2C192D" w14:textId="77777777" w:rsidR="003F46B9" w:rsidRDefault="0065662E">
            <w:pPr>
              <w:pStyle w:val="P68B1DB1-Normal35"/>
              <w:spacing w:after="0"/>
              <w:jc w:val="center"/>
              <w:rPr>
                <w:rFonts w:eastAsia="Times New Roman"/>
                <w:noProof/>
              </w:rPr>
            </w:pPr>
            <w:r>
              <w:rPr>
                <w:noProof/>
              </w:rPr>
              <w:t>403</w:t>
            </w:r>
          </w:p>
        </w:tc>
        <w:tc>
          <w:tcPr>
            <w:tcW w:w="3534" w:type="dxa"/>
            <w:tcBorders>
              <w:top w:val="single" w:sz="4" w:space="0" w:color="auto"/>
              <w:left w:val="nil"/>
              <w:bottom w:val="single" w:sz="4" w:space="0" w:color="auto"/>
              <w:right w:val="single" w:sz="4" w:space="0" w:color="auto"/>
            </w:tcBorders>
            <w:shd w:val="clear" w:color="auto" w:fill="C6EFCE"/>
            <w:noWrap/>
          </w:tcPr>
          <w:p w14:paraId="65CEBC05" w14:textId="77777777" w:rsidR="003F46B9" w:rsidRDefault="0065662E">
            <w:pPr>
              <w:pStyle w:val="P68B1DB1-Normal35"/>
              <w:spacing w:after="0"/>
              <w:jc w:val="both"/>
              <w:rPr>
                <w:noProof/>
              </w:rPr>
            </w:pPr>
            <w:r>
              <w:rPr>
                <w:noProof/>
              </w:rPr>
              <w:t>C14.R1</w:t>
            </w:r>
          </w:p>
          <w:p w14:paraId="47100294" w14:textId="77777777" w:rsidR="003F46B9" w:rsidRDefault="0065662E">
            <w:pPr>
              <w:pStyle w:val="P68B1DB1-Normal35"/>
              <w:spacing w:after="0"/>
              <w:jc w:val="both"/>
              <w:rPr>
                <w:rFonts w:eastAsia="Times New Roman"/>
                <w:noProof/>
              </w:rPr>
            </w:pPr>
            <w:r>
              <w:rPr>
                <w:noProof/>
              </w:rPr>
              <w:t>Povećanje predvidljivosti i učinkovitosti postupaka donošenja odluka jačanjem kapaciteta za koordinaciju politika i analizu učinka na razini vlade i koordinacijs</w:t>
            </w:r>
            <w:r>
              <w:rPr>
                <w:noProof/>
              </w:rPr>
              <w:t>kih ministarstava te jačanjem alata za povećanje kvalitete javnih savjetovanja na svim razinama uprave</w:t>
            </w:r>
          </w:p>
        </w:tc>
        <w:tc>
          <w:tcPr>
            <w:tcW w:w="1285" w:type="dxa"/>
            <w:tcBorders>
              <w:top w:val="single" w:sz="4" w:space="0" w:color="auto"/>
              <w:left w:val="nil"/>
              <w:bottom w:val="single" w:sz="4" w:space="0" w:color="auto"/>
              <w:right w:val="single" w:sz="4" w:space="0" w:color="auto"/>
            </w:tcBorders>
            <w:shd w:val="clear" w:color="auto" w:fill="C6EFCE"/>
            <w:noWrap/>
          </w:tcPr>
          <w:p w14:paraId="4C3FBDC8"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44608F93" w14:textId="77777777" w:rsidR="003F46B9" w:rsidRDefault="0065662E">
            <w:pPr>
              <w:pStyle w:val="P68B1DB1-Normal35"/>
              <w:spacing w:after="0"/>
              <w:jc w:val="both"/>
              <w:rPr>
                <w:rFonts w:eastAsia="Times New Roman"/>
                <w:noProof/>
              </w:rPr>
            </w:pPr>
            <w:r>
              <w:rPr>
                <w:noProof/>
              </w:rPr>
              <w:t xml:space="preserve">Najmanje tri ministarstva planirala su i provela proračune po programu </w:t>
            </w:r>
          </w:p>
        </w:tc>
      </w:tr>
      <w:tr w:rsidR="003F46B9" w14:paraId="66DF874A"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513A2149" w14:textId="77777777" w:rsidR="003F46B9" w:rsidRDefault="0065662E">
            <w:pPr>
              <w:pStyle w:val="P68B1DB1-Normal35"/>
              <w:spacing w:after="0"/>
              <w:jc w:val="center"/>
              <w:rPr>
                <w:rFonts w:eastAsia="Times New Roman"/>
                <w:noProof/>
              </w:rPr>
            </w:pPr>
            <w:r>
              <w:rPr>
                <w:noProof/>
              </w:rPr>
              <w:t>517</w:t>
            </w:r>
          </w:p>
        </w:tc>
        <w:tc>
          <w:tcPr>
            <w:tcW w:w="3534" w:type="dxa"/>
            <w:tcBorders>
              <w:top w:val="single" w:sz="4" w:space="0" w:color="auto"/>
              <w:left w:val="nil"/>
              <w:bottom w:val="single" w:sz="4" w:space="0" w:color="auto"/>
              <w:right w:val="single" w:sz="4" w:space="0" w:color="auto"/>
            </w:tcBorders>
            <w:shd w:val="clear" w:color="auto" w:fill="C6EFCE"/>
            <w:noWrap/>
          </w:tcPr>
          <w:p w14:paraId="3E1BD36C" w14:textId="77777777" w:rsidR="003F46B9" w:rsidRDefault="0065662E">
            <w:pPr>
              <w:pStyle w:val="P68B1DB1-Normal35"/>
              <w:spacing w:after="0"/>
              <w:jc w:val="both"/>
              <w:rPr>
                <w:noProof/>
              </w:rPr>
            </w:pPr>
            <w:r>
              <w:rPr>
                <w:noProof/>
              </w:rPr>
              <w:t>C16.I5a</w:t>
            </w:r>
          </w:p>
          <w:p w14:paraId="4C8AB146" w14:textId="77777777" w:rsidR="003F46B9" w:rsidRDefault="0065662E">
            <w:pPr>
              <w:pStyle w:val="P68B1DB1-Normal35"/>
              <w:spacing w:after="0"/>
              <w:jc w:val="both"/>
              <w:rPr>
                <w:rFonts w:eastAsia="Times New Roman"/>
                <w:noProof/>
              </w:rPr>
            </w:pPr>
            <w:r>
              <w:rPr>
                <w:noProof/>
              </w:rPr>
              <w:t xml:space="preserve">Ugradnja solarnih ploča i objekata za skladištenje električne </w:t>
            </w:r>
            <w:r>
              <w:rPr>
                <w:noProof/>
              </w:rPr>
              <w:t>energije u elektranama Transelectrica</w:t>
            </w:r>
          </w:p>
        </w:tc>
        <w:tc>
          <w:tcPr>
            <w:tcW w:w="1285" w:type="dxa"/>
            <w:tcBorders>
              <w:top w:val="single" w:sz="4" w:space="0" w:color="auto"/>
              <w:left w:val="nil"/>
              <w:bottom w:val="single" w:sz="4" w:space="0" w:color="auto"/>
              <w:right w:val="single" w:sz="4" w:space="0" w:color="auto"/>
            </w:tcBorders>
            <w:shd w:val="clear" w:color="auto" w:fill="C6EFCE"/>
            <w:noWrap/>
          </w:tcPr>
          <w:p w14:paraId="7FBF9880" w14:textId="77777777" w:rsidR="003F46B9" w:rsidRDefault="0065662E">
            <w:pPr>
              <w:pStyle w:val="P68B1DB1-Normal35"/>
              <w:spacing w:after="0"/>
              <w:jc w:val="center"/>
              <w:rPr>
                <w:rFonts w:eastAsia="Times New Roman"/>
                <w:noProof/>
              </w:rPr>
            </w:pPr>
            <w:r>
              <w:rPr>
                <w:noProof/>
              </w:rPr>
              <w:t>M</w:t>
            </w:r>
          </w:p>
        </w:tc>
        <w:tc>
          <w:tcPr>
            <w:tcW w:w="3393" w:type="dxa"/>
            <w:tcBorders>
              <w:top w:val="single" w:sz="4" w:space="0" w:color="auto"/>
              <w:left w:val="nil"/>
              <w:bottom w:val="single" w:sz="4" w:space="0" w:color="auto"/>
              <w:right w:val="single" w:sz="4" w:space="0" w:color="auto"/>
            </w:tcBorders>
            <w:shd w:val="clear" w:color="auto" w:fill="C6EFCE"/>
            <w:noWrap/>
          </w:tcPr>
          <w:p w14:paraId="744A710A" w14:textId="77777777" w:rsidR="003F46B9" w:rsidRDefault="0065662E">
            <w:pPr>
              <w:pStyle w:val="P68B1DB1-Normal35"/>
              <w:spacing w:after="0"/>
              <w:jc w:val="both"/>
              <w:rPr>
                <w:rFonts w:eastAsia="Times New Roman"/>
                <w:noProof/>
              </w:rPr>
            </w:pPr>
            <w:r>
              <w:rPr>
                <w:noProof/>
              </w:rPr>
              <w:t>Potpisivanje ugovora</w:t>
            </w:r>
          </w:p>
        </w:tc>
      </w:tr>
      <w:tr w:rsidR="003F46B9" w14:paraId="41AA609F"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28560910" w14:textId="77777777" w:rsidR="003F46B9" w:rsidRDefault="0065662E">
            <w:pPr>
              <w:pStyle w:val="P68B1DB1-Normal35"/>
              <w:spacing w:after="0"/>
              <w:jc w:val="center"/>
              <w:rPr>
                <w:rFonts w:eastAsia="Times New Roman"/>
                <w:noProof/>
              </w:rPr>
            </w:pPr>
            <w:r>
              <w:rPr>
                <w:noProof/>
              </w:rPr>
              <w:t>520</w:t>
            </w:r>
          </w:p>
        </w:tc>
        <w:tc>
          <w:tcPr>
            <w:tcW w:w="3534" w:type="dxa"/>
            <w:tcBorders>
              <w:top w:val="single" w:sz="4" w:space="0" w:color="auto"/>
              <w:left w:val="nil"/>
              <w:bottom w:val="single" w:sz="4" w:space="0" w:color="auto"/>
              <w:right w:val="single" w:sz="4" w:space="0" w:color="auto"/>
            </w:tcBorders>
            <w:shd w:val="clear" w:color="auto" w:fill="C6EFCE"/>
            <w:noWrap/>
          </w:tcPr>
          <w:p w14:paraId="07A662DD" w14:textId="77777777" w:rsidR="003F46B9" w:rsidRDefault="0065662E">
            <w:pPr>
              <w:pStyle w:val="P68B1DB1-Normal35"/>
              <w:spacing w:after="0"/>
              <w:jc w:val="both"/>
              <w:rPr>
                <w:noProof/>
              </w:rPr>
            </w:pPr>
            <w:r>
              <w:rPr>
                <w:noProof/>
              </w:rPr>
              <w:t>C16.I5b</w:t>
            </w:r>
          </w:p>
          <w:p w14:paraId="152B66AB" w14:textId="77777777" w:rsidR="003F46B9" w:rsidRDefault="0065662E">
            <w:pPr>
              <w:pStyle w:val="P68B1DB1-Normal35"/>
              <w:spacing w:after="0"/>
              <w:jc w:val="both"/>
              <w:rPr>
                <w:rFonts w:eastAsia="Times New Roman"/>
                <w:noProof/>
              </w:rPr>
            </w:pPr>
            <w:r>
              <w:rPr>
                <w:noProof/>
              </w:rPr>
              <w:t>Obnova kapaciteta SMART SA</w:t>
            </w:r>
          </w:p>
        </w:tc>
        <w:tc>
          <w:tcPr>
            <w:tcW w:w="1285" w:type="dxa"/>
            <w:tcBorders>
              <w:top w:val="single" w:sz="4" w:space="0" w:color="auto"/>
              <w:left w:val="nil"/>
              <w:bottom w:val="single" w:sz="4" w:space="0" w:color="auto"/>
              <w:right w:val="single" w:sz="4" w:space="0" w:color="auto"/>
            </w:tcBorders>
            <w:shd w:val="clear" w:color="auto" w:fill="C6EFCE"/>
            <w:noWrap/>
          </w:tcPr>
          <w:p w14:paraId="3D0E724E" w14:textId="77777777" w:rsidR="003F46B9" w:rsidRDefault="0065662E">
            <w:pPr>
              <w:pStyle w:val="P68B1DB1-Normal35"/>
              <w:spacing w:after="0"/>
              <w:jc w:val="center"/>
              <w:rPr>
                <w:rFonts w:eastAsia="Times New Roman"/>
                <w:noProof/>
              </w:rPr>
            </w:pPr>
            <w:r>
              <w:rPr>
                <w:noProof/>
              </w:rPr>
              <w:t>T</w:t>
            </w:r>
          </w:p>
        </w:tc>
        <w:tc>
          <w:tcPr>
            <w:tcW w:w="3393" w:type="dxa"/>
            <w:tcBorders>
              <w:top w:val="single" w:sz="4" w:space="0" w:color="auto"/>
              <w:left w:val="nil"/>
              <w:bottom w:val="single" w:sz="4" w:space="0" w:color="auto"/>
              <w:right w:val="single" w:sz="4" w:space="0" w:color="auto"/>
            </w:tcBorders>
            <w:shd w:val="clear" w:color="auto" w:fill="C6EFCE"/>
            <w:noWrap/>
          </w:tcPr>
          <w:p w14:paraId="6E43FF69" w14:textId="77777777" w:rsidR="003F46B9" w:rsidRDefault="0065662E">
            <w:pPr>
              <w:pStyle w:val="P68B1DB1-Normal35"/>
              <w:spacing w:after="0"/>
              <w:jc w:val="both"/>
              <w:rPr>
                <w:rFonts w:eastAsia="Times New Roman"/>
                <w:noProof/>
              </w:rPr>
            </w:pPr>
            <w:r>
              <w:rPr>
                <w:noProof/>
              </w:rPr>
              <w:t>Prosječna duljina intervencija na mreži operatora prijenosnog sustava</w:t>
            </w:r>
          </w:p>
        </w:tc>
      </w:tr>
      <w:tr w:rsidR="003F46B9" w14:paraId="7C6407CE" w14:textId="77777777">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14:paraId="404988CE" w14:textId="77777777" w:rsidR="003F46B9" w:rsidRDefault="003F46B9">
            <w:pPr>
              <w:spacing w:after="0"/>
              <w:jc w:val="center"/>
              <w:rPr>
                <w:rFonts w:ascii="Times New Roman" w:eastAsia="Times New Roman" w:hAnsi="Times New Roman" w:cs="Times New Roman"/>
                <w:noProof/>
              </w:rPr>
            </w:pPr>
          </w:p>
        </w:tc>
        <w:tc>
          <w:tcPr>
            <w:tcW w:w="3534" w:type="dxa"/>
            <w:tcBorders>
              <w:top w:val="single" w:sz="4" w:space="0" w:color="auto"/>
              <w:left w:val="nil"/>
              <w:bottom w:val="single" w:sz="4" w:space="0" w:color="auto"/>
              <w:right w:val="single" w:sz="4" w:space="0" w:color="auto"/>
            </w:tcBorders>
            <w:shd w:val="clear" w:color="auto" w:fill="C6EFCE"/>
            <w:noWrap/>
          </w:tcPr>
          <w:p w14:paraId="601226E4" w14:textId="77777777" w:rsidR="003F46B9" w:rsidRDefault="003F46B9">
            <w:pPr>
              <w:spacing w:after="0"/>
              <w:jc w:val="both"/>
              <w:rPr>
                <w:rFonts w:ascii="Times New Roman" w:eastAsia="Times New Roman" w:hAnsi="Times New Roman" w:cs="Times New Roman"/>
                <w:noProof/>
              </w:rPr>
            </w:pPr>
          </w:p>
        </w:tc>
        <w:tc>
          <w:tcPr>
            <w:tcW w:w="1285" w:type="dxa"/>
            <w:tcBorders>
              <w:top w:val="single" w:sz="4" w:space="0" w:color="auto"/>
              <w:left w:val="nil"/>
              <w:bottom w:val="single" w:sz="4" w:space="0" w:color="auto"/>
              <w:right w:val="single" w:sz="4" w:space="0" w:color="auto"/>
            </w:tcBorders>
            <w:shd w:val="clear" w:color="auto" w:fill="C6EFCE"/>
            <w:noWrap/>
          </w:tcPr>
          <w:p w14:paraId="336AF3C9" w14:textId="77777777" w:rsidR="003F46B9" w:rsidRDefault="0065662E">
            <w:pPr>
              <w:pStyle w:val="P68B1DB1-Normal36"/>
              <w:spacing w:after="0"/>
              <w:jc w:val="center"/>
              <w:rPr>
                <w:noProof/>
              </w:rPr>
            </w:pPr>
            <w:r>
              <w:rPr>
                <w:noProof/>
              </w:rPr>
              <w:t>Iznos obroka</w:t>
            </w:r>
          </w:p>
        </w:tc>
        <w:tc>
          <w:tcPr>
            <w:tcW w:w="3393" w:type="dxa"/>
            <w:tcBorders>
              <w:top w:val="single" w:sz="4" w:space="0" w:color="auto"/>
              <w:left w:val="nil"/>
              <w:bottom w:val="single" w:sz="4" w:space="0" w:color="auto"/>
              <w:right w:val="single" w:sz="4" w:space="0" w:color="auto"/>
            </w:tcBorders>
            <w:shd w:val="clear" w:color="auto" w:fill="C6EFCE"/>
            <w:noWrap/>
            <w:vAlign w:val="center"/>
          </w:tcPr>
          <w:p w14:paraId="291742A2" w14:textId="14CF77E3" w:rsidR="003F46B9" w:rsidRDefault="0065662E">
            <w:pPr>
              <w:pStyle w:val="P68B1DB1-Normal36"/>
              <w:spacing w:after="0"/>
              <w:jc w:val="right"/>
              <w:rPr>
                <w:noProof/>
              </w:rPr>
            </w:pPr>
            <w:r>
              <w:rPr>
                <w:noProof/>
              </w:rPr>
              <w:t>1809818435 EURA</w:t>
            </w:r>
          </w:p>
        </w:tc>
      </w:tr>
    </w:tbl>
    <w:p w14:paraId="39E0F28D" w14:textId="77777777" w:rsidR="003F46B9" w:rsidRDefault="003F46B9">
      <w:pPr>
        <w:pStyle w:val="Text1"/>
        <w:ind w:left="0"/>
        <w:rPr>
          <w:noProof/>
        </w:rPr>
      </w:pPr>
    </w:p>
    <w:p w14:paraId="3DDB4244" w14:textId="64A93F76" w:rsidR="003F46B9" w:rsidRDefault="0065662E">
      <w:pPr>
        <w:pStyle w:val="Heading3"/>
        <w:rPr>
          <w:noProof/>
        </w:rPr>
      </w:pPr>
      <w:r>
        <w:rPr>
          <w:noProof/>
        </w:rPr>
        <w:t xml:space="preserve">Sedmi obrok (bespovratna potpora): </w:t>
      </w:r>
    </w:p>
    <w:tbl>
      <w:tblPr>
        <w:tblW w:w="9634" w:type="dxa"/>
        <w:tblInd w:w="113" w:type="dxa"/>
        <w:tblLook w:val="04A0" w:firstRow="1" w:lastRow="0" w:firstColumn="1" w:lastColumn="0" w:noHBand="0" w:noVBand="1"/>
      </w:tblPr>
      <w:tblGrid>
        <w:gridCol w:w="1413"/>
        <w:gridCol w:w="3544"/>
        <w:gridCol w:w="1316"/>
        <w:gridCol w:w="3402"/>
      </w:tblGrid>
      <w:tr w:rsidR="003F46B9" w14:paraId="43E6472A"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F89EF57"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9AF9EC5" w14:textId="77777777" w:rsidR="003F46B9" w:rsidRDefault="0065662E">
            <w:pPr>
              <w:pStyle w:val="P68B1DB1-Normal34"/>
              <w:spacing w:after="0"/>
              <w:jc w:val="center"/>
              <w:rPr>
                <w:noProof/>
              </w:rPr>
            </w:pPr>
            <w:r>
              <w:rPr>
                <w:noProof/>
              </w:rPr>
              <w:t xml:space="preserve">Povezana mjera </w:t>
            </w:r>
          </w:p>
          <w:p w14:paraId="316AADF4"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4A040EE"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72E7DBC0" w14:textId="77777777" w:rsidR="003F46B9" w:rsidRDefault="0065662E">
            <w:pPr>
              <w:pStyle w:val="P68B1DB1-Normal34"/>
              <w:spacing w:after="0"/>
              <w:jc w:val="center"/>
              <w:rPr>
                <w:noProof/>
              </w:rPr>
            </w:pPr>
            <w:r>
              <w:rPr>
                <w:noProof/>
              </w:rPr>
              <w:t>Ime</w:t>
            </w:r>
          </w:p>
        </w:tc>
      </w:tr>
      <w:tr w:rsidR="003F46B9" w14:paraId="6B815F4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444FE2E"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5D82872" w14:textId="77777777" w:rsidR="003F46B9" w:rsidRDefault="003F46B9">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0944919"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73C519F2" w14:textId="77777777" w:rsidR="003F46B9" w:rsidRDefault="003F46B9">
            <w:pPr>
              <w:spacing w:after="0"/>
              <w:rPr>
                <w:rFonts w:ascii="Times New Roman" w:eastAsia="Times New Roman" w:hAnsi="Times New Roman" w:cs="Times New Roman"/>
                <w:b/>
                <w:noProof/>
              </w:rPr>
            </w:pPr>
          </w:p>
        </w:tc>
      </w:tr>
      <w:tr w:rsidR="003F46B9" w14:paraId="341FC3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305B0A" w14:textId="77777777" w:rsidR="003F46B9" w:rsidRDefault="0065662E">
            <w:pPr>
              <w:pStyle w:val="P68B1DB1-Normal35"/>
              <w:spacing w:after="0"/>
              <w:jc w:val="center"/>
              <w:rPr>
                <w:noProof/>
              </w:rPr>
            </w:pPr>
            <w:r>
              <w:rPr>
                <w:noProof/>
              </w:rPr>
              <w:t>162</w:t>
            </w:r>
          </w:p>
        </w:tc>
        <w:tc>
          <w:tcPr>
            <w:tcW w:w="3544" w:type="dxa"/>
            <w:tcBorders>
              <w:top w:val="nil"/>
              <w:left w:val="nil"/>
              <w:bottom w:val="single" w:sz="4" w:space="0" w:color="auto"/>
              <w:right w:val="single" w:sz="4" w:space="0" w:color="auto"/>
            </w:tcBorders>
            <w:shd w:val="clear" w:color="auto" w:fill="C6EFCE"/>
            <w:noWrap/>
          </w:tcPr>
          <w:p w14:paraId="23217669" w14:textId="77777777" w:rsidR="003F46B9" w:rsidRDefault="0065662E">
            <w:pPr>
              <w:pStyle w:val="P68B1DB1-Normal35"/>
              <w:spacing w:after="0"/>
              <w:jc w:val="both"/>
              <w:rPr>
                <w:noProof/>
              </w:rPr>
            </w:pPr>
            <w:r>
              <w:rPr>
                <w:noProof/>
              </w:rPr>
              <w:t>C7.I3</w:t>
            </w:r>
          </w:p>
          <w:p w14:paraId="55C86393" w14:textId="77777777" w:rsidR="003F46B9" w:rsidRDefault="0065662E">
            <w:pPr>
              <w:pStyle w:val="P68B1DB1-Normal35"/>
              <w:spacing w:after="0"/>
              <w:jc w:val="both"/>
              <w:rPr>
                <w:noProof/>
              </w:rPr>
            </w:pPr>
            <w:r>
              <w:rPr>
                <w:noProof/>
              </w:rPr>
              <w:t xml:space="preserve">Razvoj sustava e-zdravstva i telemedicine </w:t>
            </w:r>
          </w:p>
        </w:tc>
        <w:tc>
          <w:tcPr>
            <w:tcW w:w="1275" w:type="dxa"/>
            <w:tcBorders>
              <w:top w:val="nil"/>
              <w:left w:val="nil"/>
              <w:bottom w:val="single" w:sz="4" w:space="0" w:color="auto"/>
              <w:right w:val="single" w:sz="4" w:space="0" w:color="auto"/>
            </w:tcBorders>
            <w:shd w:val="clear" w:color="auto" w:fill="C6EFCE"/>
            <w:noWrap/>
          </w:tcPr>
          <w:p w14:paraId="03A0D88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CA013AD" w14:textId="77777777" w:rsidR="003F46B9" w:rsidRDefault="0065662E">
            <w:pPr>
              <w:pStyle w:val="P68B1DB1-Normal35"/>
              <w:spacing w:after="0"/>
              <w:jc w:val="both"/>
              <w:rPr>
                <w:noProof/>
              </w:rPr>
            </w:pPr>
            <w:r>
              <w:rPr>
                <w:noProof/>
              </w:rPr>
              <w:t>Pružatelji zdravstvene zaštite povezani s novom platformom PIA</w:t>
            </w:r>
          </w:p>
        </w:tc>
      </w:tr>
      <w:tr w:rsidR="003F46B9" w14:paraId="7DA8AA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18D259F" w14:textId="77777777" w:rsidR="003F46B9" w:rsidRDefault="0065662E">
            <w:pPr>
              <w:pStyle w:val="P68B1DB1-Normal35"/>
              <w:spacing w:after="0"/>
              <w:jc w:val="center"/>
              <w:rPr>
                <w:rFonts w:eastAsia="Times New Roman"/>
                <w:noProof/>
              </w:rPr>
            </w:pPr>
            <w:r>
              <w:rPr>
                <w:noProof/>
              </w:rPr>
              <w:t>179</w:t>
            </w:r>
          </w:p>
        </w:tc>
        <w:tc>
          <w:tcPr>
            <w:tcW w:w="3544" w:type="dxa"/>
            <w:tcBorders>
              <w:top w:val="nil"/>
              <w:left w:val="nil"/>
              <w:bottom w:val="single" w:sz="4" w:space="0" w:color="auto"/>
              <w:right w:val="single" w:sz="4" w:space="0" w:color="auto"/>
            </w:tcBorders>
            <w:shd w:val="clear" w:color="auto" w:fill="C6EFCE"/>
            <w:noWrap/>
            <w:hideMark/>
          </w:tcPr>
          <w:p w14:paraId="5EE928CA" w14:textId="77777777" w:rsidR="003F46B9" w:rsidRDefault="0065662E">
            <w:pPr>
              <w:pStyle w:val="P68B1DB1-Normal35"/>
              <w:spacing w:after="0"/>
              <w:jc w:val="both"/>
              <w:rPr>
                <w:noProof/>
              </w:rPr>
            </w:pPr>
            <w:r>
              <w:rPr>
                <w:noProof/>
              </w:rPr>
              <w:t>C7.I12</w:t>
            </w:r>
          </w:p>
          <w:p w14:paraId="31CEBA08" w14:textId="77777777" w:rsidR="003F46B9" w:rsidRDefault="0065662E">
            <w:pPr>
              <w:pStyle w:val="P68B1DB1-Normal35"/>
              <w:spacing w:after="0"/>
              <w:jc w:val="both"/>
              <w:rPr>
                <w:rFonts w:eastAsia="Times New Roman"/>
                <w:noProof/>
              </w:rPr>
            </w:pPr>
            <w:r>
              <w:rPr>
                <w:noProof/>
              </w:rPr>
              <w:t xml:space="preserve">Osiguravanje zaštite kibersigurnosti za javne i privatne infrastrukture ITC-a koje imaju ključnu vrijednost za nacionalnu sigurnost primjenom pametnih tehnologija </w:t>
            </w:r>
          </w:p>
        </w:tc>
        <w:tc>
          <w:tcPr>
            <w:tcW w:w="1275" w:type="dxa"/>
            <w:tcBorders>
              <w:top w:val="nil"/>
              <w:left w:val="nil"/>
              <w:bottom w:val="single" w:sz="4" w:space="0" w:color="auto"/>
              <w:right w:val="single" w:sz="4" w:space="0" w:color="auto"/>
            </w:tcBorders>
            <w:shd w:val="clear" w:color="auto" w:fill="C6EFCE"/>
            <w:noWrap/>
            <w:hideMark/>
          </w:tcPr>
          <w:p w14:paraId="62C386EB"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021BC030" w14:textId="77777777" w:rsidR="003F46B9" w:rsidRDefault="0065662E">
            <w:pPr>
              <w:pStyle w:val="P68B1DB1-Normal35"/>
              <w:spacing w:after="0"/>
              <w:jc w:val="both"/>
              <w:rPr>
                <w:rFonts w:eastAsia="Times New Roman"/>
                <w:noProof/>
              </w:rPr>
            </w:pPr>
            <w:r>
              <w:rPr>
                <w:noProof/>
              </w:rPr>
              <w:t>Subjekti sa sigurnim infrastrukturama informacijske i komunikacijske tehnologije</w:t>
            </w:r>
          </w:p>
        </w:tc>
      </w:tr>
      <w:tr w:rsidR="003F46B9" w14:paraId="208A4C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A5ECDA" w14:textId="77777777" w:rsidR="003F46B9" w:rsidRDefault="0065662E">
            <w:pPr>
              <w:pStyle w:val="P68B1DB1-Normal35"/>
              <w:spacing w:after="0"/>
              <w:jc w:val="center"/>
              <w:rPr>
                <w:rFonts w:eastAsia="Times New Roman"/>
                <w:noProof/>
              </w:rPr>
            </w:pPr>
            <w:r>
              <w:rPr>
                <w:noProof/>
              </w:rPr>
              <w:t>415</w:t>
            </w:r>
          </w:p>
        </w:tc>
        <w:tc>
          <w:tcPr>
            <w:tcW w:w="3544" w:type="dxa"/>
            <w:tcBorders>
              <w:top w:val="nil"/>
              <w:left w:val="nil"/>
              <w:bottom w:val="single" w:sz="4" w:space="0" w:color="auto"/>
              <w:right w:val="single" w:sz="4" w:space="0" w:color="auto"/>
            </w:tcBorders>
            <w:shd w:val="clear" w:color="auto" w:fill="C6EFCE"/>
            <w:noWrap/>
            <w:hideMark/>
          </w:tcPr>
          <w:p w14:paraId="5A7C515E" w14:textId="77777777" w:rsidR="003F46B9" w:rsidRDefault="0065662E">
            <w:pPr>
              <w:pStyle w:val="P68B1DB1-Normal35"/>
              <w:spacing w:after="0"/>
              <w:jc w:val="both"/>
              <w:rPr>
                <w:noProof/>
              </w:rPr>
            </w:pPr>
            <w:r>
              <w:rPr>
                <w:noProof/>
              </w:rPr>
              <w:t>C14.R2</w:t>
            </w:r>
          </w:p>
          <w:p w14:paraId="6E4A6BBF" w14:textId="7551014D" w:rsidR="003F46B9" w:rsidRDefault="0065662E">
            <w:pPr>
              <w:pStyle w:val="P68B1DB1-Normal35"/>
              <w:spacing w:after="0"/>
              <w:jc w:val="both"/>
              <w:rPr>
                <w:rFonts w:eastAsia="Times New Roman"/>
                <w:noProof/>
              </w:rPr>
            </w:pPr>
            <w:r>
              <w:rPr>
                <w:noProof/>
              </w:rPr>
              <w:t xml:space="preserve">Jačanje koordinacije u središtu vlasti integriranim i dosljednim pristupom klimatskim promjenama i inicijativama za održivi razvoj </w:t>
            </w:r>
          </w:p>
        </w:tc>
        <w:tc>
          <w:tcPr>
            <w:tcW w:w="1275" w:type="dxa"/>
            <w:tcBorders>
              <w:top w:val="nil"/>
              <w:left w:val="nil"/>
              <w:bottom w:val="single" w:sz="4" w:space="0" w:color="auto"/>
              <w:right w:val="single" w:sz="4" w:space="0" w:color="auto"/>
            </w:tcBorders>
            <w:shd w:val="clear" w:color="auto" w:fill="C6EFCE"/>
            <w:noWrap/>
            <w:hideMark/>
          </w:tcPr>
          <w:p w14:paraId="38146E1B"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02D0D50F" w14:textId="77777777" w:rsidR="003F46B9" w:rsidRDefault="0065662E">
            <w:pPr>
              <w:pStyle w:val="P68B1DB1-Normal35"/>
              <w:spacing w:after="0"/>
              <w:jc w:val="both"/>
              <w:rPr>
                <w:rFonts w:eastAsia="Times New Roman"/>
                <w:noProof/>
              </w:rPr>
            </w:pPr>
            <w:r>
              <w:rPr>
                <w:noProof/>
              </w:rPr>
              <w:t>Javni službenici kvalificirani kao „stručnjaci za održivi razvoj” u javnim institucijama na središnjoj i lokalnoj r</w:t>
            </w:r>
            <w:r>
              <w:rPr>
                <w:noProof/>
              </w:rPr>
              <w:t>azini</w:t>
            </w:r>
          </w:p>
        </w:tc>
      </w:tr>
      <w:tr w:rsidR="003F46B9" w14:paraId="1AA591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A029D5" w14:textId="77777777" w:rsidR="003F46B9" w:rsidRDefault="0065662E">
            <w:pPr>
              <w:pStyle w:val="P68B1DB1-Normal35"/>
              <w:spacing w:after="0"/>
              <w:jc w:val="center"/>
              <w:rPr>
                <w:rFonts w:eastAsia="Times New Roman"/>
                <w:noProof/>
              </w:rPr>
            </w:pPr>
            <w:r>
              <w:rPr>
                <w:noProof/>
              </w:rPr>
              <w:t>446</w:t>
            </w:r>
          </w:p>
        </w:tc>
        <w:tc>
          <w:tcPr>
            <w:tcW w:w="3544" w:type="dxa"/>
            <w:tcBorders>
              <w:top w:val="nil"/>
              <w:left w:val="nil"/>
              <w:bottom w:val="single" w:sz="4" w:space="0" w:color="auto"/>
              <w:right w:val="single" w:sz="4" w:space="0" w:color="auto"/>
            </w:tcBorders>
            <w:shd w:val="clear" w:color="auto" w:fill="C6EFCE"/>
            <w:noWrap/>
            <w:hideMark/>
          </w:tcPr>
          <w:p w14:paraId="3F71BB01" w14:textId="77777777" w:rsidR="003F46B9" w:rsidRDefault="0065662E">
            <w:pPr>
              <w:pStyle w:val="P68B1DB1-Normal35"/>
              <w:spacing w:after="0"/>
              <w:jc w:val="both"/>
              <w:rPr>
                <w:noProof/>
              </w:rPr>
            </w:pPr>
            <w:r>
              <w:rPr>
                <w:noProof/>
              </w:rPr>
              <w:t xml:space="preserve">C14.I2 </w:t>
            </w:r>
          </w:p>
          <w:p w14:paraId="091FDB20" w14:textId="77777777" w:rsidR="003F46B9" w:rsidRDefault="0065662E">
            <w:pPr>
              <w:pStyle w:val="P68B1DB1-Normal35"/>
              <w:spacing w:after="0"/>
              <w:jc w:val="both"/>
              <w:rPr>
                <w:rFonts w:eastAsia="Times New Roman"/>
                <w:noProof/>
              </w:rPr>
            </w:pPr>
            <w:r>
              <w:rPr>
                <w:noProof/>
              </w:rPr>
              <w:t>Razvoj logističke (ne IT) infrastrukture potrebne za borbu protiv korupcije i povrat imovinske koristi i štete ostvarene kaznenim djelom, uključujući osposobljavanje u tim područjima</w:t>
            </w:r>
          </w:p>
        </w:tc>
        <w:tc>
          <w:tcPr>
            <w:tcW w:w="1275" w:type="dxa"/>
            <w:tcBorders>
              <w:top w:val="nil"/>
              <w:left w:val="nil"/>
              <w:bottom w:val="single" w:sz="4" w:space="0" w:color="auto"/>
              <w:right w:val="single" w:sz="4" w:space="0" w:color="auto"/>
            </w:tcBorders>
            <w:shd w:val="clear" w:color="auto" w:fill="C6EFCE"/>
            <w:noWrap/>
            <w:hideMark/>
          </w:tcPr>
          <w:p w14:paraId="26261239"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D95E602" w14:textId="77777777" w:rsidR="003F46B9" w:rsidRDefault="0065662E">
            <w:pPr>
              <w:pStyle w:val="P68B1DB1-Normal35"/>
              <w:spacing w:after="0"/>
              <w:jc w:val="both"/>
              <w:rPr>
                <w:rFonts w:eastAsia="Times New Roman"/>
                <w:noProof/>
              </w:rPr>
            </w:pPr>
            <w:r>
              <w:rPr>
                <w:noProof/>
              </w:rPr>
              <w:t>Skladišta za skladištenje zaplijenjene imovine pušte</w:t>
            </w:r>
            <w:r>
              <w:rPr>
                <w:noProof/>
              </w:rPr>
              <w:t>na u rad</w:t>
            </w:r>
          </w:p>
        </w:tc>
      </w:tr>
      <w:tr w:rsidR="003F46B9" w14:paraId="50DEF1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C30D42" w14:textId="77777777" w:rsidR="003F46B9" w:rsidRDefault="0065662E">
            <w:pPr>
              <w:pStyle w:val="P68B1DB1-Normal35"/>
              <w:spacing w:after="0"/>
              <w:jc w:val="center"/>
              <w:rPr>
                <w:noProof/>
              </w:rPr>
            </w:pPr>
            <w:r>
              <w:rPr>
                <w:noProof/>
              </w:rPr>
              <w:t>472</w:t>
            </w:r>
          </w:p>
        </w:tc>
        <w:tc>
          <w:tcPr>
            <w:tcW w:w="3544" w:type="dxa"/>
            <w:tcBorders>
              <w:top w:val="nil"/>
              <w:left w:val="nil"/>
              <w:bottom w:val="single" w:sz="4" w:space="0" w:color="auto"/>
              <w:right w:val="single" w:sz="4" w:space="0" w:color="auto"/>
            </w:tcBorders>
            <w:shd w:val="clear" w:color="auto" w:fill="C6EFCE"/>
            <w:noWrap/>
          </w:tcPr>
          <w:p w14:paraId="41E08D38" w14:textId="77777777" w:rsidR="003F46B9" w:rsidRDefault="0065662E">
            <w:pPr>
              <w:pStyle w:val="P68B1DB1-Normal35"/>
              <w:spacing w:after="0"/>
              <w:jc w:val="both"/>
              <w:rPr>
                <w:noProof/>
              </w:rPr>
            </w:pPr>
            <w:r>
              <w:rPr>
                <w:noProof/>
              </w:rPr>
              <w:t xml:space="preserve">C15.I6 </w:t>
            </w:r>
          </w:p>
          <w:p w14:paraId="5E967AED" w14:textId="77777777" w:rsidR="003F46B9" w:rsidRDefault="0065662E">
            <w:pPr>
              <w:pStyle w:val="P68B1DB1-Normal35"/>
              <w:spacing w:after="0"/>
              <w:jc w:val="both"/>
              <w:rPr>
                <w:noProof/>
              </w:rPr>
            </w:pPr>
            <w:r>
              <w:rPr>
                <w:noProof/>
              </w:rPr>
              <w:t>Razvoj 10 regionalnih konzorcija te razvoj i opremanje 10 strukovnih kampusa</w:t>
            </w:r>
          </w:p>
        </w:tc>
        <w:tc>
          <w:tcPr>
            <w:tcW w:w="1275" w:type="dxa"/>
            <w:tcBorders>
              <w:top w:val="nil"/>
              <w:left w:val="nil"/>
              <w:bottom w:val="single" w:sz="4" w:space="0" w:color="auto"/>
              <w:right w:val="single" w:sz="4" w:space="0" w:color="auto"/>
            </w:tcBorders>
            <w:shd w:val="clear" w:color="auto" w:fill="C6EFCE"/>
            <w:noWrap/>
          </w:tcPr>
          <w:p w14:paraId="4DF6D14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0C78250" w14:textId="77777777" w:rsidR="003F46B9" w:rsidRDefault="0065662E">
            <w:pPr>
              <w:pStyle w:val="P68B1DB1-Normal35"/>
              <w:spacing w:after="0"/>
              <w:jc w:val="both"/>
              <w:rPr>
                <w:noProof/>
              </w:rPr>
            </w:pPr>
            <w:r>
              <w:rPr>
                <w:noProof/>
              </w:rPr>
              <w:t xml:space="preserve">10 novoizgrađenih integriranih strukovnih kampusa </w:t>
            </w:r>
          </w:p>
        </w:tc>
      </w:tr>
      <w:tr w:rsidR="003F46B9" w14:paraId="31FFD6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E99586" w14:textId="77777777" w:rsidR="003F46B9" w:rsidRDefault="0065662E">
            <w:pPr>
              <w:pStyle w:val="P68B1DB1-Normal35"/>
              <w:spacing w:after="0"/>
              <w:jc w:val="center"/>
              <w:rPr>
                <w:rFonts w:eastAsia="Times New Roman"/>
                <w:noProof/>
              </w:rPr>
            </w:pPr>
            <w:r>
              <w:rPr>
                <w:noProof/>
              </w:rPr>
              <w:t>475</w:t>
            </w:r>
          </w:p>
        </w:tc>
        <w:tc>
          <w:tcPr>
            <w:tcW w:w="3544" w:type="dxa"/>
            <w:tcBorders>
              <w:top w:val="nil"/>
              <w:left w:val="nil"/>
              <w:bottom w:val="single" w:sz="4" w:space="0" w:color="auto"/>
              <w:right w:val="single" w:sz="4" w:space="0" w:color="auto"/>
            </w:tcBorders>
            <w:shd w:val="clear" w:color="auto" w:fill="C6EFCE"/>
            <w:noWrap/>
          </w:tcPr>
          <w:p w14:paraId="0319E0D8" w14:textId="77777777" w:rsidR="003F46B9" w:rsidRDefault="0065662E">
            <w:pPr>
              <w:pStyle w:val="P68B1DB1-Normal35"/>
              <w:spacing w:after="0"/>
              <w:jc w:val="both"/>
              <w:rPr>
                <w:noProof/>
              </w:rPr>
            </w:pPr>
            <w:r>
              <w:rPr>
                <w:noProof/>
              </w:rPr>
              <w:t>C15.I7</w:t>
            </w:r>
          </w:p>
          <w:p w14:paraId="12D36390" w14:textId="41A53186" w:rsidR="003F46B9" w:rsidRDefault="0065662E">
            <w:pPr>
              <w:pStyle w:val="P68B1DB1-Normal35"/>
              <w:spacing w:after="0"/>
              <w:jc w:val="both"/>
              <w:rPr>
                <w:rFonts w:eastAsia="Times New Roman"/>
                <w:noProof/>
              </w:rPr>
            </w:pPr>
            <w:r>
              <w:rPr>
                <w:noProof/>
              </w:rPr>
              <w:t>Preobrazba poljoprivrednih srednjih škola u centre za profesionalizaciju</w:t>
            </w:r>
          </w:p>
        </w:tc>
        <w:tc>
          <w:tcPr>
            <w:tcW w:w="1275" w:type="dxa"/>
            <w:tcBorders>
              <w:top w:val="nil"/>
              <w:left w:val="nil"/>
              <w:bottom w:val="single" w:sz="4" w:space="0" w:color="auto"/>
              <w:right w:val="single" w:sz="4" w:space="0" w:color="auto"/>
            </w:tcBorders>
            <w:shd w:val="clear" w:color="auto" w:fill="C6EFCE"/>
            <w:noWrap/>
          </w:tcPr>
          <w:p w14:paraId="529F3B6B"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1B759E1" w14:textId="77777777" w:rsidR="003F46B9" w:rsidRDefault="0065662E">
            <w:pPr>
              <w:pStyle w:val="P68B1DB1-Normal35"/>
              <w:spacing w:after="0"/>
              <w:jc w:val="both"/>
              <w:rPr>
                <w:rFonts w:eastAsia="Times New Roman"/>
                <w:noProof/>
              </w:rPr>
            </w:pPr>
            <w:r>
              <w:rPr>
                <w:noProof/>
              </w:rPr>
              <w:t xml:space="preserve">57 </w:t>
            </w:r>
            <w:r>
              <w:rPr>
                <w:noProof/>
              </w:rPr>
              <w:t>poljoprivrednih škola koje primaju potporu u obliku bespovratnih sredstava</w:t>
            </w:r>
          </w:p>
        </w:tc>
      </w:tr>
      <w:tr w:rsidR="003F46B9" w14:paraId="46E08BD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EDC28DB" w14:textId="77777777" w:rsidR="003F46B9" w:rsidRDefault="0065662E">
            <w:pPr>
              <w:pStyle w:val="P68B1DB1-Normal35"/>
              <w:spacing w:after="0"/>
              <w:jc w:val="center"/>
              <w:rPr>
                <w:rFonts w:eastAsia="Times New Roman"/>
                <w:noProof/>
              </w:rPr>
            </w:pPr>
            <w:r>
              <w:rPr>
                <w:noProof/>
              </w:rPr>
              <w:t>476</w:t>
            </w:r>
          </w:p>
        </w:tc>
        <w:tc>
          <w:tcPr>
            <w:tcW w:w="3544" w:type="dxa"/>
            <w:tcBorders>
              <w:top w:val="nil"/>
              <w:left w:val="nil"/>
              <w:bottom w:val="single" w:sz="4" w:space="0" w:color="auto"/>
              <w:right w:val="single" w:sz="4" w:space="0" w:color="auto"/>
            </w:tcBorders>
            <w:shd w:val="clear" w:color="auto" w:fill="C6EFCE"/>
            <w:noWrap/>
          </w:tcPr>
          <w:p w14:paraId="1F182A42" w14:textId="77777777" w:rsidR="003F46B9" w:rsidRDefault="0065662E">
            <w:pPr>
              <w:pStyle w:val="P68B1DB1-Normal35"/>
              <w:spacing w:after="0"/>
              <w:jc w:val="both"/>
              <w:rPr>
                <w:noProof/>
              </w:rPr>
            </w:pPr>
            <w:r>
              <w:rPr>
                <w:noProof/>
              </w:rPr>
              <w:t xml:space="preserve">C15.I7 </w:t>
            </w:r>
          </w:p>
          <w:p w14:paraId="7D19F180" w14:textId="6990805F" w:rsidR="003F46B9" w:rsidRDefault="0065662E">
            <w:pPr>
              <w:pStyle w:val="P68B1DB1-Normal35"/>
              <w:spacing w:after="0"/>
              <w:jc w:val="both"/>
              <w:rPr>
                <w:rFonts w:eastAsia="Times New Roman"/>
                <w:noProof/>
              </w:rPr>
            </w:pPr>
            <w:r>
              <w:rPr>
                <w:noProof/>
              </w:rPr>
              <w:t>Preobrazba poljoprivrednih srednjih škola u centre za profesionalizaciju</w:t>
            </w:r>
          </w:p>
        </w:tc>
        <w:tc>
          <w:tcPr>
            <w:tcW w:w="1275" w:type="dxa"/>
            <w:tcBorders>
              <w:top w:val="nil"/>
              <w:left w:val="nil"/>
              <w:bottom w:val="single" w:sz="4" w:space="0" w:color="auto"/>
              <w:right w:val="single" w:sz="4" w:space="0" w:color="auto"/>
            </w:tcBorders>
            <w:shd w:val="clear" w:color="auto" w:fill="C6EFCE"/>
            <w:noWrap/>
          </w:tcPr>
          <w:p w14:paraId="6752BF4C"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C81B3ED" w14:textId="77777777" w:rsidR="003F46B9" w:rsidRDefault="0065662E">
            <w:pPr>
              <w:pStyle w:val="P68B1DB1-Normal35"/>
              <w:spacing w:after="0"/>
              <w:jc w:val="both"/>
              <w:rPr>
                <w:rFonts w:eastAsia="Times New Roman"/>
                <w:noProof/>
              </w:rPr>
            </w:pPr>
            <w:r>
              <w:rPr>
                <w:noProof/>
              </w:rPr>
              <w:t>Broj učenika upisanih u poljoprivredne srednje škole</w:t>
            </w:r>
          </w:p>
        </w:tc>
      </w:tr>
      <w:tr w:rsidR="003F46B9" w14:paraId="324DF9A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60F9E4" w14:textId="77777777" w:rsidR="003F46B9" w:rsidRDefault="0065662E">
            <w:pPr>
              <w:pStyle w:val="P68B1DB1-Normal35"/>
              <w:spacing w:after="0"/>
              <w:jc w:val="center"/>
              <w:rPr>
                <w:rFonts w:eastAsia="Times New Roman"/>
                <w:noProof/>
              </w:rPr>
            </w:pPr>
            <w:r>
              <w:rPr>
                <w:noProof/>
              </w:rPr>
              <w:t>480</w:t>
            </w:r>
          </w:p>
        </w:tc>
        <w:tc>
          <w:tcPr>
            <w:tcW w:w="3544" w:type="dxa"/>
            <w:tcBorders>
              <w:top w:val="nil"/>
              <w:left w:val="nil"/>
              <w:bottom w:val="single" w:sz="4" w:space="0" w:color="auto"/>
              <w:right w:val="single" w:sz="4" w:space="0" w:color="auto"/>
            </w:tcBorders>
            <w:shd w:val="clear" w:color="auto" w:fill="C6EFCE"/>
            <w:noWrap/>
          </w:tcPr>
          <w:p w14:paraId="365F6A4F" w14:textId="77777777" w:rsidR="003F46B9" w:rsidRDefault="0065662E">
            <w:pPr>
              <w:pStyle w:val="P68B1DB1-Normal35"/>
              <w:spacing w:after="0"/>
              <w:jc w:val="both"/>
              <w:rPr>
                <w:noProof/>
              </w:rPr>
            </w:pPr>
            <w:r>
              <w:rPr>
                <w:noProof/>
              </w:rPr>
              <w:t>C15.I8</w:t>
            </w:r>
          </w:p>
          <w:p w14:paraId="057E214F" w14:textId="77777777" w:rsidR="003F46B9" w:rsidRDefault="0065662E">
            <w:pPr>
              <w:pStyle w:val="P68B1DB1-Normal35"/>
              <w:spacing w:after="0"/>
              <w:jc w:val="both"/>
              <w:rPr>
                <w:rFonts w:eastAsia="Times New Roman"/>
                <w:noProof/>
              </w:rPr>
            </w:pPr>
            <w:r>
              <w:rPr>
                <w:noProof/>
              </w:rPr>
              <w:t xml:space="preserve">Program osposobljavanja </w:t>
            </w:r>
            <w:r>
              <w:rPr>
                <w:noProof/>
              </w:rPr>
              <w:t>nastavnog osoblja na radnom mjestu</w:t>
            </w:r>
          </w:p>
        </w:tc>
        <w:tc>
          <w:tcPr>
            <w:tcW w:w="1275" w:type="dxa"/>
            <w:tcBorders>
              <w:top w:val="nil"/>
              <w:left w:val="nil"/>
              <w:bottom w:val="single" w:sz="4" w:space="0" w:color="auto"/>
              <w:right w:val="single" w:sz="4" w:space="0" w:color="auto"/>
            </w:tcBorders>
            <w:shd w:val="clear" w:color="auto" w:fill="C6EFCE"/>
            <w:noWrap/>
          </w:tcPr>
          <w:p w14:paraId="52D0878C"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4ECFA60" w14:textId="77777777" w:rsidR="003F46B9" w:rsidRDefault="0065662E">
            <w:pPr>
              <w:pStyle w:val="P68B1DB1-Normal35"/>
              <w:spacing w:after="0"/>
              <w:jc w:val="both"/>
              <w:rPr>
                <w:rFonts w:eastAsia="Times New Roman"/>
                <w:noProof/>
              </w:rPr>
            </w:pPr>
            <w:r>
              <w:rPr>
                <w:noProof/>
              </w:rPr>
              <w:t>Nastavnici osposobljeni za poučavanje putem interneta poboljšanjem posebnih digitalnih pedagoških vještina</w:t>
            </w:r>
          </w:p>
        </w:tc>
      </w:tr>
      <w:tr w:rsidR="003F46B9" w14:paraId="5A795C3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6F987D" w14:textId="77777777" w:rsidR="003F46B9" w:rsidRDefault="0065662E">
            <w:pPr>
              <w:pStyle w:val="P68B1DB1-Normal35"/>
              <w:spacing w:after="0"/>
              <w:jc w:val="center"/>
              <w:rPr>
                <w:rFonts w:eastAsia="Times New Roman"/>
                <w:noProof/>
              </w:rPr>
            </w:pPr>
            <w:r>
              <w:rPr>
                <w:noProof/>
              </w:rPr>
              <w:t>481</w:t>
            </w:r>
          </w:p>
        </w:tc>
        <w:tc>
          <w:tcPr>
            <w:tcW w:w="3544" w:type="dxa"/>
            <w:tcBorders>
              <w:top w:val="nil"/>
              <w:left w:val="nil"/>
              <w:bottom w:val="single" w:sz="4" w:space="0" w:color="auto"/>
              <w:right w:val="single" w:sz="4" w:space="0" w:color="auto"/>
            </w:tcBorders>
            <w:shd w:val="clear" w:color="auto" w:fill="C6EFCE"/>
            <w:noWrap/>
          </w:tcPr>
          <w:p w14:paraId="7839FA47" w14:textId="77777777" w:rsidR="003F46B9" w:rsidRDefault="0065662E">
            <w:pPr>
              <w:pStyle w:val="P68B1DB1-Normal35"/>
              <w:spacing w:after="0"/>
              <w:jc w:val="both"/>
              <w:rPr>
                <w:noProof/>
              </w:rPr>
            </w:pPr>
            <w:r>
              <w:rPr>
                <w:noProof/>
              </w:rPr>
              <w:t>C15.I8</w:t>
            </w:r>
          </w:p>
          <w:p w14:paraId="63437432" w14:textId="77777777" w:rsidR="003F46B9" w:rsidRDefault="0065662E">
            <w:pPr>
              <w:pStyle w:val="P68B1DB1-Normal35"/>
              <w:spacing w:after="0"/>
              <w:jc w:val="both"/>
              <w:rPr>
                <w:rFonts w:eastAsia="Times New Roman"/>
                <w:noProof/>
              </w:rPr>
            </w:pPr>
            <w:r>
              <w:rPr>
                <w:noProof/>
              </w:rPr>
              <w:t>Program osposobljavanja nastavnog osoblja na radnom mjestu</w:t>
            </w:r>
          </w:p>
        </w:tc>
        <w:tc>
          <w:tcPr>
            <w:tcW w:w="1275" w:type="dxa"/>
            <w:tcBorders>
              <w:top w:val="nil"/>
              <w:left w:val="nil"/>
              <w:bottom w:val="single" w:sz="4" w:space="0" w:color="auto"/>
              <w:right w:val="single" w:sz="4" w:space="0" w:color="auto"/>
            </w:tcBorders>
            <w:shd w:val="clear" w:color="auto" w:fill="C6EFCE"/>
            <w:noWrap/>
          </w:tcPr>
          <w:p w14:paraId="2DCD8C7D"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1936795" w14:textId="77777777" w:rsidR="003F46B9" w:rsidRDefault="0065662E">
            <w:pPr>
              <w:pStyle w:val="P68B1DB1-Normal35"/>
              <w:spacing w:after="0"/>
              <w:jc w:val="both"/>
              <w:rPr>
                <w:noProof/>
              </w:rPr>
            </w:pPr>
            <w:r>
              <w:rPr>
                <w:noProof/>
              </w:rPr>
              <w:t>Nastavnici objavljuju otvorene obrazovn</w:t>
            </w:r>
            <w:r>
              <w:rPr>
                <w:noProof/>
              </w:rPr>
              <w:t>e materijale na platformi za razmjenu praksi</w:t>
            </w:r>
          </w:p>
          <w:p w14:paraId="4EF9A69B" w14:textId="77777777" w:rsidR="003F46B9" w:rsidRDefault="003F46B9">
            <w:pPr>
              <w:spacing w:after="0"/>
              <w:jc w:val="both"/>
              <w:rPr>
                <w:rFonts w:ascii="Times New Roman" w:eastAsia="Times New Roman" w:hAnsi="Times New Roman" w:cs="Times New Roman"/>
                <w:noProof/>
              </w:rPr>
            </w:pPr>
          </w:p>
        </w:tc>
      </w:tr>
      <w:tr w:rsidR="003F46B9" w14:paraId="24A4C8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D407B1" w14:textId="77777777" w:rsidR="003F46B9" w:rsidRDefault="0065662E">
            <w:pPr>
              <w:pStyle w:val="P68B1DB1-Normal35"/>
              <w:spacing w:after="0"/>
              <w:jc w:val="center"/>
              <w:rPr>
                <w:rFonts w:eastAsia="Times New Roman"/>
                <w:noProof/>
              </w:rPr>
            </w:pPr>
            <w:r>
              <w:rPr>
                <w:noProof/>
              </w:rPr>
              <w:t>61</w:t>
            </w:r>
          </w:p>
        </w:tc>
        <w:tc>
          <w:tcPr>
            <w:tcW w:w="3544" w:type="dxa"/>
            <w:tcBorders>
              <w:top w:val="nil"/>
              <w:left w:val="nil"/>
              <w:bottom w:val="single" w:sz="4" w:space="0" w:color="auto"/>
              <w:right w:val="single" w:sz="4" w:space="0" w:color="auto"/>
            </w:tcBorders>
            <w:shd w:val="clear" w:color="auto" w:fill="C6EFCE"/>
            <w:noWrap/>
          </w:tcPr>
          <w:p w14:paraId="6D37FD58" w14:textId="77777777" w:rsidR="003F46B9" w:rsidRDefault="0065662E">
            <w:pPr>
              <w:pStyle w:val="P68B1DB1-Normal35"/>
              <w:spacing w:after="0"/>
              <w:jc w:val="both"/>
              <w:rPr>
                <w:rFonts w:eastAsia="Times New Roman"/>
                <w:noProof/>
              </w:rPr>
            </w:pPr>
            <w:r>
              <w:rPr>
                <w:noProof/>
              </w:rPr>
              <w:t>C4.R1</w:t>
            </w:r>
            <w:r>
              <w:rPr>
                <w:noProof/>
              </w:rPr>
              <w:br/>
              <w:t xml:space="preserve">Održivi promet, dekarbonizacija i sigurnost na cestama/ </w:t>
            </w:r>
            <w:r>
              <w:rPr>
                <w:noProof/>
              </w:rPr>
              <w:br/>
              <w:t xml:space="preserve">Dekarbonizacija cesta u skladu s načelom „onečišćivač plaća” </w:t>
            </w:r>
          </w:p>
        </w:tc>
        <w:tc>
          <w:tcPr>
            <w:tcW w:w="1275" w:type="dxa"/>
            <w:tcBorders>
              <w:top w:val="nil"/>
              <w:left w:val="nil"/>
              <w:bottom w:val="single" w:sz="4" w:space="0" w:color="auto"/>
              <w:right w:val="single" w:sz="4" w:space="0" w:color="auto"/>
            </w:tcBorders>
            <w:shd w:val="clear" w:color="auto" w:fill="C6EFCE"/>
            <w:noWrap/>
          </w:tcPr>
          <w:p w14:paraId="17FF167A"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00E0363" w14:textId="77777777" w:rsidR="003F46B9" w:rsidRDefault="0065662E">
            <w:pPr>
              <w:pStyle w:val="P68B1DB1-Normal35"/>
              <w:spacing w:after="0"/>
              <w:jc w:val="both"/>
              <w:rPr>
                <w:rFonts w:eastAsia="Times New Roman"/>
                <w:noProof/>
              </w:rPr>
            </w:pPr>
            <w:r>
              <w:rPr>
                <w:noProof/>
              </w:rPr>
              <w:t xml:space="preserve">Nova čista vozila koja nabavljaju javna tijela, najmanje 3 % iznad pragova iz </w:t>
            </w:r>
            <w:r>
              <w:rPr>
                <w:noProof/>
              </w:rPr>
              <w:t>Direktive o čistim vozilima</w:t>
            </w:r>
          </w:p>
        </w:tc>
      </w:tr>
      <w:tr w:rsidR="003F46B9" w14:paraId="19824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23C0D" w14:textId="77777777" w:rsidR="003F46B9" w:rsidRDefault="0065662E">
            <w:pPr>
              <w:pStyle w:val="P68B1DB1-Normal35"/>
              <w:spacing w:after="0"/>
              <w:jc w:val="center"/>
              <w:rPr>
                <w:rFonts w:eastAsia="Times New Roman"/>
                <w:noProof/>
              </w:rPr>
            </w:pPr>
            <w:r>
              <w:rPr>
                <w:noProof/>
              </w:rPr>
              <w:t>70</w:t>
            </w:r>
          </w:p>
        </w:tc>
        <w:tc>
          <w:tcPr>
            <w:tcW w:w="3544" w:type="dxa"/>
            <w:tcBorders>
              <w:top w:val="nil"/>
              <w:left w:val="nil"/>
              <w:bottom w:val="single" w:sz="4" w:space="0" w:color="auto"/>
              <w:right w:val="single" w:sz="4" w:space="0" w:color="auto"/>
            </w:tcBorders>
            <w:shd w:val="clear" w:color="auto" w:fill="C6EFCE"/>
            <w:noWrap/>
          </w:tcPr>
          <w:p w14:paraId="4AE6968A" w14:textId="77777777" w:rsidR="003F46B9" w:rsidRDefault="0065662E">
            <w:pPr>
              <w:pStyle w:val="P68B1DB1-Normal35"/>
              <w:spacing w:after="0"/>
              <w:jc w:val="both"/>
              <w:rPr>
                <w:rFonts w:eastAsia="Times New Roman"/>
                <w:noProof/>
              </w:rPr>
            </w:pPr>
            <w:r>
              <w:rPr>
                <w:noProof/>
              </w:rPr>
              <w:t xml:space="preserve">C4.R1 </w:t>
            </w:r>
            <w:r>
              <w:rPr>
                <w:noProof/>
              </w:rPr>
              <w:br/>
              <w:t xml:space="preserve">Održivi promet, dekarbonizacija i sigurnost na cestama/ </w:t>
            </w:r>
            <w:r>
              <w:rPr>
                <w:noProof/>
              </w:rPr>
              <w:br/>
              <w:t>Razvoj željezničke infrastrukture i upravljanje željezničkim prometom</w:t>
            </w:r>
          </w:p>
        </w:tc>
        <w:tc>
          <w:tcPr>
            <w:tcW w:w="1275" w:type="dxa"/>
            <w:tcBorders>
              <w:top w:val="nil"/>
              <w:left w:val="nil"/>
              <w:bottom w:val="single" w:sz="4" w:space="0" w:color="auto"/>
              <w:right w:val="single" w:sz="4" w:space="0" w:color="auto"/>
            </w:tcBorders>
            <w:shd w:val="clear" w:color="auto" w:fill="C6EFCE"/>
            <w:noWrap/>
          </w:tcPr>
          <w:p w14:paraId="0B2A017B"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877AE3" w14:textId="77777777" w:rsidR="003F46B9" w:rsidRDefault="0065662E">
            <w:pPr>
              <w:pStyle w:val="P68B1DB1-Normal35"/>
              <w:spacing w:after="0"/>
              <w:jc w:val="both"/>
              <w:rPr>
                <w:rFonts w:eastAsia="Times New Roman"/>
                <w:noProof/>
              </w:rPr>
            </w:pPr>
            <w:r>
              <w:rPr>
                <w:noProof/>
              </w:rPr>
              <w:t>Objava i provedba nacionalnog akcijskog plana Europskog sustava upravljanja željezničkim</w:t>
            </w:r>
            <w:r>
              <w:rPr>
                <w:noProof/>
              </w:rPr>
              <w:t xml:space="preserve"> prometom (ERTMS)</w:t>
            </w:r>
          </w:p>
        </w:tc>
      </w:tr>
      <w:tr w:rsidR="003F46B9" w14:paraId="6D4DC2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02154C" w14:textId="77777777" w:rsidR="003F46B9" w:rsidRDefault="0065662E">
            <w:pPr>
              <w:pStyle w:val="P68B1DB1-Normal35"/>
              <w:spacing w:after="0"/>
              <w:jc w:val="center"/>
              <w:rPr>
                <w:rFonts w:eastAsia="Times New Roman"/>
                <w:noProof/>
              </w:rPr>
            </w:pPr>
            <w:r>
              <w:rPr>
                <w:noProof/>
              </w:rPr>
              <w:t>119</w:t>
            </w:r>
          </w:p>
        </w:tc>
        <w:tc>
          <w:tcPr>
            <w:tcW w:w="3544" w:type="dxa"/>
            <w:tcBorders>
              <w:top w:val="nil"/>
              <w:left w:val="nil"/>
              <w:bottom w:val="single" w:sz="4" w:space="0" w:color="auto"/>
              <w:right w:val="single" w:sz="4" w:space="0" w:color="auto"/>
            </w:tcBorders>
            <w:shd w:val="clear" w:color="auto" w:fill="C6EFCE"/>
            <w:noWrap/>
          </w:tcPr>
          <w:p w14:paraId="2BF7E3D8" w14:textId="77777777" w:rsidR="003F46B9" w:rsidRDefault="0065662E">
            <w:pPr>
              <w:pStyle w:val="P68B1DB1-Normal35"/>
              <w:spacing w:after="0"/>
              <w:jc w:val="both"/>
              <w:rPr>
                <w:noProof/>
              </w:rPr>
            </w:pPr>
            <w:r>
              <w:rPr>
                <w:noProof/>
              </w:rPr>
              <w:t>C6.R1</w:t>
            </w:r>
          </w:p>
          <w:p w14:paraId="5FECAA23" w14:textId="77777777" w:rsidR="003F46B9" w:rsidRDefault="0065662E">
            <w:pPr>
              <w:pStyle w:val="P68B1DB1-Normal35"/>
              <w:spacing w:after="0"/>
              <w:jc w:val="both"/>
              <w:rPr>
                <w:rFonts w:eastAsia="Times New Roman"/>
                <w:noProof/>
              </w:rPr>
            </w:pPr>
            <w:r>
              <w:rPr>
                <w:noProof/>
              </w:rPr>
              <w:t>Reforma tržišta električne energije, zamjena ugljena u kombinaciji izvora energije i potpora zakonodavnom i regulatornom okviru za privatna ulaganja u proizvodnju električne energije iz obnovljivih izvora</w:t>
            </w:r>
          </w:p>
        </w:tc>
        <w:tc>
          <w:tcPr>
            <w:tcW w:w="1275" w:type="dxa"/>
            <w:tcBorders>
              <w:top w:val="nil"/>
              <w:left w:val="nil"/>
              <w:bottom w:val="single" w:sz="4" w:space="0" w:color="auto"/>
              <w:right w:val="single" w:sz="4" w:space="0" w:color="auto"/>
            </w:tcBorders>
            <w:shd w:val="clear" w:color="auto" w:fill="C6EFCE"/>
            <w:noWrap/>
          </w:tcPr>
          <w:p w14:paraId="1547E44C"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0DFA73" w14:textId="77777777" w:rsidR="003F46B9" w:rsidRDefault="0065662E">
            <w:pPr>
              <w:pStyle w:val="P68B1DB1-Normal35"/>
              <w:spacing w:after="0"/>
              <w:jc w:val="both"/>
              <w:rPr>
                <w:rFonts w:eastAsia="Times New Roman"/>
                <w:noProof/>
              </w:rPr>
            </w:pPr>
            <w:r>
              <w:rPr>
                <w:noProof/>
              </w:rPr>
              <w:t xml:space="preserve">Stavljanje izvan pogona kapaciteta za proizvodnju električne energije na lignit </w:t>
            </w:r>
          </w:p>
        </w:tc>
      </w:tr>
      <w:tr w:rsidR="003F46B9" w14:paraId="600D3B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1E2ABC" w14:textId="77777777" w:rsidR="003F46B9" w:rsidRDefault="0065662E">
            <w:pPr>
              <w:pStyle w:val="P68B1DB1-Normal35"/>
              <w:spacing w:after="0"/>
              <w:jc w:val="center"/>
              <w:rPr>
                <w:rFonts w:eastAsia="Times New Roman"/>
                <w:noProof/>
              </w:rPr>
            </w:pPr>
            <w:r>
              <w:rPr>
                <w:noProof/>
              </w:rPr>
              <w:t>155</w:t>
            </w:r>
          </w:p>
        </w:tc>
        <w:tc>
          <w:tcPr>
            <w:tcW w:w="3544" w:type="dxa"/>
            <w:tcBorders>
              <w:top w:val="nil"/>
              <w:left w:val="nil"/>
              <w:bottom w:val="single" w:sz="4" w:space="0" w:color="auto"/>
              <w:right w:val="single" w:sz="4" w:space="0" w:color="auto"/>
            </w:tcBorders>
            <w:shd w:val="clear" w:color="auto" w:fill="C6EFCE"/>
            <w:noWrap/>
          </w:tcPr>
          <w:p w14:paraId="2F5A53AD" w14:textId="77777777" w:rsidR="003F46B9" w:rsidRDefault="0065662E">
            <w:pPr>
              <w:pStyle w:val="P68B1DB1-Normal35"/>
              <w:spacing w:after="0"/>
              <w:jc w:val="both"/>
              <w:rPr>
                <w:rFonts w:eastAsia="Times New Roman"/>
                <w:noProof/>
              </w:rPr>
            </w:pPr>
            <w:r>
              <w:rPr>
                <w:noProof/>
              </w:rPr>
              <w:t>C7.I1</w:t>
            </w:r>
            <w:r>
              <w:rPr>
                <w:noProof/>
              </w:rPr>
              <w:br/>
              <w:t xml:space="preserve">Uvođenje državne infrastrukture oblaka </w:t>
            </w:r>
          </w:p>
        </w:tc>
        <w:tc>
          <w:tcPr>
            <w:tcW w:w="1275" w:type="dxa"/>
            <w:tcBorders>
              <w:top w:val="nil"/>
              <w:left w:val="nil"/>
              <w:bottom w:val="single" w:sz="4" w:space="0" w:color="auto"/>
              <w:right w:val="single" w:sz="4" w:space="0" w:color="auto"/>
            </w:tcBorders>
            <w:shd w:val="clear" w:color="auto" w:fill="C6EFCE"/>
            <w:noWrap/>
          </w:tcPr>
          <w:p w14:paraId="3748E479"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71BA85" w14:textId="77777777" w:rsidR="003F46B9" w:rsidRDefault="0065662E">
            <w:pPr>
              <w:pStyle w:val="P68B1DB1-Normal35"/>
              <w:spacing w:after="0"/>
              <w:jc w:val="both"/>
              <w:rPr>
                <w:rFonts w:eastAsia="Times New Roman"/>
                <w:noProof/>
              </w:rPr>
            </w:pPr>
            <w:r>
              <w:rPr>
                <w:noProof/>
              </w:rPr>
              <w:t>Podatkovni centri razine III. i IV. razine po dizajnu, infrastrukturi i tehnologijama za usluge računalstva u oblaku</w:t>
            </w:r>
          </w:p>
        </w:tc>
      </w:tr>
      <w:tr w:rsidR="003F46B9" w14:paraId="5D7757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B0D719" w14:textId="77777777" w:rsidR="003F46B9" w:rsidRDefault="0065662E">
            <w:pPr>
              <w:pStyle w:val="P68B1DB1-Normal35"/>
              <w:spacing w:after="0"/>
              <w:jc w:val="center"/>
              <w:rPr>
                <w:noProof/>
              </w:rPr>
            </w:pPr>
            <w:r>
              <w:rPr>
                <w:noProof/>
              </w:rPr>
              <w:t>164</w:t>
            </w:r>
          </w:p>
        </w:tc>
        <w:tc>
          <w:tcPr>
            <w:tcW w:w="3544" w:type="dxa"/>
            <w:tcBorders>
              <w:top w:val="nil"/>
              <w:left w:val="nil"/>
              <w:bottom w:val="single" w:sz="4" w:space="0" w:color="auto"/>
              <w:right w:val="single" w:sz="4" w:space="0" w:color="auto"/>
            </w:tcBorders>
            <w:shd w:val="clear" w:color="auto" w:fill="C6EFCE"/>
            <w:noWrap/>
          </w:tcPr>
          <w:p w14:paraId="7938C800" w14:textId="77777777" w:rsidR="003F46B9" w:rsidRDefault="0065662E">
            <w:pPr>
              <w:pStyle w:val="P68B1DB1-Normal35"/>
              <w:spacing w:after="0"/>
              <w:jc w:val="both"/>
              <w:rPr>
                <w:noProof/>
              </w:rPr>
            </w:pPr>
            <w:r>
              <w:rPr>
                <w:noProof/>
              </w:rPr>
              <w:t xml:space="preserve">C7.I4 </w:t>
            </w:r>
          </w:p>
          <w:p w14:paraId="125D93D3" w14:textId="0F0F13FC" w:rsidR="003F46B9" w:rsidRDefault="0065662E">
            <w:pPr>
              <w:pStyle w:val="P68B1DB1-Normal35"/>
              <w:spacing w:after="0"/>
              <w:jc w:val="both"/>
              <w:rPr>
                <w:noProof/>
              </w:rPr>
            </w:pPr>
            <w:r>
              <w:rPr>
                <w:noProof/>
              </w:rPr>
              <w:t xml:space="preserve">Digitalizacija pravosuđa </w:t>
            </w:r>
          </w:p>
        </w:tc>
        <w:tc>
          <w:tcPr>
            <w:tcW w:w="1275" w:type="dxa"/>
            <w:tcBorders>
              <w:top w:val="nil"/>
              <w:left w:val="nil"/>
              <w:bottom w:val="single" w:sz="4" w:space="0" w:color="auto"/>
              <w:right w:val="single" w:sz="4" w:space="0" w:color="auto"/>
            </w:tcBorders>
            <w:shd w:val="clear" w:color="auto" w:fill="C6EFCE"/>
            <w:noWrap/>
          </w:tcPr>
          <w:p w14:paraId="2AFCC7D1"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E8A5F50" w14:textId="77777777" w:rsidR="003F46B9" w:rsidRDefault="0065662E">
            <w:pPr>
              <w:pStyle w:val="P68B1DB1-Normal35"/>
              <w:spacing w:after="0"/>
              <w:jc w:val="both"/>
              <w:rPr>
                <w:noProof/>
              </w:rPr>
            </w:pPr>
            <w:r>
              <w:rPr>
                <w:noProof/>
              </w:rPr>
              <w:t>Završena operacionalizacija sustava ECRIS V (elektronički zapis predmeta i informacijski sustav)</w:t>
            </w:r>
          </w:p>
        </w:tc>
      </w:tr>
      <w:tr w:rsidR="003F46B9" w14:paraId="35C7FA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5F08FD" w14:textId="77777777" w:rsidR="003F46B9" w:rsidRDefault="0065662E">
            <w:pPr>
              <w:pStyle w:val="P68B1DB1-Normal35"/>
              <w:spacing w:after="0"/>
              <w:jc w:val="center"/>
              <w:rPr>
                <w:noProof/>
              </w:rPr>
            </w:pPr>
            <w:r>
              <w:rPr>
                <w:noProof/>
              </w:rPr>
              <w:t>170</w:t>
            </w:r>
          </w:p>
        </w:tc>
        <w:tc>
          <w:tcPr>
            <w:tcW w:w="3544" w:type="dxa"/>
            <w:tcBorders>
              <w:top w:val="nil"/>
              <w:left w:val="nil"/>
              <w:bottom w:val="single" w:sz="4" w:space="0" w:color="auto"/>
              <w:right w:val="single" w:sz="4" w:space="0" w:color="auto"/>
            </w:tcBorders>
            <w:shd w:val="clear" w:color="auto" w:fill="C6EFCE"/>
            <w:noWrap/>
          </w:tcPr>
          <w:p w14:paraId="46E89DF6" w14:textId="77777777" w:rsidR="003F46B9" w:rsidRDefault="0065662E">
            <w:pPr>
              <w:pStyle w:val="P68B1DB1-Normal35"/>
              <w:spacing w:after="0"/>
              <w:jc w:val="both"/>
              <w:rPr>
                <w:noProof/>
              </w:rPr>
            </w:pPr>
            <w:r>
              <w:rPr>
                <w:noProof/>
              </w:rPr>
              <w:t>C7.I6</w:t>
            </w:r>
          </w:p>
          <w:p w14:paraId="6500CE37" w14:textId="77777777" w:rsidR="003F46B9" w:rsidRDefault="0065662E">
            <w:pPr>
              <w:pStyle w:val="P68B1DB1-Normal35"/>
              <w:spacing w:after="0"/>
              <w:jc w:val="both"/>
              <w:rPr>
                <w:noProof/>
              </w:rPr>
            </w:pPr>
            <w:r>
              <w:rPr>
                <w:noProof/>
              </w:rPr>
              <w:t xml:space="preserve">Digitalizacija u području zapošljavanja i socijalne zaštite </w:t>
            </w:r>
          </w:p>
        </w:tc>
        <w:tc>
          <w:tcPr>
            <w:tcW w:w="1275" w:type="dxa"/>
            <w:tcBorders>
              <w:top w:val="nil"/>
              <w:left w:val="nil"/>
              <w:bottom w:val="single" w:sz="4" w:space="0" w:color="auto"/>
              <w:right w:val="single" w:sz="4" w:space="0" w:color="auto"/>
            </w:tcBorders>
            <w:shd w:val="clear" w:color="auto" w:fill="C6EFCE"/>
            <w:noWrap/>
          </w:tcPr>
          <w:p w14:paraId="6AF40ABD"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F4CF10B" w14:textId="77777777" w:rsidR="003F46B9" w:rsidRDefault="0065662E">
            <w:pPr>
              <w:pStyle w:val="P68B1DB1-Normal35"/>
              <w:spacing w:after="0"/>
              <w:jc w:val="both"/>
              <w:rPr>
                <w:noProof/>
              </w:rPr>
            </w:pPr>
            <w:r>
              <w:rPr>
                <w:noProof/>
              </w:rPr>
              <w:t>Provedba digitalnih usluga u području zapošljavanj</w:t>
            </w:r>
            <w:r>
              <w:rPr>
                <w:noProof/>
              </w:rPr>
              <w:t xml:space="preserve">a i socijalne zaštite </w:t>
            </w:r>
          </w:p>
        </w:tc>
      </w:tr>
      <w:tr w:rsidR="003F46B9" w14:paraId="5A3103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3DEF8" w14:textId="77777777" w:rsidR="003F46B9" w:rsidRDefault="0065662E">
            <w:pPr>
              <w:pStyle w:val="P68B1DB1-Normal35"/>
              <w:spacing w:after="0"/>
              <w:jc w:val="center"/>
              <w:rPr>
                <w:noProof/>
              </w:rPr>
            </w:pPr>
            <w:r>
              <w:rPr>
                <w:noProof/>
              </w:rPr>
              <w:t>177</w:t>
            </w:r>
          </w:p>
        </w:tc>
        <w:tc>
          <w:tcPr>
            <w:tcW w:w="3544" w:type="dxa"/>
            <w:tcBorders>
              <w:top w:val="nil"/>
              <w:left w:val="nil"/>
              <w:bottom w:val="single" w:sz="4" w:space="0" w:color="auto"/>
              <w:right w:val="single" w:sz="4" w:space="0" w:color="auto"/>
            </w:tcBorders>
            <w:shd w:val="clear" w:color="auto" w:fill="C6EFCE"/>
            <w:noWrap/>
          </w:tcPr>
          <w:p w14:paraId="67EDB193" w14:textId="77777777" w:rsidR="003F46B9" w:rsidRDefault="0065662E">
            <w:pPr>
              <w:pStyle w:val="P68B1DB1-Normal35"/>
              <w:spacing w:after="0"/>
              <w:jc w:val="both"/>
              <w:rPr>
                <w:noProof/>
              </w:rPr>
            </w:pPr>
            <w:r>
              <w:rPr>
                <w:noProof/>
              </w:rPr>
              <w:t>C7.I10</w:t>
            </w:r>
          </w:p>
          <w:p w14:paraId="24C23A4F" w14:textId="1BCA13C4" w:rsidR="003F46B9" w:rsidRDefault="0065662E">
            <w:pPr>
              <w:pStyle w:val="P68B1DB1-Normal35"/>
              <w:spacing w:after="0"/>
              <w:jc w:val="both"/>
              <w:rPr>
                <w:noProof/>
              </w:rPr>
            </w:pPr>
            <w:r>
              <w:rPr>
                <w:noProof/>
              </w:rPr>
              <w:t xml:space="preserve">Digitalna transformacija u upravljanju javnim službama </w:t>
            </w:r>
          </w:p>
        </w:tc>
        <w:tc>
          <w:tcPr>
            <w:tcW w:w="1275" w:type="dxa"/>
            <w:tcBorders>
              <w:top w:val="nil"/>
              <w:left w:val="nil"/>
              <w:bottom w:val="single" w:sz="4" w:space="0" w:color="auto"/>
              <w:right w:val="single" w:sz="4" w:space="0" w:color="auto"/>
            </w:tcBorders>
            <w:shd w:val="clear" w:color="auto" w:fill="C6EFCE"/>
            <w:noWrap/>
          </w:tcPr>
          <w:p w14:paraId="4A439D6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F939F4" w14:textId="77777777" w:rsidR="003F46B9" w:rsidRDefault="0065662E">
            <w:pPr>
              <w:pStyle w:val="P68B1DB1-Normal35"/>
              <w:spacing w:after="0"/>
              <w:jc w:val="both"/>
              <w:rPr>
                <w:noProof/>
              </w:rPr>
            </w:pPr>
            <w:r>
              <w:rPr>
                <w:noProof/>
              </w:rPr>
              <w:t>Uspostavljaju se i operacionaliziraju interaktivne i suradničke platforme za standardizirano upravljanje ljudskim resursima u središnjoj javnoj upravi</w:t>
            </w:r>
          </w:p>
        </w:tc>
      </w:tr>
      <w:tr w:rsidR="003F46B9" w14:paraId="4B28AE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5E73BA" w14:textId="77777777" w:rsidR="003F46B9" w:rsidRDefault="0065662E">
            <w:pPr>
              <w:pStyle w:val="P68B1DB1-Normal35"/>
              <w:spacing w:after="0"/>
              <w:jc w:val="center"/>
              <w:rPr>
                <w:noProof/>
              </w:rPr>
            </w:pPr>
            <w:r>
              <w:rPr>
                <w:noProof/>
              </w:rPr>
              <w:t>178</w:t>
            </w:r>
          </w:p>
        </w:tc>
        <w:tc>
          <w:tcPr>
            <w:tcW w:w="3544" w:type="dxa"/>
            <w:tcBorders>
              <w:top w:val="nil"/>
              <w:left w:val="nil"/>
              <w:bottom w:val="single" w:sz="4" w:space="0" w:color="auto"/>
              <w:right w:val="single" w:sz="4" w:space="0" w:color="auto"/>
            </w:tcBorders>
            <w:shd w:val="clear" w:color="auto" w:fill="C6EFCE"/>
            <w:noWrap/>
          </w:tcPr>
          <w:p w14:paraId="338A6057" w14:textId="77777777" w:rsidR="003F46B9" w:rsidRDefault="0065662E">
            <w:pPr>
              <w:pStyle w:val="P68B1DB1-Normal35"/>
              <w:spacing w:after="0"/>
              <w:jc w:val="both"/>
              <w:rPr>
                <w:noProof/>
              </w:rPr>
            </w:pPr>
            <w:r>
              <w:rPr>
                <w:noProof/>
              </w:rPr>
              <w:t>C7.I11</w:t>
            </w:r>
            <w:r>
              <w:rPr>
                <w:noProof/>
              </w:rPr>
              <w:br/>
            </w:r>
            <w:r>
              <w:rPr>
                <w:noProof/>
              </w:rPr>
              <w:t xml:space="preserve">Provedba programa za potporu upotrebi komunikacijskih usluga s pomoću različitih vrsta instrumenata za korisnike, s naglaskom na bijelim područjima </w:t>
            </w:r>
          </w:p>
        </w:tc>
        <w:tc>
          <w:tcPr>
            <w:tcW w:w="1275" w:type="dxa"/>
            <w:tcBorders>
              <w:top w:val="nil"/>
              <w:left w:val="nil"/>
              <w:bottom w:val="single" w:sz="4" w:space="0" w:color="auto"/>
              <w:right w:val="single" w:sz="4" w:space="0" w:color="auto"/>
            </w:tcBorders>
            <w:shd w:val="clear" w:color="auto" w:fill="C6EFCE"/>
            <w:noWrap/>
          </w:tcPr>
          <w:p w14:paraId="5E9EC52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BFEDB1D" w14:textId="77777777" w:rsidR="003F46B9" w:rsidRDefault="0065662E">
            <w:pPr>
              <w:pStyle w:val="P68B1DB1-Normal35"/>
              <w:spacing w:after="0"/>
              <w:jc w:val="both"/>
              <w:rPr>
                <w:noProof/>
              </w:rPr>
            </w:pPr>
            <w:r>
              <w:rPr>
                <w:noProof/>
              </w:rPr>
              <w:t xml:space="preserve">Sela u bijelim područjima povezanima s vrlo brzim internetom </w:t>
            </w:r>
          </w:p>
        </w:tc>
      </w:tr>
      <w:tr w:rsidR="003F46B9" w14:paraId="4916810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C9517D" w14:textId="77777777" w:rsidR="003F46B9" w:rsidRDefault="0065662E">
            <w:pPr>
              <w:pStyle w:val="P68B1DB1-Normal35"/>
              <w:spacing w:after="0"/>
              <w:jc w:val="center"/>
              <w:rPr>
                <w:noProof/>
              </w:rPr>
            </w:pPr>
            <w:r>
              <w:rPr>
                <w:noProof/>
              </w:rPr>
              <w:t>180</w:t>
            </w:r>
          </w:p>
        </w:tc>
        <w:tc>
          <w:tcPr>
            <w:tcW w:w="3544" w:type="dxa"/>
            <w:tcBorders>
              <w:top w:val="nil"/>
              <w:left w:val="nil"/>
              <w:bottom w:val="single" w:sz="4" w:space="0" w:color="auto"/>
              <w:right w:val="single" w:sz="4" w:space="0" w:color="auto"/>
            </w:tcBorders>
            <w:shd w:val="clear" w:color="auto" w:fill="C6EFCE"/>
            <w:noWrap/>
          </w:tcPr>
          <w:p w14:paraId="30481642" w14:textId="77777777" w:rsidR="003F46B9" w:rsidRDefault="0065662E">
            <w:pPr>
              <w:pStyle w:val="P68B1DB1-Normal35"/>
              <w:spacing w:after="0"/>
              <w:jc w:val="both"/>
              <w:rPr>
                <w:noProof/>
              </w:rPr>
            </w:pPr>
            <w:r>
              <w:rPr>
                <w:noProof/>
              </w:rPr>
              <w:t>C7.I12</w:t>
            </w:r>
          </w:p>
          <w:p w14:paraId="588AA08A" w14:textId="77777777" w:rsidR="003F46B9" w:rsidRDefault="0065662E">
            <w:pPr>
              <w:pStyle w:val="P68B1DB1-Normal35"/>
              <w:spacing w:after="0"/>
              <w:jc w:val="both"/>
              <w:rPr>
                <w:noProof/>
              </w:rPr>
            </w:pPr>
            <w:r>
              <w:rPr>
                <w:noProof/>
              </w:rPr>
              <w:t>Osiguravanje zaštite kibersigur</w:t>
            </w:r>
            <w:r>
              <w:rPr>
                <w:noProof/>
              </w:rPr>
              <w:t xml:space="preserve">nosti za javne i privatne infrastrukture ITC-a koje imaju ključnu vrijednost za nacionalnu sigurnost primjenom pametnih tehnologija </w:t>
            </w:r>
          </w:p>
          <w:p w14:paraId="593DC1AC"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313BC0C5"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C5F24E0" w14:textId="77777777" w:rsidR="003F46B9" w:rsidRDefault="0065662E">
            <w:pPr>
              <w:pStyle w:val="P68B1DB1-Normal35"/>
              <w:spacing w:after="0"/>
              <w:jc w:val="both"/>
              <w:rPr>
                <w:noProof/>
              </w:rPr>
            </w:pPr>
            <w:r>
              <w:rPr>
                <w:noProof/>
              </w:rPr>
              <w:t>Ojačani nacionalni centar za kiberinteti</w:t>
            </w:r>
          </w:p>
        </w:tc>
      </w:tr>
      <w:tr w:rsidR="003F46B9" w14:paraId="32DACE9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602F8C" w14:textId="77777777" w:rsidR="003F46B9" w:rsidRDefault="0065662E">
            <w:pPr>
              <w:pStyle w:val="P68B1DB1-Normal35"/>
              <w:spacing w:after="0"/>
              <w:jc w:val="center"/>
              <w:rPr>
                <w:noProof/>
              </w:rPr>
            </w:pPr>
            <w:r>
              <w:rPr>
                <w:noProof/>
              </w:rPr>
              <w:t>186</w:t>
            </w:r>
          </w:p>
        </w:tc>
        <w:tc>
          <w:tcPr>
            <w:tcW w:w="3544" w:type="dxa"/>
            <w:tcBorders>
              <w:top w:val="nil"/>
              <w:left w:val="nil"/>
              <w:bottom w:val="single" w:sz="4" w:space="0" w:color="auto"/>
              <w:right w:val="single" w:sz="4" w:space="0" w:color="auto"/>
            </w:tcBorders>
            <w:shd w:val="clear" w:color="auto" w:fill="C6EFCE"/>
            <w:noWrap/>
          </w:tcPr>
          <w:p w14:paraId="280CF76F" w14:textId="77777777" w:rsidR="003F46B9" w:rsidRDefault="0065662E">
            <w:pPr>
              <w:pStyle w:val="P68B1DB1-Normal35"/>
              <w:spacing w:after="0"/>
              <w:jc w:val="both"/>
              <w:rPr>
                <w:noProof/>
              </w:rPr>
            </w:pPr>
            <w:r>
              <w:rPr>
                <w:noProof/>
              </w:rPr>
              <w:t>C7.I17</w:t>
            </w:r>
            <w:r>
              <w:rPr>
                <w:noProof/>
              </w:rPr>
              <w:br/>
            </w:r>
            <w:r>
              <w:rPr>
                <w:noProof/>
              </w:rPr>
              <w:t xml:space="preserve">Programi financiranja knjižnica kako bi postali centri za digitalne vještine </w:t>
            </w:r>
          </w:p>
        </w:tc>
        <w:tc>
          <w:tcPr>
            <w:tcW w:w="1275" w:type="dxa"/>
            <w:tcBorders>
              <w:top w:val="nil"/>
              <w:left w:val="nil"/>
              <w:bottom w:val="single" w:sz="4" w:space="0" w:color="auto"/>
              <w:right w:val="single" w:sz="4" w:space="0" w:color="auto"/>
            </w:tcBorders>
            <w:shd w:val="clear" w:color="auto" w:fill="C6EFCE"/>
            <w:noWrap/>
          </w:tcPr>
          <w:p w14:paraId="147D349E"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2585C54" w14:textId="77777777" w:rsidR="003F46B9" w:rsidRDefault="0065662E">
            <w:pPr>
              <w:pStyle w:val="P68B1DB1-Normal35"/>
              <w:spacing w:after="0"/>
              <w:jc w:val="both"/>
              <w:rPr>
                <w:noProof/>
              </w:rPr>
            </w:pPr>
            <w:r>
              <w:rPr>
                <w:noProof/>
              </w:rPr>
              <w:t>Knjižnice prenamijenjene u digitalne centre</w:t>
            </w:r>
          </w:p>
        </w:tc>
      </w:tr>
      <w:tr w:rsidR="003F46B9" w14:paraId="7E9960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337888" w14:textId="77777777" w:rsidR="003F46B9" w:rsidRDefault="0065662E">
            <w:pPr>
              <w:pStyle w:val="P68B1DB1-Normal35"/>
              <w:spacing w:after="0"/>
              <w:jc w:val="center"/>
              <w:rPr>
                <w:noProof/>
              </w:rPr>
            </w:pPr>
            <w:r>
              <w:rPr>
                <w:noProof/>
              </w:rPr>
              <w:t>196</w:t>
            </w:r>
          </w:p>
        </w:tc>
        <w:tc>
          <w:tcPr>
            <w:tcW w:w="3544" w:type="dxa"/>
            <w:tcBorders>
              <w:top w:val="nil"/>
              <w:left w:val="nil"/>
              <w:bottom w:val="single" w:sz="4" w:space="0" w:color="auto"/>
              <w:right w:val="single" w:sz="4" w:space="0" w:color="auto"/>
            </w:tcBorders>
            <w:shd w:val="clear" w:color="auto" w:fill="C6EFCE"/>
            <w:noWrap/>
          </w:tcPr>
          <w:p w14:paraId="44A3A371" w14:textId="77777777" w:rsidR="003F46B9" w:rsidRDefault="0065662E">
            <w:pPr>
              <w:pStyle w:val="P68B1DB1-Normal35"/>
              <w:spacing w:after="0"/>
              <w:jc w:val="both"/>
              <w:rPr>
                <w:noProof/>
              </w:rPr>
            </w:pPr>
            <w:r>
              <w:rPr>
                <w:noProof/>
              </w:rPr>
              <w:t>C8.R1</w:t>
            </w:r>
          </w:p>
          <w:p w14:paraId="54C1FC11" w14:textId="77777777" w:rsidR="003F46B9" w:rsidRDefault="0065662E">
            <w:pPr>
              <w:pStyle w:val="P68B1DB1-Normal35"/>
              <w:spacing w:after="0"/>
              <w:jc w:val="both"/>
              <w:rPr>
                <w:noProof/>
              </w:rPr>
            </w:pPr>
            <w:r>
              <w:rPr>
                <w:noProof/>
              </w:rPr>
              <w:t xml:space="preserve">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30F0061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326B278" w14:textId="77777777" w:rsidR="003F46B9" w:rsidRDefault="0065662E">
            <w:pPr>
              <w:pStyle w:val="P68B1DB1-Normal35"/>
              <w:spacing w:after="0"/>
              <w:jc w:val="both"/>
              <w:rPr>
                <w:noProof/>
              </w:rPr>
            </w:pPr>
            <w:r>
              <w:rPr>
                <w:noProof/>
              </w:rPr>
              <w:t xml:space="preserve">Povećati udio prihoda koje prikuplja porezna uprava za najmanje 2,5 postotnih bodova BDP-a </w:t>
            </w:r>
          </w:p>
        </w:tc>
      </w:tr>
      <w:tr w:rsidR="003F46B9" w14:paraId="434D08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200C05" w14:textId="77777777" w:rsidR="003F46B9" w:rsidRDefault="0065662E">
            <w:pPr>
              <w:pStyle w:val="P68B1DB1-Normal35"/>
              <w:spacing w:after="0"/>
              <w:jc w:val="center"/>
              <w:rPr>
                <w:noProof/>
              </w:rPr>
            </w:pPr>
            <w:r>
              <w:rPr>
                <w:noProof/>
              </w:rPr>
              <w:t>198</w:t>
            </w:r>
          </w:p>
        </w:tc>
        <w:tc>
          <w:tcPr>
            <w:tcW w:w="3544" w:type="dxa"/>
            <w:tcBorders>
              <w:top w:val="nil"/>
              <w:left w:val="nil"/>
              <w:bottom w:val="single" w:sz="4" w:space="0" w:color="auto"/>
              <w:right w:val="single" w:sz="4" w:space="0" w:color="auto"/>
            </w:tcBorders>
            <w:shd w:val="clear" w:color="auto" w:fill="C6EFCE"/>
            <w:noWrap/>
          </w:tcPr>
          <w:p w14:paraId="317A0DEF" w14:textId="77777777" w:rsidR="003F46B9" w:rsidRDefault="0065662E">
            <w:pPr>
              <w:pStyle w:val="P68B1DB1-Normal35"/>
              <w:spacing w:after="0"/>
              <w:jc w:val="both"/>
              <w:rPr>
                <w:noProof/>
              </w:rPr>
            </w:pPr>
            <w:r>
              <w:rPr>
                <w:noProof/>
              </w:rPr>
              <w:t>C8.R2</w:t>
            </w:r>
          </w:p>
          <w:p w14:paraId="327555CD" w14:textId="77777777" w:rsidR="003F46B9" w:rsidRDefault="0065662E">
            <w:pPr>
              <w:pStyle w:val="P68B1DB1-Normal35"/>
              <w:spacing w:after="0"/>
              <w:jc w:val="both"/>
              <w:rPr>
                <w:noProof/>
              </w:rPr>
            </w:pPr>
            <w:r>
              <w:rPr>
                <w:noProof/>
              </w:rPr>
              <w:t xml:space="preserve">Modernizacija carinskog sustava i uvođenje elektroničke carine </w:t>
            </w:r>
          </w:p>
        </w:tc>
        <w:tc>
          <w:tcPr>
            <w:tcW w:w="1275" w:type="dxa"/>
            <w:tcBorders>
              <w:top w:val="nil"/>
              <w:left w:val="nil"/>
              <w:bottom w:val="single" w:sz="4" w:space="0" w:color="auto"/>
              <w:right w:val="single" w:sz="4" w:space="0" w:color="auto"/>
            </w:tcBorders>
            <w:shd w:val="clear" w:color="auto" w:fill="C6EFCE"/>
            <w:noWrap/>
          </w:tcPr>
          <w:p w14:paraId="5A697A5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B87C995" w14:textId="77777777" w:rsidR="003F46B9" w:rsidRDefault="0065662E">
            <w:pPr>
              <w:pStyle w:val="P68B1DB1-Normal35"/>
              <w:spacing w:after="0"/>
              <w:jc w:val="both"/>
              <w:rPr>
                <w:noProof/>
              </w:rPr>
            </w:pPr>
            <w:r>
              <w:rPr>
                <w:noProof/>
              </w:rPr>
              <w:t>Stupanje na snagu izmjena postojećeg pravnog okvira za poboljšanje funkcioniranja carin</w:t>
            </w:r>
            <w:r>
              <w:rPr>
                <w:noProof/>
              </w:rPr>
              <w:t>ske uprave</w:t>
            </w:r>
          </w:p>
        </w:tc>
      </w:tr>
      <w:tr w:rsidR="003F46B9" w14:paraId="7FE07A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486F38" w14:textId="77777777" w:rsidR="003F46B9" w:rsidRDefault="0065662E">
            <w:pPr>
              <w:pStyle w:val="P68B1DB1-Normal35"/>
              <w:spacing w:after="0"/>
              <w:jc w:val="center"/>
              <w:rPr>
                <w:noProof/>
              </w:rPr>
            </w:pPr>
            <w:r>
              <w:rPr>
                <w:noProof/>
              </w:rPr>
              <w:t>223</w:t>
            </w:r>
          </w:p>
        </w:tc>
        <w:tc>
          <w:tcPr>
            <w:tcW w:w="3544" w:type="dxa"/>
            <w:tcBorders>
              <w:top w:val="nil"/>
              <w:left w:val="nil"/>
              <w:bottom w:val="single" w:sz="4" w:space="0" w:color="auto"/>
              <w:right w:val="single" w:sz="4" w:space="0" w:color="auto"/>
            </w:tcBorders>
            <w:shd w:val="clear" w:color="auto" w:fill="C6EFCE"/>
            <w:noWrap/>
          </w:tcPr>
          <w:p w14:paraId="5EDFB7B2" w14:textId="77777777" w:rsidR="003F46B9" w:rsidRDefault="0065662E">
            <w:pPr>
              <w:pStyle w:val="P68B1DB1-Normal35"/>
              <w:spacing w:after="0"/>
              <w:jc w:val="both"/>
              <w:rPr>
                <w:noProof/>
              </w:rPr>
            </w:pPr>
            <w:r>
              <w:rPr>
                <w:noProof/>
              </w:rPr>
              <w:t>C8.I2</w:t>
            </w:r>
          </w:p>
          <w:p w14:paraId="47970759" w14:textId="77777777" w:rsidR="003F46B9" w:rsidRDefault="0065662E">
            <w:pPr>
              <w:pStyle w:val="P68B1DB1-Normal35"/>
              <w:spacing w:after="0"/>
              <w:jc w:val="both"/>
              <w:rPr>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0801B974"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5343BA1" w14:textId="77777777" w:rsidR="003F46B9" w:rsidRDefault="0065662E">
            <w:pPr>
              <w:pStyle w:val="P68B1DB1-Normal35"/>
              <w:spacing w:after="0"/>
              <w:jc w:val="both"/>
              <w:rPr>
                <w:noProof/>
              </w:rPr>
            </w:pPr>
            <w:r>
              <w:rPr>
                <w:noProof/>
              </w:rPr>
              <w:t xml:space="preserve">Udio u broju revizija dokumentacije o ukupnom broju revizija koje je provela porezna uprava – 60 % </w:t>
            </w:r>
          </w:p>
        </w:tc>
      </w:tr>
      <w:tr w:rsidR="003F46B9" w14:paraId="29A5AC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1D90ECB" w14:textId="77777777" w:rsidR="003F46B9" w:rsidRDefault="0065662E">
            <w:pPr>
              <w:pStyle w:val="P68B1DB1-Normal35"/>
              <w:spacing w:after="0"/>
              <w:jc w:val="center"/>
              <w:rPr>
                <w:noProof/>
              </w:rPr>
            </w:pPr>
            <w:r>
              <w:rPr>
                <w:noProof/>
              </w:rPr>
              <w:t>224</w:t>
            </w:r>
          </w:p>
        </w:tc>
        <w:tc>
          <w:tcPr>
            <w:tcW w:w="3544" w:type="dxa"/>
            <w:tcBorders>
              <w:top w:val="nil"/>
              <w:left w:val="nil"/>
              <w:bottom w:val="single" w:sz="4" w:space="0" w:color="auto"/>
              <w:right w:val="single" w:sz="4" w:space="0" w:color="auto"/>
            </w:tcBorders>
            <w:shd w:val="clear" w:color="auto" w:fill="C6EFCE"/>
            <w:noWrap/>
          </w:tcPr>
          <w:p w14:paraId="5F197835" w14:textId="77777777" w:rsidR="003F46B9" w:rsidRDefault="0065662E">
            <w:pPr>
              <w:pStyle w:val="P68B1DB1-Normal35"/>
              <w:spacing w:after="0"/>
              <w:jc w:val="both"/>
              <w:rPr>
                <w:noProof/>
              </w:rPr>
            </w:pPr>
            <w:r>
              <w:rPr>
                <w:noProof/>
              </w:rPr>
              <w:t>C8.I2</w:t>
            </w:r>
          </w:p>
          <w:p w14:paraId="6F2569C2" w14:textId="77777777" w:rsidR="003F46B9" w:rsidRDefault="0065662E">
            <w:pPr>
              <w:pStyle w:val="P68B1DB1-Normal35"/>
              <w:spacing w:after="0"/>
              <w:jc w:val="both"/>
              <w:rPr>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095735E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BAE30F" w14:textId="77777777" w:rsidR="003F46B9" w:rsidRDefault="0065662E">
            <w:pPr>
              <w:pStyle w:val="P68B1DB1-Normal35"/>
              <w:spacing w:after="0"/>
              <w:jc w:val="both"/>
              <w:rPr>
                <w:noProof/>
              </w:rPr>
            </w:pPr>
            <w:r>
              <w:rPr>
                <w:noProof/>
              </w:rPr>
              <w:t xml:space="preserve">Povećati broj revizija za 10 % </w:t>
            </w:r>
          </w:p>
        </w:tc>
      </w:tr>
      <w:tr w:rsidR="003F46B9" w14:paraId="658440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EA272C" w14:textId="77777777" w:rsidR="003F46B9" w:rsidRDefault="0065662E">
            <w:pPr>
              <w:pStyle w:val="P68B1DB1-Normal35"/>
              <w:spacing w:after="0"/>
              <w:jc w:val="center"/>
              <w:rPr>
                <w:noProof/>
              </w:rPr>
            </w:pPr>
            <w:r>
              <w:rPr>
                <w:noProof/>
              </w:rPr>
              <w:t>225</w:t>
            </w:r>
          </w:p>
        </w:tc>
        <w:tc>
          <w:tcPr>
            <w:tcW w:w="3544" w:type="dxa"/>
            <w:tcBorders>
              <w:top w:val="nil"/>
              <w:left w:val="nil"/>
              <w:bottom w:val="single" w:sz="4" w:space="0" w:color="auto"/>
              <w:right w:val="single" w:sz="4" w:space="0" w:color="auto"/>
            </w:tcBorders>
            <w:shd w:val="clear" w:color="auto" w:fill="C6EFCE"/>
            <w:noWrap/>
          </w:tcPr>
          <w:p w14:paraId="58EDA4D7" w14:textId="77777777" w:rsidR="003F46B9" w:rsidRDefault="0065662E">
            <w:pPr>
              <w:pStyle w:val="P68B1DB1-Normal35"/>
              <w:spacing w:after="0"/>
              <w:jc w:val="both"/>
              <w:rPr>
                <w:noProof/>
              </w:rPr>
            </w:pPr>
            <w:r>
              <w:rPr>
                <w:noProof/>
              </w:rPr>
              <w:t>C8.I2</w:t>
            </w:r>
          </w:p>
          <w:p w14:paraId="2FD9AE7D" w14:textId="77777777" w:rsidR="003F46B9" w:rsidRDefault="0065662E">
            <w:pPr>
              <w:pStyle w:val="P68B1DB1-Normal35"/>
              <w:spacing w:after="0"/>
              <w:jc w:val="both"/>
              <w:rPr>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4D07B7D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C24A96B" w14:textId="77777777" w:rsidR="003F46B9" w:rsidRDefault="0065662E">
            <w:pPr>
              <w:pStyle w:val="P68B1DB1-Normal35"/>
              <w:spacing w:after="0"/>
              <w:jc w:val="both"/>
              <w:rPr>
                <w:noProof/>
              </w:rPr>
            </w:pPr>
            <w:r>
              <w:rPr>
                <w:noProof/>
              </w:rPr>
              <w:t>Potpuno operativan elektronički registar rizika</w:t>
            </w:r>
          </w:p>
        </w:tc>
      </w:tr>
      <w:tr w:rsidR="003F46B9" w14:paraId="24F983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DA90F56" w14:textId="77777777" w:rsidR="003F46B9" w:rsidRDefault="0065662E">
            <w:pPr>
              <w:pStyle w:val="P68B1DB1-Normal35"/>
              <w:spacing w:after="0"/>
              <w:jc w:val="center"/>
              <w:rPr>
                <w:noProof/>
              </w:rPr>
            </w:pPr>
            <w:r>
              <w:rPr>
                <w:noProof/>
              </w:rPr>
              <w:t>226</w:t>
            </w:r>
          </w:p>
        </w:tc>
        <w:tc>
          <w:tcPr>
            <w:tcW w:w="3544" w:type="dxa"/>
            <w:tcBorders>
              <w:top w:val="nil"/>
              <w:left w:val="nil"/>
              <w:bottom w:val="single" w:sz="4" w:space="0" w:color="auto"/>
              <w:right w:val="single" w:sz="4" w:space="0" w:color="auto"/>
            </w:tcBorders>
            <w:shd w:val="clear" w:color="auto" w:fill="C6EFCE"/>
            <w:noWrap/>
          </w:tcPr>
          <w:p w14:paraId="79BE1960" w14:textId="77777777" w:rsidR="003F46B9" w:rsidRDefault="0065662E">
            <w:pPr>
              <w:pStyle w:val="P68B1DB1-Normal35"/>
              <w:spacing w:after="0"/>
              <w:jc w:val="both"/>
              <w:rPr>
                <w:noProof/>
              </w:rPr>
            </w:pPr>
            <w:r>
              <w:rPr>
                <w:noProof/>
              </w:rPr>
              <w:t>C8.I2</w:t>
            </w:r>
          </w:p>
          <w:p w14:paraId="0CE06E7D" w14:textId="77777777" w:rsidR="003F46B9" w:rsidRDefault="0065662E">
            <w:pPr>
              <w:pStyle w:val="P68B1DB1-Normal35"/>
              <w:spacing w:after="0"/>
              <w:jc w:val="both"/>
              <w:rPr>
                <w:noProof/>
              </w:rPr>
            </w:pPr>
            <w:r>
              <w:rPr>
                <w:noProof/>
              </w:rPr>
              <w:t xml:space="preserve">Poboljšanje postupaka porezne i porezne uprave, među ostalim provedbom integriranog upravljanja rizicima </w:t>
            </w:r>
          </w:p>
        </w:tc>
        <w:tc>
          <w:tcPr>
            <w:tcW w:w="1275" w:type="dxa"/>
            <w:tcBorders>
              <w:top w:val="nil"/>
              <w:left w:val="nil"/>
              <w:bottom w:val="single" w:sz="4" w:space="0" w:color="auto"/>
              <w:right w:val="single" w:sz="4" w:space="0" w:color="auto"/>
            </w:tcBorders>
            <w:shd w:val="clear" w:color="auto" w:fill="C6EFCE"/>
            <w:noWrap/>
          </w:tcPr>
          <w:p w14:paraId="18FB7992"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2738672" w14:textId="77777777" w:rsidR="003F46B9" w:rsidRDefault="0065662E">
            <w:pPr>
              <w:pStyle w:val="P68B1DB1-Normal35"/>
              <w:spacing w:after="0"/>
              <w:jc w:val="both"/>
              <w:rPr>
                <w:noProof/>
              </w:rPr>
            </w:pPr>
            <w:r>
              <w:rPr>
                <w:noProof/>
              </w:rPr>
              <w:t xml:space="preserve">Uspostava i operativnost platforme velikih podataka/analitičke platforme </w:t>
            </w:r>
          </w:p>
        </w:tc>
      </w:tr>
      <w:tr w:rsidR="003F46B9" w14:paraId="0839C5A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470401" w14:textId="77777777" w:rsidR="003F46B9" w:rsidRDefault="0065662E">
            <w:pPr>
              <w:pStyle w:val="P68B1DB1-Normal35"/>
              <w:spacing w:after="0"/>
              <w:jc w:val="center"/>
              <w:rPr>
                <w:noProof/>
              </w:rPr>
            </w:pPr>
            <w:r>
              <w:rPr>
                <w:noProof/>
              </w:rPr>
              <w:t>232</w:t>
            </w:r>
          </w:p>
        </w:tc>
        <w:tc>
          <w:tcPr>
            <w:tcW w:w="3544" w:type="dxa"/>
            <w:tcBorders>
              <w:top w:val="nil"/>
              <w:left w:val="nil"/>
              <w:bottom w:val="single" w:sz="4" w:space="0" w:color="auto"/>
              <w:right w:val="single" w:sz="4" w:space="0" w:color="auto"/>
            </w:tcBorders>
            <w:shd w:val="clear" w:color="auto" w:fill="C6EFCE"/>
            <w:noWrap/>
          </w:tcPr>
          <w:p w14:paraId="267149DF" w14:textId="77777777" w:rsidR="003F46B9" w:rsidRDefault="0065662E">
            <w:pPr>
              <w:pStyle w:val="P68B1DB1-Normal35"/>
              <w:spacing w:after="0"/>
              <w:jc w:val="both"/>
              <w:rPr>
                <w:noProof/>
              </w:rPr>
            </w:pPr>
            <w:r>
              <w:rPr>
                <w:noProof/>
              </w:rPr>
              <w:t>C8.I4</w:t>
            </w:r>
          </w:p>
          <w:p w14:paraId="632BA9A1" w14:textId="77777777" w:rsidR="003F46B9" w:rsidRDefault="0065662E">
            <w:pPr>
              <w:pStyle w:val="P68B1DB1-Normal35"/>
              <w:spacing w:after="0"/>
              <w:jc w:val="both"/>
              <w:rPr>
                <w:noProof/>
              </w:rPr>
            </w:pPr>
            <w:r>
              <w:rPr>
                <w:noProof/>
              </w:rPr>
              <w:t>Uvođenje elektroničke carine</w:t>
            </w:r>
          </w:p>
        </w:tc>
        <w:tc>
          <w:tcPr>
            <w:tcW w:w="1275" w:type="dxa"/>
            <w:tcBorders>
              <w:top w:val="nil"/>
              <w:left w:val="nil"/>
              <w:bottom w:val="single" w:sz="4" w:space="0" w:color="auto"/>
              <w:right w:val="single" w:sz="4" w:space="0" w:color="auto"/>
            </w:tcBorders>
            <w:shd w:val="clear" w:color="auto" w:fill="C6EFCE"/>
            <w:noWrap/>
          </w:tcPr>
          <w:p w14:paraId="1D17797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89C1E0E" w14:textId="77777777" w:rsidR="003F46B9" w:rsidRDefault="0065662E">
            <w:pPr>
              <w:pStyle w:val="P68B1DB1-Normal35"/>
              <w:spacing w:after="0"/>
              <w:jc w:val="both"/>
              <w:rPr>
                <w:noProof/>
              </w:rPr>
            </w:pPr>
            <w:r>
              <w:rPr>
                <w:noProof/>
              </w:rPr>
              <w:t>Informacijski sustavi za carinu operacionalizirani</w:t>
            </w:r>
          </w:p>
        </w:tc>
      </w:tr>
      <w:tr w:rsidR="003F46B9" w14:paraId="7905DF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610F02" w14:textId="77777777" w:rsidR="003F46B9" w:rsidRDefault="0065662E">
            <w:pPr>
              <w:pStyle w:val="P68B1DB1-Normal35"/>
              <w:spacing w:after="0"/>
              <w:jc w:val="center"/>
              <w:rPr>
                <w:noProof/>
              </w:rPr>
            </w:pPr>
            <w:r>
              <w:rPr>
                <w:noProof/>
              </w:rPr>
              <w:t>237</w:t>
            </w:r>
          </w:p>
        </w:tc>
        <w:tc>
          <w:tcPr>
            <w:tcW w:w="3544" w:type="dxa"/>
            <w:tcBorders>
              <w:top w:val="nil"/>
              <w:left w:val="nil"/>
              <w:bottom w:val="single" w:sz="4" w:space="0" w:color="auto"/>
              <w:right w:val="single" w:sz="4" w:space="0" w:color="auto"/>
            </w:tcBorders>
            <w:shd w:val="clear" w:color="auto" w:fill="C6EFCE"/>
            <w:noWrap/>
          </w:tcPr>
          <w:p w14:paraId="45898A0E" w14:textId="77777777" w:rsidR="003F46B9" w:rsidRDefault="0065662E">
            <w:pPr>
              <w:pStyle w:val="P68B1DB1-Normal35"/>
              <w:spacing w:after="0"/>
              <w:jc w:val="both"/>
              <w:rPr>
                <w:noProof/>
              </w:rPr>
            </w:pPr>
            <w:r>
              <w:rPr>
                <w:noProof/>
              </w:rPr>
              <w:t>C8.I7</w:t>
            </w:r>
          </w:p>
          <w:p w14:paraId="48821C1E" w14:textId="77777777" w:rsidR="003F46B9" w:rsidRDefault="0065662E">
            <w:pPr>
              <w:pStyle w:val="P68B1DB1-Normal35"/>
              <w:spacing w:after="0"/>
              <w:jc w:val="both"/>
              <w:rPr>
                <w:noProof/>
              </w:rPr>
            </w:pPr>
            <w:r>
              <w:rPr>
                <w:noProof/>
              </w:rPr>
              <w:t>Tehnička potpora reviziji poreznog okvira</w:t>
            </w:r>
          </w:p>
        </w:tc>
        <w:tc>
          <w:tcPr>
            <w:tcW w:w="1275" w:type="dxa"/>
            <w:tcBorders>
              <w:top w:val="nil"/>
              <w:left w:val="nil"/>
              <w:bottom w:val="single" w:sz="4" w:space="0" w:color="auto"/>
              <w:right w:val="single" w:sz="4" w:space="0" w:color="auto"/>
            </w:tcBorders>
            <w:shd w:val="clear" w:color="auto" w:fill="C6EFCE"/>
            <w:noWrap/>
          </w:tcPr>
          <w:p w14:paraId="427D8D5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A4A975" w14:textId="77777777" w:rsidR="003F46B9" w:rsidRDefault="0065662E">
            <w:pPr>
              <w:pStyle w:val="P68B1DB1-Normal35"/>
              <w:spacing w:after="0"/>
              <w:jc w:val="both"/>
              <w:rPr>
                <w:noProof/>
              </w:rPr>
            </w:pPr>
            <w:r>
              <w:rPr>
                <w:noProof/>
              </w:rPr>
              <w:t>IT sustav koji omogućuje provedbu modela automatske procjene vrijednosti nekretnine koji je operativan</w:t>
            </w:r>
          </w:p>
        </w:tc>
      </w:tr>
      <w:tr w:rsidR="003F46B9" w14:paraId="574FCC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163829B" w14:textId="77777777" w:rsidR="003F46B9" w:rsidRDefault="0065662E">
            <w:pPr>
              <w:pStyle w:val="P68B1DB1-Normal35"/>
              <w:spacing w:after="0"/>
              <w:jc w:val="center"/>
              <w:rPr>
                <w:noProof/>
              </w:rPr>
            </w:pPr>
            <w:r>
              <w:rPr>
                <w:noProof/>
              </w:rPr>
              <w:t>372</w:t>
            </w:r>
          </w:p>
        </w:tc>
        <w:tc>
          <w:tcPr>
            <w:tcW w:w="3544" w:type="dxa"/>
            <w:tcBorders>
              <w:top w:val="nil"/>
              <w:left w:val="nil"/>
              <w:bottom w:val="single" w:sz="4" w:space="0" w:color="auto"/>
              <w:right w:val="single" w:sz="4" w:space="0" w:color="auto"/>
            </w:tcBorders>
            <w:shd w:val="clear" w:color="auto" w:fill="C6EFCE"/>
            <w:noWrap/>
          </w:tcPr>
          <w:p w14:paraId="11967783" w14:textId="77777777" w:rsidR="003F46B9" w:rsidRDefault="0065662E">
            <w:pPr>
              <w:pStyle w:val="P68B1DB1-Normal35"/>
              <w:spacing w:after="0"/>
              <w:rPr>
                <w:noProof/>
              </w:rPr>
            </w:pPr>
            <w:r>
              <w:rPr>
                <w:noProof/>
              </w:rPr>
              <w:t xml:space="preserve">C12.I1 </w:t>
            </w:r>
            <w:r>
              <w:rPr>
                <w:noProof/>
              </w:rPr>
              <w:t>Razvoj pretbolničke medicinske infrastrukture</w:t>
            </w:r>
          </w:p>
        </w:tc>
        <w:tc>
          <w:tcPr>
            <w:tcW w:w="1275" w:type="dxa"/>
            <w:tcBorders>
              <w:top w:val="nil"/>
              <w:left w:val="nil"/>
              <w:bottom w:val="single" w:sz="4" w:space="0" w:color="auto"/>
              <w:right w:val="single" w:sz="4" w:space="0" w:color="auto"/>
            </w:tcBorders>
            <w:shd w:val="clear" w:color="auto" w:fill="C6EFCE"/>
            <w:noWrap/>
          </w:tcPr>
          <w:p w14:paraId="5473922A"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0BB2A39" w14:textId="77777777" w:rsidR="003F46B9" w:rsidRDefault="0065662E">
            <w:pPr>
              <w:pStyle w:val="P68B1DB1-Normal35"/>
              <w:spacing w:after="0"/>
              <w:jc w:val="both"/>
              <w:rPr>
                <w:noProof/>
              </w:rPr>
            </w:pPr>
            <w:r>
              <w:rPr>
                <w:noProof/>
              </w:rPr>
              <w:t>Ormarići za planiranje obitelji opremljeni ili opremljeni i obnovljeni</w:t>
            </w:r>
          </w:p>
        </w:tc>
      </w:tr>
      <w:tr w:rsidR="003F46B9" w14:paraId="1205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B5819B0" w14:textId="77777777" w:rsidR="003F46B9" w:rsidRDefault="0065662E">
            <w:pPr>
              <w:pStyle w:val="P68B1DB1-Normal35"/>
              <w:spacing w:after="0"/>
              <w:jc w:val="center"/>
              <w:rPr>
                <w:noProof/>
              </w:rPr>
            </w:pPr>
            <w:r>
              <w:rPr>
                <w:noProof/>
              </w:rPr>
              <w:t>396</w:t>
            </w:r>
          </w:p>
        </w:tc>
        <w:tc>
          <w:tcPr>
            <w:tcW w:w="3544" w:type="dxa"/>
            <w:tcBorders>
              <w:top w:val="nil"/>
              <w:left w:val="nil"/>
              <w:bottom w:val="single" w:sz="4" w:space="0" w:color="auto"/>
              <w:right w:val="single" w:sz="4" w:space="0" w:color="auto"/>
            </w:tcBorders>
            <w:shd w:val="clear" w:color="auto" w:fill="C6EFCE"/>
            <w:noWrap/>
          </w:tcPr>
          <w:p w14:paraId="6DDE31C7" w14:textId="77777777" w:rsidR="003F46B9" w:rsidRDefault="0065662E">
            <w:pPr>
              <w:pStyle w:val="P68B1DB1-Normal35"/>
              <w:spacing w:after="0"/>
              <w:jc w:val="both"/>
              <w:rPr>
                <w:noProof/>
              </w:rPr>
            </w:pPr>
            <w:r>
              <w:rPr>
                <w:noProof/>
              </w:rPr>
              <w:t>C13.I2</w:t>
            </w:r>
          </w:p>
          <w:p w14:paraId="00288C05" w14:textId="77777777" w:rsidR="003F46B9" w:rsidRDefault="0065662E">
            <w:pPr>
              <w:pStyle w:val="P68B1DB1-Normal35"/>
              <w:spacing w:after="0"/>
              <w:jc w:val="both"/>
              <w:rPr>
                <w:noProof/>
              </w:rPr>
            </w:pPr>
            <w:r>
              <w:rPr>
                <w:noProof/>
              </w:rPr>
              <w:t>Sanacija, obnova i razvoj socijalne infrastrukture za osobe s invaliditetom</w:t>
            </w:r>
          </w:p>
        </w:tc>
        <w:tc>
          <w:tcPr>
            <w:tcW w:w="1275" w:type="dxa"/>
            <w:tcBorders>
              <w:top w:val="nil"/>
              <w:left w:val="nil"/>
              <w:bottom w:val="single" w:sz="4" w:space="0" w:color="auto"/>
              <w:right w:val="single" w:sz="4" w:space="0" w:color="auto"/>
            </w:tcBorders>
            <w:shd w:val="clear" w:color="auto" w:fill="C6EFCE"/>
            <w:noWrap/>
          </w:tcPr>
          <w:p w14:paraId="2E903E8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EBADEE3" w14:textId="77777777" w:rsidR="003F46B9" w:rsidRDefault="0065662E">
            <w:pPr>
              <w:pStyle w:val="P68B1DB1-Normal35"/>
              <w:spacing w:after="0"/>
              <w:jc w:val="both"/>
              <w:rPr>
                <w:noProof/>
              </w:rPr>
            </w:pPr>
            <w:r>
              <w:rPr>
                <w:noProof/>
              </w:rPr>
              <w:t xml:space="preserve">Nove usluge u zajednici za osobe s </w:t>
            </w:r>
            <w:r>
              <w:rPr>
                <w:noProof/>
              </w:rPr>
              <w:t>invaliditetom</w:t>
            </w:r>
          </w:p>
        </w:tc>
      </w:tr>
      <w:tr w:rsidR="003F46B9" w14:paraId="025A8A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2419E3" w14:textId="77777777" w:rsidR="003F46B9" w:rsidRDefault="0065662E">
            <w:pPr>
              <w:pStyle w:val="P68B1DB1-Normal35"/>
              <w:spacing w:after="0"/>
              <w:jc w:val="center"/>
              <w:rPr>
                <w:noProof/>
              </w:rPr>
            </w:pPr>
            <w:r>
              <w:rPr>
                <w:noProof/>
              </w:rPr>
              <w:t>406</w:t>
            </w:r>
          </w:p>
        </w:tc>
        <w:tc>
          <w:tcPr>
            <w:tcW w:w="3544" w:type="dxa"/>
            <w:tcBorders>
              <w:top w:val="nil"/>
              <w:left w:val="nil"/>
              <w:bottom w:val="single" w:sz="4" w:space="0" w:color="auto"/>
              <w:right w:val="single" w:sz="4" w:space="0" w:color="auto"/>
            </w:tcBorders>
            <w:shd w:val="clear" w:color="auto" w:fill="C6EFCE"/>
            <w:noWrap/>
          </w:tcPr>
          <w:p w14:paraId="33021027" w14:textId="77777777" w:rsidR="003F46B9" w:rsidRDefault="0065662E">
            <w:pPr>
              <w:pStyle w:val="P68B1DB1-Normal35"/>
              <w:spacing w:after="0"/>
              <w:jc w:val="both"/>
              <w:rPr>
                <w:noProof/>
              </w:rPr>
            </w:pPr>
            <w:r>
              <w:rPr>
                <w:noProof/>
              </w:rPr>
              <w:t>C14.R1</w:t>
            </w:r>
            <w:r>
              <w:rPr>
                <w:noProof/>
              </w:rPr>
              <w:br/>
              <w:t>Povećanje predvidljivosti i učinkovitosti postupaka donošenja odluka jačanjem kapaciteta za koordinaciju politika i analizu učinka na razini vlade i koordinacijskih ministarstava te jačanjem alata za povećanje kvalitete javnih sav</w:t>
            </w:r>
            <w:r>
              <w:rPr>
                <w:noProof/>
              </w:rPr>
              <w:t>jetovanja na svim razinama uprave</w:t>
            </w:r>
          </w:p>
        </w:tc>
        <w:tc>
          <w:tcPr>
            <w:tcW w:w="1275" w:type="dxa"/>
            <w:tcBorders>
              <w:top w:val="nil"/>
              <w:left w:val="nil"/>
              <w:bottom w:val="single" w:sz="4" w:space="0" w:color="auto"/>
              <w:right w:val="single" w:sz="4" w:space="0" w:color="auto"/>
            </w:tcBorders>
            <w:shd w:val="clear" w:color="auto" w:fill="C6EFCE"/>
            <w:noWrap/>
          </w:tcPr>
          <w:p w14:paraId="7132773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8146B06" w14:textId="77777777" w:rsidR="003F46B9" w:rsidRDefault="0065662E">
            <w:pPr>
              <w:pStyle w:val="P68B1DB1-Normal35"/>
              <w:spacing w:after="0"/>
              <w:jc w:val="both"/>
              <w:rPr>
                <w:noProof/>
              </w:rPr>
            </w:pPr>
            <w:r>
              <w:rPr>
                <w:noProof/>
              </w:rPr>
              <w:t>800 predstavnika organizacija civilnog društva osposobljeno je za povećanje administrativnih kapaciteta i digitalizaciju njihovih struktura</w:t>
            </w:r>
          </w:p>
        </w:tc>
      </w:tr>
      <w:tr w:rsidR="003F46B9" w14:paraId="22A292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79F82E" w14:textId="77777777" w:rsidR="003F46B9" w:rsidRDefault="0065662E">
            <w:pPr>
              <w:pStyle w:val="P68B1DB1-Normal35"/>
              <w:spacing w:after="0"/>
              <w:jc w:val="center"/>
              <w:rPr>
                <w:noProof/>
              </w:rPr>
            </w:pPr>
            <w:r>
              <w:rPr>
                <w:noProof/>
              </w:rPr>
              <w:t>419</w:t>
            </w:r>
          </w:p>
        </w:tc>
        <w:tc>
          <w:tcPr>
            <w:tcW w:w="3544" w:type="dxa"/>
            <w:tcBorders>
              <w:top w:val="nil"/>
              <w:left w:val="nil"/>
              <w:bottom w:val="single" w:sz="4" w:space="0" w:color="auto"/>
              <w:right w:val="single" w:sz="4" w:space="0" w:color="auto"/>
            </w:tcBorders>
            <w:shd w:val="clear" w:color="auto" w:fill="C6EFCE"/>
            <w:noWrap/>
          </w:tcPr>
          <w:p w14:paraId="7032EEFA" w14:textId="77777777" w:rsidR="003F46B9" w:rsidRDefault="0065662E">
            <w:pPr>
              <w:pStyle w:val="P68B1DB1-Normal35"/>
              <w:spacing w:after="0"/>
              <w:jc w:val="both"/>
              <w:rPr>
                <w:noProof/>
              </w:rPr>
            </w:pPr>
            <w:r>
              <w:rPr>
                <w:noProof/>
              </w:rPr>
              <w:t>C14.R3. Razvoj uspješnosti upravljanja ljudskim resursima u javnom sektoru</w:t>
            </w:r>
          </w:p>
        </w:tc>
        <w:tc>
          <w:tcPr>
            <w:tcW w:w="1275" w:type="dxa"/>
            <w:tcBorders>
              <w:top w:val="nil"/>
              <w:left w:val="nil"/>
              <w:bottom w:val="single" w:sz="4" w:space="0" w:color="auto"/>
              <w:right w:val="single" w:sz="4" w:space="0" w:color="auto"/>
            </w:tcBorders>
            <w:shd w:val="clear" w:color="auto" w:fill="C6EFCE"/>
            <w:noWrap/>
          </w:tcPr>
          <w:p w14:paraId="6D06DDB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B756B4F" w14:textId="77777777" w:rsidR="003F46B9" w:rsidRDefault="0065662E">
            <w:pPr>
              <w:pStyle w:val="P68B1DB1-Normal35"/>
              <w:spacing w:after="0"/>
              <w:jc w:val="both"/>
              <w:rPr>
                <w:noProof/>
              </w:rPr>
            </w:pPr>
            <w:r>
              <w:rPr>
                <w:noProof/>
              </w:rPr>
              <w:t>Operativni okviri kompetencija u središnjoj javnoj upravi</w:t>
            </w:r>
          </w:p>
        </w:tc>
      </w:tr>
      <w:tr w:rsidR="003F46B9" w14:paraId="5AA3AFA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E7ED1D" w14:textId="77777777" w:rsidR="003F46B9" w:rsidRDefault="0065662E">
            <w:pPr>
              <w:pStyle w:val="P68B1DB1-Normal35"/>
              <w:spacing w:after="0"/>
              <w:jc w:val="center"/>
              <w:rPr>
                <w:noProof/>
              </w:rPr>
            </w:pPr>
            <w:r>
              <w:rPr>
                <w:noProof/>
              </w:rPr>
              <w:t>425</w:t>
            </w:r>
          </w:p>
        </w:tc>
        <w:tc>
          <w:tcPr>
            <w:tcW w:w="3544" w:type="dxa"/>
            <w:tcBorders>
              <w:top w:val="nil"/>
              <w:left w:val="nil"/>
              <w:bottom w:val="single" w:sz="4" w:space="0" w:color="auto"/>
              <w:right w:val="single" w:sz="4" w:space="0" w:color="auto"/>
            </w:tcBorders>
            <w:shd w:val="clear" w:color="auto" w:fill="C6EFCE"/>
            <w:noWrap/>
          </w:tcPr>
          <w:p w14:paraId="4980556A" w14:textId="77777777" w:rsidR="003F46B9" w:rsidRDefault="0065662E">
            <w:pPr>
              <w:pStyle w:val="P68B1DB1-Normal35"/>
              <w:spacing w:after="0"/>
              <w:jc w:val="both"/>
              <w:rPr>
                <w:noProof/>
              </w:rPr>
            </w:pPr>
            <w:r>
              <w:rPr>
                <w:noProof/>
              </w:rPr>
              <w:t>C14.R5. Osiguravanje neovisnosti pravosuđa, poboljšanje njegove kvalitete i učinkovitosti</w:t>
            </w:r>
          </w:p>
        </w:tc>
        <w:tc>
          <w:tcPr>
            <w:tcW w:w="1275" w:type="dxa"/>
            <w:tcBorders>
              <w:top w:val="nil"/>
              <w:left w:val="nil"/>
              <w:bottom w:val="single" w:sz="4" w:space="0" w:color="auto"/>
              <w:right w:val="single" w:sz="4" w:space="0" w:color="auto"/>
            </w:tcBorders>
            <w:shd w:val="clear" w:color="auto" w:fill="C6EFCE"/>
            <w:noWrap/>
          </w:tcPr>
          <w:p w14:paraId="5B59A23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8B1089A" w14:textId="77777777" w:rsidR="003F46B9" w:rsidRDefault="0065662E">
            <w:pPr>
              <w:pStyle w:val="P68B1DB1-Normal35"/>
              <w:spacing w:after="0"/>
              <w:jc w:val="both"/>
              <w:rPr>
                <w:noProof/>
              </w:rPr>
            </w:pPr>
            <w:r>
              <w:rPr>
                <w:noProof/>
              </w:rPr>
              <w:t>Najmanje 6000 pravosudnog osoblja (kao što su suci, tužitelji i sudski službenici) pohađalo je ospo</w:t>
            </w:r>
            <w:r>
              <w:rPr>
                <w:noProof/>
              </w:rPr>
              <w:t>sobljavanje za poboljšanje kvalitete i učinkovitosti pravosudnog sustava</w:t>
            </w:r>
          </w:p>
        </w:tc>
      </w:tr>
      <w:tr w:rsidR="003F46B9" w14:paraId="28B12A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963384" w14:textId="77777777" w:rsidR="003F46B9" w:rsidRDefault="0065662E">
            <w:pPr>
              <w:pStyle w:val="P68B1DB1-Normal35"/>
              <w:spacing w:after="0"/>
              <w:jc w:val="center"/>
              <w:rPr>
                <w:noProof/>
              </w:rPr>
            </w:pPr>
            <w:r>
              <w:rPr>
                <w:noProof/>
              </w:rPr>
              <w:t>427</w:t>
            </w:r>
          </w:p>
        </w:tc>
        <w:tc>
          <w:tcPr>
            <w:tcW w:w="3544" w:type="dxa"/>
            <w:tcBorders>
              <w:top w:val="nil"/>
              <w:left w:val="nil"/>
              <w:bottom w:val="single" w:sz="4" w:space="0" w:color="auto"/>
              <w:right w:val="single" w:sz="4" w:space="0" w:color="auto"/>
            </w:tcBorders>
            <w:shd w:val="clear" w:color="auto" w:fill="C6EFCE"/>
            <w:noWrap/>
          </w:tcPr>
          <w:p w14:paraId="21434258" w14:textId="77777777" w:rsidR="003F46B9" w:rsidRDefault="0065662E">
            <w:pPr>
              <w:pStyle w:val="P68B1DB1-Normal35"/>
              <w:spacing w:after="0"/>
              <w:jc w:val="both"/>
              <w:rPr>
                <w:noProof/>
              </w:rPr>
            </w:pPr>
            <w:r>
              <w:rPr>
                <w:noProof/>
              </w:rPr>
              <w:t xml:space="preserve">C14.R6. </w:t>
            </w:r>
          </w:p>
          <w:p w14:paraId="2C54F952" w14:textId="77777777" w:rsidR="003F46B9" w:rsidRDefault="0065662E">
            <w:pPr>
              <w:pStyle w:val="P68B1DB1-Normal35"/>
              <w:spacing w:after="0"/>
              <w:jc w:val="both"/>
              <w:rPr>
                <w:noProof/>
              </w:rPr>
            </w:pPr>
            <w:r>
              <w:rPr>
                <w:noProof/>
              </w:rPr>
              <w:t xml:space="preserve">Jačanje borbe protiv korupcije </w:t>
            </w:r>
          </w:p>
        </w:tc>
        <w:tc>
          <w:tcPr>
            <w:tcW w:w="1275" w:type="dxa"/>
            <w:tcBorders>
              <w:top w:val="nil"/>
              <w:left w:val="nil"/>
              <w:bottom w:val="single" w:sz="4" w:space="0" w:color="auto"/>
              <w:right w:val="single" w:sz="4" w:space="0" w:color="auto"/>
            </w:tcBorders>
            <w:shd w:val="clear" w:color="auto" w:fill="C6EFCE"/>
            <w:noWrap/>
          </w:tcPr>
          <w:p w14:paraId="52ED7FFA"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C5374B4" w14:textId="77777777" w:rsidR="003F46B9" w:rsidRDefault="0065662E">
            <w:pPr>
              <w:pStyle w:val="P68B1DB1-Normal35"/>
              <w:spacing w:after="0"/>
              <w:jc w:val="both"/>
              <w:rPr>
                <w:noProof/>
              </w:rPr>
            </w:pPr>
            <w:r>
              <w:rPr>
                <w:noProof/>
              </w:rPr>
              <w:t>Povećanje vrijednosti zaplijenjene imovine kojom upravlja Nacionalna agencija za upravljanje zaplijenjenom imovinom</w:t>
            </w:r>
          </w:p>
        </w:tc>
      </w:tr>
      <w:tr w:rsidR="003F46B9" w14:paraId="4DD546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AEEC09" w14:textId="77777777" w:rsidR="003F46B9" w:rsidRDefault="0065662E">
            <w:pPr>
              <w:pStyle w:val="P68B1DB1-Normal35"/>
              <w:spacing w:after="0"/>
              <w:jc w:val="center"/>
              <w:rPr>
                <w:noProof/>
              </w:rPr>
            </w:pPr>
            <w:r>
              <w:rPr>
                <w:noProof/>
              </w:rPr>
              <w:t>428</w:t>
            </w:r>
          </w:p>
        </w:tc>
        <w:tc>
          <w:tcPr>
            <w:tcW w:w="3544" w:type="dxa"/>
            <w:tcBorders>
              <w:top w:val="nil"/>
              <w:left w:val="nil"/>
              <w:bottom w:val="single" w:sz="4" w:space="0" w:color="auto"/>
              <w:right w:val="single" w:sz="4" w:space="0" w:color="auto"/>
            </w:tcBorders>
            <w:shd w:val="clear" w:color="auto" w:fill="C6EFCE"/>
            <w:noWrap/>
          </w:tcPr>
          <w:p w14:paraId="64A1E8BD" w14:textId="77777777" w:rsidR="003F46B9" w:rsidRDefault="0065662E">
            <w:pPr>
              <w:pStyle w:val="P68B1DB1-Normal35"/>
              <w:spacing w:after="0"/>
              <w:jc w:val="both"/>
              <w:rPr>
                <w:noProof/>
              </w:rPr>
            </w:pPr>
            <w:r>
              <w:rPr>
                <w:noProof/>
              </w:rPr>
              <w:t xml:space="preserve">C14.R6. </w:t>
            </w:r>
          </w:p>
          <w:p w14:paraId="326A81D6" w14:textId="77777777" w:rsidR="003F46B9" w:rsidRDefault="0065662E">
            <w:pPr>
              <w:pStyle w:val="P68B1DB1-Normal35"/>
              <w:spacing w:after="0"/>
              <w:jc w:val="both"/>
              <w:rPr>
                <w:noProof/>
              </w:rPr>
            </w:pPr>
            <w:r>
              <w:rPr>
                <w:noProof/>
              </w:rPr>
              <w:t xml:space="preserve">Jačanje borbe protiv korupcije </w:t>
            </w:r>
          </w:p>
        </w:tc>
        <w:tc>
          <w:tcPr>
            <w:tcW w:w="1275" w:type="dxa"/>
            <w:tcBorders>
              <w:top w:val="nil"/>
              <w:left w:val="nil"/>
              <w:bottom w:val="single" w:sz="4" w:space="0" w:color="auto"/>
              <w:right w:val="single" w:sz="4" w:space="0" w:color="auto"/>
            </w:tcBorders>
            <w:shd w:val="clear" w:color="auto" w:fill="C6EFCE"/>
            <w:noWrap/>
          </w:tcPr>
          <w:p w14:paraId="3B03CD2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BE225EA" w14:textId="77777777" w:rsidR="003F46B9" w:rsidRDefault="0065662E">
            <w:pPr>
              <w:pStyle w:val="P68B1DB1-Normal35"/>
              <w:spacing w:after="0"/>
              <w:jc w:val="both"/>
              <w:rPr>
                <w:noProof/>
              </w:rPr>
            </w:pPr>
            <w:r>
              <w:rPr>
                <w:noProof/>
              </w:rPr>
              <w:t>Završetak najmanje 70 % mjera predviđenih u novoj strategiji za borbu protiv korupcije</w:t>
            </w:r>
          </w:p>
        </w:tc>
      </w:tr>
      <w:tr w:rsidR="003F46B9" w14:paraId="519963C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9F2AAE2" w14:textId="77777777" w:rsidR="003F46B9" w:rsidRDefault="0065662E">
            <w:pPr>
              <w:pStyle w:val="P68B1DB1-Normal35"/>
              <w:spacing w:after="0"/>
              <w:jc w:val="center"/>
              <w:rPr>
                <w:noProof/>
              </w:rPr>
            </w:pPr>
            <w:r>
              <w:rPr>
                <w:noProof/>
              </w:rPr>
              <w:t>435</w:t>
            </w:r>
          </w:p>
        </w:tc>
        <w:tc>
          <w:tcPr>
            <w:tcW w:w="3544" w:type="dxa"/>
            <w:tcBorders>
              <w:top w:val="nil"/>
              <w:left w:val="nil"/>
              <w:bottom w:val="single" w:sz="4" w:space="0" w:color="auto"/>
              <w:right w:val="single" w:sz="4" w:space="0" w:color="auto"/>
            </w:tcBorders>
            <w:shd w:val="clear" w:color="auto" w:fill="C6EFCE"/>
            <w:noWrap/>
          </w:tcPr>
          <w:p w14:paraId="3D9254DA" w14:textId="77777777" w:rsidR="003F46B9" w:rsidRDefault="0065662E">
            <w:pPr>
              <w:pStyle w:val="P68B1DB1-Normal35"/>
              <w:spacing w:after="0"/>
              <w:jc w:val="both"/>
              <w:rPr>
                <w:noProof/>
              </w:rPr>
            </w:pPr>
            <w:r>
              <w:rPr>
                <w:noProof/>
              </w:rPr>
              <w:t xml:space="preserve">C14.R8. </w:t>
            </w:r>
          </w:p>
          <w:p w14:paraId="31CE043D" w14:textId="77777777" w:rsidR="003F46B9" w:rsidRDefault="0065662E">
            <w:pPr>
              <w:pStyle w:val="P68B1DB1-Normal35"/>
              <w:spacing w:after="0"/>
              <w:jc w:val="both"/>
              <w:rPr>
                <w:noProof/>
              </w:rPr>
            </w:pPr>
            <w:r>
              <w:rPr>
                <w:noProof/>
              </w:rPr>
              <w:t>Reforma nacionalnog sustava javne nabave</w:t>
            </w:r>
          </w:p>
        </w:tc>
        <w:tc>
          <w:tcPr>
            <w:tcW w:w="1275" w:type="dxa"/>
            <w:tcBorders>
              <w:top w:val="nil"/>
              <w:left w:val="nil"/>
              <w:bottom w:val="single" w:sz="4" w:space="0" w:color="auto"/>
              <w:right w:val="single" w:sz="4" w:space="0" w:color="auto"/>
            </w:tcBorders>
            <w:shd w:val="clear" w:color="auto" w:fill="C6EFCE"/>
            <w:noWrap/>
          </w:tcPr>
          <w:p w14:paraId="47857838"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661D0F0" w14:textId="77777777" w:rsidR="003F46B9" w:rsidRDefault="0065662E">
            <w:pPr>
              <w:pStyle w:val="P68B1DB1-Normal35"/>
              <w:spacing w:after="0"/>
              <w:jc w:val="both"/>
              <w:rPr>
                <w:noProof/>
              </w:rPr>
            </w:pPr>
            <w:r>
              <w:rPr>
                <w:noProof/>
              </w:rPr>
              <w:t>Operativna centralizirana tijela za nabavu za lokalna tijela</w:t>
            </w:r>
          </w:p>
        </w:tc>
      </w:tr>
      <w:tr w:rsidR="003F46B9" w14:paraId="0945F7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96766F" w14:textId="77777777" w:rsidR="003F46B9" w:rsidRDefault="0065662E">
            <w:pPr>
              <w:pStyle w:val="P68B1DB1-Normal35"/>
              <w:spacing w:after="0"/>
              <w:jc w:val="center"/>
              <w:rPr>
                <w:noProof/>
              </w:rPr>
            </w:pPr>
            <w:r>
              <w:rPr>
                <w:noProof/>
              </w:rPr>
              <w:t>454</w:t>
            </w:r>
          </w:p>
        </w:tc>
        <w:tc>
          <w:tcPr>
            <w:tcW w:w="3544" w:type="dxa"/>
            <w:tcBorders>
              <w:top w:val="nil"/>
              <w:left w:val="nil"/>
              <w:bottom w:val="single" w:sz="4" w:space="0" w:color="auto"/>
              <w:right w:val="single" w:sz="4" w:space="0" w:color="auto"/>
            </w:tcBorders>
            <w:shd w:val="clear" w:color="auto" w:fill="C6EFCE"/>
            <w:noWrap/>
          </w:tcPr>
          <w:p w14:paraId="1B4A3454" w14:textId="77777777" w:rsidR="003F46B9" w:rsidRDefault="0065662E">
            <w:pPr>
              <w:pStyle w:val="P68B1DB1-Normal35"/>
              <w:spacing w:after="0"/>
              <w:jc w:val="both"/>
              <w:rPr>
                <w:noProof/>
              </w:rPr>
            </w:pPr>
            <w:r>
              <w:rPr>
                <w:noProof/>
              </w:rPr>
              <w:t xml:space="preserve">C15.2. </w:t>
            </w:r>
          </w:p>
          <w:p w14:paraId="08C6303E" w14:textId="77777777" w:rsidR="003F46B9" w:rsidRDefault="0065662E">
            <w:pPr>
              <w:pStyle w:val="P68B1DB1-Normal35"/>
              <w:spacing w:after="0"/>
              <w:jc w:val="both"/>
              <w:rPr>
                <w:noProof/>
              </w:rPr>
            </w:pPr>
            <w:r>
              <w:rPr>
                <w:noProof/>
              </w:rPr>
              <w:t>Jedinstveni, uključiv i kvalitetan sustav ranog i predškolskog odgoja i obrazovanja</w:t>
            </w:r>
          </w:p>
        </w:tc>
        <w:tc>
          <w:tcPr>
            <w:tcW w:w="1275" w:type="dxa"/>
            <w:tcBorders>
              <w:top w:val="nil"/>
              <w:left w:val="nil"/>
              <w:bottom w:val="single" w:sz="4" w:space="0" w:color="auto"/>
              <w:right w:val="single" w:sz="4" w:space="0" w:color="auto"/>
            </w:tcBorders>
            <w:shd w:val="clear" w:color="auto" w:fill="C6EFCE"/>
            <w:noWrap/>
          </w:tcPr>
          <w:p w14:paraId="3635771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C259806" w14:textId="77777777" w:rsidR="003F46B9" w:rsidRDefault="0065662E">
            <w:pPr>
              <w:pStyle w:val="P68B1DB1-Normal35"/>
              <w:spacing w:after="0"/>
              <w:jc w:val="both"/>
              <w:rPr>
                <w:noProof/>
              </w:rPr>
            </w:pPr>
            <w:r>
              <w:rPr>
                <w:noProof/>
              </w:rPr>
              <w:t>Stopa sudjelovanja osoba u dobi od 0 do 3 godine u uslugama ranog i predškolskog odgoja i obrazovanja</w:t>
            </w:r>
          </w:p>
        </w:tc>
      </w:tr>
      <w:tr w:rsidR="003F46B9" w14:paraId="5C5D8F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A4A22" w14:textId="77777777" w:rsidR="003F46B9" w:rsidRDefault="0065662E">
            <w:pPr>
              <w:pStyle w:val="P68B1DB1-Normal35"/>
              <w:spacing w:after="0"/>
              <w:jc w:val="center"/>
              <w:rPr>
                <w:noProof/>
              </w:rPr>
            </w:pPr>
            <w:r>
              <w:rPr>
                <w:noProof/>
              </w:rPr>
              <w:t>455</w:t>
            </w:r>
          </w:p>
        </w:tc>
        <w:tc>
          <w:tcPr>
            <w:tcW w:w="3544" w:type="dxa"/>
            <w:tcBorders>
              <w:top w:val="nil"/>
              <w:left w:val="nil"/>
              <w:bottom w:val="single" w:sz="4" w:space="0" w:color="auto"/>
              <w:right w:val="single" w:sz="4" w:space="0" w:color="auto"/>
            </w:tcBorders>
            <w:shd w:val="clear" w:color="auto" w:fill="C6EFCE"/>
            <w:noWrap/>
          </w:tcPr>
          <w:p w14:paraId="433AE859" w14:textId="77777777" w:rsidR="003F46B9" w:rsidRDefault="0065662E">
            <w:pPr>
              <w:pStyle w:val="P68B1DB1-Normal35"/>
              <w:spacing w:after="0"/>
              <w:jc w:val="both"/>
              <w:rPr>
                <w:noProof/>
              </w:rPr>
            </w:pPr>
            <w:r>
              <w:rPr>
                <w:noProof/>
              </w:rPr>
              <w:t xml:space="preserve">C15.R2. </w:t>
            </w:r>
          </w:p>
          <w:p w14:paraId="45F06AAF" w14:textId="77777777" w:rsidR="003F46B9" w:rsidRDefault="0065662E">
            <w:pPr>
              <w:pStyle w:val="P68B1DB1-Normal35"/>
              <w:spacing w:after="0"/>
              <w:jc w:val="both"/>
              <w:rPr>
                <w:noProof/>
              </w:rPr>
            </w:pPr>
            <w:r>
              <w:rPr>
                <w:noProof/>
              </w:rPr>
              <w:t>Jedinstveni, uključiv i kvalitetan sustav ranog i pred</w:t>
            </w:r>
            <w:r>
              <w:rPr>
                <w:noProof/>
              </w:rPr>
              <w:t>školskog odgoja i obrazovanja</w:t>
            </w:r>
          </w:p>
        </w:tc>
        <w:tc>
          <w:tcPr>
            <w:tcW w:w="1275" w:type="dxa"/>
            <w:tcBorders>
              <w:top w:val="nil"/>
              <w:left w:val="nil"/>
              <w:bottom w:val="single" w:sz="4" w:space="0" w:color="auto"/>
              <w:right w:val="single" w:sz="4" w:space="0" w:color="auto"/>
            </w:tcBorders>
            <w:shd w:val="clear" w:color="auto" w:fill="C6EFCE"/>
            <w:noWrap/>
          </w:tcPr>
          <w:p w14:paraId="333998F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3ACEF1A" w14:textId="77777777" w:rsidR="003F46B9" w:rsidRDefault="0065662E">
            <w:pPr>
              <w:pStyle w:val="P68B1DB1-Normal35"/>
              <w:spacing w:after="0"/>
              <w:jc w:val="both"/>
              <w:rPr>
                <w:noProof/>
              </w:rPr>
            </w:pPr>
            <w:r>
              <w:rPr>
                <w:noProof/>
              </w:rPr>
              <w:t>Stopa sudjelovanja osoba u dobi od 3 do 6 godina u uslugama ranog i predškolskog odgoja i obrazovanja</w:t>
            </w:r>
          </w:p>
        </w:tc>
      </w:tr>
      <w:tr w:rsidR="003F46B9" w14:paraId="7C3B5C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68B034" w14:textId="77777777" w:rsidR="003F46B9" w:rsidRDefault="0065662E">
            <w:pPr>
              <w:pStyle w:val="P68B1DB1-Normal35"/>
              <w:spacing w:after="0"/>
              <w:jc w:val="center"/>
              <w:rPr>
                <w:noProof/>
              </w:rPr>
            </w:pPr>
            <w:r>
              <w:rPr>
                <w:noProof/>
              </w:rPr>
              <w:t>457</w:t>
            </w:r>
          </w:p>
        </w:tc>
        <w:tc>
          <w:tcPr>
            <w:tcW w:w="3544" w:type="dxa"/>
            <w:tcBorders>
              <w:top w:val="nil"/>
              <w:left w:val="nil"/>
              <w:bottom w:val="single" w:sz="4" w:space="0" w:color="auto"/>
              <w:right w:val="single" w:sz="4" w:space="0" w:color="auto"/>
            </w:tcBorders>
            <w:shd w:val="clear" w:color="auto" w:fill="C6EFCE"/>
            <w:noWrap/>
          </w:tcPr>
          <w:p w14:paraId="273C7A95" w14:textId="77777777" w:rsidR="003F46B9" w:rsidRDefault="0065662E">
            <w:pPr>
              <w:pStyle w:val="P68B1DB1-Normal35"/>
              <w:spacing w:after="0"/>
              <w:jc w:val="both"/>
              <w:rPr>
                <w:noProof/>
              </w:rPr>
            </w:pPr>
            <w:r>
              <w:rPr>
                <w:noProof/>
              </w:rPr>
              <w:t xml:space="preserve">C15.I1. </w:t>
            </w:r>
          </w:p>
          <w:p w14:paraId="563768BD" w14:textId="77777777" w:rsidR="003F46B9" w:rsidRDefault="0065662E">
            <w:pPr>
              <w:pStyle w:val="P68B1DB1-Normal35"/>
              <w:spacing w:after="0"/>
              <w:jc w:val="both"/>
              <w:rPr>
                <w:noProof/>
              </w:rPr>
            </w:pPr>
            <w:r>
              <w:rPr>
                <w:noProof/>
              </w:rPr>
              <w:t>Izgradnja, opremanje i operacionalizacija 110 jaslica</w:t>
            </w:r>
          </w:p>
        </w:tc>
        <w:tc>
          <w:tcPr>
            <w:tcW w:w="1275" w:type="dxa"/>
            <w:tcBorders>
              <w:top w:val="nil"/>
              <w:left w:val="nil"/>
              <w:bottom w:val="single" w:sz="4" w:space="0" w:color="auto"/>
              <w:right w:val="single" w:sz="4" w:space="0" w:color="auto"/>
            </w:tcBorders>
            <w:shd w:val="clear" w:color="auto" w:fill="C6EFCE"/>
            <w:noWrap/>
          </w:tcPr>
          <w:p w14:paraId="26BA06D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9A5E47D" w14:textId="77777777" w:rsidR="003F46B9" w:rsidRDefault="0065662E">
            <w:pPr>
              <w:pStyle w:val="P68B1DB1-Normal35"/>
              <w:spacing w:after="0"/>
              <w:jc w:val="both"/>
              <w:rPr>
                <w:noProof/>
              </w:rPr>
            </w:pPr>
            <w:r>
              <w:rPr>
                <w:noProof/>
              </w:rPr>
              <w:t xml:space="preserve">Novoizgrađene, opremljene i operacionalizirane </w:t>
            </w:r>
            <w:r>
              <w:rPr>
                <w:noProof/>
              </w:rPr>
              <w:t>jaslice</w:t>
            </w:r>
          </w:p>
        </w:tc>
      </w:tr>
      <w:tr w:rsidR="003F46B9" w14:paraId="07524CC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5BC3C8" w14:textId="77777777" w:rsidR="003F46B9" w:rsidRDefault="0065662E">
            <w:pPr>
              <w:pStyle w:val="P68B1DB1-Normal35"/>
              <w:spacing w:after="0"/>
              <w:jc w:val="center"/>
              <w:rPr>
                <w:noProof/>
              </w:rPr>
            </w:pPr>
            <w:r>
              <w:rPr>
                <w:noProof/>
              </w:rPr>
              <w:t>461</w:t>
            </w:r>
          </w:p>
        </w:tc>
        <w:tc>
          <w:tcPr>
            <w:tcW w:w="3544" w:type="dxa"/>
            <w:tcBorders>
              <w:top w:val="nil"/>
              <w:left w:val="nil"/>
              <w:bottom w:val="single" w:sz="4" w:space="0" w:color="auto"/>
              <w:right w:val="single" w:sz="4" w:space="0" w:color="auto"/>
            </w:tcBorders>
            <w:shd w:val="clear" w:color="auto" w:fill="C6EFCE"/>
            <w:noWrap/>
          </w:tcPr>
          <w:p w14:paraId="377288AD" w14:textId="77777777" w:rsidR="003F46B9" w:rsidRDefault="0065662E">
            <w:pPr>
              <w:pStyle w:val="P68B1DB1-Normal35"/>
              <w:spacing w:after="0"/>
              <w:jc w:val="both"/>
              <w:rPr>
                <w:noProof/>
              </w:rPr>
            </w:pPr>
            <w:r>
              <w:rPr>
                <w:noProof/>
              </w:rPr>
              <w:t xml:space="preserve">C15.I3. </w:t>
            </w:r>
          </w:p>
          <w:p w14:paraId="3FF23774" w14:textId="77777777" w:rsidR="003F46B9" w:rsidRDefault="0065662E">
            <w:pPr>
              <w:pStyle w:val="P68B1DB1-Normal35"/>
              <w:spacing w:after="0"/>
              <w:jc w:val="both"/>
              <w:rPr>
                <w:noProof/>
              </w:rPr>
            </w:pPr>
            <w:r>
              <w:rPr>
                <w:noProof/>
              </w:rPr>
              <w:t>Razvoj okvirnog programa za trajno osposobljavanje stručnjaka u uslugama ranog i predškolskog odgoja i obrazovanja</w:t>
            </w:r>
          </w:p>
        </w:tc>
        <w:tc>
          <w:tcPr>
            <w:tcW w:w="1275" w:type="dxa"/>
            <w:tcBorders>
              <w:top w:val="nil"/>
              <w:left w:val="nil"/>
              <w:bottom w:val="single" w:sz="4" w:space="0" w:color="auto"/>
              <w:right w:val="single" w:sz="4" w:space="0" w:color="auto"/>
            </w:tcBorders>
            <w:shd w:val="clear" w:color="auto" w:fill="C6EFCE"/>
            <w:noWrap/>
          </w:tcPr>
          <w:p w14:paraId="4A46387A"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F18A46" w14:textId="77777777" w:rsidR="003F46B9" w:rsidRDefault="0065662E">
            <w:pPr>
              <w:pStyle w:val="P68B1DB1-Normal35"/>
              <w:spacing w:after="0"/>
              <w:jc w:val="both"/>
              <w:rPr>
                <w:noProof/>
              </w:rPr>
            </w:pPr>
            <w:r>
              <w:rPr>
                <w:noProof/>
              </w:rPr>
              <w:t>Osposobljeno osoblje koje radi na standardnim i komplementarnim uslugama ranog i predškolskog odgoja i obrazovanja, p</w:t>
            </w:r>
            <w:r>
              <w:rPr>
                <w:noProof/>
              </w:rPr>
              <w:t>ri čemu se prednost daje novoosnovanom osoblju</w:t>
            </w:r>
          </w:p>
        </w:tc>
      </w:tr>
      <w:tr w:rsidR="003F46B9" w14:paraId="61CF8B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57AA8F" w14:textId="77777777" w:rsidR="003F46B9" w:rsidRDefault="0065662E">
            <w:pPr>
              <w:pStyle w:val="P68B1DB1-Normal35"/>
              <w:spacing w:after="0"/>
              <w:jc w:val="center"/>
              <w:rPr>
                <w:noProof/>
              </w:rPr>
            </w:pPr>
            <w:r>
              <w:rPr>
                <w:noProof/>
              </w:rPr>
              <w:t>487</w:t>
            </w:r>
          </w:p>
        </w:tc>
        <w:tc>
          <w:tcPr>
            <w:tcW w:w="3544" w:type="dxa"/>
            <w:tcBorders>
              <w:top w:val="nil"/>
              <w:left w:val="nil"/>
              <w:bottom w:val="single" w:sz="4" w:space="0" w:color="auto"/>
              <w:right w:val="single" w:sz="4" w:space="0" w:color="auto"/>
            </w:tcBorders>
            <w:shd w:val="clear" w:color="auto" w:fill="C6EFCE"/>
            <w:noWrap/>
          </w:tcPr>
          <w:p w14:paraId="6D3718FD" w14:textId="77777777" w:rsidR="003F46B9" w:rsidRDefault="0065662E">
            <w:pPr>
              <w:pStyle w:val="P68B1DB1-Normal35"/>
              <w:spacing w:after="0"/>
              <w:jc w:val="both"/>
              <w:rPr>
                <w:noProof/>
              </w:rPr>
            </w:pPr>
            <w:r>
              <w:rPr>
                <w:noProof/>
              </w:rPr>
              <w:t xml:space="preserve">C15.I10. </w:t>
            </w:r>
          </w:p>
          <w:p w14:paraId="75C685F0" w14:textId="77777777" w:rsidR="003F46B9" w:rsidRDefault="0065662E">
            <w:pPr>
              <w:pStyle w:val="P68B1DB1-Normal35"/>
              <w:spacing w:after="0"/>
              <w:jc w:val="both"/>
              <w:rPr>
                <w:noProof/>
              </w:rPr>
            </w:pPr>
            <w:r>
              <w:rPr>
                <w:noProof/>
              </w:rPr>
              <w:t>Razvoj mreže zelenih škola i kupnja zelenih minibusa</w:t>
            </w:r>
          </w:p>
        </w:tc>
        <w:tc>
          <w:tcPr>
            <w:tcW w:w="1275" w:type="dxa"/>
            <w:tcBorders>
              <w:top w:val="nil"/>
              <w:left w:val="nil"/>
              <w:bottom w:val="single" w:sz="4" w:space="0" w:color="auto"/>
              <w:right w:val="single" w:sz="4" w:space="0" w:color="auto"/>
            </w:tcBorders>
            <w:shd w:val="clear" w:color="auto" w:fill="C6EFCE"/>
            <w:noWrap/>
          </w:tcPr>
          <w:p w14:paraId="5C0D34E8"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1B397B4" w14:textId="77777777" w:rsidR="003F46B9" w:rsidRDefault="0065662E">
            <w:pPr>
              <w:pStyle w:val="P68B1DB1-Normal35"/>
              <w:spacing w:after="0"/>
              <w:jc w:val="both"/>
              <w:rPr>
                <w:noProof/>
              </w:rPr>
            </w:pPr>
            <w:r>
              <w:rPr>
                <w:noProof/>
              </w:rPr>
              <w:t>Predsveučilišno školsko područje obnovljeno je kako bi postalo zelene škole</w:t>
            </w:r>
          </w:p>
        </w:tc>
      </w:tr>
      <w:tr w:rsidR="003F46B9" w14:paraId="51284B0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2EBAB9" w14:textId="77777777" w:rsidR="003F46B9" w:rsidRDefault="0065662E">
            <w:pPr>
              <w:pStyle w:val="P68B1DB1-Normal35"/>
              <w:spacing w:after="0"/>
              <w:jc w:val="center"/>
              <w:rPr>
                <w:noProof/>
              </w:rPr>
            </w:pPr>
            <w:r>
              <w:rPr>
                <w:noProof/>
              </w:rPr>
              <w:t>488</w:t>
            </w:r>
          </w:p>
        </w:tc>
        <w:tc>
          <w:tcPr>
            <w:tcW w:w="3544" w:type="dxa"/>
            <w:tcBorders>
              <w:top w:val="nil"/>
              <w:left w:val="nil"/>
              <w:bottom w:val="single" w:sz="4" w:space="0" w:color="auto"/>
              <w:right w:val="single" w:sz="4" w:space="0" w:color="auto"/>
            </w:tcBorders>
            <w:shd w:val="clear" w:color="auto" w:fill="C6EFCE"/>
            <w:noWrap/>
          </w:tcPr>
          <w:p w14:paraId="05BE4F9C" w14:textId="77777777" w:rsidR="003F46B9" w:rsidRDefault="0065662E">
            <w:pPr>
              <w:pStyle w:val="P68B1DB1-Normal35"/>
              <w:spacing w:after="0"/>
              <w:jc w:val="both"/>
              <w:rPr>
                <w:noProof/>
              </w:rPr>
            </w:pPr>
            <w:r>
              <w:rPr>
                <w:noProof/>
              </w:rPr>
              <w:t xml:space="preserve">C15.I10. </w:t>
            </w:r>
          </w:p>
          <w:p w14:paraId="7100C5A5" w14:textId="77777777" w:rsidR="003F46B9" w:rsidRDefault="0065662E">
            <w:pPr>
              <w:pStyle w:val="P68B1DB1-Normal35"/>
              <w:spacing w:after="0"/>
              <w:jc w:val="both"/>
              <w:rPr>
                <w:noProof/>
              </w:rPr>
            </w:pPr>
            <w:r>
              <w:rPr>
                <w:noProof/>
              </w:rPr>
              <w:t xml:space="preserve">Razvoj mreže zelenih škola i kupnja zelenih </w:t>
            </w:r>
            <w:r>
              <w:rPr>
                <w:noProof/>
              </w:rPr>
              <w:t>minibusa</w:t>
            </w:r>
          </w:p>
        </w:tc>
        <w:tc>
          <w:tcPr>
            <w:tcW w:w="1275" w:type="dxa"/>
            <w:tcBorders>
              <w:top w:val="nil"/>
              <w:left w:val="nil"/>
              <w:bottom w:val="single" w:sz="4" w:space="0" w:color="auto"/>
              <w:right w:val="single" w:sz="4" w:space="0" w:color="auto"/>
            </w:tcBorders>
            <w:shd w:val="clear" w:color="auto" w:fill="C6EFCE"/>
            <w:noWrap/>
          </w:tcPr>
          <w:p w14:paraId="45AB511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851B20C" w14:textId="77777777" w:rsidR="003F46B9" w:rsidRDefault="0065662E">
            <w:pPr>
              <w:pStyle w:val="P68B1DB1-Normal35"/>
              <w:spacing w:after="0"/>
              <w:jc w:val="both"/>
              <w:rPr>
                <w:noProof/>
              </w:rPr>
            </w:pPr>
            <w:r>
              <w:rPr>
                <w:noProof/>
              </w:rPr>
              <w:t xml:space="preserve">Izgrađeno i operativno područje nove zelene škole </w:t>
            </w:r>
          </w:p>
        </w:tc>
      </w:tr>
      <w:tr w:rsidR="003F46B9" w14:paraId="6A19EC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1D32F20" w14:textId="77777777" w:rsidR="003F46B9" w:rsidRDefault="0065662E">
            <w:pPr>
              <w:pStyle w:val="P68B1DB1-Normal35"/>
              <w:spacing w:after="0"/>
              <w:jc w:val="center"/>
              <w:rPr>
                <w:noProof/>
              </w:rPr>
            </w:pPr>
            <w:r>
              <w:rPr>
                <w:noProof/>
              </w:rPr>
              <w:t>226.a</w:t>
            </w:r>
          </w:p>
        </w:tc>
        <w:tc>
          <w:tcPr>
            <w:tcW w:w="3544" w:type="dxa"/>
            <w:tcBorders>
              <w:top w:val="nil"/>
              <w:left w:val="nil"/>
              <w:bottom w:val="single" w:sz="4" w:space="0" w:color="auto"/>
              <w:right w:val="single" w:sz="4" w:space="0" w:color="auto"/>
            </w:tcBorders>
            <w:shd w:val="clear" w:color="auto" w:fill="C6EFCE"/>
            <w:noWrap/>
          </w:tcPr>
          <w:p w14:paraId="6DC3A175" w14:textId="77777777" w:rsidR="003F46B9" w:rsidRDefault="0065662E">
            <w:pPr>
              <w:pStyle w:val="P68B1DB1-Normal35"/>
              <w:spacing w:after="0"/>
              <w:jc w:val="both"/>
              <w:rPr>
                <w:noProof/>
              </w:rPr>
            </w:pPr>
            <w:r>
              <w:rPr>
                <w:noProof/>
              </w:rPr>
              <w:t>C8.I2</w:t>
            </w:r>
          </w:p>
          <w:p w14:paraId="0516069C" w14:textId="77777777" w:rsidR="003F46B9" w:rsidRDefault="0065662E">
            <w:pPr>
              <w:pStyle w:val="P68B1DB1-Normal35"/>
              <w:spacing w:after="0"/>
              <w:jc w:val="both"/>
              <w:rPr>
                <w:noProof/>
              </w:rPr>
            </w:pPr>
            <w:r>
              <w:rPr>
                <w:noProof/>
              </w:rPr>
              <w:t>Poboljšanje postupaka porezne i porezne uprave, među ostalim provedbom integriranog upravljanja rizicima</w:t>
            </w:r>
          </w:p>
        </w:tc>
        <w:tc>
          <w:tcPr>
            <w:tcW w:w="1275" w:type="dxa"/>
            <w:tcBorders>
              <w:top w:val="nil"/>
              <w:left w:val="nil"/>
              <w:bottom w:val="single" w:sz="4" w:space="0" w:color="auto"/>
              <w:right w:val="single" w:sz="4" w:space="0" w:color="auto"/>
            </w:tcBorders>
            <w:shd w:val="clear" w:color="auto" w:fill="C6EFCE"/>
            <w:noWrap/>
          </w:tcPr>
          <w:p w14:paraId="390840F3"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CB07F8D" w14:textId="77777777" w:rsidR="003F46B9" w:rsidRDefault="0065662E">
            <w:pPr>
              <w:pStyle w:val="P68B1DB1-Normal35"/>
              <w:spacing w:after="0"/>
              <w:jc w:val="both"/>
              <w:rPr>
                <w:noProof/>
              </w:rPr>
            </w:pPr>
            <w:r>
              <w:rPr>
                <w:noProof/>
              </w:rPr>
              <w:t>Operacionalizacija sustava porezne uprave</w:t>
            </w:r>
          </w:p>
        </w:tc>
      </w:tr>
      <w:tr w:rsidR="003F46B9" w14:paraId="5CE848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F913318" w14:textId="77777777" w:rsidR="003F46B9" w:rsidRDefault="0065662E">
            <w:pPr>
              <w:pStyle w:val="P68B1DB1-Normal35"/>
              <w:spacing w:after="0"/>
              <w:jc w:val="center"/>
              <w:rPr>
                <w:noProof/>
              </w:rPr>
            </w:pPr>
            <w:r>
              <w:rPr>
                <w:noProof/>
              </w:rPr>
              <w:t>511</w:t>
            </w:r>
          </w:p>
        </w:tc>
        <w:tc>
          <w:tcPr>
            <w:tcW w:w="3544" w:type="dxa"/>
            <w:tcBorders>
              <w:top w:val="nil"/>
              <w:left w:val="nil"/>
              <w:bottom w:val="single" w:sz="4" w:space="0" w:color="auto"/>
              <w:right w:val="single" w:sz="4" w:space="0" w:color="auto"/>
            </w:tcBorders>
            <w:shd w:val="clear" w:color="auto" w:fill="C6EFCE"/>
            <w:noWrap/>
          </w:tcPr>
          <w:p w14:paraId="006223D2" w14:textId="77777777" w:rsidR="003F46B9" w:rsidRDefault="0065662E">
            <w:pPr>
              <w:pStyle w:val="P68B1DB1-Normal35"/>
              <w:spacing w:after="0"/>
              <w:jc w:val="both"/>
              <w:rPr>
                <w:noProof/>
              </w:rPr>
            </w:pPr>
            <w:r>
              <w:rPr>
                <w:noProof/>
              </w:rPr>
              <w:t>C16.R1</w:t>
            </w:r>
          </w:p>
          <w:p w14:paraId="5004EBC1" w14:textId="77777777" w:rsidR="003F46B9" w:rsidRDefault="0065662E">
            <w:pPr>
              <w:pStyle w:val="P68B1DB1-Normal35"/>
              <w:spacing w:after="0"/>
              <w:jc w:val="both"/>
              <w:rPr>
                <w:noProof/>
              </w:rPr>
            </w:pPr>
            <w:r>
              <w:rPr>
                <w:noProof/>
              </w:rPr>
              <w:t xml:space="preserve">Stvaranje pravnog </w:t>
            </w:r>
            <w:r>
              <w:rPr>
                <w:noProof/>
              </w:rPr>
              <w:t>okvira za korištenje državnog zemljišta kao područja ubrzavanja za ulaganja u obnovljive izvore energije</w:t>
            </w:r>
          </w:p>
        </w:tc>
        <w:tc>
          <w:tcPr>
            <w:tcW w:w="1275" w:type="dxa"/>
            <w:tcBorders>
              <w:top w:val="nil"/>
              <w:left w:val="nil"/>
              <w:bottom w:val="single" w:sz="4" w:space="0" w:color="auto"/>
              <w:right w:val="single" w:sz="4" w:space="0" w:color="auto"/>
            </w:tcBorders>
            <w:shd w:val="clear" w:color="auto" w:fill="C6EFCE"/>
            <w:noWrap/>
          </w:tcPr>
          <w:p w14:paraId="67D53B5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A52FE07" w14:textId="77777777" w:rsidR="003F46B9" w:rsidRDefault="0065662E">
            <w:pPr>
              <w:pStyle w:val="P68B1DB1-Normal35"/>
              <w:spacing w:after="0"/>
              <w:jc w:val="both"/>
              <w:rPr>
                <w:noProof/>
              </w:rPr>
            </w:pPr>
            <w:r>
              <w:rPr>
                <w:noProof/>
              </w:rPr>
              <w:t>Potpisivanje ugovora o koncesiji u područjima ubrzavanja</w:t>
            </w:r>
          </w:p>
        </w:tc>
      </w:tr>
      <w:tr w:rsidR="003F46B9" w14:paraId="375AF8A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42AC00" w14:textId="77777777" w:rsidR="003F46B9" w:rsidRDefault="0065662E">
            <w:pPr>
              <w:pStyle w:val="P68B1DB1-Normal35"/>
              <w:spacing w:after="0"/>
              <w:jc w:val="center"/>
              <w:rPr>
                <w:noProof/>
              </w:rPr>
            </w:pPr>
            <w:r>
              <w:rPr>
                <w:noProof/>
              </w:rPr>
              <w:t>516</w:t>
            </w:r>
          </w:p>
        </w:tc>
        <w:tc>
          <w:tcPr>
            <w:tcW w:w="3544" w:type="dxa"/>
            <w:tcBorders>
              <w:top w:val="nil"/>
              <w:left w:val="nil"/>
              <w:bottom w:val="single" w:sz="4" w:space="0" w:color="auto"/>
              <w:right w:val="single" w:sz="4" w:space="0" w:color="auto"/>
            </w:tcBorders>
            <w:shd w:val="clear" w:color="auto" w:fill="C6EFCE"/>
            <w:noWrap/>
          </w:tcPr>
          <w:p w14:paraId="56CD5829" w14:textId="77777777" w:rsidR="003F46B9" w:rsidRDefault="0065662E">
            <w:pPr>
              <w:pStyle w:val="P68B1DB1-Normal35"/>
              <w:spacing w:after="0"/>
              <w:jc w:val="both"/>
              <w:rPr>
                <w:noProof/>
              </w:rPr>
            </w:pPr>
            <w:r>
              <w:rPr>
                <w:noProof/>
              </w:rPr>
              <w:t>C16.I4</w:t>
            </w:r>
          </w:p>
          <w:p w14:paraId="1EBC06C5" w14:textId="77777777" w:rsidR="003F46B9" w:rsidRDefault="0065662E">
            <w:pPr>
              <w:pStyle w:val="P68B1DB1-Normal35"/>
              <w:spacing w:after="0"/>
              <w:jc w:val="both"/>
              <w:rPr>
                <w:noProof/>
              </w:rPr>
            </w:pPr>
            <w:r>
              <w:rPr>
                <w:noProof/>
              </w:rPr>
              <w:t xml:space="preserve">Program dodjele kupona kako bi se ubrzalo uvođenje energije iz obnovljivih </w:t>
            </w:r>
            <w:r>
              <w:rPr>
                <w:noProof/>
              </w:rPr>
              <w:t>izvora u kućanstvima</w:t>
            </w:r>
          </w:p>
        </w:tc>
        <w:tc>
          <w:tcPr>
            <w:tcW w:w="1275" w:type="dxa"/>
            <w:tcBorders>
              <w:top w:val="nil"/>
              <w:left w:val="nil"/>
              <w:bottom w:val="single" w:sz="4" w:space="0" w:color="auto"/>
              <w:right w:val="single" w:sz="4" w:space="0" w:color="auto"/>
            </w:tcBorders>
            <w:shd w:val="clear" w:color="auto" w:fill="C6EFCE"/>
            <w:noWrap/>
          </w:tcPr>
          <w:p w14:paraId="2E5C804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DB29716" w14:textId="77777777" w:rsidR="003F46B9" w:rsidRDefault="0065662E">
            <w:pPr>
              <w:pStyle w:val="P68B1DB1-Normal35"/>
              <w:spacing w:after="0"/>
              <w:jc w:val="both"/>
              <w:rPr>
                <w:noProof/>
              </w:rPr>
            </w:pPr>
            <w:r>
              <w:rPr>
                <w:noProof/>
              </w:rPr>
              <w:t>Instalirani proizvodni kapacitet kućanstava iz obnovljivih izvora solarne energije</w:t>
            </w:r>
          </w:p>
        </w:tc>
      </w:tr>
      <w:tr w:rsidR="003F46B9" w14:paraId="4373A96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8026B26"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FD55F07" w14:textId="77777777" w:rsidR="003F46B9" w:rsidRDefault="003F46B9">
            <w:pPr>
              <w:spacing w:after="0"/>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47AB81A9"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1999FC60" w14:textId="4BF473CC" w:rsidR="003F46B9" w:rsidRDefault="0065662E">
            <w:pPr>
              <w:pStyle w:val="P68B1DB1-Normal36"/>
              <w:spacing w:after="0"/>
              <w:jc w:val="right"/>
              <w:rPr>
                <w:noProof/>
              </w:rPr>
            </w:pPr>
            <w:r>
              <w:rPr>
                <w:noProof/>
              </w:rPr>
              <w:t>1548157938 EURA</w:t>
            </w:r>
          </w:p>
        </w:tc>
      </w:tr>
    </w:tbl>
    <w:p w14:paraId="47365C36" w14:textId="77777777" w:rsidR="003F46B9" w:rsidRDefault="003F46B9">
      <w:pPr>
        <w:pStyle w:val="NumPar2"/>
        <w:tabs>
          <w:tab w:val="clear" w:pos="850"/>
        </w:tabs>
        <w:ind w:left="0" w:firstLine="0"/>
        <w:rPr>
          <w:noProof/>
        </w:rPr>
        <w:sectPr w:rsidR="003F46B9">
          <w:headerReference w:type="even" r:id="rId355"/>
          <w:headerReference w:type="default" r:id="rId356"/>
          <w:footerReference w:type="even" r:id="rId357"/>
          <w:footerReference w:type="default" r:id="rId358"/>
          <w:headerReference w:type="first" r:id="rId359"/>
          <w:footerReference w:type="first" r:id="rId360"/>
          <w:pgSz w:w="11907" w:h="16839"/>
          <w:pgMar w:top="1134" w:right="1134" w:bottom="1134" w:left="1134" w:header="567" w:footer="567" w:gutter="0"/>
          <w:cols w:space="720"/>
          <w:docGrid w:linePitch="360"/>
        </w:sectPr>
      </w:pPr>
    </w:p>
    <w:p w14:paraId="0B7C5944" w14:textId="7C0B4275" w:rsidR="003F46B9" w:rsidRDefault="0065662E">
      <w:pPr>
        <w:pStyle w:val="Heading3"/>
        <w:rPr>
          <w:noProof/>
        </w:rPr>
      </w:pPr>
      <w:r>
        <w:rPr>
          <w:noProof/>
        </w:rPr>
        <w:t xml:space="preserve">Osmi obrok (bespovratna potpora): </w:t>
      </w:r>
    </w:p>
    <w:tbl>
      <w:tblPr>
        <w:tblW w:w="9634" w:type="dxa"/>
        <w:tblInd w:w="113" w:type="dxa"/>
        <w:tblLook w:val="04A0" w:firstRow="1" w:lastRow="0" w:firstColumn="1" w:lastColumn="0" w:noHBand="0" w:noVBand="1"/>
      </w:tblPr>
      <w:tblGrid>
        <w:gridCol w:w="1413"/>
        <w:gridCol w:w="3544"/>
        <w:gridCol w:w="1316"/>
        <w:gridCol w:w="3402"/>
      </w:tblGrid>
      <w:tr w:rsidR="003F46B9" w14:paraId="3426302C" w14:textId="77777777">
        <w:trPr>
          <w:trHeight w:val="567"/>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C792A6B"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5D24DD" w14:textId="77777777" w:rsidR="003F46B9" w:rsidRDefault="0065662E">
            <w:pPr>
              <w:pStyle w:val="P68B1DB1-Normal34"/>
              <w:spacing w:after="0"/>
              <w:jc w:val="center"/>
              <w:rPr>
                <w:noProof/>
              </w:rPr>
            </w:pPr>
            <w:r>
              <w:rPr>
                <w:noProof/>
              </w:rPr>
              <w:t>Povezana mjera</w:t>
            </w:r>
          </w:p>
          <w:p w14:paraId="035BEB89"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867918D"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3847C390" w14:textId="77777777" w:rsidR="003F46B9" w:rsidRDefault="0065662E">
            <w:pPr>
              <w:pStyle w:val="P68B1DB1-Normal34"/>
              <w:spacing w:after="0"/>
              <w:jc w:val="center"/>
              <w:rPr>
                <w:noProof/>
              </w:rPr>
            </w:pPr>
            <w:r>
              <w:rPr>
                <w:noProof/>
              </w:rPr>
              <w:t>Ime</w:t>
            </w:r>
          </w:p>
        </w:tc>
      </w:tr>
      <w:tr w:rsidR="003F46B9" w14:paraId="773B7061"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3812DF0D"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703D21C"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8A05496"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39D9E538" w14:textId="77777777" w:rsidR="003F46B9" w:rsidRDefault="003F46B9">
            <w:pPr>
              <w:spacing w:after="0"/>
              <w:jc w:val="both"/>
              <w:rPr>
                <w:rFonts w:ascii="Times New Roman" w:eastAsia="Times New Roman" w:hAnsi="Times New Roman" w:cs="Times New Roman"/>
                <w:b/>
                <w:noProof/>
              </w:rPr>
            </w:pPr>
          </w:p>
        </w:tc>
      </w:tr>
      <w:tr w:rsidR="003F46B9" w14:paraId="72F7366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3E532DAD" w14:textId="77777777" w:rsidR="003F46B9" w:rsidRDefault="0065662E">
            <w:pPr>
              <w:pStyle w:val="P68B1DB1-Normal35"/>
              <w:spacing w:after="0"/>
              <w:jc w:val="center"/>
              <w:rPr>
                <w:rFonts w:eastAsia="Times New Roman"/>
                <w:noProof/>
              </w:rPr>
            </w:pPr>
            <w:r>
              <w:rPr>
                <w:noProof/>
              </w:rPr>
              <w:t>63</w:t>
            </w:r>
          </w:p>
        </w:tc>
        <w:tc>
          <w:tcPr>
            <w:tcW w:w="3544" w:type="dxa"/>
            <w:tcBorders>
              <w:top w:val="nil"/>
              <w:left w:val="nil"/>
              <w:bottom w:val="single" w:sz="4" w:space="0" w:color="auto"/>
              <w:right w:val="single" w:sz="4" w:space="0" w:color="auto"/>
            </w:tcBorders>
            <w:shd w:val="clear" w:color="auto" w:fill="C6EFCE"/>
            <w:noWrap/>
            <w:hideMark/>
          </w:tcPr>
          <w:p w14:paraId="180C2A2E" w14:textId="77777777" w:rsidR="003F46B9" w:rsidRDefault="0065662E">
            <w:pPr>
              <w:pStyle w:val="P68B1DB1-Normal35"/>
              <w:spacing w:after="0"/>
              <w:jc w:val="both"/>
              <w:rPr>
                <w:rFonts w:eastAsia="Times New Roman"/>
                <w:noProof/>
              </w:rPr>
            </w:pPr>
            <w:r>
              <w:rPr>
                <w:noProof/>
              </w:rPr>
              <w:t>C4.R1</w:t>
            </w:r>
            <w:r>
              <w:rPr>
                <w:noProof/>
              </w:rPr>
              <w:br/>
              <w:t xml:space="preserve">Održivi promet, dekarbonizacija i sigurnost na cestama/ </w:t>
            </w:r>
            <w:r>
              <w:rPr>
                <w:noProof/>
              </w:rPr>
              <w:br/>
              <w:t>Dekarbonizacija cesta u skladu s načelom „onečišćivač plaća”</w:t>
            </w:r>
          </w:p>
        </w:tc>
        <w:tc>
          <w:tcPr>
            <w:tcW w:w="1275" w:type="dxa"/>
            <w:tcBorders>
              <w:top w:val="nil"/>
              <w:left w:val="nil"/>
              <w:bottom w:val="single" w:sz="4" w:space="0" w:color="auto"/>
              <w:right w:val="single" w:sz="4" w:space="0" w:color="auto"/>
            </w:tcBorders>
            <w:shd w:val="clear" w:color="auto" w:fill="C6EFCE"/>
            <w:noWrap/>
            <w:hideMark/>
          </w:tcPr>
          <w:p w14:paraId="25BAE281"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0D9046C2" w14:textId="77777777" w:rsidR="003F46B9" w:rsidRDefault="0065662E">
            <w:pPr>
              <w:pStyle w:val="P68B1DB1-Normal35"/>
              <w:spacing w:after="0"/>
              <w:jc w:val="both"/>
              <w:rPr>
                <w:rFonts w:eastAsia="Times New Roman"/>
                <w:noProof/>
              </w:rPr>
            </w:pPr>
            <w:r>
              <w:rPr>
                <w:noProof/>
              </w:rPr>
              <w:t xml:space="preserve">Povećanje broja vozila s nultim emisijama </w:t>
            </w:r>
          </w:p>
        </w:tc>
      </w:tr>
      <w:tr w:rsidR="003F46B9" w14:paraId="72B12E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0EFC50C" w14:textId="77777777" w:rsidR="003F46B9" w:rsidRDefault="0065662E">
            <w:pPr>
              <w:pStyle w:val="P68B1DB1-Normal35"/>
              <w:spacing w:after="0"/>
              <w:jc w:val="center"/>
              <w:rPr>
                <w:rFonts w:eastAsia="Times New Roman"/>
                <w:noProof/>
              </w:rPr>
            </w:pPr>
            <w:r>
              <w:rPr>
                <w:noProof/>
              </w:rPr>
              <w:t>68</w:t>
            </w:r>
          </w:p>
        </w:tc>
        <w:tc>
          <w:tcPr>
            <w:tcW w:w="3544" w:type="dxa"/>
            <w:tcBorders>
              <w:top w:val="nil"/>
              <w:left w:val="nil"/>
              <w:bottom w:val="single" w:sz="4" w:space="0" w:color="auto"/>
              <w:right w:val="single" w:sz="4" w:space="0" w:color="auto"/>
            </w:tcBorders>
            <w:shd w:val="clear" w:color="auto" w:fill="C6EFCE"/>
            <w:noWrap/>
            <w:hideMark/>
          </w:tcPr>
          <w:p w14:paraId="596721EB" w14:textId="77777777" w:rsidR="003F46B9" w:rsidRDefault="0065662E">
            <w:pPr>
              <w:pStyle w:val="P68B1DB1-Normal35"/>
              <w:spacing w:after="0"/>
              <w:jc w:val="both"/>
              <w:rPr>
                <w:rFonts w:eastAsia="Times New Roman"/>
                <w:noProof/>
              </w:rPr>
            </w:pPr>
            <w:r>
              <w:rPr>
                <w:noProof/>
              </w:rPr>
              <w:t>C4.R1</w:t>
            </w:r>
            <w:r>
              <w:rPr>
                <w:noProof/>
              </w:rPr>
              <w:br/>
              <w:t xml:space="preserve">Održivi promet, dekarbonizacija i sigurnost na cestama/ </w:t>
            </w:r>
            <w:r>
              <w:rPr>
                <w:noProof/>
              </w:rPr>
              <w:br/>
              <w:t>Sigurnost u cestovnom prometu</w:t>
            </w:r>
          </w:p>
        </w:tc>
        <w:tc>
          <w:tcPr>
            <w:tcW w:w="1275" w:type="dxa"/>
            <w:tcBorders>
              <w:top w:val="nil"/>
              <w:left w:val="nil"/>
              <w:bottom w:val="single" w:sz="4" w:space="0" w:color="auto"/>
              <w:right w:val="single" w:sz="4" w:space="0" w:color="auto"/>
            </w:tcBorders>
            <w:shd w:val="clear" w:color="auto" w:fill="C6EFCE"/>
            <w:noWrap/>
            <w:hideMark/>
          </w:tcPr>
          <w:p w14:paraId="648D15ED"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38F11F9" w14:textId="77777777" w:rsidR="003F46B9" w:rsidRDefault="0065662E">
            <w:pPr>
              <w:pStyle w:val="P68B1DB1-Normal35"/>
              <w:spacing w:after="0"/>
              <w:jc w:val="both"/>
              <w:rPr>
                <w:noProof/>
              </w:rPr>
            </w:pPr>
            <w:r>
              <w:rPr>
                <w:noProof/>
              </w:rPr>
              <w:t xml:space="preserve">Smanjenje broja žrtava prometnih nesreća (teško ozlijeđenih i preminulih osoba) za 25 % u odnosu na polaznu </w:t>
            </w:r>
            <w:r>
              <w:rPr>
                <w:noProof/>
              </w:rPr>
              <w:t>vrijednost iz 2019.</w:t>
            </w:r>
          </w:p>
        </w:tc>
      </w:tr>
      <w:tr w:rsidR="003F46B9" w14:paraId="7D8590E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123EF78B" w14:textId="77777777" w:rsidR="003F46B9" w:rsidRDefault="0065662E">
            <w:pPr>
              <w:pStyle w:val="P68B1DB1-Normal35"/>
              <w:spacing w:after="0"/>
              <w:jc w:val="center"/>
              <w:rPr>
                <w:rFonts w:eastAsia="Times New Roman"/>
                <w:noProof/>
              </w:rPr>
            </w:pPr>
            <w:r>
              <w:rPr>
                <w:noProof/>
              </w:rPr>
              <w:t>181</w:t>
            </w:r>
          </w:p>
        </w:tc>
        <w:tc>
          <w:tcPr>
            <w:tcW w:w="3544" w:type="dxa"/>
            <w:tcBorders>
              <w:top w:val="nil"/>
              <w:left w:val="nil"/>
              <w:bottom w:val="single" w:sz="4" w:space="0" w:color="auto"/>
              <w:right w:val="single" w:sz="4" w:space="0" w:color="auto"/>
            </w:tcBorders>
            <w:shd w:val="clear" w:color="auto" w:fill="C6EFCE"/>
            <w:noWrap/>
            <w:hideMark/>
          </w:tcPr>
          <w:p w14:paraId="14AB49DE" w14:textId="77777777" w:rsidR="003F46B9" w:rsidRDefault="0065662E">
            <w:pPr>
              <w:pStyle w:val="P68B1DB1-Normal35"/>
              <w:spacing w:after="0"/>
              <w:jc w:val="both"/>
              <w:rPr>
                <w:noProof/>
              </w:rPr>
            </w:pPr>
            <w:r>
              <w:rPr>
                <w:noProof/>
              </w:rPr>
              <w:t>C7.I13</w:t>
            </w:r>
          </w:p>
          <w:p w14:paraId="0A3D903C" w14:textId="6A4C3188" w:rsidR="003F46B9" w:rsidRDefault="0065662E">
            <w:pPr>
              <w:pStyle w:val="P68B1DB1-Normal35"/>
              <w:spacing w:after="0"/>
              <w:jc w:val="both"/>
              <w:rPr>
                <w:rFonts w:eastAsia="Times New Roman"/>
                <w:noProof/>
              </w:rPr>
            </w:pPr>
            <w:r>
              <w:rPr>
                <w:noProof/>
              </w:rPr>
              <w:t xml:space="preserve">Razvoj sigurnosnih sustava za zaštitu državnog spektra </w:t>
            </w:r>
          </w:p>
        </w:tc>
        <w:tc>
          <w:tcPr>
            <w:tcW w:w="1275" w:type="dxa"/>
            <w:tcBorders>
              <w:top w:val="nil"/>
              <w:left w:val="nil"/>
              <w:bottom w:val="single" w:sz="4" w:space="0" w:color="auto"/>
              <w:right w:val="single" w:sz="4" w:space="0" w:color="auto"/>
            </w:tcBorders>
            <w:shd w:val="clear" w:color="auto" w:fill="C6EFCE"/>
            <w:noWrap/>
            <w:hideMark/>
          </w:tcPr>
          <w:p w14:paraId="76D30551"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87FE51F" w14:textId="77777777" w:rsidR="003F46B9" w:rsidRDefault="0065662E">
            <w:pPr>
              <w:pStyle w:val="P68B1DB1-Normal35"/>
              <w:spacing w:after="0"/>
              <w:jc w:val="both"/>
              <w:rPr>
                <w:rFonts w:eastAsia="Times New Roman"/>
                <w:noProof/>
              </w:rPr>
            </w:pPr>
            <w:r>
              <w:rPr>
                <w:noProof/>
              </w:rPr>
              <w:t xml:space="preserve">Prihvatni centri operacionalizirani na nacionalnoj razini </w:t>
            </w:r>
          </w:p>
        </w:tc>
      </w:tr>
      <w:tr w:rsidR="003F46B9" w14:paraId="4E01C9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15DCEC" w14:textId="77777777" w:rsidR="003F46B9" w:rsidRDefault="0065662E">
            <w:pPr>
              <w:pStyle w:val="P68B1DB1-Normal35"/>
              <w:spacing w:after="0"/>
              <w:jc w:val="center"/>
              <w:rPr>
                <w:rFonts w:eastAsia="Times New Roman"/>
                <w:noProof/>
              </w:rPr>
            </w:pPr>
            <w:r>
              <w:rPr>
                <w:noProof/>
              </w:rPr>
              <w:t>292</w:t>
            </w:r>
          </w:p>
        </w:tc>
        <w:tc>
          <w:tcPr>
            <w:tcW w:w="3544" w:type="dxa"/>
            <w:tcBorders>
              <w:top w:val="nil"/>
              <w:left w:val="nil"/>
              <w:bottom w:val="single" w:sz="4" w:space="0" w:color="auto"/>
              <w:right w:val="single" w:sz="4" w:space="0" w:color="auto"/>
            </w:tcBorders>
            <w:shd w:val="clear" w:color="auto" w:fill="C6EFCE"/>
            <w:noWrap/>
          </w:tcPr>
          <w:p w14:paraId="49C8F0EC" w14:textId="77777777" w:rsidR="003F46B9" w:rsidRDefault="0065662E">
            <w:pPr>
              <w:pStyle w:val="P68B1DB1-Normal35"/>
              <w:spacing w:after="0"/>
              <w:jc w:val="both"/>
              <w:rPr>
                <w:noProof/>
              </w:rPr>
            </w:pPr>
            <w:r>
              <w:rPr>
                <w:noProof/>
              </w:rPr>
              <w:t>C10.R1</w:t>
            </w:r>
          </w:p>
          <w:p w14:paraId="3CCF6780" w14:textId="77777777" w:rsidR="003F46B9" w:rsidRDefault="0065662E">
            <w:pPr>
              <w:pStyle w:val="P68B1DB1-Normal35"/>
              <w:spacing w:after="0"/>
              <w:jc w:val="both"/>
              <w:rPr>
                <w:rFonts w:eastAsia="Times New Roman"/>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7BC26433"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B8AFC66" w14:textId="77777777" w:rsidR="003F46B9" w:rsidRDefault="0065662E">
            <w:pPr>
              <w:pStyle w:val="P68B1DB1-Normal35"/>
              <w:spacing w:after="0"/>
              <w:jc w:val="both"/>
              <w:rPr>
                <w:rFonts w:eastAsia="Times New Roman"/>
                <w:noProof/>
              </w:rPr>
            </w:pPr>
            <w:r>
              <w:rPr>
                <w:noProof/>
              </w:rPr>
              <w:t xml:space="preserve">Smanjenje broja poginulih ili teško </w:t>
            </w:r>
            <w:r>
              <w:rPr>
                <w:noProof/>
              </w:rPr>
              <w:t>ozlijeđenih osoba u gradskim općinama za 25 % u usporedbi s referentnom godinom 2019.</w:t>
            </w:r>
          </w:p>
        </w:tc>
      </w:tr>
      <w:tr w:rsidR="003F46B9" w14:paraId="05FEA5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932B6B" w14:textId="77777777" w:rsidR="003F46B9" w:rsidRDefault="0065662E">
            <w:pPr>
              <w:pStyle w:val="P68B1DB1-Normal35"/>
              <w:spacing w:after="0"/>
              <w:jc w:val="center"/>
              <w:rPr>
                <w:rFonts w:eastAsia="Times New Roman"/>
                <w:noProof/>
              </w:rPr>
            </w:pPr>
            <w:r>
              <w:rPr>
                <w:noProof/>
              </w:rPr>
              <w:t>391</w:t>
            </w:r>
          </w:p>
        </w:tc>
        <w:tc>
          <w:tcPr>
            <w:tcW w:w="3544" w:type="dxa"/>
            <w:tcBorders>
              <w:top w:val="nil"/>
              <w:left w:val="nil"/>
              <w:bottom w:val="single" w:sz="4" w:space="0" w:color="auto"/>
              <w:right w:val="single" w:sz="4" w:space="0" w:color="auto"/>
            </w:tcBorders>
            <w:shd w:val="clear" w:color="auto" w:fill="C6EFCE"/>
            <w:noWrap/>
          </w:tcPr>
          <w:p w14:paraId="69F5690E" w14:textId="77777777" w:rsidR="003F46B9" w:rsidRDefault="0065662E">
            <w:pPr>
              <w:pStyle w:val="P68B1DB1-Normal35"/>
              <w:spacing w:after="0"/>
              <w:jc w:val="both"/>
              <w:rPr>
                <w:noProof/>
              </w:rPr>
            </w:pPr>
            <w:r>
              <w:rPr>
                <w:noProof/>
              </w:rPr>
              <w:t>C13.R4</w:t>
            </w:r>
          </w:p>
          <w:p w14:paraId="06CC3F57" w14:textId="77777777" w:rsidR="003F46B9" w:rsidRDefault="0065662E">
            <w:pPr>
              <w:pStyle w:val="P68B1DB1-Normal35"/>
              <w:spacing w:after="0"/>
              <w:jc w:val="both"/>
              <w:rPr>
                <w:rFonts w:eastAsia="Times New Roman"/>
                <w:noProof/>
              </w:rPr>
            </w:pPr>
            <w:r>
              <w:rPr>
                <w:noProof/>
              </w:rPr>
              <w:t>Uvođenje radnih iskaznica i formalizacija rada radnika u kućanstvu</w:t>
            </w:r>
          </w:p>
        </w:tc>
        <w:tc>
          <w:tcPr>
            <w:tcW w:w="1275" w:type="dxa"/>
            <w:tcBorders>
              <w:top w:val="nil"/>
              <w:left w:val="nil"/>
              <w:bottom w:val="single" w:sz="4" w:space="0" w:color="auto"/>
              <w:right w:val="single" w:sz="4" w:space="0" w:color="auto"/>
            </w:tcBorders>
            <w:shd w:val="clear" w:color="auto" w:fill="C6EFCE"/>
            <w:noWrap/>
          </w:tcPr>
          <w:p w14:paraId="64A6ACBE"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93DE171" w14:textId="77777777" w:rsidR="003F46B9" w:rsidRDefault="0065662E">
            <w:pPr>
              <w:pStyle w:val="P68B1DB1-Normal35"/>
              <w:spacing w:after="0"/>
              <w:jc w:val="both"/>
              <w:rPr>
                <w:rFonts w:eastAsia="Times New Roman"/>
                <w:noProof/>
              </w:rPr>
            </w:pPr>
            <w:r>
              <w:rPr>
                <w:noProof/>
              </w:rPr>
              <w:t xml:space="preserve">Radnici/pružatelji usluga u kućanstvu koji su prethodno evidentirani kao nezaposleni ili </w:t>
            </w:r>
            <w:r>
              <w:rPr>
                <w:noProof/>
              </w:rPr>
              <w:t>neaktivni pružaju usluge s pomoću radnih kartica</w:t>
            </w:r>
          </w:p>
        </w:tc>
      </w:tr>
      <w:tr w:rsidR="003F46B9" w14:paraId="1987DD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2EB648" w14:textId="77777777" w:rsidR="003F46B9" w:rsidRDefault="0065662E">
            <w:pPr>
              <w:pStyle w:val="P68B1DB1-Normal35"/>
              <w:spacing w:after="0"/>
              <w:jc w:val="center"/>
              <w:rPr>
                <w:rFonts w:eastAsia="Times New Roman"/>
                <w:noProof/>
              </w:rPr>
            </w:pPr>
            <w:r>
              <w:rPr>
                <w:noProof/>
              </w:rPr>
              <w:t>409</w:t>
            </w:r>
          </w:p>
        </w:tc>
        <w:tc>
          <w:tcPr>
            <w:tcW w:w="3544" w:type="dxa"/>
            <w:tcBorders>
              <w:top w:val="nil"/>
              <w:left w:val="nil"/>
              <w:bottom w:val="single" w:sz="4" w:space="0" w:color="auto"/>
              <w:right w:val="single" w:sz="4" w:space="0" w:color="auto"/>
            </w:tcBorders>
            <w:shd w:val="clear" w:color="auto" w:fill="C6EFCE"/>
            <w:noWrap/>
          </w:tcPr>
          <w:p w14:paraId="3C13A034" w14:textId="77777777" w:rsidR="003F46B9" w:rsidRDefault="0065662E">
            <w:pPr>
              <w:pStyle w:val="P68B1DB1-Normal35"/>
              <w:spacing w:after="0"/>
              <w:jc w:val="both"/>
              <w:rPr>
                <w:noProof/>
              </w:rPr>
            </w:pPr>
            <w:r>
              <w:rPr>
                <w:noProof/>
              </w:rPr>
              <w:t xml:space="preserve">C14.R1 </w:t>
            </w:r>
          </w:p>
          <w:p w14:paraId="57F5BFA2" w14:textId="77777777" w:rsidR="003F46B9" w:rsidRDefault="0065662E">
            <w:pPr>
              <w:pStyle w:val="P68B1DB1-Normal35"/>
              <w:spacing w:after="0"/>
              <w:jc w:val="both"/>
              <w:rPr>
                <w:rFonts w:eastAsia="Times New Roman"/>
                <w:noProof/>
              </w:rPr>
            </w:pPr>
            <w:r>
              <w:rPr>
                <w:noProof/>
              </w:rPr>
              <w:t xml:space="preserve">Povećanje predvidljivosti i učinkovitosti postupaka donošenja odluka jačanjem kapaciteta za koordinaciju politika i analizu učinka na razini vlade i koordinacijskih ministarstava te jačanjem </w:t>
            </w:r>
            <w:r>
              <w:rPr>
                <w:noProof/>
              </w:rPr>
              <w:t>alata za povećanje kvalitete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09C59467"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BDAF221" w14:textId="77777777" w:rsidR="003F46B9" w:rsidRDefault="0065662E">
            <w:pPr>
              <w:pStyle w:val="P68B1DB1-Normal35"/>
              <w:spacing w:after="0"/>
              <w:jc w:val="both"/>
              <w:rPr>
                <w:rFonts w:eastAsia="Times New Roman"/>
                <w:noProof/>
              </w:rPr>
            </w:pPr>
            <w:r>
              <w:rPr>
                <w:noProof/>
              </w:rPr>
              <w:t>Najmanje 50 % predloženih zakonodavnih inicijativa uključenih u godišnji plan rada Vlade (GAWP), odobrenih u zadanom roku</w:t>
            </w:r>
          </w:p>
        </w:tc>
      </w:tr>
      <w:tr w:rsidR="003F46B9" w14:paraId="2AD51B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47F347" w14:textId="77777777" w:rsidR="003F46B9" w:rsidRDefault="0065662E">
            <w:pPr>
              <w:pStyle w:val="P68B1DB1-Normal35"/>
              <w:spacing w:after="0"/>
              <w:jc w:val="center"/>
              <w:rPr>
                <w:rFonts w:eastAsia="Times New Roman"/>
                <w:noProof/>
              </w:rPr>
            </w:pPr>
            <w:r>
              <w:rPr>
                <w:noProof/>
              </w:rPr>
              <w:t>414</w:t>
            </w:r>
          </w:p>
        </w:tc>
        <w:tc>
          <w:tcPr>
            <w:tcW w:w="3544" w:type="dxa"/>
            <w:tcBorders>
              <w:top w:val="nil"/>
              <w:left w:val="nil"/>
              <w:bottom w:val="single" w:sz="4" w:space="0" w:color="auto"/>
              <w:right w:val="single" w:sz="4" w:space="0" w:color="auto"/>
            </w:tcBorders>
            <w:shd w:val="clear" w:color="auto" w:fill="C6EFCE"/>
            <w:noWrap/>
          </w:tcPr>
          <w:p w14:paraId="3F4CA47D" w14:textId="77777777" w:rsidR="003F46B9" w:rsidRDefault="0065662E">
            <w:pPr>
              <w:pStyle w:val="P68B1DB1-Normal35"/>
              <w:spacing w:after="0"/>
              <w:jc w:val="both"/>
              <w:rPr>
                <w:noProof/>
              </w:rPr>
            </w:pPr>
            <w:r>
              <w:rPr>
                <w:noProof/>
              </w:rPr>
              <w:t>C14.R2</w:t>
            </w:r>
          </w:p>
          <w:p w14:paraId="7A4F2400" w14:textId="2CA1CB43" w:rsidR="003F46B9" w:rsidRDefault="0065662E">
            <w:pPr>
              <w:pStyle w:val="P68B1DB1-Normal35"/>
              <w:spacing w:after="0"/>
              <w:jc w:val="both"/>
              <w:rPr>
                <w:rFonts w:eastAsia="Times New Roman"/>
                <w:noProof/>
              </w:rPr>
            </w:pPr>
            <w:r>
              <w:rPr>
                <w:noProof/>
              </w:rPr>
              <w:t>Jačanje koordinacije u središtu vlasti integrir</w:t>
            </w:r>
            <w:r>
              <w:rPr>
                <w:noProof/>
              </w:rPr>
              <w:t xml:space="preserve">anim i dosljednim pristupom klimatskim promjenama i inicijativama za održivi razvoj </w:t>
            </w:r>
          </w:p>
        </w:tc>
        <w:tc>
          <w:tcPr>
            <w:tcW w:w="1275" w:type="dxa"/>
            <w:tcBorders>
              <w:top w:val="nil"/>
              <w:left w:val="nil"/>
              <w:bottom w:val="single" w:sz="4" w:space="0" w:color="auto"/>
              <w:right w:val="single" w:sz="4" w:space="0" w:color="auto"/>
            </w:tcBorders>
            <w:shd w:val="clear" w:color="auto" w:fill="C6EFCE"/>
            <w:noWrap/>
          </w:tcPr>
          <w:p w14:paraId="492516F9"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EEF3BC7" w14:textId="77777777" w:rsidR="003F46B9" w:rsidRDefault="0065662E">
            <w:pPr>
              <w:pStyle w:val="P68B1DB1-Normal35"/>
              <w:spacing w:after="0"/>
              <w:jc w:val="both"/>
              <w:rPr>
                <w:rFonts w:eastAsia="Times New Roman"/>
                <w:noProof/>
              </w:rPr>
            </w:pPr>
            <w:r>
              <w:rPr>
                <w:noProof/>
              </w:rPr>
              <w:t xml:space="preserve">Ostvarenje 90 % prioriteta koje je postavio Međuinstitucijski odbor za klimatske promjene za 2025. </w:t>
            </w:r>
          </w:p>
        </w:tc>
      </w:tr>
      <w:tr w:rsidR="003F46B9" w14:paraId="0EE98F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92D81E" w14:textId="77777777" w:rsidR="003F46B9" w:rsidRDefault="0065662E">
            <w:pPr>
              <w:pStyle w:val="P68B1DB1-Normal35"/>
              <w:spacing w:after="0"/>
              <w:jc w:val="center"/>
              <w:rPr>
                <w:rFonts w:eastAsia="Times New Roman"/>
                <w:noProof/>
              </w:rPr>
            </w:pPr>
            <w:r>
              <w:rPr>
                <w:noProof/>
              </w:rPr>
              <w:t>447</w:t>
            </w:r>
          </w:p>
        </w:tc>
        <w:tc>
          <w:tcPr>
            <w:tcW w:w="3544" w:type="dxa"/>
            <w:tcBorders>
              <w:top w:val="nil"/>
              <w:left w:val="nil"/>
              <w:bottom w:val="single" w:sz="4" w:space="0" w:color="auto"/>
              <w:right w:val="single" w:sz="4" w:space="0" w:color="auto"/>
            </w:tcBorders>
            <w:shd w:val="clear" w:color="auto" w:fill="C6EFCE"/>
            <w:noWrap/>
          </w:tcPr>
          <w:p w14:paraId="3879D9CE" w14:textId="77777777" w:rsidR="003F46B9" w:rsidRDefault="0065662E">
            <w:pPr>
              <w:pStyle w:val="P68B1DB1-Normal35"/>
              <w:spacing w:after="0"/>
              <w:jc w:val="both"/>
              <w:rPr>
                <w:noProof/>
              </w:rPr>
            </w:pPr>
            <w:r>
              <w:rPr>
                <w:noProof/>
              </w:rPr>
              <w:t>C14.I3</w:t>
            </w:r>
          </w:p>
          <w:p w14:paraId="35A584AF" w14:textId="77777777" w:rsidR="003F46B9" w:rsidRDefault="0065662E">
            <w:pPr>
              <w:pStyle w:val="P68B1DB1-Normal35"/>
              <w:spacing w:after="0"/>
              <w:jc w:val="both"/>
              <w:rPr>
                <w:rFonts w:eastAsia="Times New Roman"/>
                <w:noProof/>
              </w:rPr>
            </w:pPr>
            <w:r>
              <w:rPr>
                <w:noProof/>
              </w:rPr>
              <w:t xml:space="preserve">Stvaranje lokalnih partnerskih struktura između lokalnih </w:t>
            </w:r>
            <w:r>
              <w:rPr>
                <w:noProof/>
              </w:rPr>
              <w:t>vlasti i civilnog društva</w:t>
            </w:r>
          </w:p>
        </w:tc>
        <w:tc>
          <w:tcPr>
            <w:tcW w:w="1275" w:type="dxa"/>
            <w:tcBorders>
              <w:top w:val="nil"/>
              <w:left w:val="nil"/>
              <w:bottom w:val="single" w:sz="4" w:space="0" w:color="auto"/>
              <w:right w:val="single" w:sz="4" w:space="0" w:color="auto"/>
            </w:tcBorders>
            <w:shd w:val="clear" w:color="auto" w:fill="C6EFCE"/>
            <w:noWrap/>
          </w:tcPr>
          <w:p w14:paraId="29E0070A"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27ADFD4" w14:textId="77777777" w:rsidR="003F46B9" w:rsidRDefault="0065662E">
            <w:pPr>
              <w:pStyle w:val="P68B1DB1-Normal35"/>
              <w:spacing w:after="0"/>
              <w:jc w:val="both"/>
              <w:rPr>
                <w:rFonts w:eastAsia="Times New Roman"/>
                <w:noProof/>
              </w:rPr>
            </w:pPr>
            <w:r>
              <w:rPr>
                <w:noProof/>
              </w:rPr>
              <w:t>Uspostavljena i operativna partnerstva između lokalnih tijela javne uprave i nevladinih organizacija</w:t>
            </w:r>
          </w:p>
        </w:tc>
      </w:tr>
      <w:tr w:rsidR="003F46B9" w14:paraId="3A3A61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389FA8" w14:textId="77777777" w:rsidR="003F46B9" w:rsidRDefault="0065662E">
            <w:pPr>
              <w:pStyle w:val="P68B1DB1-Normal35"/>
              <w:spacing w:after="0"/>
              <w:jc w:val="center"/>
              <w:rPr>
                <w:rFonts w:eastAsia="Times New Roman"/>
                <w:noProof/>
              </w:rPr>
            </w:pPr>
            <w:r>
              <w:rPr>
                <w:noProof/>
              </w:rPr>
              <w:t>448</w:t>
            </w:r>
          </w:p>
        </w:tc>
        <w:tc>
          <w:tcPr>
            <w:tcW w:w="3544" w:type="dxa"/>
            <w:tcBorders>
              <w:top w:val="nil"/>
              <w:left w:val="nil"/>
              <w:bottom w:val="single" w:sz="4" w:space="0" w:color="auto"/>
              <w:right w:val="single" w:sz="4" w:space="0" w:color="auto"/>
            </w:tcBorders>
            <w:shd w:val="clear" w:color="auto" w:fill="C6EFCE"/>
            <w:noWrap/>
          </w:tcPr>
          <w:p w14:paraId="6451CD64" w14:textId="77777777" w:rsidR="003F46B9" w:rsidRDefault="0065662E">
            <w:pPr>
              <w:pStyle w:val="P68B1DB1-Normal35"/>
              <w:spacing w:after="0"/>
              <w:jc w:val="both"/>
              <w:rPr>
                <w:noProof/>
              </w:rPr>
            </w:pPr>
            <w:r>
              <w:rPr>
                <w:noProof/>
              </w:rPr>
              <w:t>C14.I4</w:t>
            </w:r>
          </w:p>
          <w:p w14:paraId="31415B9B" w14:textId="77777777" w:rsidR="003F46B9" w:rsidRDefault="0065662E">
            <w:pPr>
              <w:pStyle w:val="P68B1DB1-Normal35"/>
              <w:spacing w:after="0"/>
              <w:jc w:val="both"/>
              <w:rPr>
                <w:rFonts w:eastAsia="Times New Roman"/>
                <w:noProof/>
              </w:rPr>
            </w:pPr>
            <w:r>
              <w:rPr>
                <w:noProof/>
              </w:rPr>
              <w:t xml:space="preserve">Povećanje kapaciteta organizacija civilnog društva za poticanje aktivnog građanstva, za profesionalno sudjelovanje </w:t>
            </w:r>
            <w:r>
              <w:rPr>
                <w:noProof/>
              </w:rPr>
              <w:t>u planiranju i provedbi javnih politika o socijalnim pravima obuhvaćenih nacionalnim planom za oporavak i otpornost te za praćenje povezanih reformi</w:t>
            </w:r>
          </w:p>
        </w:tc>
        <w:tc>
          <w:tcPr>
            <w:tcW w:w="1275" w:type="dxa"/>
            <w:tcBorders>
              <w:top w:val="nil"/>
              <w:left w:val="nil"/>
              <w:bottom w:val="single" w:sz="4" w:space="0" w:color="auto"/>
              <w:right w:val="single" w:sz="4" w:space="0" w:color="auto"/>
            </w:tcBorders>
            <w:shd w:val="clear" w:color="auto" w:fill="C6EFCE"/>
            <w:noWrap/>
          </w:tcPr>
          <w:p w14:paraId="336420D3"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34C1E7D" w14:textId="4B186DE6" w:rsidR="003F46B9" w:rsidRDefault="0065662E">
            <w:pPr>
              <w:pStyle w:val="P68B1DB1-Normal35"/>
              <w:spacing w:after="0"/>
              <w:jc w:val="both"/>
              <w:rPr>
                <w:rFonts w:eastAsia="Times New Roman"/>
                <w:noProof/>
              </w:rPr>
            </w:pPr>
            <w:r>
              <w:rPr>
                <w:noProof/>
              </w:rPr>
              <w:t xml:space="preserve">Funkcionalne suradničke inicijative nevladinog sektora koje su operativne </w:t>
            </w:r>
          </w:p>
        </w:tc>
      </w:tr>
      <w:tr w:rsidR="003F46B9" w14:paraId="1CA31B9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ABE50E" w14:textId="77777777" w:rsidR="003F46B9" w:rsidRDefault="0065662E">
            <w:pPr>
              <w:pStyle w:val="P68B1DB1-Normal35"/>
              <w:spacing w:after="0"/>
              <w:jc w:val="center"/>
              <w:rPr>
                <w:rFonts w:eastAsia="Times New Roman"/>
                <w:noProof/>
              </w:rPr>
            </w:pPr>
            <w:r>
              <w:rPr>
                <w:noProof/>
              </w:rPr>
              <w:t>473</w:t>
            </w:r>
          </w:p>
        </w:tc>
        <w:tc>
          <w:tcPr>
            <w:tcW w:w="3544" w:type="dxa"/>
            <w:tcBorders>
              <w:top w:val="nil"/>
              <w:left w:val="nil"/>
              <w:bottom w:val="single" w:sz="4" w:space="0" w:color="auto"/>
              <w:right w:val="single" w:sz="4" w:space="0" w:color="auto"/>
            </w:tcBorders>
            <w:shd w:val="clear" w:color="auto" w:fill="C6EFCE"/>
            <w:noWrap/>
          </w:tcPr>
          <w:p w14:paraId="197F3649" w14:textId="77777777" w:rsidR="003F46B9" w:rsidRDefault="0065662E">
            <w:pPr>
              <w:pStyle w:val="P68B1DB1-Normal35"/>
              <w:spacing w:after="0"/>
              <w:jc w:val="both"/>
              <w:rPr>
                <w:noProof/>
              </w:rPr>
            </w:pPr>
            <w:r>
              <w:rPr>
                <w:noProof/>
              </w:rPr>
              <w:t xml:space="preserve">C15.I6 </w:t>
            </w:r>
          </w:p>
          <w:p w14:paraId="40524D16" w14:textId="77777777" w:rsidR="003F46B9" w:rsidRDefault="0065662E">
            <w:pPr>
              <w:pStyle w:val="P68B1DB1-Normal35"/>
              <w:spacing w:after="0"/>
              <w:jc w:val="both"/>
              <w:rPr>
                <w:rFonts w:eastAsia="Times New Roman"/>
                <w:noProof/>
              </w:rPr>
            </w:pPr>
            <w:r>
              <w:rPr>
                <w:noProof/>
              </w:rPr>
              <w:t>Razvoj 10 regiona</w:t>
            </w:r>
            <w:r>
              <w:rPr>
                <w:noProof/>
              </w:rPr>
              <w:t>lnih konzorcija te razvoj i opremanje 10 strukovnih kampusa</w:t>
            </w:r>
          </w:p>
        </w:tc>
        <w:tc>
          <w:tcPr>
            <w:tcW w:w="1275" w:type="dxa"/>
            <w:tcBorders>
              <w:top w:val="nil"/>
              <w:left w:val="nil"/>
              <w:bottom w:val="single" w:sz="4" w:space="0" w:color="auto"/>
              <w:right w:val="single" w:sz="4" w:space="0" w:color="auto"/>
            </w:tcBorders>
            <w:shd w:val="clear" w:color="auto" w:fill="C6EFCE"/>
            <w:noWrap/>
          </w:tcPr>
          <w:p w14:paraId="3064122B"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A19D8E9" w14:textId="77777777" w:rsidR="003F46B9" w:rsidRDefault="0065662E">
            <w:pPr>
              <w:pStyle w:val="P68B1DB1-Normal35"/>
              <w:spacing w:after="0"/>
              <w:jc w:val="both"/>
              <w:rPr>
                <w:rFonts w:eastAsia="Times New Roman"/>
                <w:noProof/>
              </w:rPr>
            </w:pPr>
            <w:r>
              <w:rPr>
                <w:noProof/>
              </w:rPr>
              <w:t>Integrirani, dovršeni i operativni konzorciji dvojnog obrazovanja povezani sa zahtjevima gospodarskih subjekata u predmetnom području</w:t>
            </w:r>
          </w:p>
        </w:tc>
      </w:tr>
      <w:tr w:rsidR="003F46B9" w14:paraId="44BF2C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8664B7E" w14:textId="77777777" w:rsidR="003F46B9" w:rsidRDefault="0065662E">
            <w:pPr>
              <w:pStyle w:val="P68B1DB1-Normal35"/>
              <w:spacing w:after="0"/>
              <w:jc w:val="center"/>
              <w:rPr>
                <w:rFonts w:eastAsia="Times New Roman"/>
                <w:noProof/>
              </w:rPr>
            </w:pPr>
            <w:r>
              <w:rPr>
                <w:noProof/>
              </w:rPr>
              <w:t>26</w:t>
            </w:r>
          </w:p>
        </w:tc>
        <w:tc>
          <w:tcPr>
            <w:tcW w:w="3544" w:type="dxa"/>
            <w:tcBorders>
              <w:top w:val="nil"/>
              <w:left w:val="nil"/>
              <w:bottom w:val="single" w:sz="4" w:space="0" w:color="auto"/>
              <w:right w:val="single" w:sz="4" w:space="0" w:color="auto"/>
            </w:tcBorders>
            <w:shd w:val="clear" w:color="auto" w:fill="C6EFCE"/>
            <w:noWrap/>
          </w:tcPr>
          <w:p w14:paraId="476B003B" w14:textId="77777777" w:rsidR="003F46B9" w:rsidRDefault="0065662E">
            <w:pPr>
              <w:pStyle w:val="P68B1DB1-Normal35"/>
              <w:spacing w:after="0"/>
              <w:jc w:val="both"/>
              <w:rPr>
                <w:noProof/>
              </w:rPr>
            </w:pPr>
            <w:r>
              <w:rPr>
                <w:noProof/>
              </w:rPr>
              <w:t xml:space="preserve">C2.I1 </w:t>
            </w:r>
          </w:p>
          <w:p w14:paraId="6EF4C101" w14:textId="77777777" w:rsidR="003F46B9" w:rsidRDefault="0065662E">
            <w:pPr>
              <w:pStyle w:val="P68B1DB1-Normal35"/>
              <w:spacing w:after="0"/>
              <w:jc w:val="both"/>
              <w:rPr>
                <w:rFonts w:eastAsia="Times New Roman"/>
                <w:noProof/>
              </w:rPr>
            </w:pPr>
            <w:r>
              <w:rPr>
                <w:noProof/>
              </w:rPr>
              <w:t xml:space="preserve">Nacionalna kampanja za pošumljavanje i ponovno pošumljavanje, uključujući urbane šume </w:t>
            </w:r>
          </w:p>
        </w:tc>
        <w:tc>
          <w:tcPr>
            <w:tcW w:w="1275" w:type="dxa"/>
            <w:tcBorders>
              <w:top w:val="nil"/>
              <w:left w:val="nil"/>
              <w:bottom w:val="single" w:sz="4" w:space="0" w:color="auto"/>
              <w:right w:val="single" w:sz="4" w:space="0" w:color="auto"/>
            </w:tcBorders>
            <w:shd w:val="clear" w:color="auto" w:fill="C6EFCE"/>
            <w:noWrap/>
          </w:tcPr>
          <w:p w14:paraId="3E9D40F2"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1D147E0" w14:textId="77777777" w:rsidR="003F46B9" w:rsidRDefault="0065662E">
            <w:pPr>
              <w:pStyle w:val="P68B1DB1-Normal35"/>
              <w:spacing w:after="0"/>
              <w:jc w:val="both"/>
              <w:rPr>
                <w:rFonts w:eastAsia="Times New Roman"/>
                <w:noProof/>
              </w:rPr>
            </w:pPr>
            <w:r>
              <w:rPr>
                <w:noProof/>
              </w:rPr>
              <w:t>Nova područja pošumljenih ili ponovno pošumljenih zemljišta</w:t>
            </w:r>
          </w:p>
        </w:tc>
      </w:tr>
      <w:tr w:rsidR="003F46B9" w14:paraId="25F099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1CDE55" w14:textId="77777777" w:rsidR="003F46B9" w:rsidRDefault="0065662E">
            <w:pPr>
              <w:pStyle w:val="P68B1DB1-Normal35"/>
              <w:spacing w:after="0"/>
              <w:jc w:val="center"/>
              <w:rPr>
                <w:noProof/>
              </w:rPr>
            </w:pPr>
            <w:r>
              <w:rPr>
                <w:noProof/>
              </w:rPr>
              <w:t>28</w:t>
            </w:r>
          </w:p>
        </w:tc>
        <w:tc>
          <w:tcPr>
            <w:tcW w:w="3544" w:type="dxa"/>
            <w:tcBorders>
              <w:top w:val="nil"/>
              <w:left w:val="nil"/>
              <w:bottom w:val="single" w:sz="4" w:space="0" w:color="auto"/>
              <w:right w:val="single" w:sz="4" w:space="0" w:color="auto"/>
            </w:tcBorders>
            <w:shd w:val="clear" w:color="auto" w:fill="C6EFCE"/>
            <w:noWrap/>
          </w:tcPr>
          <w:p w14:paraId="6F8A5D29" w14:textId="77777777" w:rsidR="003F46B9" w:rsidRDefault="0065662E">
            <w:pPr>
              <w:pStyle w:val="P68B1DB1-Normal35"/>
              <w:spacing w:after="0"/>
              <w:jc w:val="both"/>
              <w:rPr>
                <w:noProof/>
              </w:rPr>
            </w:pPr>
            <w:r>
              <w:rPr>
                <w:noProof/>
              </w:rPr>
              <w:t xml:space="preserve">C2.I1 </w:t>
            </w:r>
          </w:p>
          <w:p w14:paraId="2A24D885" w14:textId="77777777" w:rsidR="003F46B9" w:rsidRDefault="0065662E">
            <w:pPr>
              <w:pStyle w:val="P68B1DB1-Normal35"/>
              <w:spacing w:after="0"/>
              <w:jc w:val="both"/>
              <w:rPr>
                <w:noProof/>
              </w:rPr>
            </w:pPr>
            <w:r>
              <w:rPr>
                <w:noProof/>
              </w:rPr>
              <w:t>Nacionalna kampanja za pošumljavanje i ponovno pošumljavanje, uključujući urbane šume</w:t>
            </w:r>
          </w:p>
        </w:tc>
        <w:tc>
          <w:tcPr>
            <w:tcW w:w="1275" w:type="dxa"/>
            <w:tcBorders>
              <w:top w:val="nil"/>
              <w:left w:val="nil"/>
              <w:bottom w:val="single" w:sz="4" w:space="0" w:color="auto"/>
              <w:right w:val="single" w:sz="4" w:space="0" w:color="auto"/>
            </w:tcBorders>
            <w:shd w:val="clear" w:color="auto" w:fill="C6EFCE"/>
            <w:noWrap/>
          </w:tcPr>
          <w:p w14:paraId="62932C13"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30EB2DD" w14:textId="77777777" w:rsidR="003F46B9" w:rsidRDefault="0065662E">
            <w:pPr>
              <w:pStyle w:val="P68B1DB1-Normal35"/>
              <w:spacing w:after="0"/>
              <w:jc w:val="both"/>
              <w:rPr>
                <w:noProof/>
              </w:rPr>
            </w:pPr>
            <w:r>
              <w:rPr>
                <w:noProof/>
              </w:rPr>
              <w:t>Stvorena</w:t>
            </w:r>
            <w:r>
              <w:rPr>
                <w:noProof/>
              </w:rPr>
              <w:t xml:space="preserve"> nova područja urbanih šuma</w:t>
            </w:r>
          </w:p>
        </w:tc>
      </w:tr>
      <w:tr w:rsidR="003F46B9" w14:paraId="4867C1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40C60B" w14:textId="77777777" w:rsidR="003F46B9" w:rsidRDefault="0065662E">
            <w:pPr>
              <w:pStyle w:val="P68B1DB1-Normal35"/>
              <w:spacing w:after="0"/>
              <w:jc w:val="center"/>
              <w:rPr>
                <w:noProof/>
              </w:rPr>
            </w:pPr>
            <w:r>
              <w:rPr>
                <w:noProof/>
              </w:rPr>
              <w:t>62</w:t>
            </w:r>
          </w:p>
        </w:tc>
        <w:tc>
          <w:tcPr>
            <w:tcW w:w="3544" w:type="dxa"/>
            <w:tcBorders>
              <w:top w:val="nil"/>
              <w:left w:val="nil"/>
              <w:bottom w:val="single" w:sz="4" w:space="0" w:color="auto"/>
              <w:right w:val="single" w:sz="4" w:space="0" w:color="auto"/>
            </w:tcBorders>
            <w:shd w:val="clear" w:color="auto" w:fill="C6EFCE"/>
            <w:noWrap/>
          </w:tcPr>
          <w:p w14:paraId="41FA5077" w14:textId="77777777" w:rsidR="003F46B9" w:rsidRDefault="0065662E">
            <w:pPr>
              <w:pStyle w:val="P68B1DB1-Normal35"/>
              <w:spacing w:after="0"/>
              <w:jc w:val="both"/>
              <w:rPr>
                <w:noProof/>
              </w:rPr>
            </w:pPr>
            <w:r>
              <w:rPr>
                <w:noProof/>
              </w:rPr>
              <w:t>C4.R1</w:t>
            </w:r>
            <w:r>
              <w:rPr>
                <w:noProof/>
              </w:rPr>
              <w:br/>
              <w:t xml:space="preserve">Održivi promet, dekarbonizacija i sigurnost na cestama/ </w:t>
            </w:r>
            <w:r>
              <w:rPr>
                <w:noProof/>
              </w:rPr>
              <w:br/>
              <w:t>Dekarbonizacija cesta u skladu s načelom „onečišćivač plaća”</w:t>
            </w:r>
          </w:p>
        </w:tc>
        <w:tc>
          <w:tcPr>
            <w:tcW w:w="1275" w:type="dxa"/>
            <w:tcBorders>
              <w:top w:val="nil"/>
              <w:left w:val="nil"/>
              <w:bottom w:val="single" w:sz="4" w:space="0" w:color="auto"/>
              <w:right w:val="single" w:sz="4" w:space="0" w:color="auto"/>
            </w:tcBorders>
            <w:shd w:val="clear" w:color="auto" w:fill="C6EFCE"/>
            <w:noWrap/>
          </w:tcPr>
          <w:p w14:paraId="3AEDAF1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B63A2C2" w14:textId="77777777" w:rsidR="003F46B9" w:rsidRDefault="0065662E">
            <w:pPr>
              <w:pStyle w:val="P68B1DB1-Normal35"/>
              <w:spacing w:after="0"/>
              <w:jc w:val="both"/>
              <w:rPr>
                <w:noProof/>
              </w:rPr>
            </w:pPr>
            <w:r>
              <w:rPr>
                <w:noProof/>
              </w:rPr>
              <w:t>Otpadna motorna vozila koja onečišćuju okoliš (EURO 3 ili niže)</w:t>
            </w:r>
          </w:p>
        </w:tc>
      </w:tr>
      <w:tr w:rsidR="003F46B9" w14:paraId="045F672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6F4BC3" w14:textId="77777777" w:rsidR="003F46B9" w:rsidRDefault="0065662E">
            <w:pPr>
              <w:pStyle w:val="P68B1DB1-Normal35"/>
              <w:spacing w:after="0"/>
              <w:jc w:val="center"/>
              <w:rPr>
                <w:noProof/>
              </w:rPr>
            </w:pPr>
            <w:r>
              <w:rPr>
                <w:noProof/>
              </w:rPr>
              <w:t>64</w:t>
            </w:r>
          </w:p>
        </w:tc>
        <w:tc>
          <w:tcPr>
            <w:tcW w:w="3544" w:type="dxa"/>
            <w:tcBorders>
              <w:top w:val="nil"/>
              <w:left w:val="nil"/>
              <w:bottom w:val="single" w:sz="4" w:space="0" w:color="auto"/>
              <w:right w:val="single" w:sz="4" w:space="0" w:color="auto"/>
            </w:tcBorders>
            <w:shd w:val="clear" w:color="auto" w:fill="C6EFCE"/>
            <w:noWrap/>
          </w:tcPr>
          <w:p w14:paraId="7BBA58CB" w14:textId="77777777" w:rsidR="003F46B9" w:rsidRDefault="0065662E">
            <w:pPr>
              <w:pStyle w:val="P68B1DB1-Normal35"/>
              <w:spacing w:after="0"/>
              <w:jc w:val="both"/>
              <w:rPr>
                <w:noProof/>
              </w:rPr>
            </w:pPr>
            <w:r>
              <w:rPr>
                <w:noProof/>
              </w:rPr>
              <w:t>C4.R1</w:t>
            </w:r>
            <w:r>
              <w:rPr>
                <w:noProof/>
              </w:rPr>
              <w:br/>
            </w:r>
            <w:r>
              <w:rPr>
                <w:noProof/>
              </w:rPr>
              <w:t xml:space="preserve">Održivi promet, dekarbonizacija i sigurnost na cestama/ </w:t>
            </w:r>
            <w:r>
              <w:rPr>
                <w:noProof/>
              </w:rPr>
              <w:br/>
              <w:t>Dekarbonizacija cesta u skladu s načelom „onečišćivač plaća”</w:t>
            </w:r>
          </w:p>
        </w:tc>
        <w:tc>
          <w:tcPr>
            <w:tcW w:w="1275" w:type="dxa"/>
            <w:tcBorders>
              <w:top w:val="nil"/>
              <w:left w:val="nil"/>
              <w:bottom w:val="single" w:sz="4" w:space="0" w:color="auto"/>
              <w:right w:val="single" w:sz="4" w:space="0" w:color="auto"/>
            </w:tcBorders>
            <w:shd w:val="clear" w:color="auto" w:fill="C6EFCE"/>
            <w:noWrap/>
          </w:tcPr>
          <w:p w14:paraId="36ED659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C5F702E" w14:textId="77777777" w:rsidR="003F46B9" w:rsidRDefault="0065662E">
            <w:pPr>
              <w:pStyle w:val="P68B1DB1-Normal35"/>
              <w:spacing w:after="0"/>
              <w:jc w:val="both"/>
              <w:rPr>
                <w:noProof/>
              </w:rPr>
            </w:pPr>
            <w:r>
              <w:rPr>
                <w:noProof/>
              </w:rPr>
              <w:t>Stanice za punjenje električnom energijom postavljene na nacionalnoj razini</w:t>
            </w:r>
          </w:p>
        </w:tc>
      </w:tr>
      <w:tr w:rsidR="003F46B9" w14:paraId="702EF9C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0455B2" w14:textId="77777777" w:rsidR="003F46B9" w:rsidRDefault="0065662E">
            <w:pPr>
              <w:pStyle w:val="P68B1DB1-Normal35"/>
              <w:spacing w:after="0"/>
              <w:jc w:val="center"/>
              <w:rPr>
                <w:noProof/>
              </w:rPr>
            </w:pPr>
            <w:r>
              <w:rPr>
                <w:noProof/>
              </w:rPr>
              <w:t>75</w:t>
            </w:r>
          </w:p>
        </w:tc>
        <w:tc>
          <w:tcPr>
            <w:tcW w:w="3544" w:type="dxa"/>
            <w:tcBorders>
              <w:top w:val="nil"/>
              <w:left w:val="nil"/>
              <w:bottom w:val="single" w:sz="4" w:space="0" w:color="auto"/>
              <w:right w:val="single" w:sz="4" w:space="0" w:color="auto"/>
            </w:tcBorders>
            <w:shd w:val="clear" w:color="auto" w:fill="C6EFCE"/>
            <w:noWrap/>
          </w:tcPr>
          <w:p w14:paraId="50587F68" w14:textId="77777777" w:rsidR="003F46B9" w:rsidRDefault="0065662E">
            <w:pPr>
              <w:pStyle w:val="P68B1DB1-Normal35"/>
              <w:spacing w:after="0"/>
              <w:jc w:val="both"/>
              <w:rPr>
                <w:noProof/>
              </w:rPr>
            </w:pPr>
            <w:r>
              <w:rPr>
                <w:noProof/>
              </w:rPr>
              <w:t>C4.I1</w:t>
            </w:r>
            <w:r>
              <w:rPr>
                <w:noProof/>
              </w:rPr>
              <w:br/>
              <w:t xml:space="preserve">Modernizacija i obnova željezničke infrastrukture </w:t>
            </w:r>
          </w:p>
        </w:tc>
        <w:tc>
          <w:tcPr>
            <w:tcW w:w="1275" w:type="dxa"/>
            <w:tcBorders>
              <w:top w:val="nil"/>
              <w:left w:val="nil"/>
              <w:bottom w:val="single" w:sz="4" w:space="0" w:color="auto"/>
              <w:right w:val="single" w:sz="4" w:space="0" w:color="auto"/>
            </w:tcBorders>
            <w:shd w:val="clear" w:color="auto" w:fill="C6EFCE"/>
            <w:noWrap/>
          </w:tcPr>
          <w:p w14:paraId="6E1C884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7A50148" w14:textId="77777777" w:rsidR="003F46B9" w:rsidRDefault="0065662E">
            <w:pPr>
              <w:pStyle w:val="P68B1DB1-Normal35"/>
              <w:spacing w:after="0"/>
              <w:jc w:val="both"/>
              <w:rPr>
                <w:noProof/>
              </w:rPr>
            </w:pPr>
            <w:r>
              <w:rPr>
                <w:noProof/>
              </w:rPr>
              <w:t>Kilometri nove/poboljšane operativne željezničke infrastrukture</w:t>
            </w:r>
          </w:p>
        </w:tc>
      </w:tr>
      <w:tr w:rsidR="003F46B9" w14:paraId="0A326E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53214B9" w14:textId="77777777" w:rsidR="003F46B9" w:rsidRDefault="0065662E">
            <w:pPr>
              <w:pStyle w:val="P68B1DB1-Normal35"/>
              <w:spacing w:after="0"/>
              <w:jc w:val="center"/>
              <w:rPr>
                <w:noProof/>
              </w:rPr>
            </w:pPr>
            <w:r>
              <w:rPr>
                <w:noProof/>
              </w:rPr>
              <w:t>77</w:t>
            </w:r>
          </w:p>
        </w:tc>
        <w:tc>
          <w:tcPr>
            <w:tcW w:w="3544" w:type="dxa"/>
            <w:tcBorders>
              <w:top w:val="nil"/>
              <w:left w:val="nil"/>
              <w:bottom w:val="single" w:sz="4" w:space="0" w:color="auto"/>
              <w:right w:val="single" w:sz="4" w:space="0" w:color="auto"/>
            </w:tcBorders>
            <w:shd w:val="clear" w:color="auto" w:fill="C6EFCE"/>
            <w:noWrap/>
          </w:tcPr>
          <w:p w14:paraId="7D51E2BB" w14:textId="77777777" w:rsidR="003F46B9" w:rsidRDefault="0065662E">
            <w:pPr>
              <w:pStyle w:val="P68B1DB1-Normal35"/>
              <w:spacing w:after="0"/>
              <w:jc w:val="both"/>
              <w:rPr>
                <w:noProof/>
              </w:rPr>
            </w:pPr>
            <w:r>
              <w:rPr>
                <w:noProof/>
              </w:rPr>
              <w:t>C4.I2</w:t>
            </w:r>
            <w:r>
              <w:rPr>
                <w:noProof/>
              </w:rPr>
              <w:br/>
              <w:t xml:space="preserve">Željeznička vozila </w:t>
            </w:r>
          </w:p>
        </w:tc>
        <w:tc>
          <w:tcPr>
            <w:tcW w:w="1275" w:type="dxa"/>
            <w:tcBorders>
              <w:top w:val="nil"/>
              <w:left w:val="nil"/>
              <w:bottom w:val="single" w:sz="4" w:space="0" w:color="auto"/>
              <w:right w:val="single" w:sz="4" w:space="0" w:color="auto"/>
            </w:tcBorders>
            <w:shd w:val="clear" w:color="auto" w:fill="C6EFCE"/>
            <w:noWrap/>
          </w:tcPr>
          <w:p w14:paraId="497424D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7B6C865" w14:textId="77777777" w:rsidR="003F46B9" w:rsidRDefault="0065662E">
            <w:pPr>
              <w:pStyle w:val="P68B1DB1-Normal35"/>
              <w:spacing w:after="0"/>
              <w:jc w:val="both"/>
              <w:rPr>
                <w:noProof/>
              </w:rPr>
            </w:pPr>
            <w:r>
              <w:rPr>
                <w:noProof/>
              </w:rPr>
              <w:t>Nova električna željeznička vozila u uporabi</w:t>
            </w:r>
          </w:p>
        </w:tc>
      </w:tr>
      <w:tr w:rsidR="003F46B9" w14:paraId="195769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BBAC4D7" w14:textId="77777777" w:rsidR="003F46B9" w:rsidRDefault="0065662E">
            <w:pPr>
              <w:pStyle w:val="P68B1DB1-Normal35"/>
              <w:spacing w:after="0"/>
              <w:jc w:val="center"/>
              <w:rPr>
                <w:noProof/>
              </w:rPr>
            </w:pPr>
            <w:r>
              <w:rPr>
                <w:noProof/>
              </w:rPr>
              <w:t>120</w:t>
            </w:r>
          </w:p>
        </w:tc>
        <w:tc>
          <w:tcPr>
            <w:tcW w:w="3544" w:type="dxa"/>
            <w:tcBorders>
              <w:top w:val="nil"/>
              <w:left w:val="nil"/>
              <w:bottom w:val="single" w:sz="4" w:space="0" w:color="auto"/>
              <w:right w:val="single" w:sz="4" w:space="0" w:color="auto"/>
            </w:tcBorders>
            <w:shd w:val="clear" w:color="auto" w:fill="C6EFCE"/>
            <w:noWrap/>
          </w:tcPr>
          <w:p w14:paraId="571E40EC" w14:textId="77777777" w:rsidR="003F46B9" w:rsidRDefault="0065662E">
            <w:pPr>
              <w:pStyle w:val="P68B1DB1-Normal35"/>
              <w:spacing w:after="0"/>
              <w:jc w:val="both"/>
              <w:rPr>
                <w:noProof/>
              </w:rPr>
            </w:pPr>
            <w:r>
              <w:rPr>
                <w:noProof/>
              </w:rPr>
              <w:t>C6.R1</w:t>
            </w:r>
          </w:p>
          <w:p w14:paraId="3EAD8F40" w14:textId="55601AB0" w:rsidR="003F46B9" w:rsidRDefault="0065662E">
            <w:pPr>
              <w:pStyle w:val="P68B1DB1-Normal35"/>
              <w:spacing w:after="0"/>
              <w:jc w:val="both"/>
              <w:rPr>
                <w:noProof/>
              </w:rPr>
            </w:pPr>
            <w:r>
              <w:rPr>
                <w:noProof/>
              </w:rPr>
              <w:t>Reforma tržišta električne energije, zamjena ugljena u kombinaciji izvora energije i potpora zakonoda</w:t>
            </w:r>
            <w:r>
              <w:rPr>
                <w:noProof/>
              </w:rPr>
              <w:t>vnom i regulatornom okviru za privatna ulaganja u proizvodnju električne energije iz obnovljivih izvora</w:t>
            </w:r>
          </w:p>
        </w:tc>
        <w:tc>
          <w:tcPr>
            <w:tcW w:w="1275" w:type="dxa"/>
            <w:tcBorders>
              <w:top w:val="nil"/>
              <w:left w:val="nil"/>
              <w:bottom w:val="single" w:sz="4" w:space="0" w:color="auto"/>
              <w:right w:val="single" w:sz="4" w:space="0" w:color="auto"/>
            </w:tcBorders>
            <w:shd w:val="clear" w:color="auto" w:fill="C6EFCE"/>
            <w:noWrap/>
          </w:tcPr>
          <w:p w14:paraId="235D6B36"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1E6ABBE" w14:textId="77777777" w:rsidR="003F46B9" w:rsidRDefault="0065662E">
            <w:pPr>
              <w:pStyle w:val="P68B1DB1-Normal35"/>
              <w:spacing w:after="0"/>
              <w:jc w:val="both"/>
              <w:rPr>
                <w:noProof/>
              </w:rPr>
            </w:pPr>
            <w:r>
              <w:rPr>
                <w:noProof/>
              </w:rPr>
              <w:t xml:space="preserve">Naručeni dodatni kapaciteti za proizvodnju energije iz obnovljivih izvora </w:t>
            </w:r>
          </w:p>
        </w:tc>
      </w:tr>
      <w:tr w:rsidR="003F46B9" w14:paraId="27CDA7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978EB50" w14:textId="77777777" w:rsidR="003F46B9" w:rsidRDefault="0065662E">
            <w:pPr>
              <w:pStyle w:val="P68B1DB1-Normal35"/>
              <w:spacing w:after="0"/>
              <w:jc w:val="center"/>
              <w:rPr>
                <w:noProof/>
              </w:rPr>
            </w:pPr>
            <w:r>
              <w:rPr>
                <w:noProof/>
              </w:rPr>
              <w:t>157</w:t>
            </w:r>
          </w:p>
        </w:tc>
        <w:tc>
          <w:tcPr>
            <w:tcW w:w="3544" w:type="dxa"/>
            <w:tcBorders>
              <w:top w:val="nil"/>
              <w:left w:val="nil"/>
              <w:bottom w:val="single" w:sz="4" w:space="0" w:color="auto"/>
              <w:right w:val="single" w:sz="4" w:space="0" w:color="auto"/>
            </w:tcBorders>
            <w:shd w:val="clear" w:color="auto" w:fill="C6EFCE"/>
            <w:noWrap/>
          </w:tcPr>
          <w:p w14:paraId="3EE83288" w14:textId="77777777" w:rsidR="003F46B9" w:rsidRDefault="0065662E">
            <w:pPr>
              <w:pStyle w:val="P68B1DB1-Normal35"/>
              <w:spacing w:after="0"/>
              <w:jc w:val="both"/>
              <w:rPr>
                <w:noProof/>
              </w:rPr>
            </w:pPr>
            <w:r>
              <w:rPr>
                <w:noProof/>
              </w:rPr>
              <w:t>C7.I2</w:t>
            </w:r>
            <w:r>
              <w:rPr>
                <w:noProof/>
              </w:rPr>
              <w:br/>
              <w:t xml:space="preserve">Razvoj računalstva u oblaku i migracije </w:t>
            </w:r>
          </w:p>
        </w:tc>
        <w:tc>
          <w:tcPr>
            <w:tcW w:w="1275" w:type="dxa"/>
            <w:tcBorders>
              <w:top w:val="nil"/>
              <w:left w:val="nil"/>
              <w:bottom w:val="single" w:sz="4" w:space="0" w:color="auto"/>
              <w:right w:val="single" w:sz="4" w:space="0" w:color="auto"/>
            </w:tcBorders>
            <w:shd w:val="clear" w:color="auto" w:fill="C6EFCE"/>
            <w:noWrap/>
          </w:tcPr>
          <w:p w14:paraId="6CE75668"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1EACD2B" w14:textId="77777777" w:rsidR="003F46B9" w:rsidRDefault="0065662E">
            <w:pPr>
              <w:pStyle w:val="P68B1DB1-Normal35"/>
              <w:spacing w:after="0"/>
              <w:jc w:val="both"/>
              <w:rPr>
                <w:noProof/>
              </w:rPr>
            </w:pPr>
            <w:r>
              <w:rPr>
                <w:noProof/>
              </w:rPr>
              <w:t>Aplikacije digitalnih</w:t>
            </w:r>
            <w:r>
              <w:rPr>
                <w:noProof/>
              </w:rPr>
              <w:t xml:space="preserve"> usluga za državne potrebe migrirale su u infrastrukturu kao uslugu – IaaS/Platforma kao usluga – PaaS</w:t>
            </w:r>
          </w:p>
        </w:tc>
      </w:tr>
      <w:tr w:rsidR="003F46B9" w14:paraId="17F3E3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265B0" w14:textId="77777777" w:rsidR="003F46B9" w:rsidRDefault="0065662E">
            <w:pPr>
              <w:pStyle w:val="P68B1DB1-Normal35"/>
              <w:spacing w:after="0"/>
              <w:jc w:val="center"/>
              <w:rPr>
                <w:noProof/>
              </w:rPr>
            </w:pPr>
            <w:r>
              <w:rPr>
                <w:noProof/>
              </w:rPr>
              <w:t>165</w:t>
            </w:r>
          </w:p>
        </w:tc>
        <w:tc>
          <w:tcPr>
            <w:tcW w:w="3544" w:type="dxa"/>
            <w:tcBorders>
              <w:top w:val="nil"/>
              <w:left w:val="nil"/>
              <w:bottom w:val="single" w:sz="4" w:space="0" w:color="auto"/>
              <w:right w:val="single" w:sz="4" w:space="0" w:color="auto"/>
            </w:tcBorders>
            <w:shd w:val="clear" w:color="auto" w:fill="C6EFCE"/>
            <w:noWrap/>
          </w:tcPr>
          <w:p w14:paraId="31F3D413" w14:textId="77777777" w:rsidR="003F46B9" w:rsidRDefault="0065662E">
            <w:pPr>
              <w:pStyle w:val="P68B1DB1-Normal35"/>
              <w:spacing w:after="0"/>
              <w:jc w:val="both"/>
              <w:rPr>
                <w:noProof/>
              </w:rPr>
            </w:pPr>
            <w:r>
              <w:rPr>
                <w:noProof/>
              </w:rPr>
              <w:t>C7.I4</w:t>
            </w:r>
          </w:p>
          <w:p w14:paraId="721BAD26" w14:textId="2C86D9F8" w:rsidR="003F46B9" w:rsidRDefault="0065662E">
            <w:pPr>
              <w:pStyle w:val="P68B1DB1-Normal35"/>
              <w:spacing w:after="0"/>
              <w:jc w:val="both"/>
              <w:rPr>
                <w:noProof/>
              </w:rPr>
            </w:pPr>
            <w:r>
              <w:rPr>
                <w:noProof/>
              </w:rPr>
              <w:t xml:space="preserve"> Digitalizacija pravosuđa </w:t>
            </w:r>
          </w:p>
        </w:tc>
        <w:tc>
          <w:tcPr>
            <w:tcW w:w="1275" w:type="dxa"/>
            <w:tcBorders>
              <w:top w:val="nil"/>
              <w:left w:val="nil"/>
              <w:bottom w:val="single" w:sz="4" w:space="0" w:color="auto"/>
              <w:right w:val="single" w:sz="4" w:space="0" w:color="auto"/>
            </w:tcBorders>
            <w:shd w:val="clear" w:color="auto" w:fill="C6EFCE"/>
            <w:noWrap/>
          </w:tcPr>
          <w:p w14:paraId="2ACE794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E0E5C33" w14:textId="77777777" w:rsidR="003F46B9" w:rsidRDefault="0065662E">
            <w:pPr>
              <w:pStyle w:val="P68B1DB1-Normal35"/>
              <w:spacing w:after="0"/>
              <w:jc w:val="both"/>
              <w:rPr>
                <w:noProof/>
              </w:rPr>
            </w:pPr>
            <w:r>
              <w:rPr>
                <w:noProof/>
              </w:rPr>
              <w:t>Središnja javna tijela u području pravosuđa digitalizirana</w:t>
            </w:r>
          </w:p>
        </w:tc>
      </w:tr>
      <w:tr w:rsidR="003F46B9" w14:paraId="777B78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5C165E" w14:textId="77777777" w:rsidR="003F46B9" w:rsidRDefault="0065662E">
            <w:pPr>
              <w:pStyle w:val="P68B1DB1-Normal35"/>
              <w:spacing w:after="0"/>
              <w:jc w:val="center"/>
              <w:rPr>
                <w:noProof/>
              </w:rPr>
            </w:pPr>
            <w:r>
              <w:rPr>
                <w:noProof/>
              </w:rPr>
              <w:t>166</w:t>
            </w:r>
          </w:p>
        </w:tc>
        <w:tc>
          <w:tcPr>
            <w:tcW w:w="3544" w:type="dxa"/>
            <w:tcBorders>
              <w:top w:val="nil"/>
              <w:left w:val="nil"/>
              <w:bottom w:val="single" w:sz="4" w:space="0" w:color="auto"/>
              <w:right w:val="single" w:sz="4" w:space="0" w:color="auto"/>
            </w:tcBorders>
            <w:shd w:val="clear" w:color="auto" w:fill="C6EFCE"/>
            <w:noWrap/>
          </w:tcPr>
          <w:p w14:paraId="21D2D749" w14:textId="77777777" w:rsidR="003F46B9" w:rsidRDefault="0065662E">
            <w:pPr>
              <w:pStyle w:val="P68B1DB1-Normal35"/>
              <w:spacing w:after="0"/>
              <w:jc w:val="both"/>
              <w:rPr>
                <w:noProof/>
              </w:rPr>
            </w:pPr>
            <w:r>
              <w:rPr>
                <w:noProof/>
              </w:rPr>
              <w:t>C7.I4</w:t>
            </w:r>
          </w:p>
          <w:p w14:paraId="3099DBC5" w14:textId="52760AEB" w:rsidR="003F46B9" w:rsidRDefault="0065662E">
            <w:pPr>
              <w:pStyle w:val="P68B1DB1-Normal35"/>
              <w:spacing w:after="0"/>
              <w:jc w:val="both"/>
              <w:rPr>
                <w:noProof/>
              </w:rPr>
            </w:pPr>
            <w:r>
              <w:rPr>
                <w:noProof/>
              </w:rPr>
              <w:t xml:space="preserve"> Digitalizacija pravosuđa </w:t>
            </w:r>
          </w:p>
        </w:tc>
        <w:tc>
          <w:tcPr>
            <w:tcW w:w="1275" w:type="dxa"/>
            <w:tcBorders>
              <w:top w:val="nil"/>
              <w:left w:val="nil"/>
              <w:bottom w:val="single" w:sz="4" w:space="0" w:color="auto"/>
              <w:right w:val="single" w:sz="4" w:space="0" w:color="auto"/>
            </w:tcBorders>
            <w:shd w:val="clear" w:color="auto" w:fill="C6EFCE"/>
            <w:noWrap/>
          </w:tcPr>
          <w:p w14:paraId="1990F3A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8E01466" w14:textId="77777777" w:rsidR="003F46B9" w:rsidRDefault="0065662E">
            <w:pPr>
              <w:pStyle w:val="P68B1DB1-Normal35"/>
              <w:spacing w:after="0"/>
              <w:jc w:val="both"/>
              <w:rPr>
                <w:noProof/>
              </w:rPr>
            </w:pPr>
            <w:r>
              <w:rPr>
                <w:noProof/>
              </w:rPr>
              <w:t xml:space="preserve">Operativni </w:t>
            </w:r>
            <w:r>
              <w:rPr>
                <w:noProof/>
              </w:rPr>
              <w:t>podatkovni centar</w:t>
            </w:r>
          </w:p>
        </w:tc>
      </w:tr>
      <w:tr w:rsidR="003F46B9" w14:paraId="1547BC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D911D3" w14:textId="77777777" w:rsidR="003F46B9" w:rsidRDefault="0065662E">
            <w:pPr>
              <w:pStyle w:val="P68B1DB1-Normal35"/>
              <w:spacing w:after="0"/>
              <w:jc w:val="center"/>
              <w:rPr>
                <w:noProof/>
              </w:rPr>
            </w:pPr>
            <w:r>
              <w:rPr>
                <w:noProof/>
              </w:rPr>
              <w:t>168</w:t>
            </w:r>
          </w:p>
        </w:tc>
        <w:tc>
          <w:tcPr>
            <w:tcW w:w="3544" w:type="dxa"/>
            <w:tcBorders>
              <w:top w:val="nil"/>
              <w:left w:val="nil"/>
              <w:bottom w:val="single" w:sz="4" w:space="0" w:color="auto"/>
              <w:right w:val="single" w:sz="4" w:space="0" w:color="auto"/>
            </w:tcBorders>
            <w:shd w:val="clear" w:color="auto" w:fill="C6EFCE"/>
            <w:noWrap/>
          </w:tcPr>
          <w:p w14:paraId="608DAD95" w14:textId="77777777" w:rsidR="003F46B9" w:rsidRDefault="0065662E">
            <w:pPr>
              <w:pStyle w:val="P68B1DB1-Normal35"/>
              <w:spacing w:after="0"/>
              <w:jc w:val="both"/>
              <w:rPr>
                <w:noProof/>
              </w:rPr>
            </w:pPr>
            <w:r>
              <w:rPr>
                <w:noProof/>
              </w:rPr>
              <w:t>C7.I5</w:t>
            </w:r>
            <w:r>
              <w:rPr>
                <w:noProof/>
              </w:rPr>
              <w:br/>
              <w:t>Digitalizacija u području okoliša</w:t>
            </w:r>
          </w:p>
        </w:tc>
        <w:tc>
          <w:tcPr>
            <w:tcW w:w="1275" w:type="dxa"/>
            <w:tcBorders>
              <w:top w:val="nil"/>
              <w:left w:val="nil"/>
              <w:bottom w:val="single" w:sz="4" w:space="0" w:color="auto"/>
              <w:right w:val="single" w:sz="4" w:space="0" w:color="auto"/>
            </w:tcBorders>
            <w:shd w:val="clear" w:color="auto" w:fill="C6EFCE"/>
            <w:noWrap/>
          </w:tcPr>
          <w:p w14:paraId="3649167B"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CF02EFF" w14:textId="77777777" w:rsidR="003F46B9" w:rsidRDefault="0065662E">
            <w:pPr>
              <w:pStyle w:val="P68B1DB1-Normal35"/>
              <w:spacing w:after="0"/>
              <w:jc w:val="both"/>
              <w:rPr>
                <w:noProof/>
              </w:rPr>
            </w:pPr>
            <w:r>
              <w:rPr>
                <w:noProof/>
              </w:rPr>
              <w:t>Digitalizirane javne usluge u području okoliša</w:t>
            </w:r>
          </w:p>
        </w:tc>
      </w:tr>
      <w:tr w:rsidR="003F46B9" w14:paraId="5DCD96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28F86A" w14:textId="77777777" w:rsidR="003F46B9" w:rsidRDefault="0065662E">
            <w:pPr>
              <w:pStyle w:val="P68B1DB1-Normal35"/>
              <w:spacing w:after="0"/>
              <w:jc w:val="center"/>
              <w:rPr>
                <w:noProof/>
              </w:rPr>
            </w:pPr>
            <w:r>
              <w:rPr>
                <w:noProof/>
              </w:rPr>
              <w:t>171</w:t>
            </w:r>
          </w:p>
        </w:tc>
        <w:tc>
          <w:tcPr>
            <w:tcW w:w="3544" w:type="dxa"/>
            <w:tcBorders>
              <w:top w:val="nil"/>
              <w:left w:val="nil"/>
              <w:bottom w:val="single" w:sz="4" w:space="0" w:color="auto"/>
              <w:right w:val="single" w:sz="4" w:space="0" w:color="auto"/>
            </w:tcBorders>
            <w:shd w:val="clear" w:color="auto" w:fill="C6EFCE"/>
            <w:noWrap/>
          </w:tcPr>
          <w:p w14:paraId="4ACEEC8C" w14:textId="77777777" w:rsidR="003F46B9" w:rsidRDefault="0065662E">
            <w:pPr>
              <w:pStyle w:val="P68B1DB1-Normal35"/>
              <w:spacing w:after="0"/>
              <w:jc w:val="both"/>
              <w:rPr>
                <w:noProof/>
              </w:rPr>
            </w:pPr>
            <w:r>
              <w:rPr>
                <w:noProof/>
              </w:rPr>
              <w:t>C7.I6</w:t>
            </w:r>
          </w:p>
          <w:p w14:paraId="7F55A261" w14:textId="77777777" w:rsidR="003F46B9" w:rsidRDefault="0065662E">
            <w:pPr>
              <w:pStyle w:val="P68B1DB1-Normal35"/>
              <w:spacing w:after="0"/>
              <w:jc w:val="both"/>
              <w:rPr>
                <w:noProof/>
              </w:rPr>
            </w:pPr>
            <w:r>
              <w:rPr>
                <w:noProof/>
              </w:rPr>
              <w:t>Digitalizacija u području zapošljavanja i socijalne zaštite</w:t>
            </w:r>
          </w:p>
        </w:tc>
        <w:tc>
          <w:tcPr>
            <w:tcW w:w="1275" w:type="dxa"/>
            <w:tcBorders>
              <w:top w:val="nil"/>
              <w:left w:val="nil"/>
              <w:bottom w:val="single" w:sz="4" w:space="0" w:color="auto"/>
              <w:right w:val="single" w:sz="4" w:space="0" w:color="auto"/>
            </w:tcBorders>
            <w:shd w:val="clear" w:color="auto" w:fill="C6EFCE"/>
            <w:noWrap/>
          </w:tcPr>
          <w:p w14:paraId="1343562E"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94DEEC4" w14:textId="77777777" w:rsidR="003F46B9" w:rsidRDefault="0065662E">
            <w:pPr>
              <w:pStyle w:val="P68B1DB1-Normal35"/>
              <w:spacing w:after="0"/>
              <w:jc w:val="both"/>
              <w:rPr>
                <w:noProof/>
              </w:rPr>
            </w:pPr>
            <w:r>
              <w:rPr>
                <w:noProof/>
              </w:rPr>
              <w:t xml:space="preserve">Broj zaposlenika koji sudjeluju u osposobljavanju o digitalnim </w:t>
            </w:r>
            <w:r>
              <w:rPr>
                <w:noProof/>
              </w:rPr>
              <w:t>vještinama</w:t>
            </w:r>
          </w:p>
        </w:tc>
      </w:tr>
      <w:tr w:rsidR="003F46B9" w14:paraId="6686DD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AD4B3" w14:textId="77777777" w:rsidR="003F46B9" w:rsidRDefault="0065662E">
            <w:pPr>
              <w:pStyle w:val="P68B1DB1-Normal35"/>
              <w:spacing w:after="0"/>
              <w:jc w:val="center"/>
              <w:rPr>
                <w:noProof/>
              </w:rPr>
            </w:pPr>
            <w:r>
              <w:rPr>
                <w:noProof/>
              </w:rPr>
              <w:t>174</w:t>
            </w:r>
          </w:p>
        </w:tc>
        <w:tc>
          <w:tcPr>
            <w:tcW w:w="3544" w:type="dxa"/>
            <w:tcBorders>
              <w:top w:val="nil"/>
              <w:left w:val="nil"/>
              <w:bottom w:val="single" w:sz="4" w:space="0" w:color="auto"/>
              <w:right w:val="single" w:sz="4" w:space="0" w:color="auto"/>
            </w:tcBorders>
            <w:shd w:val="clear" w:color="auto" w:fill="C6EFCE"/>
            <w:noWrap/>
          </w:tcPr>
          <w:p w14:paraId="275EAD0C" w14:textId="77777777" w:rsidR="003F46B9" w:rsidRDefault="0065662E">
            <w:pPr>
              <w:pStyle w:val="P68B1DB1-Normal35"/>
              <w:spacing w:after="0"/>
              <w:jc w:val="both"/>
              <w:rPr>
                <w:noProof/>
              </w:rPr>
            </w:pPr>
            <w:r>
              <w:rPr>
                <w:noProof/>
              </w:rPr>
              <w:t>C7. I8</w:t>
            </w:r>
          </w:p>
          <w:p w14:paraId="76216CEA" w14:textId="77777777" w:rsidR="003F46B9" w:rsidRDefault="0065662E">
            <w:pPr>
              <w:pStyle w:val="P68B1DB1-Normal35"/>
              <w:spacing w:after="0"/>
              <w:jc w:val="both"/>
              <w:rPr>
                <w:noProof/>
              </w:rPr>
            </w:pPr>
            <w:r>
              <w:rPr>
                <w:noProof/>
              </w:rPr>
              <w:t xml:space="preserve">Kvalificirana elektronička osobna iskaznica i digitalni potpis </w:t>
            </w:r>
          </w:p>
        </w:tc>
        <w:tc>
          <w:tcPr>
            <w:tcW w:w="1275" w:type="dxa"/>
            <w:tcBorders>
              <w:top w:val="nil"/>
              <w:left w:val="nil"/>
              <w:bottom w:val="single" w:sz="4" w:space="0" w:color="auto"/>
              <w:right w:val="single" w:sz="4" w:space="0" w:color="auto"/>
            </w:tcBorders>
            <w:shd w:val="clear" w:color="auto" w:fill="C6EFCE"/>
            <w:noWrap/>
          </w:tcPr>
          <w:p w14:paraId="7B5C38C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BFA25BF" w14:textId="77777777" w:rsidR="003F46B9" w:rsidRDefault="0065662E">
            <w:pPr>
              <w:pStyle w:val="P68B1DB1-Normal35"/>
              <w:spacing w:after="0"/>
              <w:jc w:val="both"/>
              <w:rPr>
                <w:noProof/>
              </w:rPr>
            </w:pPr>
            <w:r>
              <w:rPr>
                <w:noProof/>
              </w:rPr>
              <w:t xml:space="preserve">Građani kojima je izdana elektronička osobna iskaznica </w:t>
            </w:r>
          </w:p>
        </w:tc>
      </w:tr>
      <w:tr w:rsidR="003F46B9" w14:paraId="5C25EE9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FD19F3" w14:textId="77777777" w:rsidR="003F46B9" w:rsidRDefault="0065662E">
            <w:pPr>
              <w:pStyle w:val="P68B1DB1-Normal35"/>
              <w:spacing w:after="0"/>
              <w:jc w:val="center"/>
              <w:rPr>
                <w:noProof/>
              </w:rPr>
            </w:pPr>
            <w:r>
              <w:rPr>
                <w:noProof/>
              </w:rPr>
              <w:t>183</w:t>
            </w:r>
          </w:p>
        </w:tc>
        <w:tc>
          <w:tcPr>
            <w:tcW w:w="3544" w:type="dxa"/>
            <w:tcBorders>
              <w:top w:val="nil"/>
              <w:left w:val="nil"/>
              <w:bottom w:val="single" w:sz="4" w:space="0" w:color="auto"/>
              <w:right w:val="single" w:sz="4" w:space="0" w:color="auto"/>
            </w:tcBorders>
            <w:shd w:val="clear" w:color="auto" w:fill="C6EFCE"/>
            <w:noWrap/>
          </w:tcPr>
          <w:p w14:paraId="2ED97058" w14:textId="77777777" w:rsidR="003F46B9" w:rsidRDefault="0065662E">
            <w:pPr>
              <w:pStyle w:val="P68B1DB1-Normal35"/>
              <w:spacing w:after="0"/>
              <w:jc w:val="both"/>
              <w:rPr>
                <w:noProof/>
              </w:rPr>
            </w:pPr>
            <w:r>
              <w:rPr>
                <w:noProof/>
              </w:rPr>
              <w:t>C7.I15</w:t>
            </w:r>
          </w:p>
          <w:p w14:paraId="66B7BD7A" w14:textId="77777777" w:rsidR="003F46B9" w:rsidRDefault="0065662E">
            <w:pPr>
              <w:pStyle w:val="P68B1DB1-Normal35"/>
              <w:spacing w:after="0"/>
              <w:jc w:val="both"/>
              <w:rPr>
                <w:noProof/>
              </w:rPr>
            </w:pPr>
            <w:r>
              <w:rPr>
                <w:noProof/>
              </w:rPr>
              <w:t xml:space="preserve">Stvaranje novih vještina u području kibersigurnosti za društvo i gospodarstvo </w:t>
            </w:r>
          </w:p>
        </w:tc>
        <w:tc>
          <w:tcPr>
            <w:tcW w:w="1275" w:type="dxa"/>
            <w:tcBorders>
              <w:top w:val="nil"/>
              <w:left w:val="nil"/>
              <w:bottom w:val="single" w:sz="4" w:space="0" w:color="auto"/>
              <w:right w:val="single" w:sz="4" w:space="0" w:color="auto"/>
            </w:tcBorders>
            <w:shd w:val="clear" w:color="auto" w:fill="C6EFCE"/>
            <w:noWrap/>
          </w:tcPr>
          <w:p w14:paraId="31ECE58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82E880B" w14:textId="77777777" w:rsidR="003F46B9" w:rsidRDefault="0065662E">
            <w:pPr>
              <w:pStyle w:val="P68B1DB1-Normal35"/>
              <w:spacing w:after="0"/>
              <w:jc w:val="both"/>
              <w:rPr>
                <w:noProof/>
              </w:rPr>
            </w:pPr>
            <w:r>
              <w:rPr>
                <w:noProof/>
              </w:rPr>
              <w:t xml:space="preserve">Predavači koji </w:t>
            </w:r>
            <w:r>
              <w:rPr>
                <w:noProof/>
              </w:rPr>
              <w:t>sudjeluju u osposobljavanju u području kibersigurnosti</w:t>
            </w:r>
          </w:p>
        </w:tc>
      </w:tr>
      <w:tr w:rsidR="003F46B9" w14:paraId="375E1A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3E82C7" w14:textId="77777777" w:rsidR="003F46B9" w:rsidRDefault="0065662E">
            <w:pPr>
              <w:pStyle w:val="P68B1DB1-Normal35"/>
              <w:spacing w:after="0"/>
              <w:jc w:val="center"/>
              <w:rPr>
                <w:noProof/>
              </w:rPr>
            </w:pPr>
            <w:r>
              <w:rPr>
                <w:noProof/>
              </w:rPr>
              <w:t>184</w:t>
            </w:r>
          </w:p>
        </w:tc>
        <w:tc>
          <w:tcPr>
            <w:tcW w:w="3544" w:type="dxa"/>
            <w:tcBorders>
              <w:top w:val="nil"/>
              <w:left w:val="nil"/>
              <w:bottom w:val="single" w:sz="4" w:space="0" w:color="auto"/>
              <w:right w:val="single" w:sz="4" w:space="0" w:color="auto"/>
            </w:tcBorders>
            <w:shd w:val="clear" w:color="auto" w:fill="C6EFCE"/>
            <w:noWrap/>
          </w:tcPr>
          <w:p w14:paraId="172BCC0F" w14:textId="77777777" w:rsidR="003F46B9" w:rsidRDefault="0065662E">
            <w:pPr>
              <w:pStyle w:val="P68B1DB1-Normal35"/>
              <w:spacing w:after="0"/>
              <w:jc w:val="both"/>
              <w:rPr>
                <w:noProof/>
              </w:rPr>
            </w:pPr>
            <w:r>
              <w:rPr>
                <w:noProof/>
              </w:rPr>
              <w:t>C7.I15</w:t>
            </w:r>
          </w:p>
          <w:p w14:paraId="06402508" w14:textId="77777777" w:rsidR="003F46B9" w:rsidRDefault="0065662E">
            <w:pPr>
              <w:pStyle w:val="P68B1DB1-Normal35"/>
              <w:spacing w:after="0"/>
              <w:jc w:val="both"/>
              <w:rPr>
                <w:noProof/>
              </w:rPr>
            </w:pPr>
            <w:r>
              <w:rPr>
                <w:noProof/>
              </w:rPr>
              <w:t xml:space="preserve">Stvaranje novih vještina u području kibersigurnosti za društvo i gospodarstvo </w:t>
            </w:r>
          </w:p>
        </w:tc>
        <w:tc>
          <w:tcPr>
            <w:tcW w:w="1275" w:type="dxa"/>
            <w:tcBorders>
              <w:top w:val="nil"/>
              <w:left w:val="nil"/>
              <w:bottom w:val="single" w:sz="4" w:space="0" w:color="auto"/>
              <w:right w:val="single" w:sz="4" w:space="0" w:color="auto"/>
            </w:tcBorders>
            <w:shd w:val="clear" w:color="auto" w:fill="C6EFCE"/>
            <w:noWrap/>
          </w:tcPr>
          <w:p w14:paraId="65D9659E"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01C43B3" w14:textId="77777777" w:rsidR="003F46B9" w:rsidRDefault="0065662E">
            <w:pPr>
              <w:pStyle w:val="P68B1DB1-Normal35"/>
              <w:spacing w:after="0"/>
              <w:jc w:val="both"/>
              <w:rPr>
                <w:noProof/>
              </w:rPr>
            </w:pPr>
            <w:r>
              <w:rPr>
                <w:noProof/>
              </w:rPr>
              <w:t>Subjekti koji primaju vladine alate i usluge za povećanje razine zrelosti kibersigurnosti</w:t>
            </w:r>
          </w:p>
        </w:tc>
      </w:tr>
      <w:tr w:rsidR="003F46B9" w14:paraId="5F5DEDD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1A070B" w14:textId="77777777" w:rsidR="003F46B9" w:rsidRDefault="0065662E">
            <w:pPr>
              <w:pStyle w:val="P68B1DB1-Normal35"/>
              <w:spacing w:after="0"/>
              <w:jc w:val="center"/>
              <w:rPr>
                <w:noProof/>
              </w:rPr>
            </w:pPr>
            <w:r>
              <w:rPr>
                <w:noProof/>
              </w:rPr>
              <w:t>185</w:t>
            </w:r>
          </w:p>
        </w:tc>
        <w:tc>
          <w:tcPr>
            <w:tcW w:w="3544" w:type="dxa"/>
            <w:tcBorders>
              <w:top w:val="nil"/>
              <w:left w:val="nil"/>
              <w:bottom w:val="single" w:sz="4" w:space="0" w:color="auto"/>
              <w:right w:val="single" w:sz="4" w:space="0" w:color="auto"/>
            </w:tcBorders>
            <w:shd w:val="clear" w:color="auto" w:fill="C6EFCE"/>
            <w:noWrap/>
          </w:tcPr>
          <w:p w14:paraId="718CEBD0" w14:textId="77777777" w:rsidR="003F46B9" w:rsidRDefault="0065662E">
            <w:pPr>
              <w:pStyle w:val="P68B1DB1-Normal35"/>
              <w:spacing w:after="0"/>
              <w:jc w:val="both"/>
              <w:rPr>
                <w:noProof/>
              </w:rPr>
            </w:pPr>
            <w:r>
              <w:rPr>
                <w:noProof/>
              </w:rPr>
              <w:t>C7.I16</w:t>
            </w:r>
            <w:r>
              <w:rPr>
                <w:noProof/>
              </w:rPr>
              <w:br/>
              <w:t>Progra</w:t>
            </w:r>
            <w:r>
              <w:rPr>
                <w:noProof/>
              </w:rPr>
              <w:t xml:space="preserve">m osposobljavanja državnih službenika u području naprednih digitalnih vještina </w:t>
            </w:r>
          </w:p>
        </w:tc>
        <w:tc>
          <w:tcPr>
            <w:tcW w:w="1275" w:type="dxa"/>
            <w:tcBorders>
              <w:top w:val="nil"/>
              <w:left w:val="nil"/>
              <w:bottom w:val="single" w:sz="4" w:space="0" w:color="auto"/>
              <w:right w:val="single" w:sz="4" w:space="0" w:color="auto"/>
            </w:tcBorders>
            <w:shd w:val="clear" w:color="auto" w:fill="C6EFCE"/>
            <w:noWrap/>
          </w:tcPr>
          <w:p w14:paraId="463F7AF4"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C5CCE2B" w14:textId="77777777" w:rsidR="003F46B9" w:rsidRDefault="0065662E">
            <w:pPr>
              <w:pStyle w:val="P68B1DB1-Normal35"/>
              <w:spacing w:after="0"/>
              <w:jc w:val="both"/>
              <w:rPr>
                <w:noProof/>
              </w:rPr>
            </w:pPr>
            <w:r>
              <w:rPr>
                <w:noProof/>
              </w:rPr>
              <w:t xml:space="preserve">Digitalno osposobljeni državni službenici </w:t>
            </w:r>
          </w:p>
        </w:tc>
      </w:tr>
      <w:tr w:rsidR="003F46B9" w14:paraId="210D84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179F6A5" w14:textId="77777777" w:rsidR="003F46B9" w:rsidRDefault="0065662E">
            <w:pPr>
              <w:pStyle w:val="P68B1DB1-Normal35"/>
              <w:spacing w:after="0"/>
              <w:jc w:val="center"/>
              <w:rPr>
                <w:noProof/>
              </w:rPr>
            </w:pPr>
            <w:r>
              <w:rPr>
                <w:noProof/>
              </w:rPr>
              <w:t>187</w:t>
            </w:r>
          </w:p>
        </w:tc>
        <w:tc>
          <w:tcPr>
            <w:tcW w:w="3544" w:type="dxa"/>
            <w:tcBorders>
              <w:top w:val="nil"/>
              <w:left w:val="nil"/>
              <w:bottom w:val="single" w:sz="4" w:space="0" w:color="auto"/>
              <w:right w:val="single" w:sz="4" w:space="0" w:color="auto"/>
            </w:tcBorders>
            <w:shd w:val="clear" w:color="auto" w:fill="C6EFCE"/>
            <w:noWrap/>
          </w:tcPr>
          <w:p w14:paraId="2EF7F1DB" w14:textId="77777777" w:rsidR="003F46B9" w:rsidRDefault="0065662E">
            <w:pPr>
              <w:pStyle w:val="P68B1DB1-Normal35"/>
              <w:spacing w:after="0"/>
              <w:jc w:val="both"/>
              <w:rPr>
                <w:noProof/>
              </w:rPr>
            </w:pPr>
            <w:r>
              <w:rPr>
                <w:noProof/>
              </w:rPr>
              <w:t>C7.I17</w:t>
            </w:r>
            <w:r>
              <w:rPr>
                <w:noProof/>
              </w:rPr>
              <w:br/>
              <w:t xml:space="preserve">Programi financiranja knjižnica kako bi postali centri za digitalne vještine </w:t>
            </w:r>
          </w:p>
        </w:tc>
        <w:tc>
          <w:tcPr>
            <w:tcW w:w="1275" w:type="dxa"/>
            <w:tcBorders>
              <w:top w:val="nil"/>
              <w:left w:val="nil"/>
              <w:bottom w:val="single" w:sz="4" w:space="0" w:color="auto"/>
              <w:right w:val="single" w:sz="4" w:space="0" w:color="auto"/>
            </w:tcBorders>
            <w:shd w:val="clear" w:color="auto" w:fill="C6EFCE"/>
            <w:noWrap/>
          </w:tcPr>
          <w:p w14:paraId="7906373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E8074CB" w14:textId="77777777" w:rsidR="003F46B9" w:rsidRDefault="0065662E">
            <w:pPr>
              <w:pStyle w:val="P68B1DB1-Normal35"/>
              <w:spacing w:after="0"/>
              <w:jc w:val="both"/>
              <w:rPr>
                <w:noProof/>
              </w:rPr>
            </w:pPr>
            <w:r>
              <w:rPr>
                <w:noProof/>
              </w:rPr>
              <w:t xml:space="preserve">Građani koji su prošli osposobljavanje </w:t>
            </w:r>
            <w:r>
              <w:rPr>
                <w:noProof/>
              </w:rPr>
              <w:t>za razvoj digitalnih kompetencija</w:t>
            </w:r>
          </w:p>
        </w:tc>
      </w:tr>
      <w:tr w:rsidR="003F46B9" w14:paraId="78C1B3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EAEC22B" w14:textId="77777777" w:rsidR="003F46B9" w:rsidRDefault="0065662E">
            <w:pPr>
              <w:pStyle w:val="P68B1DB1-Normal35"/>
              <w:spacing w:after="0"/>
              <w:jc w:val="center"/>
              <w:rPr>
                <w:noProof/>
              </w:rPr>
            </w:pPr>
            <w:r>
              <w:rPr>
                <w:noProof/>
              </w:rPr>
              <w:t>197</w:t>
            </w:r>
          </w:p>
        </w:tc>
        <w:tc>
          <w:tcPr>
            <w:tcW w:w="3544" w:type="dxa"/>
            <w:tcBorders>
              <w:top w:val="nil"/>
              <w:left w:val="nil"/>
              <w:bottom w:val="single" w:sz="4" w:space="0" w:color="auto"/>
              <w:right w:val="single" w:sz="4" w:space="0" w:color="auto"/>
            </w:tcBorders>
            <w:shd w:val="clear" w:color="auto" w:fill="C6EFCE"/>
            <w:noWrap/>
          </w:tcPr>
          <w:p w14:paraId="315BA1B8" w14:textId="77777777" w:rsidR="003F46B9" w:rsidRDefault="0065662E">
            <w:pPr>
              <w:pStyle w:val="P68B1DB1-Normal35"/>
              <w:spacing w:after="0"/>
              <w:jc w:val="both"/>
              <w:rPr>
                <w:noProof/>
              </w:rPr>
            </w:pPr>
            <w:r>
              <w:rPr>
                <w:noProof/>
              </w:rPr>
              <w:t>C8.R1</w:t>
            </w:r>
          </w:p>
          <w:p w14:paraId="2357EF3B" w14:textId="77777777" w:rsidR="003F46B9" w:rsidRDefault="0065662E">
            <w:pPr>
              <w:pStyle w:val="P68B1DB1-Normal35"/>
              <w:spacing w:after="0"/>
              <w:jc w:val="both"/>
              <w:rPr>
                <w:noProof/>
              </w:rPr>
            </w:pPr>
            <w:r>
              <w:rPr>
                <w:noProof/>
              </w:rPr>
              <w:t xml:space="preserve">Reforma Nacionalne agencije za fiskalnu upravu (ANAF) putem digitalizacije </w:t>
            </w:r>
          </w:p>
        </w:tc>
        <w:tc>
          <w:tcPr>
            <w:tcW w:w="1275" w:type="dxa"/>
            <w:tcBorders>
              <w:top w:val="nil"/>
              <w:left w:val="nil"/>
              <w:bottom w:val="single" w:sz="4" w:space="0" w:color="auto"/>
              <w:right w:val="single" w:sz="4" w:space="0" w:color="auto"/>
            </w:tcBorders>
            <w:shd w:val="clear" w:color="auto" w:fill="C6EFCE"/>
            <w:noWrap/>
          </w:tcPr>
          <w:p w14:paraId="7F8166A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24CD630" w14:textId="77777777" w:rsidR="003F46B9" w:rsidRDefault="0065662E">
            <w:pPr>
              <w:pStyle w:val="P68B1DB1-Normal35"/>
              <w:spacing w:after="0"/>
              <w:jc w:val="both"/>
              <w:rPr>
                <w:noProof/>
              </w:rPr>
            </w:pPr>
            <w:r>
              <w:rPr>
                <w:noProof/>
              </w:rPr>
              <w:t xml:space="preserve">Smanjenje jaza PDV-a za 5 postotnih bodova </w:t>
            </w:r>
          </w:p>
        </w:tc>
      </w:tr>
      <w:tr w:rsidR="003F46B9" w14:paraId="4D6FECA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00A0BF" w14:textId="77777777" w:rsidR="003F46B9" w:rsidRDefault="0065662E">
            <w:pPr>
              <w:pStyle w:val="P68B1DB1-Normal35"/>
              <w:spacing w:after="0"/>
              <w:jc w:val="center"/>
              <w:rPr>
                <w:noProof/>
              </w:rPr>
            </w:pPr>
            <w:r>
              <w:rPr>
                <w:noProof/>
              </w:rPr>
              <w:t>210</w:t>
            </w:r>
          </w:p>
        </w:tc>
        <w:tc>
          <w:tcPr>
            <w:tcW w:w="3544" w:type="dxa"/>
            <w:tcBorders>
              <w:top w:val="nil"/>
              <w:left w:val="nil"/>
              <w:bottom w:val="single" w:sz="4" w:space="0" w:color="auto"/>
              <w:right w:val="single" w:sz="4" w:space="0" w:color="auto"/>
            </w:tcBorders>
            <w:shd w:val="clear" w:color="auto" w:fill="C6EFCE"/>
            <w:noWrap/>
          </w:tcPr>
          <w:p w14:paraId="45239122" w14:textId="77777777" w:rsidR="003F46B9" w:rsidRDefault="0065662E">
            <w:pPr>
              <w:pStyle w:val="P68B1DB1-Normal35"/>
              <w:spacing w:after="0"/>
              <w:jc w:val="both"/>
              <w:rPr>
                <w:noProof/>
              </w:rPr>
            </w:pPr>
            <w:r>
              <w:rPr>
                <w:noProof/>
              </w:rPr>
              <w:t>C8.R5</w:t>
            </w:r>
          </w:p>
          <w:p w14:paraId="0083A5B7" w14:textId="77777777" w:rsidR="003F46B9" w:rsidRDefault="0065662E">
            <w:pPr>
              <w:pStyle w:val="P68B1DB1-Normal35"/>
              <w:spacing w:after="0"/>
              <w:jc w:val="both"/>
              <w:rPr>
                <w:noProof/>
              </w:rPr>
            </w:pPr>
            <w:r>
              <w:rPr>
                <w:noProof/>
              </w:rPr>
              <w:t>Osnivanje i operacionalizacija Nacionalne razvojne banke</w:t>
            </w:r>
          </w:p>
        </w:tc>
        <w:tc>
          <w:tcPr>
            <w:tcW w:w="1275" w:type="dxa"/>
            <w:tcBorders>
              <w:top w:val="nil"/>
              <w:left w:val="nil"/>
              <w:bottom w:val="single" w:sz="4" w:space="0" w:color="auto"/>
              <w:right w:val="single" w:sz="4" w:space="0" w:color="auto"/>
            </w:tcBorders>
            <w:shd w:val="clear" w:color="auto" w:fill="C6EFCE"/>
            <w:noWrap/>
          </w:tcPr>
          <w:p w14:paraId="5579013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30B3D6" w14:textId="77777777" w:rsidR="003F46B9" w:rsidRDefault="0065662E">
            <w:pPr>
              <w:pStyle w:val="P68B1DB1-Normal35"/>
              <w:spacing w:after="0"/>
              <w:jc w:val="both"/>
              <w:rPr>
                <w:noProof/>
              </w:rPr>
            </w:pPr>
            <w:r>
              <w:rPr>
                <w:noProof/>
              </w:rPr>
              <w:t>Obavijest Europskoj</w:t>
            </w:r>
            <w:r>
              <w:rPr>
                <w:noProof/>
              </w:rPr>
              <w:t xml:space="preserve"> komisiji o dovršetku ocjene na temelju stupova Nacionalne razvojne banke za provedbu fondova EU-a</w:t>
            </w:r>
          </w:p>
        </w:tc>
      </w:tr>
      <w:tr w:rsidR="003F46B9" w14:paraId="78DC7C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D6FA04" w14:textId="77777777" w:rsidR="003F46B9" w:rsidRDefault="0065662E">
            <w:pPr>
              <w:pStyle w:val="P68B1DB1-Normal35"/>
              <w:spacing w:after="0"/>
              <w:jc w:val="center"/>
              <w:rPr>
                <w:noProof/>
              </w:rPr>
            </w:pPr>
            <w:r>
              <w:rPr>
                <w:noProof/>
              </w:rPr>
              <w:t>290</w:t>
            </w:r>
          </w:p>
        </w:tc>
        <w:tc>
          <w:tcPr>
            <w:tcW w:w="3544" w:type="dxa"/>
            <w:tcBorders>
              <w:top w:val="nil"/>
              <w:left w:val="nil"/>
              <w:bottom w:val="single" w:sz="4" w:space="0" w:color="auto"/>
              <w:right w:val="single" w:sz="4" w:space="0" w:color="auto"/>
            </w:tcBorders>
            <w:shd w:val="clear" w:color="auto" w:fill="C6EFCE"/>
            <w:noWrap/>
          </w:tcPr>
          <w:p w14:paraId="27425780" w14:textId="77777777" w:rsidR="003F46B9" w:rsidRDefault="0065662E">
            <w:pPr>
              <w:pStyle w:val="P68B1DB1-Normal35"/>
              <w:spacing w:after="0"/>
              <w:jc w:val="both"/>
              <w:rPr>
                <w:noProof/>
              </w:rPr>
            </w:pPr>
            <w:r>
              <w:rPr>
                <w:noProof/>
              </w:rPr>
              <w:t xml:space="preserve">C10.R1 </w:t>
            </w:r>
          </w:p>
          <w:p w14:paraId="3723A07E" w14:textId="77777777" w:rsidR="003F46B9" w:rsidRDefault="0065662E">
            <w:pPr>
              <w:pStyle w:val="P68B1DB1-Normal35"/>
              <w:spacing w:after="0"/>
              <w:jc w:val="both"/>
              <w:rPr>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6CD0D73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2DC4F57" w14:textId="77777777" w:rsidR="003F46B9" w:rsidRDefault="0065662E">
            <w:pPr>
              <w:pStyle w:val="P68B1DB1-Normal35"/>
              <w:spacing w:after="0"/>
              <w:jc w:val="both"/>
              <w:rPr>
                <w:noProof/>
              </w:rPr>
            </w:pPr>
            <w:r>
              <w:rPr>
                <w:noProof/>
              </w:rPr>
              <w:t>Potpisivanje svih ugovora o javnim uslugama prijevoza koji istječu u razdoblju od 2021. do 2026</w:t>
            </w:r>
            <w:r>
              <w:rPr>
                <w:noProof/>
              </w:rPr>
              <w:t>. za 40 županija</w:t>
            </w:r>
          </w:p>
        </w:tc>
      </w:tr>
      <w:tr w:rsidR="003F46B9" w14:paraId="5E36B2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DA79193" w14:textId="77777777" w:rsidR="003F46B9" w:rsidRDefault="0065662E">
            <w:pPr>
              <w:pStyle w:val="P68B1DB1-Normal35"/>
              <w:spacing w:after="0"/>
              <w:jc w:val="center"/>
              <w:rPr>
                <w:noProof/>
              </w:rPr>
            </w:pPr>
            <w:r>
              <w:rPr>
                <w:noProof/>
              </w:rPr>
              <w:t>291</w:t>
            </w:r>
          </w:p>
        </w:tc>
        <w:tc>
          <w:tcPr>
            <w:tcW w:w="3544" w:type="dxa"/>
            <w:tcBorders>
              <w:top w:val="nil"/>
              <w:left w:val="nil"/>
              <w:bottom w:val="single" w:sz="4" w:space="0" w:color="auto"/>
              <w:right w:val="single" w:sz="4" w:space="0" w:color="auto"/>
            </w:tcBorders>
            <w:shd w:val="clear" w:color="auto" w:fill="C6EFCE"/>
            <w:noWrap/>
          </w:tcPr>
          <w:p w14:paraId="60888C24" w14:textId="77777777" w:rsidR="003F46B9" w:rsidRDefault="0065662E">
            <w:pPr>
              <w:pStyle w:val="P68B1DB1-Normal35"/>
              <w:spacing w:after="0"/>
              <w:jc w:val="both"/>
              <w:rPr>
                <w:noProof/>
              </w:rPr>
            </w:pPr>
            <w:r>
              <w:rPr>
                <w:noProof/>
              </w:rPr>
              <w:t>C10.R1</w:t>
            </w:r>
          </w:p>
          <w:p w14:paraId="717535D0" w14:textId="77777777" w:rsidR="003F46B9" w:rsidRDefault="0065662E">
            <w:pPr>
              <w:pStyle w:val="P68B1DB1-Normal35"/>
              <w:spacing w:after="0"/>
              <w:jc w:val="both"/>
              <w:rPr>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389E6C9E"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0B9AD36" w14:textId="77777777" w:rsidR="003F46B9" w:rsidRDefault="0065662E">
            <w:pPr>
              <w:pStyle w:val="P68B1DB1-Normal35"/>
              <w:spacing w:after="0"/>
              <w:jc w:val="both"/>
              <w:rPr>
                <w:noProof/>
              </w:rPr>
            </w:pPr>
            <w:r>
              <w:rPr>
                <w:noProof/>
              </w:rPr>
              <w:t xml:space="preserve">Smanjenje emisija onečišćujućih tvari u zrak </w:t>
            </w:r>
          </w:p>
        </w:tc>
      </w:tr>
      <w:tr w:rsidR="003F46B9" w14:paraId="62850D7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844E9" w14:textId="77777777" w:rsidR="003F46B9" w:rsidRDefault="0065662E">
            <w:pPr>
              <w:pStyle w:val="P68B1DB1-Normal35"/>
              <w:spacing w:after="0"/>
              <w:jc w:val="center"/>
              <w:rPr>
                <w:noProof/>
              </w:rPr>
            </w:pPr>
            <w:r>
              <w:rPr>
                <w:noProof/>
              </w:rPr>
              <w:t>293</w:t>
            </w:r>
          </w:p>
        </w:tc>
        <w:tc>
          <w:tcPr>
            <w:tcW w:w="3544" w:type="dxa"/>
            <w:tcBorders>
              <w:top w:val="nil"/>
              <w:left w:val="nil"/>
              <w:bottom w:val="single" w:sz="4" w:space="0" w:color="auto"/>
              <w:right w:val="single" w:sz="4" w:space="0" w:color="auto"/>
            </w:tcBorders>
            <w:shd w:val="clear" w:color="auto" w:fill="C6EFCE"/>
            <w:noWrap/>
          </w:tcPr>
          <w:p w14:paraId="67F8982D" w14:textId="77777777" w:rsidR="003F46B9" w:rsidRDefault="0065662E">
            <w:pPr>
              <w:pStyle w:val="P68B1DB1-Normal35"/>
              <w:spacing w:after="0"/>
              <w:jc w:val="both"/>
              <w:rPr>
                <w:noProof/>
              </w:rPr>
            </w:pPr>
            <w:r>
              <w:rPr>
                <w:noProof/>
              </w:rPr>
              <w:t xml:space="preserve">C.10.R1 </w:t>
            </w:r>
          </w:p>
          <w:p w14:paraId="46F2E82A" w14:textId="77777777" w:rsidR="003F46B9" w:rsidRDefault="0065662E">
            <w:pPr>
              <w:pStyle w:val="P68B1DB1-Normal35"/>
              <w:spacing w:after="0"/>
              <w:jc w:val="both"/>
              <w:rPr>
                <w:noProof/>
              </w:rPr>
            </w:pPr>
            <w:r>
              <w:rPr>
                <w:noProof/>
              </w:rPr>
              <w:t xml:space="preserve">Stvaranje okvira za održivu gradsku mobilnost </w:t>
            </w:r>
          </w:p>
        </w:tc>
        <w:tc>
          <w:tcPr>
            <w:tcW w:w="1275" w:type="dxa"/>
            <w:tcBorders>
              <w:top w:val="nil"/>
              <w:left w:val="nil"/>
              <w:bottom w:val="single" w:sz="4" w:space="0" w:color="auto"/>
              <w:right w:val="single" w:sz="4" w:space="0" w:color="auto"/>
            </w:tcBorders>
            <w:shd w:val="clear" w:color="auto" w:fill="C6EFCE"/>
            <w:noWrap/>
          </w:tcPr>
          <w:p w14:paraId="6FC169B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A01CF92" w14:textId="77777777" w:rsidR="003F46B9" w:rsidRDefault="0065662E">
            <w:pPr>
              <w:pStyle w:val="P68B1DB1-Normal35"/>
              <w:spacing w:after="0"/>
              <w:jc w:val="both"/>
              <w:rPr>
                <w:noProof/>
              </w:rPr>
            </w:pPr>
            <w:r>
              <w:rPr>
                <w:noProof/>
              </w:rPr>
              <w:t xml:space="preserve">Povećanje od 20 % u ukupnom godišnjem broju putnika koji se koriste </w:t>
            </w:r>
            <w:r>
              <w:rPr>
                <w:noProof/>
              </w:rPr>
              <w:t>lokalnim javnim prijevozom 2026. u odnosu na 2019.</w:t>
            </w:r>
          </w:p>
        </w:tc>
      </w:tr>
      <w:tr w:rsidR="003F46B9" w14:paraId="302FCD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3ABD6" w14:textId="77777777" w:rsidR="003F46B9" w:rsidRDefault="0065662E">
            <w:pPr>
              <w:pStyle w:val="P68B1DB1-Normal35"/>
              <w:spacing w:after="0"/>
              <w:jc w:val="center"/>
              <w:rPr>
                <w:noProof/>
              </w:rPr>
            </w:pPr>
            <w:r>
              <w:rPr>
                <w:noProof/>
              </w:rPr>
              <w:t>296</w:t>
            </w:r>
          </w:p>
        </w:tc>
        <w:tc>
          <w:tcPr>
            <w:tcW w:w="3544" w:type="dxa"/>
            <w:tcBorders>
              <w:top w:val="nil"/>
              <w:left w:val="nil"/>
              <w:bottom w:val="single" w:sz="4" w:space="0" w:color="auto"/>
              <w:right w:val="single" w:sz="4" w:space="0" w:color="auto"/>
            </w:tcBorders>
            <w:shd w:val="clear" w:color="auto" w:fill="C6EFCE"/>
            <w:noWrap/>
          </w:tcPr>
          <w:p w14:paraId="7BC3FD64" w14:textId="77777777" w:rsidR="003F46B9" w:rsidRDefault="0065662E">
            <w:pPr>
              <w:pStyle w:val="P68B1DB1-Normal35"/>
              <w:spacing w:after="0"/>
              <w:jc w:val="both"/>
              <w:rPr>
                <w:noProof/>
              </w:rPr>
            </w:pPr>
            <w:r>
              <w:rPr>
                <w:noProof/>
              </w:rPr>
              <w:t>C10.I1</w:t>
            </w:r>
          </w:p>
          <w:p w14:paraId="28DCDE90" w14:textId="77777777" w:rsidR="003F46B9" w:rsidRDefault="0065662E">
            <w:pPr>
              <w:pStyle w:val="P68B1DB1-Normal35"/>
              <w:spacing w:after="0"/>
              <w:jc w:val="both"/>
              <w:rPr>
                <w:noProof/>
              </w:rPr>
            </w:pPr>
            <w:r>
              <w:rPr>
                <w:noProof/>
              </w:rPr>
              <w:t>Održiva gradska mobilnost</w:t>
            </w:r>
          </w:p>
          <w:p w14:paraId="3C531041"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59A3749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EBBA82E" w14:textId="77777777" w:rsidR="003F46B9" w:rsidRDefault="0065662E">
            <w:pPr>
              <w:pStyle w:val="P68B1DB1-Normal35"/>
              <w:spacing w:after="0"/>
              <w:jc w:val="both"/>
              <w:rPr>
                <w:noProof/>
              </w:rPr>
            </w:pPr>
            <w:r>
              <w:rPr>
                <w:noProof/>
              </w:rPr>
              <w:t>Dodatna vozila s nultim emisijama (autobusi, trolejbusi s motorom s nultim emisijama ili baterijom, tramvaji i minibusi) (broj vozila)</w:t>
            </w:r>
          </w:p>
        </w:tc>
      </w:tr>
      <w:tr w:rsidR="003F46B9" w14:paraId="5891968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F7B45A" w14:textId="77777777" w:rsidR="003F46B9" w:rsidRDefault="0065662E">
            <w:pPr>
              <w:pStyle w:val="P68B1DB1-Normal35"/>
              <w:spacing w:after="0"/>
              <w:jc w:val="center"/>
              <w:rPr>
                <w:noProof/>
              </w:rPr>
            </w:pPr>
            <w:r>
              <w:rPr>
                <w:noProof/>
              </w:rPr>
              <w:t>297</w:t>
            </w:r>
          </w:p>
        </w:tc>
        <w:tc>
          <w:tcPr>
            <w:tcW w:w="3544" w:type="dxa"/>
            <w:tcBorders>
              <w:top w:val="nil"/>
              <w:left w:val="nil"/>
              <w:bottom w:val="single" w:sz="4" w:space="0" w:color="auto"/>
              <w:right w:val="single" w:sz="4" w:space="0" w:color="auto"/>
            </w:tcBorders>
            <w:shd w:val="clear" w:color="auto" w:fill="C6EFCE"/>
            <w:noWrap/>
          </w:tcPr>
          <w:p w14:paraId="1DCEA9FA" w14:textId="77777777" w:rsidR="003F46B9" w:rsidRDefault="0065662E">
            <w:pPr>
              <w:pStyle w:val="P68B1DB1-Normal35"/>
              <w:spacing w:after="0"/>
              <w:jc w:val="both"/>
              <w:rPr>
                <w:noProof/>
              </w:rPr>
            </w:pPr>
            <w:r>
              <w:rPr>
                <w:noProof/>
              </w:rPr>
              <w:t>C10.I1</w:t>
            </w:r>
          </w:p>
          <w:p w14:paraId="1C5BA806" w14:textId="77777777" w:rsidR="003F46B9" w:rsidRDefault="0065662E">
            <w:pPr>
              <w:pStyle w:val="P68B1DB1-Normal35"/>
              <w:spacing w:after="0"/>
              <w:jc w:val="both"/>
              <w:rPr>
                <w:noProof/>
              </w:rPr>
            </w:pPr>
            <w:r>
              <w:rPr>
                <w:noProof/>
              </w:rPr>
              <w:t xml:space="preserve">Održiva gradska </w:t>
            </w:r>
            <w:r>
              <w:rPr>
                <w:noProof/>
              </w:rPr>
              <w:t>mobilnost</w:t>
            </w:r>
          </w:p>
          <w:p w14:paraId="0349BD9C"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3EFBAB7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7EDCB00" w14:textId="77777777" w:rsidR="003F46B9" w:rsidRDefault="0065662E">
            <w:pPr>
              <w:pStyle w:val="P68B1DB1-Normal35"/>
              <w:spacing w:after="0"/>
              <w:jc w:val="both"/>
              <w:rPr>
                <w:noProof/>
              </w:rPr>
            </w:pPr>
            <w:r>
              <w:rPr>
                <w:noProof/>
              </w:rPr>
              <w:t>Povećanje udjela putovanja u administrativnim teritorijalnim jedinicama s uslugama lokalnog javnog prijevoza vozilima s nultim emisijama (autobusi, trolejbusi s motorom ili baterijom s nultim emisijama, tramvaji) u odnosu na 2019.</w:t>
            </w:r>
          </w:p>
        </w:tc>
      </w:tr>
      <w:tr w:rsidR="003F46B9" w14:paraId="4FA61F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44825C9" w14:textId="77777777" w:rsidR="003F46B9" w:rsidRDefault="0065662E">
            <w:pPr>
              <w:pStyle w:val="P68B1DB1-Normal35"/>
              <w:spacing w:after="0"/>
              <w:jc w:val="center"/>
              <w:rPr>
                <w:noProof/>
              </w:rPr>
            </w:pPr>
            <w:r>
              <w:rPr>
                <w:noProof/>
              </w:rPr>
              <w:t>300</w:t>
            </w:r>
          </w:p>
        </w:tc>
        <w:tc>
          <w:tcPr>
            <w:tcW w:w="3544" w:type="dxa"/>
            <w:tcBorders>
              <w:top w:val="nil"/>
              <w:left w:val="nil"/>
              <w:bottom w:val="single" w:sz="4" w:space="0" w:color="auto"/>
              <w:right w:val="single" w:sz="4" w:space="0" w:color="auto"/>
            </w:tcBorders>
            <w:shd w:val="clear" w:color="auto" w:fill="C6EFCE"/>
            <w:noWrap/>
          </w:tcPr>
          <w:p w14:paraId="3EDE7612" w14:textId="77777777" w:rsidR="003F46B9" w:rsidRDefault="0065662E">
            <w:pPr>
              <w:pStyle w:val="P68B1DB1-Normal35"/>
              <w:spacing w:after="0"/>
              <w:jc w:val="both"/>
              <w:rPr>
                <w:noProof/>
              </w:rPr>
            </w:pPr>
            <w:r>
              <w:rPr>
                <w:noProof/>
              </w:rPr>
              <w:t>C10.I1</w:t>
            </w:r>
          </w:p>
          <w:p w14:paraId="77647983" w14:textId="77777777" w:rsidR="003F46B9" w:rsidRDefault="0065662E">
            <w:pPr>
              <w:pStyle w:val="P68B1DB1-Normal35"/>
              <w:spacing w:after="0"/>
              <w:jc w:val="both"/>
              <w:rPr>
                <w:noProof/>
              </w:rPr>
            </w:pPr>
            <w:r>
              <w:rPr>
                <w:noProof/>
              </w:rPr>
              <w:t>Održiva gradska mobilnost</w:t>
            </w:r>
          </w:p>
          <w:p w14:paraId="649682C9"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7D243DF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2696073" w14:textId="77777777" w:rsidR="003F46B9" w:rsidRDefault="0065662E">
            <w:pPr>
              <w:pStyle w:val="P68B1DB1-Normal35"/>
              <w:spacing w:after="0"/>
              <w:jc w:val="both"/>
              <w:rPr>
                <w:noProof/>
              </w:rPr>
            </w:pPr>
            <w:r>
              <w:rPr>
                <w:noProof/>
              </w:rPr>
              <w:t>Administrativne teritorijalne jedinice s razvijenim/proširenim sustavima koji su operativni – inteligentni prometni sustavi i izdavanje elektroničkih karata/ostale infrastrukture IKT-a)</w:t>
            </w:r>
          </w:p>
        </w:tc>
      </w:tr>
      <w:tr w:rsidR="003F46B9" w14:paraId="67046AB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31637B9" w14:textId="77777777" w:rsidR="003F46B9" w:rsidRDefault="0065662E">
            <w:pPr>
              <w:pStyle w:val="P68B1DB1-Normal35"/>
              <w:spacing w:after="0"/>
              <w:jc w:val="center"/>
              <w:rPr>
                <w:noProof/>
              </w:rPr>
            </w:pPr>
            <w:r>
              <w:rPr>
                <w:noProof/>
              </w:rPr>
              <w:t>303</w:t>
            </w:r>
          </w:p>
        </w:tc>
        <w:tc>
          <w:tcPr>
            <w:tcW w:w="3544" w:type="dxa"/>
            <w:tcBorders>
              <w:top w:val="nil"/>
              <w:left w:val="nil"/>
              <w:bottom w:val="single" w:sz="4" w:space="0" w:color="auto"/>
              <w:right w:val="single" w:sz="4" w:space="0" w:color="auto"/>
            </w:tcBorders>
            <w:shd w:val="clear" w:color="auto" w:fill="C6EFCE"/>
            <w:noWrap/>
          </w:tcPr>
          <w:p w14:paraId="76648E91" w14:textId="77777777" w:rsidR="003F46B9" w:rsidRDefault="0065662E">
            <w:pPr>
              <w:pStyle w:val="P68B1DB1-Normal35"/>
              <w:spacing w:after="0"/>
              <w:jc w:val="both"/>
              <w:rPr>
                <w:noProof/>
              </w:rPr>
            </w:pPr>
            <w:r>
              <w:rPr>
                <w:noProof/>
              </w:rPr>
              <w:t>C10.I1</w:t>
            </w:r>
          </w:p>
          <w:p w14:paraId="0ABE5321" w14:textId="77777777" w:rsidR="003F46B9" w:rsidRDefault="0065662E">
            <w:pPr>
              <w:pStyle w:val="P68B1DB1-Normal35"/>
              <w:spacing w:after="0"/>
              <w:jc w:val="both"/>
              <w:rPr>
                <w:noProof/>
              </w:rPr>
            </w:pPr>
            <w:r>
              <w:rPr>
                <w:noProof/>
              </w:rPr>
              <w:t>Održiva gradska mobilnost</w:t>
            </w:r>
          </w:p>
          <w:p w14:paraId="4287D59B"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701A731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1BF67F8" w14:textId="77777777" w:rsidR="003F46B9" w:rsidRDefault="0065662E">
            <w:pPr>
              <w:pStyle w:val="P68B1DB1-Normal35"/>
              <w:spacing w:after="0"/>
              <w:jc w:val="both"/>
              <w:rPr>
                <w:noProof/>
              </w:rPr>
            </w:pPr>
            <w:r>
              <w:rPr>
                <w:noProof/>
              </w:rPr>
              <w:t>Dodatni broj stanica za punjenje električnih vozila</w:t>
            </w:r>
          </w:p>
        </w:tc>
      </w:tr>
      <w:tr w:rsidR="003F46B9" w14:paraId="3DCBC8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9B3450" w14:textId="77777777" w:rsidR="003F46B9" w:rsidRDefault="0065662E">
            <w:pPr>
              <w:pStyle w:val="P68B1DB1-Normal35"/>
              <w:spacing w:after="0"/>
              <w:jc w:val="center"/>
              <w:rPr>
                <w:noProof/>
              </w:rPr>
            </w:pPr>
            <w:r>
              <w:rPr>
                <w:noProof/>
              </w:rPr>
              <w:t>354</w:t>
            </w:r>
          </w:p>
        </w:tc>
        <w:tc>
          <w:tcPr>
            <w:tcW w:w="3544" w:type="dxa"/>
            <w:tcBorders>
              <w:top w:val="nil"/>
              <w:left w:val="nil"/>
              <w:bottom w:val="single" w:sz="4" w:space="0" w:color="auto"/>
              <w:right w:val="single" w:sz="4" w:space="0" w:color="auto"/>
            </w:tcBorders>
            <w:shd w:val="clear" w:color="auto" w:fill="C6EFCE"/>
            <w:noWrap/>
          </w:tcPr>
          <w:p w14:paraId="2332EC0E" w14:textId="77777777" w:rsidR="003F46B9" w:rsidRDefault="0065662E">
            <w:pPr>
              <w:pStyle w:val="P68B1DB1-Normal35"/>
              <w:spacing w:after="0"/>
              <w:jc w:val="both"/>
              <w:rPr>
                <w:noProof/>
              </w:rPr>
            </w:pPr>
            <w:r>
              <w:rPr>
                <w:noProof/>
              </w:rPr>
              <w:t>C12.R1</w:t>
            </w:r>
          </w:p>
          <w:p w14:paraId="7396ACD3" w14:textId="77777777" w:rsidR="003F46B9" w:rsidRDefault="0065662E">
            <w:pPr>
              <w:pStyle w:val="P68B1DB1-Normal35"/>
              <w:spacing w:after="0"/>
              <w:jc w:val="both"/>
              <w:rPr>
                <w:noProof/>
              </w:rPr>
            </w:pPr>
            <w:r>
              <w:rPr>
                <w:noProof/>
              </w:rPr>
              <w:t xml:space="preserve">Povećani kapacitet za upravljanje fondovima za javno zdravstvo </w:t>
            </w:r>
          </w:p>
        </w:tc>
        <w:tc>
          <w:tcPr>
            <w:tcW w:w="1275" w:type="dxa"/>
            <w:tcBorders>
              <w:top w:val="nil"/>
              <w:left w:val="nil"/>
              <w:bottom w:val="single" w:sz="4" w:space="0" w:color="auto"/>
              <w:right w:val="single" w:sz="4" w:space="0" w:color="auto"/>
            </w:tcBorders>
            <w:shd w:val="clear" w:color="auto" w:fill="C6EFCE"/>
            <w:noWrap/>
          </w:tcPr>
          <w:p w14:paraId="76710F63"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A68492A" w14:textId="77777777" w:rsidR="003F46B9" w:rsidRDefault="0065662E">
            <w:pPr>
              <w:pStyle w:val="P68B1DB1-Normal35"/>
              <w:spacing w:after="0"/>
              <w:jc w:val="both"/>
              <w:rPr>
                <w:noProof/>
              </w:rPr>
            </w:pPr>
            <w:r>
              <w:rPr>
                <w:noProof/>
              </w:rPr>
              <w:t>Poboljšanje dostupnosti zdravstvene skrbi smanjenjem postotka osoba koje prijavljuju nezadovoljene medicinske potrebe</w:t>
            </w:r>
          </w:p>
        </w:tc>
      </w:tr>
      <w:tr w:rsidR="003F46B9" w14:paraId="36A7331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D29E81" w14:textId="77777777" w:rsidR="003F46B9" w:rsidRDefault="0065662E">
            <w:pPr>
              <w:pStyle w:val="P68B1DB1-Normal35"/>
              <w:spacing w:after="0"/>
              <w:jc w:val="center"/>
              <w:rPr>
                <w:noProof/>
              </w:rPr>
            </w:pPr>
            <w:r>
              <w:rPr>
                <w:noProof/>
              </w:rPr>
              <w:t>377</w:t>
            </w:r>
          </w:p>
        </w:tc>
        <w:tc>
          <w:tcPr>
            <w:tcW w:w="3544" w:type="dxa"/>
            <w:tcBorders>
              <w:top w:val="nil"/>
              <w:left w:val="nil"/>
              <w:bottom w:val="single" w:sz="4" w:space="0" w:color="auto"/>
              <w:right w:val="single" w:sz="4" w:space="0" w:color="auto"/>
            </w:tcBorders>
            <w:shd w:val="clear" w:color="auto" w:fill="C6EFCE"/>
            <w:noWrap/>
          </w:tcPr>
          <w:p w14:paraId="2417AB55" w14:textId="77777777" w:rsidR="003F46B9" w:rsidRDefault="0065662E">
            <w:pPr>
              <w:pStyle w:val="P68B1DB1-Normal35"/>
              <w:spacing w:after="0"/>
              <w:jc w:val="both"/>
              <w:rPr>
                <w:noProof/>
              </w:rPr>
            </w:pPr>
            <w:r>
              <w:rPr>
                <w:noProof/>
              </w:rPr>
              <w:t>C12</w:t>
            </w:r>
            <w:r>
              <w:rPr>
                <w:noProof/>
              </w:rPr>
              <w:t xml:space="preserve">.I2 </w:t>
            </w:r>
          </w:p>
          <w:p w14:paraId="3B14A802" w14:textId="7BC16683" w:rsidR="003F46B9" w:rsidRDefault="0065662E">
            <w:pPr>
              <w:pStyle w:val="P68B1DB1-Normal35"/>
              <w:spacing w:after="0"/>
              <w:jc w:val="both"/>
              <w:rPr>
                <w:noProof/>
              </w:rPr>
            </w:pPr>
            <w:r>
              <w:rPr>
                <w:noProof/>
              </w:rPr>
              <w:t xml:space="preserve">Razvoj javne bolničke infrastrukture </w:t>
            </w:r>
          </w:p>
        </w:tc>
        <w:tc>
          <w:tcPr>
            <w:tcW w:w="1275" w:type="dxa"/>
            <w:tcBorders>
              <w:top w:val="nil"/>
              <w:left w:val="nil"/>
              <w:bottom w:val="single" w:sz="4" w:space="0" w:color="auto"/>
              <w:right w:val="single" w:sz="4" w:space="0" w:color="auto"/>
            </w:tcBorders>
            <w:shd w:val="clear" w:color="auto" w:fill="C6EFCE"/>
            <w:noWrap/>
          </w:tcPr>
          <w:p w14:paraId="227E1D2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B32605A" w14:textId="77777777" w:rsidR="003F46B9" w:rsidRDefault="0065662E">
            <w:pPr>
              <w:pStyle w:val="P68B1DB1-Normal35"/>
              <w:spacing w:after="0"/>
              <w:jc w:val="both"/>
              <w:rPr>
                <w:noProof/>
              </w:rPr>
            </w:pPr>
            <w:r>
              <w:rPr>
                <w:noProof/>
              </w:rPr>
              <w:t xml:space="preserve">Izgradnja i/ili opremanje novih javnozdravstvenih jedinica/bolnica </w:t>
            </w:r>
          </w:p>
        </w:tc>
      </w:tr>
      <w:tr w:rsidR="003F46B9" w14:paraId="41E924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75FBD64" w14:textId="77777777" w:rsidR="003F46B9" w:rsidRDefault="0065662E">
            <w:pPr>
              <w:pStyle w:val="P68B1DB1-Normal35"/>
              <w:spacing w:after="0"/>
              <w:jc w:val="center"/>
              <w:rPr>
                <w:noProof/>
              </w:rPr>
            </w:pPr>
            <w:r>
              <w:rPr>
                <w:noProof/>
              </w:rPr>
              <w:t>379</w:t>
            </w:r>
          </w:p>
        </w:tc>
        <w:tc>
          <w:tcPr>
            <w:tcW w:w="3544" w:type="dxa"/>
            <w:tcBorders>
              <w:top w:val="nil"/>
              <w:left w:val="nil"/>
              <w:bottom w:val="single" w:sz="4" w:space="0" w:color="auto"/>
              <w:right w:val="single" w:sz="4" w:space="0" w:color="auto"/>
            </w:tcBorders>
            <w:shd w:val="clear" w:color="auto" w:fill="C6EFCE"/>
            <w:noWrap/>
          </w:tcPr>
          <w:p w14:paraId="3EF17C78" w14:textId="77777777" w:rsidR="003F46B9" w:rsidRDefault="0065662E">
            <w:pPr>
              <w:pStyle w:val="P68B1DB1-Normal35"/>
              <w:spacing w:after="0"/>
              <w:jc w:val="both"/>
              <w:rPr>
                <w:noProof/>
              </w:rPr>
            </w:pPr>
            <w:r>
              <w:rPr>
                <w:noProof/>
              </w:rPr>
              <w:t>C13.R1</w:t>
            </w:r>
          </w:p>
          <w:p w14:paraId="5140EAF3" w14:textId="77777777" w:rsidR="003F46B9" w:rsidRDefault="0065662E">
            <w:pPr>
              <w:pStyle w:val="P68B1DB1-Normal35"/>
              <w:spacing w:after="0"/>
              <w:jc w:val="both"/>
              <w:rPr>
                <w:noProof/>
              </w:rPr>
            </w:pPr>
            <w:r>
              <w:rPr>
                <w:noProof/>
              </w:rPr>
              <w:t xml:space="preserve">Stvaranje novog pravnog okvira za pružanje odgovarajućih rješenja za potporu obiteljima koje žive u siromaštvu s uzdržavanom djecom kako bi ih se moglo držati u obitelji </w:t>
            </w:r>
          </w:p>
        </w:tc>
        <w:tc>
          <w:tcPr>
            <w:tcW w:w="1275" w:type="dxa"/>
            <w:tcBorders>
              <w:top w:val="nil"/>
              <w:left w:val="nil"/>
              <w:bottom w:val="single" w:sz="4" w:space="0" w:color="auto"/>
              <w:right w:val="single" w:sz="4" w:space="0" w:color="auto"/>
            </w:tcBorders>
            <w:shd w:val="clear" w:color="auto" w:fill="C6EFCE"/>
            <w:noWrap/>
          </w:tcPr>
          <w:p w14:paraId="4282409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9F40825" w14:textId="77777777" w:rsidR="003F46B9" w:rsidRDefault="0065662E">
            <w:pPr>
              <w:pStyle w:val="P68B1DB1-Normal35"/>
              <w:spacing w:after="0"/>
              <w:jc w:val="both"/>
              <w:rPr>
                <w:noProof/>
              </w:rPr>
            </w:pPr>
            <w:r>
              <w:rPr>
                <w:noProof/>
              </w:rPr>
              <w:t xml:space="preserve">Smanjenje broja djece odvojene od obitelji koja ulaze u sustav socijalne zaštite </w:t>
            </w:r>
          </w:p>
        </w:tc>
      </w:tr>
      <w:tr w:rsidR="003F46B9" w14:paraId="24B8A02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82ADB2F" w14:textId="77777777" w:rsidR="003F46B9" w:rsidRDefault="0065662E">
            <w:pPr>
              <w:pStyle w:val="P68B1DB1-Normal35"/>
              <w:spacing w:after="0"/>
              <w:jc w:val="center"/>
              <w:rPr>
                <w:noProof/>
              </w:rPr>
            </w:pPr>
            <w:r>
              <w:rPr>
                <w:noProof/>
              </w:rPr>
              <w:t>382</w:t>
            </w:r>
          </w:p>
        </w:tc>
        <w:tc>
          <w:tcPr>
            <w:tcW w:w="3544" w:type="dxa"/>
            <w:tcBorders>
              <w:top w:val="nil"/>
              <w:left w:val="nil"/>
              <w:bottom w:val="single" w:sz="4" w:space="0" w:color="auto"/>
              <w:right w:val="single" w:sz="4" w:space="0" w:color="auto"/>
            </w:tcBorders>
            <w:shd w:val="clear" w:color="auto" w:fill="C6EFCE"/>
            <w:noWrap/>
          </w:tcPr>
          <w:p w14:paraId="0F275DE3" w14:textId="77777777" w:rsidR="003F46B9" w:rsidRDefault="0065662E">
            <w:pPr>
              <w:pStyle w:val="P68B1DB1-Normal35"/>
              <w:spacing w:after="0"/>
              <w:jc w:val="both"/>
              <w:rPr>
                <w:noProof/>
              </w:rPr>
            </w:pPr>
            <w:r>
              <w:rPr>
                <w:noProof/>
              </w:rPr>
              <w:t>C13.R2</w:t>
            </w:r>
          </w:p>
          <w:p w14:paraId="74498FB3" w14:textId="77777777" w:rsidR="003F46B9" w:rsidRDefault="0065662E">
            <w:pPr>
              <w:pStyle w:val="P68B1DB1-Normal35"/>
              <w:spacing w:after="0"/>
              <w:jc w:val="both"/>
              <w:rPr>
                <w:noProof/>
              </w:rPr>
            </w:pPr>
            <w:r>
              <w:rPr>
                <w:noProof/>
              </w:rPr>
              <w:t xml:space="preserve">Reforma sustava zaštite odraslih osoba s invaliditetom </w:t>
            </w:r>
          </w:p>
        </w:tc>
        <w:tc>
          <w:tcPr>
            <w:tcW w:w="1275" w:type="dxa"/>
            <w:tcBorders>
              <w:top w:val="nil"/>
              <w:left w:val="nil"/>
              <w:bottom w:val="single" w:sz="4" w:space="0" w:color="auto"/>
              <w:right w:val="single" w:sz="4" w:space="0" w:color="auto"/>
            </w:tcBorders>
            <w:shd w:val="clear" w:color="auto" w:fill="C6EFCE"/>
            <w:noWrap/>
          </w:tcPr>
          <w:p w14:paraId="451AB5B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CBB33A2" w14:textId="77777777" w:rsidR="003F46B9" w:rsidRDefault="0065662E">
            <w:pPr>
              <w:pStyle w:val="P68B1DB1-Normal35"/>
              <w:spacing w:after="0"/>
              <w:jc w:val="both"/>
              <w:rPr>
                <w:noProof/>
              </w:rPr>
            </w:pPr>
            <w:r>
              <w:rPr>
                <w:noProof/>
              </w:rPr>
              <w:t>Institucionalizirane osobe s invaliditetom koje primaju personaliziranu potporu za deinstitucionalizaciju i provedbu „neovisnog načina života”</w:t>
            </w:r>
          </w:p>
        </w:tc>
      </w:tr>
      <w:tr w:rsidR="003F46B9" w14:paraId="65E068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E3B009" w14:textId="77777777" w:rsidR="003F46B9" w:rsidRDefault="0065662E">
            <w:pPr>
              <w:pStyle w:val="P68B1DB1-Normal35"/>
              <w:spacing w:after="0"/>
              <w:jc w:val="center"/>
              <w:rPr>
                <w:noProof/>
              </w:rPr>
            </w:pPr>
            <w:r>
              <w:rPr>
                <w:noProof/>
              </w:rPr>
              <w:t>383</w:t>
            </w:r>
          </w:p>
        </w:tc>
        <w:tc>
          <w:tcPr>
            <w:tcW w:w="3544" w:type="dxa"/>
            <w:tcBorders>
              <w:top w:val="nil"/>
              <w:left w:val="nil"/>
              <w:bottom w:val="single" w:sz="4" w:space="0" w:color="auto"/>
              <w:right w:val="single" w:sz="4" w:space="0" w:color="auto"/>
            </w:tcBorders>
            <w:shd w:val="clear" w:color="auto" w:fill="C6EFCE"/>
            <w:noWrap/>
          </w:tcPr>
          <w:p w14:paraId="0EE51CE5" w14:textId="77777777" w:rsidR="003F46B9" w:rsidRDefault="0065662E">
            <w:pPr>
              <w:pStyle w:val="P68B1DB1-Normal35"/>
              <w:spacing w:after="0"/>
              <w:jc w:val="both"/>
              <w:rPr>
                <w:noProof/>
              </w:rPr>
            </w:pPr>
            <w:r>
              <w:rPr>
                <w:noProof/>
              </w:rPr>
              <w:t>C13.R2</w:t>
            </w:r>
          </w:p>
          <w:p w14:paraId="06922595" w14:textId="77777777" w:rsidR="003F46B9" w:rsidRDefault="0065662E">
            <w:pPr>
              <w:pStyle w:val="P68B1DB1-Normal35"/>
              <w:spacing w:after="0"/>
              <w:jc w:val="both"/>
              <w:rPr>
                <w:noProof/>
              </w:rPr>
            </w:pPr>
            <w:r>
              <w:rPr>
                <w:noProof/>
              </w:rPr>
              <w:t xml:space="preserve">Reforma sustava zaštite odraslih osoba s invaliditetom </w:t>
            </w:r>
          </w:p>
        </w:tc>
        <w:tc>
          <w:tcPr>
            <w:tcW w:w="1275" w:type="dxa"/>
            <w:tcBorders>
              <w:top w:val="nil"/>
              <w:left w:val="nil"/>
              <w:bottom w:val="single" w:sz="4" w:space="0" w:color="auto"/>
              <w:right w:val="single" w:sz="4" w:space="0" w:color="auto"/>
            </w:tcBorders>
            <w:shd w:val="clear" w:color="auto" w:fill="C6EFCE"/>
            <w:noWrap/>
          </w:tcPr>
          <w:p w14:paraId="2FB874E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26ACA51" w14:textId="77777777" w:rsidR="003F46B9" w:rsidRDefault="0065662E">
            <w:pPr>
              <w:pStyle w:val="P68B1DB1-Normal35"/>
              <w:spacing w:after="0"/>
              <w:jc w:val="both"/>
              <w:rPr>
                <w:noProof/>
              </w:rPr>
            </w:pPr>
            <w:r>
              <w:rPr>
                <w:noProof/>
              </w:rPr>
              <w:t xml:space="preserve">Smanjenje ukupnog broja institucionaliziranih osoba s invaliditetom (u usporedbi s podacima iz 31.12.2020.) </w:t>
            </w:r>
          </w:p>
        </w:tc>
      </w:tr>
      <w:tr w:rsidR="003F46B9" w14:paraId="14CE53F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D2654B1" w14:textId="77777777" w:rsidR="003F46B9" w:rsidRDefault="0065662E">
            <w:pPr>
              <w:pStyle w:val="P68B1DB1-Normal35"/>
              <w:spacing w:after="0"/>
              <w:jc w:val="center"/>
              <w:rPr>
                <w:noProof/>
              </w:rPr>
            </w:pPr>
            <w:r>
              <w:rPr>
                <w:noProof/>
              </w:rPr>
              <w:t>389</w:t>
            </w:r>
          </w:p>
        </w:tc>
        <w:tc>
          <w:tcPr>
            <w:tcW w:w="3544" w:type="dxa"/>
            <w:tcBorders>
              <w:top w:val="nil"/>
              <w:left w:val="nil"/>
              <w:bottom w:val="single" w:sz="4" w:space="0" w:color="auto"/>
              <w:right w:val="single" w:sz="4" w:space="0" w:color="auto"/>
            </w:tcBorders>
            <w:shd w:val="clear" w:color="auto" w:fill="C6EFCE"/>
            <w:noWrap/>
          </w:tcPr>
          <w:p w14:paraId="728BE928" w14:textId="77777777" w:rsidR="003F46B9" w:rsidRDefault="0065662E">
            <w:pPr>
              <w:pStyle w:val="P68B1DB1-Normal35"/>
              <w:spacing w:after="0"/>
              <w:jc w:val="both"/>
              <w:rPr>
                <w:noProof/>
              </w:rPr>
            </w:pPr>
            <w:r>
              <w:rPr>
                <w:noProof/>
              </w:rPr>
              <w:t>C13.R4</w:t>
            </w:r>
          </w:p>
          <w:p w14:paraId="7C7CA23B" w14:textId="77777777" w:rsidR="003F46B9" w:rsidRDefault="0065662E">
            <w:pPr>
              <w:pStyle w:val="P68B1DB1-Normal35"/>
              <w:spacing w:after="0"/>
              <w:jc w:val="both"/>
              <w:rPr>
                <w:noProof/>
              </w:rPr>
            </w:pPr>
            <w:r>
              <w:rPr>
                <w:noProof/>
              </w:rPr>
              <w:t>Uvođenje radnih iskaznica i formalizacija rada radnika u kućanstvu</w:t>
            </w:r>
          </w:p>
        </w:tc>
        <w:tc>
          <w:tcPr>
            <w:tcW w:w="1275" w:type="dxa"/>
            <w:tcBorders>
              <w:top w:val="nil"/>
              <w:left w:val="nil"/>
              <w:bottom w:val="single" w:sz="4" w:space="0" w:color="auto"/>
              <w:right w:val="single" w:sz="4" w:space="0" w:color="auto"/>
            </w:tcBorders>
            <w:shd w:val="clear" w:color="auto" w:fill="C6EFCE"/>
            <w:noWrap/>
          </w:tcPr>
          <w:p w14:paraId="5468B7A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059819D" w14:textId="77777777" w:rsidR="003F46B9" w:rsidRDefault="0065662E">
            <w:pPr>
              <w:pStyle w:val="P68B1DB1-Normal35"/>
              <w:spacing w:after="0"/>
              <w:jc w:val="both"/>
              <w:rPr>
                <w:noProof/>
              </w:rPr>
            </w:pPr>
            <w:r>
              <w:rPr>
                <w:noProof/>
              </w:rPr>
              <w:t>Korisnic</w:t>
            </w:r>
            <w:r>
              <w:rPr>
                <w:noProof/>
              </w:rPr>
              <w:t xml:space="preserve">i (radnici u kućanstvu) </w:t>
            </w:r>
          </w:p>
        </w:tc>
      </w:tr>
      <w:tr w:rsidR="003F46B9" w14:paraId="408680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7885E5" w14:textId="77777777" w:rsidR="003F46B9" w:rsidRDefault="0065662E">
            <w:pPr>
              <w:pStyle w:val="P68B1DB1-Normal35"/>
              <w:spacing w:after="0"/>
              <w:jc w:val="center"/>
              <w:rPr>
                <w:noProof/>
              </w:rPr>
            </w:pPr>
            <w:r>
              <w:rPr>
                <w:noProof/>
              </w:rPr>
              <w:t>407</w:t>
            </w:r>
          </w:p>
        </w:tc>
        <w:tc>
          <w:tcPr>
            <w:tcW w:w="3544" w:type="dxa"/>
            <w:tcBorders>
              <w:top w:val="nil"/>
              <w:left w:val="nil"/>
              <w:bottom w:val="single" w:sz="4" w:space="0" w:color="auto"/>
              <w:right w:val="single" w:sz="4" w:space="0" w:color="auto"/>
            </w:tcBorders>
            <w:shd w:val="clear" w:color="auto" w:fill="C6EFCE"/>
            <w:noWrap/>
          </w:tcPr>
          <w:p w14:paraId="0CB5877F" w14:textId="77777777" w:rsidR="003F46B9" w:rsidRDefault="0065662E">
            <w:pPr>
              <w:pStyle w:val="P68B1DB1-Normal35"/>
              <w:spacing w:after="0"/>
              <w:jc w:val="both"/>
              <w:rPr>
                <w:noProof/>
              </w:rPr>
            </w:pPr>
            <w:r>
              <w:rPr>
                <w:noProof/>
              </w:rPr>
              <w:t>C14.R1</w:t>
            </w:r>
          </w:p>
          <w:p w14:paraId="2B1BDCCB" w14:textId="77777777" w:rsidR="003F46B9" w:rsidRDefault="0065662E">
            <w:pPr>
              <w:pStyle w:val="P68B1DB1-Normal35"/>
              <w:spacing w:after="0"/>
              <w:jc w:val="both"/>
              <w:rPr>
                <w:noProof/>
              </w:rPr>
            </w:pPr>
            <w:r>
              <w:rPr>
                <w:noProof/>
              </w:rPr>
              <w:t>Povećanje predvidljivosti i učinkovitosti postupaka donošenja odluka jačanjem kapaciteta za koordinaciju politika i analizu učinka na razini vlade i koordinacijskih ministarstava te jačanjem alata za povećanje kvalitete</w:t>
            </w:r>
            <w:r>
              <w:rPr>
                <w:noProof/>
              </w:rPr>
              <w:t xml:space="preserve"> javnih savjetovanja na svim razinama uprave</w:t>
            </w:r>
          </w:p>
        </w:tc>
        <w:tc>
          <w:tcPr>
            <w:tcW w:w="1275" w:type="dxa"/>
            <w:tcBorders>
              <w:top w:val="nil"/>
              <w:left w:val="nil"/>
              <w:bottom w:val="single" w:sz="4" w:space="0" w:color="auto"/>
              <w:right w:val="single" w:sz="4" w:space="0" w:color="auto"/>
            </w:tcBorders>
            <w:shd w:val="clear" w:color="auto" w:fill="C6EFCE"/>
            <w:noWrap/>
          </w:tcPr>
          <w:p w14:paraId="66F2206D"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D2D6C7" w14:textId="77777777" w:rsidR="003F46B9" w:rsidRDefault="0065662E">
            <w:pPr>
              <w:pStyle w:val="P68B1DB1-Normal35"/>
              <w:spacing w:after="0"/>
              <w:jc w:val="both"/>
              <w:rPr>
                <w:noProof/>
              </w:rPr>
            </w:pPr>
            <w:r>
              <w:rPr>
                <w:noProof/>
              </w:rPr>
              <w:t>Postupak javnog savjetovanja i uključivanja zainteresiranih dionika poboljšao se povećanjem broja nacrta zakonodavnih akata za 20 % koji podliježu javnom savjetovanju i uključivanjem dionika na središnjoj razi</w:t>
            </w:r>
            <w:r>
              <w:rPr>
                <w:noProof/>
              </w:rPr>
              <w:t>ni</w:t>
            </w:r>
          </w:p>
        </w:tc>
      </w:tr>
      <w:tr w:rsidR="003F46B9" w14:paraId="60AFF0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03A51A" w14:textId="77777777" w:rsidR="003F46B9" w:rsidRDefault="0065662E">
            <w:pPr>
              <w:pStyle w:val="P68B1DB1-Normal35"/>
              <w:spacing w:after="0"/>
              <w:jc w:val="center"/>
              <w:rPr>
                <w:noProof/>
              </w:rPr>
            </w:pPr>
            <w:r>
              <w:rPr>
                <w:noProof/>
              </w:rPr>
              <w:t>443</w:t>
            </w:r>
          </w:p>
        </w:tc>
        <w:tc>
          <w:tcPr>
            <w:tcW w:w="3544" w:type="dxa"/>
            <w:tcBorders>
              <w:top w:val="nil"/>
              <w:left w:val="nil"/>
              <w:bottom w:val="single" w:sz="4" w:space="0" w:color="auto"/>
              <w:right w:val="single" w:sz="4" w:space="0" w:color="auto"/>
            </w:tcBorders>
            <w:shd w:val="clear" w:color="auto" w:fill="C6EFCE"/>
            <w:noWrap/>
          </w:tcPr>
          <w:p w14:paraId="3DE17CA9" w14:textId="77777777" w:rsidR="003F46B9" w:rsidRDefault="0065662E">
            <w:pPr>
              <w:pStyle w:val="P68B1DB1-Normal35"/>
              <w:spacing w:after="0"/>
              <w:jc w:val="both"/>
              <w:rPr>
                <w:noProof/>
              </w:rPr>
            </w:pPr>
            <w:r>
              <w:rPr>
                <w:noProof/>
              </w:rPr>
              <w:t>C14.R9</w:t>
            </w:r>
          </w:p>
          <w:p w14:paraId="0E782B4D" w14:textId="77777777" w:rsidR="003F46B9" w:rsidRDefault="0065662E">
            <w:pPr>
              <w:pStyle w:val="P68B1DB1-Normal35"/>
              <w:spacing w:after="0"/>
              <w:jc w:val="both"/>
              <w:rPr>
                <w:noProof/>
              </w:rPr>
            </w:pPr>
            <w:r>
              <w:rPr>
                <w:noProof/>
              </w:rPr>
              <w:t xml:space="preserve">Poboljšati postupovni okvir za provedbu načela korporativnog upravljanja u poduzećima u državnom vlasništvu </w:t>
            </w:r>
          </w:p>
        </w:tc>
        <w:tc>
          <w:tcPr>
            <w:tcW w:w="1275" w:type="dxa"/>
            <w:tcBorders>
              <w:top w:val="nil"/>
              <w:left w:val="nil"/>
              <w:bottom w:val="single" w:sz="4" w:space="0" w:color="auto"/>
              <w:right w:val="single" w:sz="4" w:space="0" w:color="auto"/>
            </w:tcBorders>
            <w:shd w:val="clear" w:color="auto" w:fill="C6EFCE"/>
            <w:noWrap/>
          </w:tcPr>
          <w:p w14:paraId="3321F38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888519E" w14:textId="77777777" w:rsidR="003F46B9" w:rsidRDefault="0065662E">
            <w:pPr>
              <w:pStyle w:val="P68B1DB1-Normal35"/>
              <w:spacing w:after="0"/>
              <w:jc w:val="both"/>
              <w:rPr>
                <w:noProof/>
              </w:rPr>
            </w:pPr>
            <w:r>
              <w:rPr>
                <w:noProof/>
              </w:rPr>
              <w:t>Središnja poduzeća u državnom vlasništvu uvrštena/zakupljena/restrukturirana u području energetike i prometa</w:t>
            </w:r>
          </w:p>
        </w:tc>
      </w:tr>
      <w:tr w:rsidR="003F46B9" w14:paraId="0916EA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9E04C" w14:textId="77777777" w:rsidR="003F46B9" w:rsidRDefault="0065662E">
            <w:pPr>
              <w:pStyle w:val="P68B1DB1-Normal35"/>
              <w:spacing w:after="0"/>
              <w:jc w:val="center"/>
              <w:rPr>
                <w:noProof/>
              </w:rPr>
            </w:pPr>
            <w:r>
              <w:rPr>
                <w:noProof/>
              </w:rPr>
              <w:t>445</w:t>
            </w:r>
          </w:p>
        </w:tc>
        <w:tc>
          <w:tcPr>
            <w:tcW w:w="3544" w:type="dxa"/>
            <w:tcBorders>
              <w:top w:val="nil"/>
              <w:left w:val="nil"/>
              <w:bottom w:val="single" w:sz="4" w:space="0" w:color="auto"/>
              <w:right w:val="single" w:sz="4" w:space="0" w:color="auto"/>
            </w:tcBorders>
            <w:shd w:val="clear" w:color="auto" w:fill="C6EFCE"/>
            <w:noWrap/>
          </w:tcPr>
          <w:p w14:paraId="080EAB3D" w14:textId="77777777" w:rsidR="003F46B9" w:rsidRDefault="0065662E">
            <w:pPr>
              <w:pStyle w:val="P68B1DB1-Normal35"/>
              <w:spacing w:after="0"/>
              <w:jc w:val="both"/>
              <w:rPr>
                <w:noProof/>
              </w:rPr>
            </w:pPr>
            <w:r>
              <w:rPr>
                <w:noProof/>
              </w:rPr>
              <w:t>C14.I1</w:t>
            </w:r>
          </w:p>
          <w:p w14:paraId="35CBFEA7" w14:textId="77777777" w:rsidR="003F46B9" w:rsidRDefault="0065662E">
            <w:pPr>
              <w:pStyle w:val="P68B1DB1-Normal35"/>
              <w:spacing w:after="0"/>
              <w:jc w:val="both"/>
              <w:rPr>
                <w:noProof/>
              </w:rPr>
            </w:pPr>
            <w:r>
              <w:rPr>
                <w:noProof/>
              </w:rPr>
              <w:t xml:space="preserve">Optimizacija pravosudne infrastrukture kako bi se zajamčio pristup pravosuđu i kvaliteta usluga </w:t>
            </w:r>
          </w:p>
        </w:tc>
        <w:tc>
          <w:tcPr>
            <w:tcW w:w="1275" w:type="dxa"/>
            <w:tcBorders>
              <w:top w:val="nil"/>
              <w:left w:val="nil"/>
              <w:bottom w:val="single" w:sz="4" w:space="0" w:color="auto"/>
              <w:right w:val="single" w:sz="4" w:space="0" w:color="auto"/>
            </w:tcBorders>
            <w:shd w:val="clear" w:color="auto" w:fill="C6EFCE"/>
            <w:noWrap/>
          </w:tcPr>
          <w:p w14:paraId="6DF52F0C"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21ACC27" w14:textId="77777777" w:rsidR="003F46B9" w:rsidRDefault="0065662E">
            <w:pPr>
              <w:pStyle w:val="P68B1DB1-Normal35"/>
              <w:spacing w:after="0"/>
              <w:jc w:val="both"/>
              <w:rPr>
                <w:noProof/>
              </w:rPr>
            </w:pPr>
            <w:r>
              <w:rPr>
                <w:noProof/>
              </w:rPr>
              <w:t xml:space="preserve">Prostorije sudova izgrađene u skladu sa zelenim standardima </w:t>
            </w:r>
          </w:p>
        </w:tc>
      </w:tr>
      <w:tr w:rsidR="003F46B9" w14:paraId="30AC44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2E4354" w14:textId="77777777" w:rsidR="003F46B9" w:rsidRDefault="0065662E">
            <w:pPr>
              <w:pStyle w:val="P68B1DB1-Normal35"/>
              <w:spacing w:after="0"/>
              <w:jc w:val="center"/>
              <w:rPr>
                <w:noProof/>
              </w:rPr>
            </w:pPr>
            <w:r>
              <w:rPr>
                <w:noProof/>
              </w:rPr>
              <w:t>468</w:t>
            </w:r>
          </w:p>
        </w:tc>
        <w:tc>
          <w:tcPr>
            <w:tcW w:w="3544" w:type="dxa"/>
            <w:tcBorders>
              <w:top w:val="nil"/>
              <w:left w:val="nil"/>
              <w:bottom w:val="single" w:sz="4" w:space="0" w:color="auto"/>
              <w:right w:val="single" w:sz="4" w:space="0" w:color="auto"/>
            </w:tcBorders>
            <w:shd w:val="clear" w:color="auto" w:fill="C6EFCE"/>
            <w:noWrap/>
          </w:tcPr>
          <w:p w14:paraId="3CD9D4C4" w14:textId="77777777" w:rsidR="003F46B9" w:rsidRDefault="0065662E">
            <w:pPr>
              <w:pStyle w:val="P68B1DB1-Normal35"/>
              <w:spacing w:after="0"/>
              <w:jc w:val="both"/>
              <w:rPr>
                <w:noProof/>
              </w:rPr>
            </w:pPr>
            <w:r>
              <w:rPr>
                <w:noProof/>
              </w:rPr>
              <w:t>C15.I4</w:t>
            </w:r>
          </w:p>
          <w:p w14:paraId="0BC44896" w14:textId="77777777" w:rsidR="003F46B9" w:rsidRDefault="0065662E">
            <w:pPr>
              <w:pStyle w:val="P68B1DB1-Normal35"/>
              <w:spacing w:after="0"/>
              <w:jc w:val="both"/>
              <w:rPr>
                <w:noProof/>
              </w:rPr>
            </w:pPr>
            <w:r>
              <w:rPr>
                <w:noProof/>
              </w:rPr>
              <w:t>Potpora obrazovnim ustanovama s visokim rizikom od napuštanja školovanja</w:t>
            </w:r>
          </w:p>
        </w:tc>
        <w:tc>
          <w:tcPr>
            <w:tcW w:w="1275" w:type="dxa"/>
            <w:tcBorders>
              <w:top w:val="nil"/>
              <w:left w:val="nil"/>
              <w:bottom w:val="single" w:sz="4" w:space="0" w:color="auto"/>
              <w:right w:val="single" w:sz="4" w:space="0" w:color="auto"/>
            </w:tcBorders>
            <w:shd w:val="clear" w:color="auto" w:fill="C6EFCE"/>
            <w:noWrap/>
          </w:tcPr>
          <w:p w14:paraId="04214CC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C8A4CAD" w14:textId="77777777" w:rsidR="003F46B9" w:rsidRDefault="0065662E">
            <w:pPr>
              <w:pStyle w:val="P68B1DB1-Normal35"/>
              <w:spacing w:after="0"/>
              <w:jc w:val="both"/>
              <w:rPr>
                <w:noProof/>
              </w:rPr>
            </w:pPr>
            <w:r>
              <w:rPr>
                <w:noProof/>
              </w:rPr>
              <w:t>Smanjenje</w:t>
            </w:r>
            <w:r>
              <w:rPr>
                <w:noProof/>
              </w:rPr>
              <w:t xml:space="preserve"> broja škola s visokim rizikom od napuštanja školovanja</w:t>
            </w:r>
          </w:p>
        </w:tc>
      </w:tr>
      <w:tr w:rsidR="003F46B9" w14:paraId="5E20AC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BB2081" w14:textId="77777777" w:rsidR="003F46B9" w:rsidRDefault="0065662E">
            <w:pPr>
              <w:pStyle w:val="P68B1DB1-Normal35"/>
              <w:spacing w:after="0"/>
              <w:jc w:val="center"/>
              <w:rPr>
                <w:noProof/>
              </w:rPr>
            </w:pPr>
            <w:r>
              <w:rPr>
                <w:noProof/>
              </w:rPr>
              <w:t>471</w:t>
            </w:r>
          </w:p>
        </w:tc>
        <w:tc>
          <w:tcPr>
            <w:tcW w:w="3544" w:type="dxa"/>
            <w:tcBorders>
              <w:top w:val="nil"/>
              <w:left w:val="nil"/>
              <w:bottom w:val="single" w:sz="4" w:space="0" w:color="auto"/>
              <w:right w:val="single" w:sz="4" w:space="0" w:color="auto"/>
            </w:tcBorders>
            <w:shd w:val="clear" w:color="auto" w:fill="C6EFCE"/>
            <w:noWrap/>
          </w:tcPr>
          <w:p w14:paraId="34DACBC8" w14:textId="77777777" w:rsidR="003F46B9" w:rsidRDefault="0065662E">
            <w:pPr>
              <w:pStyle w:val="P68B1DB1-Normal35"/>
              <w:spacing w:after="0"/>
              <w:jc w:val="both"/>
              <w:rPr>
                <w:noProof/>
              </w:rPr>
            </w:pPr>
            <w:r>
              <w:rPr>
                <w:noProof/>
              </w:rPr>
              <w:t>C15.R4</w:t>
            </w:r>
          </w:p>
          <w:p w14:paraId="48C8861B" w14:textId="77777777" w:rsidR="003F46B9" w:rsidRDefault="0065662E">
            <w:pPr>
              <w:pStyle w:val="P68B1DB1-Normal35"/>
              <w:spacing w:after="0"/>
              <w:jc w:val="both"/>
              <w:rPr>
                <w:noProof/>
              </w:rPr>
            </w:pPr>
            <w:r>
              <w:rPr>
                <w:noProof/>
              </w:rPr>
              <w:t>Stvaranje potpune profesionalne rute za visoko tehničko obrazovanje</w:t>
            </w:r>
          </w:p>
        </w:tc>
        <w:tc>
          <w:tcPr>
            <w:tcW w:w="1275" w:type="dxa"/>
            <w:tcBorders>
              <w:top w:val="nil"/>
              <w:left w:val="nil"/>
              <w:bottom w:val="single" w:sz="4" w:space="0" w:color="auto"/>
              <w:right w:val="single" w:sz="4" w:space="0" w:color="auto"/>
            </w:tcBorders>
            <w:shd w:val="clear" w:color="auto" w:fill="C6EFCE"/>
            <w:noWrap/>
          </w:tcPr>
          <w:p w14:paraId="4FCD9A7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DABAD36" w14:textId="77777777" w:rsidR="003F46B9" w:rsidRDefault="0065662E">
            <w:pPr>
              <w:pStyle w:val="P68B1DB1-Normal35"/>
              <w:spacing w:after="0"/>
              <w:jc w:val="both"/>
              <w:rPr>
                <w:noProof/>
              </w:rPr>
            </w:pPr>
            <w:r>
              <w:rPr>
                <w:noProof/>
              </w:rPr>
              <w:t>Udio učenika upisanih na profesionalni put u odnosu na broj učenika upisanih u srednjoškolsko obrazovanje</w:t>
            </w:r>
          </w:p>
        </w:tc>
      </w:tr>
      <w:tr w:rsidR="003F46B9" w14:paraId="2AA45F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67D504C" w14:textId="77777777" w:rsidR="003F46B9" w:rsidRDefault="0065662E">
            <w:pPr>
              <w:pStyle w:val="P68B1DB1-Normal35"/>
              <w:spacing w:after="0"/>
              <w:jc w:val="center"/>
              <w:rPr>
                <w:noProof/>
              </w:rPr>
            </w:pPr>
            <w:r>
              <w:rPr>
                <w:noProof/>
              </w:rPr>
              <w:t>474</w:t>
            </w:r>
          </w:p>
        </w:tc>
        <w:tc>
          <w:tcPr>
            <w:tcW w:w="3544" w:type="dxa"/>
            <w:tcBorders>
              <w:top w:val="nil"/>
              <w:left w:val="nil"/>
              <w:bottom w:val="single" w:sz="4" w:space="0" w:color="auto"/>
              <w:right w:val="single" w:sz="4" w:space="0" w:color="auto"/>
            </w:tcBorders>
            <w:shd w:val="clear" w:color="auto" w:fill="C6EFCE"/>
            <w:noWrap/>
          </w:tcPr>
          <w:p w14:paraId="307E31CD" w14:textId="77777777" w:rsidR="003F46B9" w:rsidRDefault="0065662E">
            <w:pPr>
              <w:pStyle w:val="P68B1DB1-Normal35"/>
              <w:spacing w:after="0"/>
              <w:jc w:val="both"/>
              <w:rPr>
                <w:noProof/>
              </w:rPr>
            </w:pPr>
            <w:r>
              <w:rPr>
                <w:noProof/>
              </w:rPr>
              <w:t>C15.I6</w:t>
            </w:r>
          </w:p>
          <w:p w14:paraId="7449562B" w14:textId="77777777" w:rsidR="003F46B9" w:rsidRDefault="0065662E">
            <w:pPr>
              <w:pStyle w:val="P68B1DB1-Normal35"/>
              <w:spacing w:after="0"/>
              <w:jc w:val="both"/>
              <w:rPr>
                <w:noProof/>
              </w:rPr>
            </w:pPr>
            <w:r>
              <w:rPr>
                <w:noProof/>
              </w:rPr>
              <w:t>Razvoj 10 regionalnih konzorcija te razvoj i opremanje 10 strukovnih kampusa</w:t>
            </w:r>
          </w:p>
        </w:tc>
        <w:tc>
          <w:tcPr>
            <w:tcW w:w="1275" w:type="dxa"/>
            <w:tcBorders>
              <w:top w:val="nil"/>
              <w:left w:val="nil"/>
              <w:bottom w:val="single" w:sz="4" w:space="0" w:color="auto"/>
              <w:right w:val="single" w:sz="4" w:space="0" w:color="auto"/>
            </w:tcBorders>
            <w:shd w:val="clear" w:color="auto" w:fill="C6EFCE"/>
            <w:noWrap/>
          </w:tcPr>
          <w:p w14:paraId="3C7BA183"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DEFFC06" w14:textId="77777777" w:rsidR="003F46B9" w:rsidRDefault="0065662E">
            <w:pPr>
              <w:pStyle w:val="P68B1DB1-Normal35"/>
              <w:spacing w:after="0"/>
              <w:jc w:val="both"/>
              <w:rPr>
                <w:noProof/>
              </w:rPr>
            </w:pPr>
            <w:r>
              <w:rPr>
                <w:noProof/>
              </w:rPr>
              <w:t xml:space="preserve">Učenici su upisani na cijelu dvojnu rutu </w:t>
            </w:r>
          </w:p>
        </w:tc>
      </w:tr>
      <w:tr w:rsidR="003F46B9" w14:paraId="59E57CD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EEDAC24" w14:textId="77777777" w:rsidR="003F46B9" w:rsidRDefault="0065662E">
            <w:pPr>
              <w:pStyle w:val="P68B1DB1-Normal35"/>
              <w:spacing w:after="0"/>
              <w:jc w:val="center"/>
              <w:rPr>
                <w:noProof/>
              </w:rPr>
            </w:pPr>
            <w:r>
              <w:rPr>
                <w:noProof/>
              </w:rPr>
              <w:t>493</w:t>
            </w:r>
          </w:p>
        </w:tc>
        <w:tc>
          <w:tcPr>
            <w:tcW w:w="3544" w:type="dxa"/>
            <w:tcBorders>
              <w:top w:val="nil"/>
              <w:left w:val="nil"/>
              <w:bottom w:val="single" w:sz="4" w:space="0" w:color="auto"/>
              <w:right w:val="single" w:sz="4" w:space="0" w:color="auto"/>
            </w:tcBorders>
            <w:shd w:val="clear" w:color="auto" w:fill="C6EFCE"/>
            <w:noWrap/>
          </w:tcPr>
          <w:p w14:paraId="7EF1CF38" w14:textId="77777777" w:rsidR="003F46B9" w:rsidRDefault="0065662E">
            <w:pPr>
              <w:pStyle w:val="P68B1DB1-Normal35"/>
              <w:spacing w:after="0"/>
              <w:jc w:val="both"/>
              <w:rPr>
                <w:noProof/>
              </w:rPr>
            </w:pPr>
            <w:r>
              <w:rPr>
                <w:noProof/>
              </w:rPr>
              <w:t xml:space="preserve">C15.I12 </w:t>
            </w:r>
          </w:p>
          <w:p w14:paraId="1DA79826" w14:textId="5CBF1D26" w:rsidR="003F46B9" w:rsidRDefault="0065662E">
            <w:pPr>
              <w:pStyle w:val="P68B1DB1-Normal35"/>
              <w:spacing w:after="0"/>
              <w:jc w:val="both"/>
              <w:rPr>
                <w:noProof/>
              </w:rPr>
            </w:pPr>
            <w:r>
              <w:rPr>
                <w:noProof/>
              </w:rPr>
              <w:t xml:space="preserve">Potpora konzorcijima ruralnih škola </w:t>
            </w:r>
          </w:p>
        </w:tc>
        <w:tc>
          <w:tcPr>
            <w:tcW w:w="1275" w:type="dxa"/>
            <w:tcBorders>
              <w:top w:val="nil"/>
              <w:left w:val="nil"/>
              <w:bottom w:val="single" w:sz="4" w:space="0" w:color="auto"/>
              <w:right w:val="single" w:sz="4" w:space="0" w:color="auto"/>
            </w:tcBorders>
            <w:shd w:val="clear" w:color="auto" w:fill="C6EFCE"/>
            <w:noWrap/>
          </w:tcPr>
          <w:p w14:paraId="4184A69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18F714CB" w14:textId="77777777" w:rsidR="003F46B9" w:rsidRDefault="0065662E">
            <w:pPr>
              <w:pStyle w:val="P68B1DB1-Normal35"/>
              <w:spacing w:after="0"/>
              <w:jc w:val="both"/>
              <w:rPr>
                <w:noProof/>
              </w:rPr>
            </w:pPr>
            <w:r>
              <w:rPr>
                <w:noProof/>
              </w:rPr>
              <w:t>Završetak građevinskih radova i dotacija konzorcija u ruralnim područjima</w:t>
            </w:r>
          </w:p>
        </w:tc>
      </w:tr>
      <w:tr w:rsidR="003F46B9" w14:paraId="3A2DBD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36726" w14:textId="77777777" w:rsidR="003F46B9" w:rsidRDefault="0065662E">
            <w:pPr>
              <w:pStyle w:val="P68B1DB1-Normal35"/>
              <w:spacing w:after="0"/>
              <w:jc w:val="center"/>
              <w:rPr>
                <w:noProof/>
              </w:rPr>
            </w:pPr>
            <w:r>
              <w:rPr>
                <w:noProof/>
              </w:rPr>
              <w:t>173</w:t>
            </w:r>
          </w:p>
        </w:tc>
        <w:tc>
          <w:tcPr>
            <w:tcW w:w="3544" w:type="dxa"/>
            <w:tcBorders>
              <w:top w:val="nil"/>
              <w:left w:val="nil"/>
              <w:bottom w:val="single" w:sz="4" w:space="0" w:color="auto"/>
              <w:right w:val="single" w:sz="4" w:space="0" w:color="auto"/>
            </w:tcBorders>
            <w:shd w:val="clear" w:color="auto" w:fill="C6EFCE"/>
            <w:noWrap/>
          </w:tcPr>
          <w:p w14:paraId="3BC9003C" w14:textId="3964CACD" w:rsidR="003F46B9" w:rsidRDefault="0065662E">
            <w:pPr>
              <w:pStyle w:val="P68B1DB1-Normal35"/>
              <w:spacing w:after="0" w:line="240" w:lineRule="auto"/>
              <w:jc w:val="both"/>
              <w:rPr>
                <w:noProof/>
              </w:rPr>
            </w:pPr>
            <w:r>
              <w:rPr>
                <w:noProof/>
              </w:rPr>
              <w:t>C7.I8</w:t>
            </w:r>
          </w:p>
          <w:p w14:paraId="291AD910" w14:textId="77777777" w:rsidR="003F46B9" w:rsidRDefault="0065662E">
            <w:pPr>
              <w:pStyle w:val="P68B1DB1-Normal35"/>
              <w:spacing w:after="0" w:line="240" w:lineRule="auto"/>
              <w:jc w:val="both"/>
              <w:rPr>
                <w:noProof/>
              </w:rPr>
            </w:pPr>
            <w:r>
              <w:rPr>
                <w:noProof/>
              </w:rPr>
              <w:t>Kvalificirana elektronička osobna iskaznica i digitalni potpis</w:t>
            </w:r>
          </w:p>
        </w:tc>
        <w:tc>
          <w:tcPr>
            <w:tcW w:w="1275" w:type="dxa"/>
            <w:tcBorders>
              <w:top w:val="nil"/>
              <w:left w:val="nil"/>
              <w:bottom w:val="single" w:sz="4" w:space="0" w:color="auto"/>
              <w:right w:val="single" w:sz="4" w:space="0" w:color="auto"/>
            </w:tcBorders>
            <w:shd w:val="clear" w:color="auto" w:fill="C6EFCE"/>
            <w:noWrap/>
          </w:tcPr>
          <w:p w14:paraId="0605F76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DF20EC7" w14:textId="77777777" w:rsidR="003F46B9" w:rsidRDefault="0065662E">
            <w:pPr>
              <w:pStyle w:val="P68B1DB1-Normal35"/>
              <w:spacing w:after="0"/>
              <w:jc w:val="both"/>
              <w:rPr>
                <w:noProof/>
              </w:rPr>
            </w:pPr>
            <w:r>
              <w:rPr>
                <w:noProof/>
              </w:rPr>
              <w:t xml:space="preserve">Građani kojima je izdana elektronička osobna iskaznica </w:t>
            </w:r>
          </w:p>
        </w:tc>
      </w:tr>
      <w:tr w:rsidR="003F46B9" w14:paraId="22D394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7D0EBC9" w14:textId="77777777" w:rsidR="003F46B9" w:rsidRDefault="0065662E">
            <w:pPr>
              <w:pStyle w:val="P68B1DB1-Normal35"/>
              <w:spacing w:after="0"/>
              <w:jc w:val="center"/>
              <w:rPr>
                <w:noProof/>
              </w:rPr>
            </w:pPr>
            <w:r>
              <w:rPr>
                <w:noProof/>
              </w:rPr>
              <w:t>513</w:t>
            </w:r>
          </w:p>
        </w:tc>
        <w:tc>
          <w:tcPr>
            <w:tcW w:w="3544" w:type="dxa"/>
            <w:tcBorders>
              <w:top w:val="nil"/>
              <w:left w:val="nil"/>
              <w:bottom w:val="single" w:sz="4" w:space="0" w:color="auto"/>
              <w:right w:val="single" w:sz="4" w:space="0" w:color="auto"/>
            </w:tcBorders>
            <w:shd w:val="clear" w:color="auto" w:fill="C6EFCE"/>
            <w:noWrap/>
          </w:tcPr>
          <w:p w14:paraId="74F24220" w14:textId="77777777" w:rsidR="003F46B9" w:rsidRDefault="0065662E">
            <w:pPr>
              <w:pStyle w:val="P68B1DB1-Normal35"/>
              <w:spacing w:after="0" w:line="240" w:lineRule="auto"/>
              <w:jc w:val="both"/>
              <w:rPr>
                <w:noProof/>
              </w:rPr>
            </w:pPr>
            <w:r>
              <w:rPr>
                <w:noProof/>
              </w:rPr>
              <w:t>C16.I1</w:t>
            </w:r>
          </w:p>
          <w:p w14:paraId="0CDFCA1A" w14:textId="77777777" w:rsidR="003F46B9" w:rsidRDefault="0065662E">
            <w:pPr>
              <w:pStyle w:val="P68B1DB1-Normal35"/>
              <w:spacing w:after="0" w:line="240" w:lineRule="auto"/>
              <w:jc w:val="both"/>
              <w:rPr>
                <w:noProof/>
              </w:rPr>
            </w:pPr>
            <w:r>
              <w:rPr>
                <w:noProof/>
              </w:rPr>
              <w:t>Osposobljavanje za vještine povezane sa zelenom energijom</w:t>
            </w:r>
          </w:p>
        </w:tc>
        <w:tc>
          <w:tcPr>
            <w:tcW w:w="1275" w:type="dxa"/>
            <w:tcBorders>
              <w:top w:val="nil"/>
              <w:left w:val="nil"/>
              <w:bottom w:val="single" w:sz="4" w:space="0" w:color="auto"/>
              <w:right w:val="single" w:sz="4" w:space="0" w:color="auto"/>
            </w:tcBorders>
            <w:shd w:val="clear" w:color="auto" w:fill="C6EFCE"/>
            <w:noWrap/>
          </w:tcPr>
          <w:p w14:paraId="00590052"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16DF818" w14:textId="77777777" w:rsidR="003F46B9" w:rsidRDefault="0065662E">
            <w:pPr>
              <w:pStyle w:val="P68B1DB1-Normal35"/>
              <w:spacing w:after="0"/>
              <w:jc w:val="both"/>
              <w:rPr>
                <w:noProof/>
              </w:rPr>
            </w:pPr>
            <w:r>
              <w:rPr>
                <w:noProof/>
              </w:rPr>
              <w:t xml:space="preserve">Najmanje 4000 stručnjaka i radnika koji su završili </w:t>
            </w:r>
            <w:r>
              <w:rPr>
                <w:noProof/>
              </w:rPr>
              <w:t>tečajeve osposobljavanja u području proizvodnje energije iz obnovljivih izvora</w:t>
            </w:r>
          </w:p>
        </w:tc>
      </w:tr>
      <w:tr w:rsidR="003F46B9" w14:paraId="78FCD3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9ED1F46" w14:textId="77777777" w:rsidR="003F46B9" w:rsidRDefault="0065662E">
            <w:pPr>
              <w:pStyle w:val="P68B1DB1-Normal35"/>
              <w:spacing w:after="0"/>
              <w:jc w:val="center"/>
              <w:rPr>
                <w:noProof/>
              </w:rPr>
            </w:pPr>
            <w:r>
              <w:rPr>
                <w:noProof/>
              </w:rPr>
              <w:t>514</w:t>
            </w:r>
          </w:p>
        </w:tc>
        <w:tc>
          <w:tcPr>
            <w:tcW w:w="3544" w:type="dxa"/>
            <w:tcBorders>
              <w:top w:val="nil"/>
              <w:left w:val="nil"/>
              <w:bottom w:val="single" w:sz="4" w:space="0" w:color="auto"/>
              <w:right w:val="single" w:sz="4" w:space="0" w:color="auto"/>
            </w:tcBorders>
            <w:shd w:val="clear" w:color="auto" w:fill="C6EFCE"/>
            <w:noWrap/>
          </w:tcPr>
          <w:p w14:paraId="08D576FB" w14:textId="77777777" w:rsidR="003F46B9" w:rsidRDefault="0065662E">
            <w:pPr>
              <w:pStyle w:val="P68B1DB1-Normal35"/>
              <w:spacing w:after="0" w:line="240" w:lineRule="auto"/>
              <w:jc w:val="both"/>
              <w:rPr>
                <w:noProof/>
              </w:rPr>
            </w:pPr>
            <w:r>
              <w:rPr>
                <w:noProof/>
              </w:rPr>
              <w:t>C16.I3</w:t>
            </w:r>
          </w:p>
          <w:p w14:paraId="004237A8" w14:textId="77777777" w:rsidR="003F46B9" w:rsidRDefault="0065662E">
            <w:pPr>
              <w:pStyle w:val="P68B1DB1-Normal35"/>
              <w:spacing w:after="0" w:line="240" w:lineRule="auto"/>
              <w:jc w:val="both"/>
              <w:rPr>
                <w:noProof/>
              </w:rPr>
            </w:pPr>
            <w:r>
              <w:rPr>
                <w:noProof/>
              </w:rPr>
              <w:t>Povećanje energetske učinkovitosti javnih zgrada</w:t>
            </w:r>
          </w:p>
        </w:tc>
        <w:tc>
          <w:tcPr>
            <w:tcW w:w="1275" w:type="dxa"/>
            <w:tcBorders>
              <w:top w:val="nil"/>
              <w:left w:val="nil"/>
              <w:bottom w:val="single" w:sz="4" w:space="0" w:color="auto"/>
              <w:right w:val="single" w:sz="4" w:space="0" w:color="auto"/>
            </w:tcBorders>
            <w:shd w:val="clear" w:color="auto" w:fill="C6EFCE"/>
            <w:noWrap/>
          </w:tcPr>
          <w:p w14:paraId="075DCB8D"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4569773" w14:textId="77777777" w:rsidR="003F46B9" w:rsidRDefault="0065662E">
            <w:pPr>
              <w:pStyle w:val="P68B1DB1-Normal35"/>
              <w:spacing w:after="0"/>
              <w:jc w:val="both"/>
              <w:rPr>
                <w:noProof/>
              </w:rPr>
            </w:pPr>
            <w:r>
              <w:rPr>
                <w:noProof/>
              </w:rPr>
              <w:t>Dovršene energetske obnove javnih zgrada</w:t>
            </w:r>
          </w:p>
        </w:tc>
      </w:tr>
      <w:tr w:rsidR="003F46B9" w14:paraId="36B9081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64EE526" w14:textId="77777777" w:rsidR="003F46B9" w:rsidRDefault="0065662E">
            <w:pPr>
              <w:pStyle w:val="P68B1DB1-Normal35"/>
              <w:spacing w:after="0"/>
              <w:jc w:val="center"/>
              <w:rPr>
                <w:noProof/>
              </w:rPr>
            </w:pPr>
            <w:r>
              <w:rPr>
                <w:noProof/>
              </w:rPr>
              <w:t>518</w:t>
            </w:r>
          </w:p>
        </w:tc>
        <w:tc>
          <w:tcPr>
            <w:tcW w:w="3544" w:type="dxa"/>
            <w:tcBorders>
              <w:top w:val="nil"/>
              <w:left w:val="nil"/>
              <w:bottom w:val="single" w:sz="4" w:space="0" w:color="auto"/>
              <w:right w:val="single" w:sz="4" w:space="0" w:color="auto"/>
            </w:tcBorders>
            <w:shd w:val="clear" w:color="auto" w:fill="C6EFCE"/>
            <w:noWrap/>
          </w:tcPr>
          <w:p w14:paraId="6BB99A06" w14:textId="77777777" w:rsidR="003F46B9" w:rsidRDefault="0065662E">
            <w:pPr>
              <w:pStyle w:val="P68B1DB1-Normal35"/>
              <w:spacing w:after="0" w:line="240" w:lineRule="auto"/>
              <w:jc w:val="both"/>
              <w:rPr>
                <w:noProof/>
              </w:rPr>
            </w:pPr>
            <w:r>
              <w:rPr>
                <w:noProof/>
              </w:rPr>
              <w:t>C16.5a</w:t>
            </w:r>
          </w:p>
          <w:p w14:paraId="4A56D35D" w14:textId="77777777" w:rsidR="003F46B9" w:rsidRDefault="0065662E">
            <w:pPr>
              <w:pStyle w:val="P68B1DB1-Normal35"/>
              <w:spacing w:after="0" w:line="240" w:lineRule="auto"/>
              <w:jc w:val="both"/>
              <w:rPr>
                <w:noProof/>
              </w:rPr>
            </w:pPr>
            <w:r>
              <w:rPr>
                <w:noProof/>
              </w:rPr>
              <w:t>Ugradnja solarnih ploča i objekata za skladištenje električne</w:t>
            </w:r>
            <w:r>
              <w:rPr>
                <w:noProof/>
              </w:rPr>
              <w:t xml:space="preserve"> energije u elektranama Transelectrica</w:t>
            </w:r>
          </w:p>
        </w:tc>
        <w:tc>
          <w:tcPr>
            <w:tcW w:w="1275" w:type="dxa"/>
            <w:tcBorders>
              <w:top w:val="nil"/>
              <w:left w:val="nil"/>
              <w:bottom w:val="single" w:sz="4" w:space="0" w:color="auto"/>
              <w:right w:val="single" w:sz="4" w:space="0" w:color="auto"/>
            </w:tcBorders>
            <w:shd w:val="clear" w:color="auto" w:fill="C6EFCE"/>
            <w:noWrap/>
          </w:tcPr>
          <w:p w14:paraId="7FF761E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0751525" w14:textId="77777777" w:rsidR="003F46B9" w:rsidRDefault="0065662E">
            <w:pPr>
              <w:pStyle w:val="P68B1DB1-Normal35"/>
              <w:spacing w:after="0"/>
              <w:jc w:val="both"/>
              <w:rPr>
                <w:noProof/>
              </w:rPr>
            </w:pPr>
            <w:r>
              <w:rPr>
                <w:noProof/>
              </w:rPr>
              <w:t>Smanjenje godišnje potrošnje električne energije</w:t>
            </w:r>
          </w:p>
        </w:tc>
      </w:tr>
      <w:tr w:rsidR="003F46B9" w14:paraId="09A579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377C6B9" w14:textId="77777777" w:rsidR="003F46B9" w:rsidRDefault="0065662E">
            <w:pPr>
              <w:pStyle w:val="P68B1DB1-Normal35"/>
              <w:spacing w:after="0"/>
              <w:jc w:val="center"/>
              <w:rPr>
                <w:noProof/>
              </w:rPr>
            </w:pPr>
            <w:r>
              <w:rPr>
                <w:noProof/>
              </w:rPr>
              <w:t>522</w:t>
            </w:r>
          </w:p>
        </w:tc>
        <w:tc>
          <w:tcPr>
            <w:tcW w:w="3544" w:type="dxa"/>
            <w:tcBorders>
              <w:top w:val="nil"/>
              <w:left w:val="nil"/>
              <w:bottom w:val="single" w:sz="4" w:space="0" w:color="auto"/>
              <w:right w:val="single" w:sz="4" w:space="0" w:color="auto"/>
            </w:tcBorders>
            <w:shd w:val="clear" w:color="auto" w:fill="C6EFCE"/>
            <w:noWrap/>
          </w:tcPr>
          <w:p w14:paraId="550F90C8" w14:textId="77777777" w:rsidR="003F46B9" w:rsidRDefault="0065662E">
            <w:pPr>
              <w:pStyle w:val="P68B1DB1-Normal35"/>
              <w:spacing w:after="0" w:line="240" w:lineRule="auto"/>
              <w:jc w:val="both"/>
              <w:rPr>
                <w:noProof/>
              </w:rPr>
            </w:pPr>
            <w:r>
              <w:rPr>
                <w:noProof/>
              </w:rPr>
              <w:t>C16.I5c</w:t>
            </w:r>
          </w:p>
          <w:p w14:paraId="51321FF2" w14:textId="77777777" w:rsidR="003F46B9" w:rsidRDefault="0065662E">
            <w:pPr>
              <w:pStyle w:val="P68B1DB1-Normal35"/>
              <w:spacing w:after="0" w:line="240" w:lineRule="auto"/>
              <w:jc w:val="both"/>
              <w:rPr>
                <w:noProof/>
              </w:rPr>
            </w:pPr>
            <w:r>
              <w:rPr>
                <w:noProof/>
              </w:rPr>
              <w:t>Optimizacija komunikacijske mreže i stvaranje podatkovnog centra – Teletrans SA</w:t>
            </w:r>
          </w:p>
        </w:tc>
        <w:tc>
          <w:tcPr>
            <w:tcW w:w="1275" w:type="dxa"/>
            <w:tcBorders>
              <w:top w:val="nil"/>
              <w:left w:val="nil"/>
              <w:bottom w:val="single" w:sz="4" w:space="0" w:color="auto"/>
              <w:right w:val="single" w:sz="4" w:space="0" w:color="auto"/>
            </w:tcBorders>
            <w:shd w:val="clear" w:color="auto" w:fill="C6EFCE"/>
            <w:noWrap/>
          </w:tcPr>
          <w:p w14:paraId="0B007836"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C10554F" w14:textId="77777777" w:rsidR="003F46B9" w:rsidRDefault="0065662E">
            <w:pPr>
              <w:pStyle w:val="P68B1DB1-Normal35"/>
              <w:spacing w:after="0"/>
              <w:jc w:val="both"/>
              <w:rPr>
                <w:noProof/>
              </w:rPr>
            </w:pPr>
            <w:r>
              <w:rPr>
                <w:noProof/>
              </w:rPr>
              <w:t>Završetak podatkovnog centra</w:t>
            </w:r>
          </w:p>
        </w:tc>
      </w:tr>
      <w:tr w:rsidR="003F46B9" w14:paraId="6E80F90A"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C26F6D6"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6DD845C2"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1CF91166"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1A1D3B84" w14:textId="57016B2D" w:rsidR="003F46B9" w:rsidRDefault="0065662E">
            <w:pPr>
              <w:pStyle w:val="P68B1DB1-Normal36"/>
              <w:spacing w:after="0"/>
              <w:jc w:val="right"/>
              <w:rPr>
                <w:noProof/>
              </w:rPr>
            </w:pPr>
            <w:r>
              <w:rPr>
                <w:noProof/>
              </w:rPr>
              <w:t>1809818435 EURA</w:t>
            </w:r>
          </w:p>
        </w:tc>
      </w:tr>
    </w:tbl>
    <w:p w14:paraId="64DED66A" w14:textId="77777777" w:rsidR="003F46B9" w:rsidRDefault="003F46B9">
      <w:pPr>
        <w:pStyle w:val="Text1"/>
        <w:rPr>
          <w:noProof/>
        </w:rPr>
        <w:sectPr w:rsidR="003F46B9">
          <w:headerReference w:type="even" r:id="rId361"/>
          <w:headerReference w:type="default" r:id="rId362"/>
          <w:footerReference w:type="even" r:id="rId363"/>
          <w:footerReference w:type="default" r:id="rId364"/>
          <w:headerReference w:type="first" r:id="rId365"/>
          <w:footerReference w:type="first" r:id="rId366"/>
          <w:pgSz w:w="11907" w:h="16839"/>
          <w:pgMar w:top="1134" w:right="1134" w:bottom="1134" w:left="1134" w:header="567" w:footer="567" w:gutter="0"/>
          <w:cols w:space="720"/>
          <w:docGrid w:linePitch="360"/>
        </w:sectPr>
      </w:pPr>
    </w:p>
    <w:p w14:paraId="53D47BFF" w14:textId="77777777" w:rsidR="003F46B9" w:rsidRDefault="0065662E">
      <w:pPr>
        <w:pStyle w:val="Heading2"/>
        <w:rPr>
          <w:b w:val="0"/>
          <w:noProof/>
        </w:rPr>
      </w:pPr>
      <w:r>
        <w:rPr>
          <w:noProof/>
        </w:rPr>
        <w:t xml:space="preserve">Zajam </w:t>
      </w:r>
    </w:p>
    <w:p w14:paraId="19A5B729" w14:textId="77777777" w:rsidR="003F46B9" w:rsidRDefault="0065662E">
      <w:pPr>
        <w:pStyle w:val="Text1"/>
        <w:rPr>
          <w:noProof/>
        </w:rPr>
      </w:pPr>
      <w:r>
        <w:rPr>
          <w:noProof/>
        </w:rPr>
        <w:t>Obroci iz članka 3. stavka 2. organizirani su na sljedeći način:</w:t>
      </w:r>
    </w:p>
    <w:p w14:paraId="05706B5A" w14:textId="77777777" w:rsidR="003F46B9" w:rsidRDefault="0065662E">
      <w:pPr>
        <w:pStyle w:val="Heading3"/>
        <w:rPr>
          <w:noProof/>
        </w:rPr>
      </w:pPr>
      <w:r>
        <w:rPr>
          <w:noProof/>
        </w:rPr>
        <w:t xml:space="preserve">Prvi obrok (potpora u obliku zajma): </w:t>
      </w:r>
    </w:p>
    <w:tbl>
      <w:tblPr>
        <w:tblW w:w="9634" w:type="dxa"/>
        <w:tblInd w:w="113" w:type="dxa"/>
        <w:tblLook w:val="04A0" w:firstRow="1" w:lastRow="0" w:firstColumn="1" w:lastColumn="0" w:noHBand="0" w:noVBand="1"/>
      </w:tblPr>
      <w:tblGrid>
        <w:gridCol w:w="1413"/>
        <w:gridCol w:w="3544"/>
        <w:gridCol w:w="1316"/>
        <w:gridCol w:w="3402"/>
      </w:tblGrid>
      <w:tr w:rsidR="003F46B9" w14:paraId="55D66DD2" w14:textId="77777777">
        <w:trPr>
          <w:trHeight w:val="509"/>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D30BCD"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F788279" w14:textId="77777777" w:rsidR="003F46B9" w:rsidRDefault="0065662E">
            <w:pPr>
              <w:pStyle w:val="P68B1DB1-Normal34"/>
              <w:spacing w:after="0"/>
              <w:jc w:val="center"/>
              <w:rPr>
                <w:noProof/>
              </w:rPr>
            </w:pPr>
            <w:r>
              <w:rPr>
                <w:noProof/>
              </w:rPr>
              <w:t>Povezana mjera</w:t>
            </w:r>
          </w:p>
          <w:p w14:paraId="7D325556"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F00CE57"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CF88A17" w14:textId="77777777" w:rsidR="003F46B9" w:rsidRDefault="0065662E">
            <w:pPr>
              <w:pStyle w:val="P68B1DB1-Normal34"/>
              <w:spacing w:after="0"/>
              <w:jc w:val="center"/>
              <w:rPr>
                <w:noProof/>
              </w:rPr>
            </w:pPr>
            <w:r>
              <w:rPr>
                <w:noProof/>
              </w:rPr>
              <w:t>Ime</w:t>
            </w:r>
          </w:p>
        </w:tc>
      </w:tr>
      <w:tr w:rsidR="003F46B9" w14:paraId="7BC962C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E3FE67C"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1479EAAE"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42CE191" w14:textId="77777777" w:rsidR="003F46B9" w:rsidRDefault="003F46B9">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68D62EAC" w14:textId="77777777" w:rsidR="003F46B9" w:rsidRDefault="003F46B9">
            <w:pPr>
              <w:spacing w:after="0"/>
              <w:rPr>
                <w:rFonts w:ascii="Times New Roman" w:eastAsia="Times New Roman" w:hAnsi="Times New Roman" w:cs="Times New Roman"/>
                <w:b/>
                <w:noProof/>
              </w:rPr>
            </w:pPr>
          </w:p>
        </w:tc>
      </w:tr>
      <w:tr w:rsidR="003F46B9" w14:paraId="287FD03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7DEAA5A" w14:textId="77777777" w:rsidR="003F46B9" w:rsidRDefault="0065662E">
            <w:pPr>
              <w:pStyle w:val="P68B1DB1-Normal36"/>
              <w:spacing w:after="0"/>
              <w:jc w:val="center"/>
              <w:rPr>
                <w:noProof/>
              </w:rPr>
            </w:pPr>
            <w:r>
              <w:rPr>
                <w:noProof/>
              </w:rPr>
              <w:t>78</w:t>
            </w:r>
          </w:p>
        </w:tc>
        <w:tc>
          <w:tcPr>
            <w:tcW w:w="3544" w:type="dxa"/>
            <w:tcBorders>
              <w:top w:val="nil"/>
              <w:left w:val="nil"/>
              <w:bottom w:val="single" w:sz="4" w:space="0" w:color="auto"/>
              <w:right w:val="single" w:sz="4" w:space="0" w:color="auto"/>
            </w:tcBorders>
            <w:shd w:val="clear" w:color="auto" w:fill="C6EFCE"/>
            <w:noWrap/>
            <w:hideMark/>
          </w:tcPr>
          <w:p w14:paraId="343A44E5" w14:textId="77777777" w:rsidR="003F46B9" w:rsidRDefault="0065662E">
            <w:pPr>
              <w:pStyle w:val="P68B1DB1-Normal36"/>
              <w:spacing w:after="0"/>
              <w:jc w:val="both"/>
              <w:rPr>
                <w:noProof/>
              </w:rPr>
            </w:pPr>
            <w:r>
              <w:rPr>
                <w:noProof/>
              </w:rPr>
              <w:t>C4.R2</w:t>
            </w:r>
          </w:p>
          <w:p w14:paraId="3A71C4F5" w14:textId="77777777" w:rsidR="003F46B9" w:rsidRDefault="0065662E">
            <w:pPr>
              <w:pStyle w:val="P68B1DB1-Normal35"/>
              <w:spacing w:after="0"/>
              <w:jc w:val="both"/>
              <w:rPr>
                <w:rFonts w:eastAsia="Times New Roman"/>
                <w:noProof/>
              </w:rPr>
            </w:pPr>
            <w:r>
              <w:rPr>
                <w:noProof/>
              </w:rPr>
              <w:t>Upravljanje kvalitetom u prometu na temelju uspješnosti – poboljšanje institucijskih kapaciteta i korporativnog upravljanja</w:t>
            </w:r>
          </w:p>
        </w:tc>
        <w:tc>
          <w:tcPr>
            <w:tcW w:w="1275" w:type="dxa"/>
            <w:tcBorders>
              <w:top w:val="nil"/>
              <w:left w:val="nil"/>
              <w:bottom w:val="single" w:sz="4" w:space="0" w:color="auto"/>
              <w:right w:val="single" w:sz="4" w:space="0" w:color="auto"/>
            </w:tcBorders>
            <w:shd w:val="clear" w:color="auto" w:fill="C6EFCE"/>
            <w:noWrap/>
            <w:hideMark/>
          </w:tcPr>
          <w:p w14:paraId="399DB496"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hideMark/>
          </w:tcPr>
          <w:p w14:paraId="7225A034" w14:textId="77777777" w:rsidR="003F46B9" w:rsidRDefault="0065662E">
            <w:pPr>
              <w:pStyle w:val="P68B1DB1-Normal35"/>
              <w:spacing w:after="0"/>
              <w:jc w:val="both"/>
              <w:rPr>
                <w:noProof/>
              </w:rPr>
            </w:pPr>
            <w:r>
              <w:rPr>
                <w:noProof/>
              </w:rPr>
              <w:t xml:space="preserve">Stupanje na snagu Zakona br. 50/2021 za odobrenje Hitne uredbe br. 55/2016 o reorganizaciji nacionalnog društva za autoceste i nacionalne ceste u Rumunjskoj – S.A. (C.N.A.I.R.) i osnivanju društva National Road Investment Company – S.A. (C.N.I.R.) </w:t>
            </w:r>
          </w:p>
        </w:tc>
      </w:tr>
      <w:tr w:rsidR="003F46B9" w14:paraId="38B306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A62D7D1" w14:textId="77777777" w:rsidR="003F46B9" w:rsidRDefault="0065662E">
            <w:pPr>
              <w:pStyle w:val="P68B1DB1-Normal36"/>
              <w:spacing w:after="0"/>
              <w:jc w:val="center"/>
              <w:rPr>
                <w:noProof/>
              </w:rPr>
            </w:pPr>
            <w:r>
              <w:rPr>
                <w:noProof/>
              </w:rPr>
              <w:t>1</w:t>
            </w:r>
          </w:p>
        </w:tc>
        <w:tc>
          <w:tcPr>
            <w:tcW w:w="3544" w:type="dxa"/>
            <w:tcBorders>
              <w:top w:val="nil"/>
              <w:left w:val="nil"/>
              <w:bottom w:val="single" w:sz="4" w:space="0" w:color="auto"/>
              <w:right w:val="single" w:sz="4" w:space="0" w:color="auto"/>
            </w:tcBorders>
            <w:shd w:val="clear" w:color="auto" w:fill="C6EFCE"/>
            <w:noWrap/>
            <w:hideMark/>
          </w:tcPr>
          <w:p w14:paraId="4CFE5BF8" w14:textId="77777777" w:rsidR="003F46B9" w:rsidRDefault="0065662E">
            <w:pPr>
              <w:pStyle w:val="P68B1DB1-Normal36"/>
              <w:spacing w:after="0"/>
              <w:jc w:val="both"/>
              <w:rPr>
                <w:noProof/>
              </w:rPr>
            </w:pPr>
            <w:r>
              <w:rPr>
                <w:noProof/>
              </w:rPr>
              <w:t xml:space="preserve">C1.R1 </w:t>
            </w:r>
          </w:p>
          <w:p w14:paraId="551B1A46" w14:textId="77777777" w:rsidR="003F46B9" w:rsidRDefault="0065662E">
            <w:pPr>
              <w:pStyle w:val="P68B1DB1-Normal35"/>
              <w:spacing w:after="0"/>
              <w:jc w:val="both"/>
              <w:rPr>
                <w:rFonts w:eastAsia="Times New Roman"/>
                <w:noProof/>
              </w:rPr>
            </w:pPr>
            <w:r>
              <w:rPr>
                <w:noProof/>
              </w:rPr>
              <w:t>Jačanje regulatornog okvira za održivo upravljanje vodnim sektorom i sektorom otpadnih voda te ubrzavanje javnog pristupa kvalitetnim uslugama u skladu s europskim direktivama</w:t>
            </w:r>
          </w:p>
        </w:tc>
        <w:tc>
          <w:tcPr>
            <w:tcW w:w="1275" w:type="dxa"/>
            <w:tcBorders>
              <w:top w:val="nil"/>
              <w:left w:val="nil"/>
              <w:bottom w:val="single" w:sz="4" w:space="0" w:color="auto"/>
              <w:right w:val="single" w:sz="4" w:space="0" w:color="auto"/>
            </w:tcBorders>
            <w:shd w:val="clear" w:color="auto" w:fill="C6EFCE"/>
            <w:noWrap/>
            <w:hideMark/>
          </w:tcPr>
          <w:p w14:paraId="0BCBDFD3"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275666D0" w14:textId="77777777" w:rsidR="003F46B9" w:rsidRDefault="0065662E">
            <w:pPr>
              <w:pStyle w:val="P68B1DB1-Normal36"/>
              <w:spacing w:after="0"/>
              <w:jc w:val="both"/>
              <w:rPr>
                <w:noProof/>
              </w:rPr>
            </w:pPr>
            <w:r>
              <w:rPr>
                <w:noProof/>
              </w:rPr>
              <w:t>Stupanje na snagu izmjena Zakona br. 241/2006 o vodoopskrbi i kanalizac</w:t>
            </w:r>
            <w:r>
              <w:rPr>
                <w:noProof/>
              </w:rPr>
              <w:t>iji</w:t>
            </w:r>
          </w:p>
        </w:tc>
      </w:tr>
      <w:tr w:rsidR="003F46B9" w14:paraId="443DC1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6FF5EFB" w14:textId="77777777" w:rsidR="003F46B9" w:rsidRDefault="0065662E">
            <w:pPr>
              <w:pStyle w:val="P68B1DB1-Normal36"/>
              <w:spacing w:after="0"/>
              <w:jc w:val="center"/>
              <w:rPr>
                <w:noProof/>
              </w:rPr>
            </w:pPr>
            <w:r>
              <w:rPr>
                <w:noProof/>
              </w:rPr>
              <w:t>247</w:t>
            </w:r>
          </w:p>
        </w:tc>
        <w:tc>
          <w:tcPr>
            <w:tcW w:w="3544" w:type="dxa"/>
            <w:tcBorders>
              <w:top w:val="nil"/>
              <w:left w:val="nil"/>
              <w:bottom w:val="single" w:sz="4" w:space="0" w:color="auto"/>
              <w:right w:val="single" w:sz="4" w:space="0" w:color="auto"/>
            </w:tcBorders>
            <w:shd w:val="clear" w:color="auto" w:fill="C6EFCE"/>
            <w:noWrap/>
          </w:tcPr>
          <w:p w14:paraId="4DEB9D19" w14:textId="77777777" w:rsidR="003F46B9" w:rsidRDefault="0065662E">
            <w:pPr>
              <w:pStyle w:val="P68B1DB1-Normal36"/>
              <w:spacing w:after="0"/>
              <w:jc w:val="both"/>
              <w:rPr>
                <w:noProof/>
              </w:rPr>
            </w:pPr>
            <w:r>
              <w:rPr>
                <w:noProof/>
              </w:rPr>
              <w:t xml:space="preserve">C9.I2.1 </w:t>
            </w:r>
          </w:p>
          <w:p w14:paraId="62F6A0B8" w14:textId="77777777" w:rsidR="003F46B9" w:rsidRDefault="0065662E">
            <w:pPr>
              <w:pStyle w:val="P68B1DB1-Normal36"/>
              <w:spacing w:after="0"/>
              <w:jc w:val="both"/>
              <w:rPr>
                <w:noProof/>
              </w:rPr>
            </w:pPr>
            <w:r>
              <w:rPr>
                <w:noProof/>
              </w:rPr>
              <w:t xml:space="preserve">Financijski instrumenti za privatni sektor – portfeljno jamstvo za otpornost </w:t>
            </w:r>
          </w:p>
        </w:tc>
        <w:tc>
          <w:tcPr>
            <w:tcW w:w="1275" w:type="dxa"/>
            <w:tcBorders>
              <w:top w:val="nil"/>
              <w:left w:val="nil"/>
              <w:bottom w:val="single" w:sz="4" w:space="0" w:color="auto"/>
              <w:right w:val="single" w:sz="4" w:space="0" w:color="auto"/>
            </w:tcBorders>
            <w:shd w:val="clear" w:color="auto" w:fill="C6EFCE"/>
            <w:noWrap/>
          </w:tcPr>
          <w:p w14:paraId="2A80AE7A"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5B24CEC" w14:textId="77777777" w:rsidR="003F46B9" w:rsidRDefault="0065662E">
            <w:pPr>
              <w:pStyle w:val="P68B1DB1-Normal36"/>
              <w:spacing w:after="0"/>
              <w:jc w:val="both"/>
              <w:rPr>
                <w:noProof/>
              </w:rPr>
            </w:pPr>
            <w:r>
              <w:rPr>
                <w:noProof/>
              </w:rPr>
              <w:t>Potpisivanje sporazuma o doprinosu između Europske komisije i rumunjske vlade</w:t>
            </w:r>
          </w:p>
        </w:tc>
      </w:tr>
      <w:tr w:rsidR="003F46B9" w14:paraId="2516BD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046FE78" w14:textId="77777777" w:rsidR="003F46B9" w:rsidRDefault="0065662E">
            <w:pPr>
              <w:pStyle w:val="P68B1DB1-Normal36"/>
              <w:spacing w:after="0"/>
              <w:jc w:val="center"/>
              <w:rPr>
                <w:noProof/>
              </w:rPr>
            </w:pPr>
            <w:r>
              <w:rPr>
                <w:noProof/>
              </w:rPr>
              <w:t>250</w:t>
            </w:r>
          </w:p>
        </w:tc>
        <w:tc>
          <w:tcPr>
            <w:tcW w:w="3544" w:type="dxa"/>
            <w:tcBorders>
              <w:top w:val="nil"/>
              <w:left w:val="nil"/>
              <w:bottom w:val="single" w:sz="4" w:space="0" w:color="auto"/>
              <w:right w:val="single" w:sz="4" w:space="0" w:color="auto"/>
            </w:tcBorders>
            <w:shd w:val="clear" w:color="auto" w:fill="C6EFCE"/>
            <w:noWrap/>
          </w:tcPr>
          <w:p w14:paraId="0E9CFDFD" w14:textId="77777777" w:rsidR="003F46B9" w:rsidRDefault="0065662E">
            <w:pPr>
              <w:pStyle w:val="P68B1DB1-Normal36"/>
              <w:spacing w:after="0"/>
              <w:jc w:val="both"/>
              <w:rPr>
                <w:noProof/>
              </w:rPr>
            </w:pPr>
            <w:r>
              <w:rPr>
                <w:noProof/>
              </w:rPr>
              <w:t xml:space="preserve">C9.I2.2 </w:t>
            </w:r>
          </w:p>
          <w:p w14:paraId="37C895D2" w14:textId="77777777" w:rsidR="003F46B9" w:rsidRDefault="0065662E">
            <w:pPr>
              <w:pStyle w:val="P68B1DB1-Normal36"/>
              <w:spacing w:after="0"/>
              <w:jc w:val="both"/>
              <w:rPr>
                <w:noProof/>
              </w:rPr>
            </w:pPr>
            <w:r>
              <w:rPr>
                <w:noProof/>
              </w:rPr>
              <w:t xml:space="preserve">Financijski instrumenti za privatni sektor – jamstvo portfelja za </w:t>
            </w:r>
            <w:r>
              <w:rPr>
                <w:noProof/>
              </w:rPr>
              <w:t>klimatsku politiku</w:t>
            </w:r>
          </w:p>
        </w:tc>
        <w:tc>
          <w:tcPr>
            <w:tcW w:w="1275" w:type="dxa"/>
            <w:tcBorders>
              <w:top w:val="nil"/>
              <w:left w:val="nil"/>
              <w:bottom w:val="single" w:sz="4" w:space="0" w:color="auto"/>
              <w:right w:val="single" w:sz="4" w:space="0" w:color="auto"/>
            </w:tcBorders>
            <w:shd w:val="clear" w:color="auto" w:fill="C6EFCE"/>
            <w:noWrap/>
          </w:tcPr>
          <w:p w14:paraId="25287AFF"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D035D15" w14:textId="77777777" w:rsidR="003F46B9" w:rsidRDefault="0065662E">
            <w:pPr>
              <w:pStyle w:val="P68B1DB1-Normal36"/>
              <w:spacing w:after="0"/>
              <w:jc w:val="both"/>
              <w:rPr>
                <w:noProof/>
              </w:rPr>
            </w:pPr>
            <w:r>
              <w:rPr>
                <w:noProof/>
              </w:rPr>
              <w:t>Potpisivanje sporazuma o doprinosu između Europske komisije i rumunjske vlade</w:t>
            </w:r>
          </w:p>
        </w:tc>
      </w:tr>
      <w:tr w:rsidR="003F46B9" w14:paraId="72EA11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74692888" w14:textId="77777777" w:rsidR="003F46B9" w:rsidRDefault="0065662E">
            <w:pPr>
              <w:pStyle w:val="P68B1DB1-Normal36"/>
              <w:spacing w:after="0"/>
              <w:jc w:val="center"/>
              <w:rPr>
                <w:noProof/>
              </w:rPr>
            </w:pPr>
            <w:r>
              <w:rPr>
                <w:noProof/>
              </w:rPr>
              <w:t>253</w:t>
            </w:r>
          </w:p>
        </w:tc>
        <w:tc>
          <w:tcPr>
            <w:tcW w:w="3544" w:type="dxa"/>
            <w:tcBorders>
              <w:top w:val="nil"/>
              <w:left w:val="nil"/>
              <w:bottom w:val="single" w:sz="4" w:space="0" w:color="auto"/>
              <w:right w:val="single" w:sz="4" w:space="0" w:color="auto"/>
            </w:tcBorders>
            <w:shd w:val="clear" w:color="auto" w:fill="C6EFCE"/>
            <w:noWrap/>
            <w:hideMark/>
          </w:tcPr>
          <w:p w14:paraId="0144E963" w14:textId="77777777" w:rsidR="003F46B9" w:rsidRDefault="0065662E">
            <w:pPr>
              <w:pStyle w:val="P68B1DB1-Normal36"/>
              <w:spacing w:after="0"/>
              <w:jc w:val="both"/>
              <w:rPr>
                <w:noProof/>
              </w:rPr>
            </w:pPr>
            <w:r>
              <w:rPr>
                <w:noProof/>
              </w:rPr>
              <w:t xml:space="preserve">C9.I2.3 </w:t>
            </w:r>
          </w:p>
          <w:p w14:paraId="4BBA37BB" w14:textId="77777777" w:rsidR="003F46B9" w:rsidRDefault="0065662E">
            <w:pPr>
              <w:pStyle w:val="P68B1DB1-Normal36"/>
              <w:spacing w:after="0"/>
              <w:jc w:val="both"/>
              <w:rPr>
                <w:noProof/>
              </w:rPr>
            </w:pPr>
            <w:r>
              <w:rPr>
                <w:noProof/>
              </w:rPr>
              <w:t>Financijski instrumenti za privatni sektor – Fond poduzetničkog kapitala za oporavak</w:t>
            </w:r>
          </w:p>
        </w:tc>
        <w:tc>
          <w:tcPr>
            <w:tcW w:w="1275" w:type="dxa"/>
            <w:tcBorders>
              <w:top w:val="nil"/>
              <w:left w:val="nil"/>
              <w:bottom w:val="single" w:sz="4" w:space="0" w:color="auto"/>
              <w:right w:val="single" w:sz="4" w:space="0" w:color="auto"/>
            </w:tcBorders>
            <w:shd w:val="clear" w:color="auto" w:fill="C6EFCE"/>
            <w:noWrap/>
            <w:hideMark/>
          </w:tcPr>
          <w:p w14:paraId="41F8E6B0"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04B6C682" w14:textId="77777777" w:rsidR="003F46B9" w:rsidRDefault="0065662E">
            <w:pPr>
              <w:pStyle w:val="P68B1DB1-Normal36"/>
              <w:spacing w:after="0"/>
              <w:jc w:val="both"/>
              <w:rPr>
                <w:noProof/>
              </w:rPr>
            </w:pPr>
            <w:r>
              <w:rPr>
                <w:noProof/>
              </w:rPr>
              <w:t>Potpisivanje sporazuma o financiranju između Europskog i</w:t>
            </w:r>
            <w:r>
              <w:rPr>
                <w:noProof/>
              </w:rPr>
              <w:t>nvesticijskog fonda i rumunjske vlade za osnivanje Fonda za rizični kapital za oporavak („Fond”) i donošenje investicijske politike Fonda</w:t>
            </w:r>
          </w:p>
        </w:tc>
      </w:tr>
      <w:tr w:rsidR="003F46B9" w14:paraId="479751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8A14AFB" w14:textId="77777777" w:rsidR="003F46B9" w:rsidRDefault="0065662E">
            <w:pPr>
              <w:pStyle w:val="P68B1DB1-Normal35"/>
              <w:spacing w:after="0"/>
              <w:jc w:val="center"/>
              <w:rPr>
                <w:rFonts w:eastAsia="Times New Roman"/>
                <w:noProof/>
              </w:rPr>
            </w:pPr>
            <w:r>
              <w:rPr>
                <w:noProof/>
              </w:rPr>
              <w:t>259</w:t>
            </w:r>
          </w:p>
        </w:tc>
        <w:tc>
          <w:tcPr>
            <w:tcW w:w="3544" w:type="dxa"/>
            <w:tcBorders>
              <w:top w:val="nil"/>
              <w:left w:val="nil"/>
              <w:bottom w:val="single" w:sz="4" w:space="0" w:color="auto"/>
              <w:right w:val="single" w:sz="4" w:space="0" w:color="auto"/>
            </w:tcBorders>
            <w:shd w:val="clear" w:color="auto" w:fill="C6EFCE"/>
            <w:noWrap/>
          </w:tcPr>
          <w:p w14:paraId="7EC64709" w14:textId="77777777" w:rsidR="003F46B9" w:rsidRDefault="0065662E">
            <w:pPr>
              <w:pStyle w:val="P68B1DB1-Normal35"/>
              <w:spacing w:after="0"/>
              <w:jc w:val="both"/>
              <w:rPr>
                <w:noProof/>
              </w:rPr>
            </w:pPr>
            <w:r>
              <w:rPr>
                <w:noProof/>
              </w:rPr>
              <w:t xml:space="preserve">C9.I2.5 </w:t>
            </w:r>
          </w:p>
          <w:p w14:paraId="17A02BE4" w14:textId="77777777" w:rsidR="003F46B9" w:rsidRDefault="0065662E">
            <w:pPr>
              <w:pStyle w:val="P68B1DB1-Normal35"/>
              <w:spacing w:after="0"/>
              <w:jc w:val="both"/>
              <w:rPr>
                <w:rFonts w:eastAsia="Times New Roman"/>
                <w:noProof/>
              </w:rPr>
            </w:pPr>
            <w:r>
              <w:rPr>
                <w:noProof/>
              </w:rPr>
              <w:t xml:space="preserve">Financijski instrumenti za privatni sektor – Ulaganja u energetsku učinkovitost u stambenom i građevinskom sektoru </w:t>
            </w:r>
          </w:p>
        </w:tc>
        <w:tc>
          <w:tcPr>
            <w:tcW w:w="1275" w:type="dxa"/>
            <w:tcBorders>
              <w:top w:val="nil"/>
              <w:left w:val="nil"/>
              <w:bottom w:val="single" w:sz="4" w:space="0" w:color="auto"/>
              <w:right w:val="single" w:sz="4" w:space="0" w:color="auto"/>
            </w:tcBorders>
            <w:shd w:val="clear" w:color="auto" w:fill="C6EFCE"/>
            <w:noWrap/>
          </w:tcPr>
          <w:p w14:paraId="76C09AF9"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60637CB" w14:textId="77777777" w:rsidR="003F46B9" w:rsidRDefault="0065662E">
            <w:pPr>
              <w:pStyle w:val="P68B1DB1-Normal35"/>
              <w:spacing w:after="0"/>
              <w:jc w:val="both"/>
              <w:rPr>
                <w:rFonts w:eastAsia="Times New Roman"/>
                <w:noProof/>
              </w:rPr>
            </w:pPr>
            <w:r>
              <w:rPr>
                <w:noProof/>
              </w:rPr>
              <w:t>Potpisivanje sporazuma o doprinosu između Europske komisije i rumunjske vlade</w:t>
            </w:r>
          </w:p>
        </w:tc>
      </w:tr>
      <w:tr w:rsidR="003F46B9" w14:paraId="2ECE5A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3306E2A" w14:textId="77777777" w:rsidR="003F46B9" w:rsidRDefault="0065662E">
            <w:pPr>
              <w:pStyle w:val="P68B1DB1-Normal35"/>
              <w:spacing w:after="0"/>
              <w:jc w:val="center"/>
              <w:rPr>
                <w:noProof/>
              </w:rPr>
            </w:pPr>
            <w:r>
              <w:rPr>
                <w:noProof/>
              </w:rPr>
              <w:t>270</w:t>
            </w:r>
          </w:p>
        </w:tc>
        <w:tc>
          <w:tcPr>
            <w:tcW w:w="3544" w:type="dxa"/>
            <w:tcBorders>
              <w:top w:val="nil"/>
              <w:left w:val="nil"/>
              <w:bottom w:val="single" w:sz="4" w:space="0" w:color="auto"/>
              <w:right w:val="single" w:sz="4" w:space="0" w:color="auto"/>
            </w:tcBorders>
            <w:shd w:val="clear" w:color="auto" w:fill="C6EFCE"/>
            <w:noWrap/>
          </w:tcPr>
          <w:p w14:paraId="43FEF748" w14:textId="77777777" w:rsidR="003F46B9" w:rsidRDefault="0065662E">
            <w:pPr>
              <w:pStyle w:val="P68B1DB1-Normal35"/>
              <w:spacing w:after="0"/>
              <w:jc w:val="both"/>
              <w:rPr>
                <w:noProof/>
              </w:rPr>
            </w:pPr>
            <w:r>
              <w:rPr>
                <w:noProof/>
              </w:rPr>
              <w:t>C9.R2</w:t>
            </w:r>
          </w:p>
          <w:p w14:paraId="27615D93" w14:textId="77777777" w:rsidR="003F46B9" w:rsidRDefault="0065662E">
            <w:pPr>
              <w:pStyle w:val="P68B1DB1-Normal35"/>
              <w:spacing w:after="0"/>
              <w:jc w:val="both"/>
              <w:rPr>
                <w:noProof/>
              </w:rPr>
            </w:pPr>
            <w:r>
              <w:rPr>
                <w:noProof/>
              </w:rPr>
              <w:t xml:space="preserve">Pojednostavnjenje upravljanja istraživanjem, razvojem i inovacijama </w:t>
            </w:r>
          </w:p>
        </w:tc>
        <w:tc>
          <w:tcPr>
            <w:tcW w:w="1275" w:type="dxa"/>
            <w:tcBorders>
              <w:top w:val="nil"/>
              <w:left w:val="nil"/>
              <w:bottom w:val="single" w:sz="4" w:space="0" w:color="auto"/>
              <w:right w:val="single" w:sz="4" w:space="0" w:color="auto"/>
            </w:tcBorders>
            <w:shd w:val="clear" w:color="auto" w:fill="C6EFCE"/>
            <w:noWrap/>
          </w:tcPr>
          <w:p w14:paraId="5D4F90C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0718A2A" w14:textId="77777777" w:rsidR="003F46B9" w:rsidRDefault="0065662E">
            <w:pPr>
              <w:pStyle w:val="P68B1DB1-Normal35"/>
              <w:spacing w:after="0"/>
              <w:jc w:val="both"/>
              <w:rPr>
                <w:noProof/>
              </w:rPr>
            </w:pPr>
            <w:r>
              <w:rPr>
                <w:noProof/>
              </w:rPr>
              <w:t xml:space="preserve">Osnovan i operativan Odjel za potporu politikama (PSF) za provedbu reformi </w:t>
            </w:r>
          </w:p>
        </w:tc>
      </w:tr>
      <w:tr w:rsidR="003F46B9" w14:paraId="73309CA2" w14:textId="77777777">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D7B79DF"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4FF33DB"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0D753C37"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6593D3C8" w14:textId="77777777" w:rsidR="003F46B9" w:rsidRDefault="0065662E">
            <w:pPr>
              <w:pStyle w:val="P68B1DB1-Normal36"/>
              <w:spacing w:after="0"/>
              <w:jc w:val="right"/>
              <w:rPr>
                <w:noProof/>
              </w:rPr>
            </w:pPr>
            <w:r>
              <w:rPr>
                <w:noProof/>
              </w:rPr>
              <w:t>907669494 EURA</w:t>
            </w:r>
          </w:p>
        </w:tc>
      </w:tr>
    </w:tbl>
    <w:p w14:paraId="2AF5F228" w14:textId="77777777" w:rsidR="003F46B9" w:rsidRDefault="0065662E">
      <w:pPr>
        <w:pStyle w:val="Heading3"/>
        <w:rPr>
          <w:noProof/>
        </w:rPr>
      </w:pPr>
      <w:r>
        <w:rPr>
          <w:noProof/>
        </w:rPr>
        <w:t xml:space="preserve">Drugi obrok (potpora u obliku zajma): </w:t>
      </w:r>
    </w:p>
    <w:tbl>
      <w:tblPr>
        <w:tblW w:w="9634" w:type="dxa"/>
        <w:tblInd w:w="113" w:type="dxa"/>
        <w:tblLook w:val="04A0" w:firstRow="1" w:lastRow="0" w:firstColumn="1" w:lastColumn="0" w:noHBand="0" w:noVBand="1"/>
      </w:tblPr>
      <w:tblGrid>
        <w:gridCol w:w="1413"/>
        <w:gridCol w:w="3544"/>
        <w:gridCol w:w="1316"/>
        <w:gridCol w:w="3402"/>
      </w:tblGrid>
      <w:tr w:rsidR="003F46B9" w14:paraId="250665AB"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857B363"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789A20D" w14:textId="77777777" w:rsidR="003F46B9" w:rsidRDefault="0065662E">
            <w:pPr>
              <w:pStyle w:val="P68B1DB1-Normal34"/>
              <w:spacing w:after="0"/>
              <w:jc w:val="center"/>
              <w:rPr>
                <w:noProof/>
              </w:rPr>
            </w:pPr>
            <w:r>
              <w:rPr>
                <w:noProof/>
              </w:rPr>
              <w:t>Povezana mjera</w:t>
            </w:r>
          </w:p>
          <w:p w14:paraId="161A9255" w14:textId="77777777" w:rsidR="003F46B9" w:rsidRDefault="0065662E">
            <w:pPr>
              <w:pStyle w:val="P68B1DB1-Normal34"/>
              <w:spacing w:after="0"/>
              <w:jc w:val="center"/>
              <w:rPr>
                <w:noProof/>
              </w:rPr>
            </w:pPr>
            <w:r>
              <w:rPr>
                <w:noProof/>
              </w:rPr>
              <w:t>(Reforma ili</w:t>
            </w:r>
            <w:r>
              <w:rPr>
                <w:noProof/>
              </w:rPr>
              <w:t xml:space="preserve">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6C96E8"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24E5F576" w14:textId="77777777" w:rsidR="003F46B9" w:rsidRDefault="0065662E">
            <w:pPr>
              <w:pStyle w:val="P68B1DB1-Normal34"/>
              <w:spacing w:after="0"/>
              <w:jc w:val="center"/>
              <w:rPr>
                <w:noProof/>
              </w:rPr>
            </w:pPr>
            <w:r>
              <w:rPr>
                <w:noProof/>
              </w:rPr>
              <w:t>Ime</w:t>
            </w:r>
          </w:p>
        </w:tc>
      </w:tr>
      <w:tr w:rsidR="003F46B9" w14:paraId="792473DC"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17714A3"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505F5794"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74AFA29A" w14:textId="77777777" w:rsidR="003F46B9" w:rsidRDefault="003F46B9">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10FDF173" w14:textId="77777777" w:rsidR="003F46B9" w:rsidRDefault="003F46B9">
            <w:pPr>
              <w:spacing w:after="0"/>
              <w:jc w:val="both"/>
              <w:rPr>
                <w:rFonts w:ascii="Times New Roman" w:eastAsia="Times New Roman" w:hAnsi="Times New Roman" w:cs="Times New Roman"/>
                <w:b/>
                <w:noProof/>
              </w:rPr>
            </w:pPr>
          </w:p>
        </w:tc>
      </w:tr>
      <w:tr w:rsidR="003F46B9" w14:paraId="334A980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67DA9C6" w14:textId="77777777" w:rsidR="003F46B9" w:rsidRDefault="0065662E">
            <w:pPr>
              <w:pStyle w:val="P68B1DB1-Normal36"/>
              <w:spacing w:after="0"/>
              <w:jc w:val="center"/>
              <w:rPr>
                <w:noProof/>
              </w:rPr>
            </w:pPr>
            <w:r>
              <w:rPr>
                <w:noProof/>
              </w:rPr>
              <w:t>2</w:t>
            </w:r>
          </w:p>
        </w:tc>
        <w:tc>
          <w:tcPr>
            <w:tcW w:w="3544" w:type="dxa"/>
            <w:tcBorders>
              <w:top w:val="nil"/>
              <w:left w:val="nil"/>
              <w:bottom w:val="single" w:sz="4" w:space="0" w:color="auto"/>
              <w:right w:val="single" w:sz="4" w:space="0" w:color="auto"/>
            </w:tcBorders>
            <w:shd w:val="clear" w:color="auto" w:fill="C6EFCE"/>
            <w:noWrap/>
            <w:hideMark/>
          </w:tcPr>
          <w:p w14:paraId="1DE6C54F" w14:textId="77777777" w:rsidR="003F46B9" w:rsidRDefault="0065662E">
            <w:pPr>
              <w:pStyle w:val="P68B1DB1-Normal36"/>
              <w:spacing w:after="0"/>
              <w:jc w:val="both"/>
              <w:rPr>
                <w:noProof/>
              </w:rPr>
            </w:pPr>
            <w:r>
              <w:rPr>
                <w:noProof/>
              </w:rPr>
              <w:t xml:space="preserve">C1.R1 </w:t>
            </w:r>
          </w:p>
          <w:p w14:paraId="392C19E7" w14:textId="77777777" w:rsidR="003F46B9" w:rsidRDefault="0065662E">
            <w:pPr>
              <w:pStyle w:val="P68B1DB1-Normal36"/>
              <w:spacing w:after="0"/>
              <w:jc w:val="both"/>
              <w:rPr>
                <w:noProof/>
              </w:rPr>
            </w:pPr>
            <w:r>
              <w:rPr>
                <w:noProof/>
              </w:rPr>
              <w:t>Jačanje regulatornog okvira za održivo upravljanje sektorom voda i otpadnih voda te ubrzavanje pristupa građana kvalitetnim uslugama u skladu s europskim direktivama</w:t>
            </w:r>
          </w:p>
        </w:tc>
        <w:tc>
          <w:tcPr>
            <w:tcW w:w="1275" w:type="dxa"/>
            <w:tcBorders>
              <w:top w:val="nil"/>
              <w:left w:val="nil"/>
              <w:bottom w:val="single" w:sz="4" w:space="0" w:color="auto"/>
              <w:right w:val="single" w:sz="4" w:space="0" w:color="auto"/>
            </w:tcBorders>
            <w:shd w:val="clear" w:color="auto" w:fill="C6EFCE"/>
            <w:noWrap/>
            <w:hideMark/>
          </w:tcPr>
          <w:p w14:paraId="6BEA8137" w14:textId="77777777" w:rsidR="003F46B9" w:rsidRDefault="0065662E">
            <w:pPr>
              <w:pStyle w:val="P68B1DB1-Normal36"/>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1E6C1411" w14:textId="77777777" w:rsidR="003F46B9" w:rsidRDefault="0065662E">
            <w:pPr>
              <w:pStyle w:val="P68B1DB1-Normal36"/>
              <w:spacing w:after="0"/>
              <w:jc w:val="both"/>
              <w:rPr>
                <w:noProof/>
              </w:rPr>
            </w:pPr>
            <w:r>
              <w:rPr>
                <w:noProof/>
              </w:rPr>
              <w:t xml:space="preserve">Stupanje na snagu zakona </w:t>
            </w:r>
            <w:r>
              <w:rPr>
                <w:noProof/>
              </w:rPr>
              <w:t>kojim se odobrava nacionalni program Prvo povezivanje s vodom i sanitarnim uvjetima</w:t>
            </w:r>
          </w:p>
        </w:tc>
      </w:tr>
      <w:tr w:rsidR="003F46B9" w14:paraId="78E0BD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FB74C2A" w14:textId="77777777" w:rsidR="003F46B9" w:rsidRDefault="0065662E">
            <w:pPr>
              <w:pStyle w:val="P68B1DB1-Normal35"/>
              <w:spacing w:after="0"/>
              <w:jc w:val="center"/>
              <w:rPr>
                <w:rFonts w:eastAsia="Times New Roman"/>
                <w:noProof/>
              </w:rPr>
            </w:pPr>
            <w:r>
              <w:rPr>
                <w:noProof/>
              </w:rPr>
              <w:t>95</w:t>
            </w:r>
          </w:p>
        </w:tc>
        <w:tc>
          <w:tcPr>
            <w:tcW w:w="3544" w:type="dxa"/>
            <w:tcBorders>
              <w:top w:val="nil"/>
              <w:left w:val="nil"/>
              <w:bottom w:val="single" w:sz="4" w:space="0" w:color="auto"/>
              <w:right w:val="single" w:sz="4" w:space="0" w:color="auto"/>
            </w:tcBorders>
            <w:shd w:val="clear" w:color="auto" w:fill="C6EFCE"/>
            <w:noWrap/>
          </w:tcPr>
          <w:p w14:paraId="45F1B841" w14:textId="77777777" w:rsidR="003F46B9" w:rsidRDefault="0065662E">
            <w:pPr>
              <w:pStyle w:val="P68B1DB1-Normal35"/>
              <w:spacing w:after="0"/>
              <w:jc w:val="both"/>
              <w:rPr>
                <w:noProof/>
              </w:rPr>
            </w:pPr>
            <w:r>
              <w:rPr>
                <w:noProof/>
              </w:rPr>
              <w:t>C5.I1</w:t>
            </w:r>
          </w:p>
          <w:p w14:paraId="65367D03" w14:textId="77777777" w:rsidR="003F46B9" w:rsidRDefault="0065662E">
            <w:pPr>
              <w:pStyle w:val="P68B1DB1-Normal35"/>
              <w:spacing w:after="0"/>
              <w:jc w:val="both"/>
              <w:rPr>
                <w:rFonts w:eastAsia="Times New Roman"/>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7666CF6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12F9129" w14:textId="77777777" w:rsidR="003F46B9" w:rsidRDefault="0065662E">
            <w:pPr>
              <w:pStyle w:val="P68B1DB1-Normal35"/>
              <w:spacing w:after="0"/>
              <w:jc w:val="both"/>
              <w:rPr>
                <w:rFonts w:eastAsia="Times New Roman"/>
                <w:noProof/>
              </w:rPr>
            </w:pPr>
            <w:r>
              <w:rPr>
                <w:noProof/>
              </w:rPr>
              <w:t xml:space="preserve">Uspostava nacionalnog programa potpore za energetsku obnovu i </w:t>
            </w:r>
            <w:r>
              <w:rPr>
                <w:noProof/>
              </w:rPr>
              <w:t>integriranu obnovu (seizmička konsolidacija i energetska učinkovitost) višeobiteljskih stambenih zgrada</w:t>
            </w:r>
          </w:p>
        </w:tc>
      </w:tr>
      <w:tr w:rsidR="003F46B9" w14:paraId="7EAE61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DAFDEE" w14:textId="77777777" w:rsidR="003F46B9" w:rsidRDefault="0065662E">
            <w:pPr>
              <w:pStyle w:val="P68B1DB1-Normal35"/>
              <w:spacing w:after="0"/>
              <w:jc w:val="center"/>
              <w:rPr>
                <w:rFonts w:eastAsia="Times New Roman"/>
                <w:noProof/>
              </w:rPr>
            </w:pPr>
            <w:r>
              <w:rPr>
                <w:noProof/>
              </w:rPr>
              <w:t>96</w:t>
            </w:r>
          </w:p>
        </w:tc>
        <w:tc>
          <w:tcPr>
            <w:tcW w:w="3544" w:type="dxa"/>
            <w:tcBorders>
              <w:top w:val="nil"/>
              <w:left w:val="nil"/>
              <w:bottom w:val="single" w:sz="4" w:space="0" w:color="auto"/>
              <w:right w:val="single" w:sz="4" w:space="0" w:color="auto"/>
            </w:tcBorders>
            <w:shd w:val="clear" w:color="auto" w:fill="C6EFCE"/>
            <w:noWrap/>
          </w:tcPr>
          <w:p w14:paraId="4C4C7564" w14:textId="77777777" w:rsidR="003F46B9" w:rsidRDefault="0065662E">
            <w:pPr>
              <w:pStyle w:val="P68B1DB1-Normal35"/>
              <w:spacing w:after="0"/>
              <w:jc w:val="both"/>
              <w:rPr>
                <w:noProof/>
              </w:rPr>
            </w:pPr>
            <w:r>
              <w:rPr>
                <w:noProof/>
              </w:rPr>
              <w:t>C5.I1</w:t>
            </w:r>
          </w:p>
          <w:p w14:paraId="2C4066AE" w14:textId="77777777" w:rsidR="003F46B9" w:rsidRDefault="0065662E">
            <w:pPr>
              <w:pStyle w:val="P68B1DB1-Normal35"/>
              <w:spacing w:after="0"/>
              <w:jc w:val="both"/>
              <w:rPr>
                <w:rFonts w:eastAsia="Times New Roman"/>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3DAFE386"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FB85C01" w14:textId="77777777" w:rsidR="003F46B9" w:rsidRDefault="0065662E">
            <w:pPr>
              <w:pStyle w:val="P68B1DB1-Normal35"/>
              <w:spacing w:after="0"/>
              <w:jc w:val="both"/>
              <w:rPr>
                <w:rFonts w:eastAsia="Times New Roman"/>
                <w:noProof/>
              </w:rPr>
            </w:pPr>
            <w:r>
              <w:rPr>
                <w:noProof/>
              </w:rPr>
              <w:t xml:space="preserve">Uspostava nacionalnog programa potpore za </w:t>
            </w:r>
            <w:r>
              <w:rPr>
                <w:noProof/>
              </w:rPr>
              <w:t>energetsku obnovu i integriranu obnovu (seizmička konsolidacija i energetska učinkovitost) za javne zgrade)</w:t>
            </w:r>
          </w:p>
        </w:tc>
      </w:tr>
      <w:tr w:rsidR="003F46B9" w14:paraId="79D06E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DBEB31" w14:textId="77777777" w:rsidR="003F46B9" w:rsidRDefault="0065662E">
            <w:pPr>
              <w:pStyle w:val="P68B1DB1-Normal35"/>
              <w:spacing w:after="0"/>
              <w:jc w:val="center"/>
              <w:rPr>
                <w:noProof/>
              </w:rPr>
            </w:pPr>
            <w:r>
              <w:rPr>
                <w:noProof/>
              </w:rPr>
              <w:t>189</w:t>
            </w:r>
          </w:p>
        </w:tc>
        <w:tc>
          <w:tcPr>
            <w:tcW w:w="3544" w:type="dxa"/>
            <w:tcBorders>
              <w:top w:val="nil"/>
              <w:left w:val="nil"/>
              <w:bottom w:val="single" w:sz="4" w:space="0" w:color="auto"/>
              <w:right w:val="single" w:sz="4" w:space="0" w:color="auto"/>
            </w:tcBorders>
            <w:shd w:val="clear" w:color="auto" w:fill="C6EFCE"/>
            <w:noWrap/>
          </w:tcPr>
          <w:p w14:paraId="49DA5599" w14:textId="77777777" w:rsidR="003F46B9" w:rsidRDefault="0065662E">
            <w:pPr>
              <w:pStyle w:val="P68B1DB1-Normal35"/>
              <w:spacing w:after="0"/>
              <w:jc w:val="both"/>
              <w:rPr>
                <w:noProof/>
              </w:rPr>
            </w:pPr>
            <w:r>
              <w:rPr>
                <w:noProof/>
              </w:rPr>
              <w:t>C7.I19</w:t>
            </w:r>
          </w:p>
          <w:p w14:paraId="58129B29" w14:textId="77777777" w:rsidR="003F46B9" w:rsidRDefault="0065662E">
            <w:pPr>
              <w:pStyle w:val="P68B1DB1-Normal35"/>
              <w:spacing w:after="0"/>
              <w:jc w:val="both"/>
              <w:rPr>
                <w:noProof/>
              </w:rPr>
            </w:pPr>
            <w:r>
              <w:rPr>
                <w:noProof/>
              </w:rPr>
              <w:t>Programi za usavršavanje/prekvalifikaciju zaposlenika u poduzećima</w:t>
            </w:r>
          </w:p>
        </w:tc>
        <w:tc>
          <w:tcPr>
            <w:tcW w:w="1275" w:type="dxa"/>
            <w:tcBorders>
              <w:top w:val="nil"/>
              <w:left w:val="nil"/>
              <w:bottom w:val="single" w:sz="4" w:space="0" w:color="auto"/>
              <w:right w:val="single" w:sz="4" w:space="0" w:color="auto"/>
            </w:tcBorders>
            <w:shd w:val="clear" w:color="auto" w:fill="C6EFCE"/>
            <w:noWrap/>
          </w:tcPr>
          <w:p w14:paraId="5CD756C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C29C752" w14:textId="77777777" w:rsidR="003F46B9" w:rsidRDefault="0065662E">
            <w:pPr>
              <w:pStyle w:val="P68B1DB1-Normal35"/>
              <w:spacing w:after="0"/>
              <w:jc w:val="both"/>
              <w:rPr>
                <w:noProof/>
              </w:rPr>
            </w:pPr>
            <w:r>
              <w:rPr>
                <w:noProof/>
              </w:rPr>
              <w:t>Objava poziva na podnošenje prijedloga za „bespovratnu potporu za d</w:t>
            </w:r>
            <w:r>
              <w:rPr>
                <w:noProof/>
              </w:rPr>
              <w:t>igitalne vještine”</w:t>
            </w:r>
          </w:p>
        </w:tc>
      </w:tr>
      <w:tr w:rsidR="003F46B9" w14:paraId="4FEEBC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2288CE" w14:textId="77777777" w:rsidR="003F46B9" w:rsidRDefault="0065662E">
            <w:pPr>
              <w:pStyle w:val="P68B1DB1-Normal35"/>
              <w:spacing w:after="0"/>
              <w:jc w:val="center"/>
              <w:rPr>
                <w:rFonts w:eastAsia="Times New Roman"/>
                <w:noProof/>
              </w:rPr>
            </w:pPr>
            <w:r>
              <w:rPr>
                <w:noProof/>
              </w:rPr>
              <w:t>256</w:t>
            </w:r>
          </w:p>
        </w:tc>
        <w:tc>
          <w:tcPr>
            <w:tcW w:w="3544" w:type="dxa"/>
            <w:tcBorders>
              <w:top w:val="nil"/>
              <w:left w:val="nil"/>
              <w:bottom w:val="single" w:sz="4" w:space="0" w:color="auto"/>
              <w:right w:val="single" w:sz="4" w:space="0" w:color="auto"/>
            </w:tcBorders>
            <w:shd w:val="clear" w:color="auto" w:fill="C6EFCE"/>
            <w:noWrap/>
          </w:tcPr>
          <w:p w14:paraId="63E734E7" w14:textId="77777777" w:rsidR="003F46B9" w:rsidRDefault="0065662E">
            <w:pPr>
              <w:pStyle w:val="P68B1DB1-Normal35"/>
              <w:spacing w:after="0"/>
              <w:jc w:val="both"/>
              <w:rPr>
                <w:noProof/>
              </w:rPr>
            </w:pPr>
            <w:r>
              <w:rPr>
                <w:noProof/>
              </w:rPr>
              <w:t xml:space="preserve">C9.I2.4. </w:t>
            </w:r>
          </w:p>
          <w:p w14:paraId="37E57B9A" w14:textId="77777777" w:rsidR="003F46B9" w:rsidRDefault="0065662E">
            <w:pPr>
              <w:pStyle w:val="P68B1DB1-Normal35"/>
              <w:spacing w:after="0"/>
              <w:jc w:val="both"/>
              <w:rPr>
                <w:rFonts w:eastAsia="Times New Roman"/>
                <w:noProof/>
              </w:rPr>
            </w:pPr>
            <w:r>
              <w:rPr>
                <w:noProof/>
              </w:rPr>
              <w:t xml:space="preserve">Financijski instrumenti za privatni sektor – Fond za digitalizaciju, klimatsku politiku i druga područja interesa </w:t>
            </w:r>
          </w:p>
        </w:tc>
        <w:tc>
          <w:tcPr>
            <w:tcW w:w="1275" w:type="dxa"/>
            <w:tcBorders>
              <w:top w:val="nil"/>
              <w:left w:val="nil"/>
              <w:bottom w:val="single" w:sz="4" w:space="0" w:color="auto"/>
              <w:right w:val="single" w:sz="4" w:space="0" w:color="auto"/>
            </w:tcBorders>
            <w:shd w:val="clear" w:color="auto" w:fill="C6EFCE"/>
            <w:noWrap/>
          </w:tcPr>
          <w:p w14:paraId="79C39C2F"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04B9DB9" w14:textId="77777777" w:rsidR="003F46B9" w:rsidRDefault="0065662E">
            <w:pPr>
              <w:pStyle w:val="P68B1DB1-Normal35"/>
              <w:spacing w:after="0"/>
              <w:jc w:val="both"/>
              <w:rPr>
                <w:rFonts w:eastAsia="Times New Roman"/>
                <w:noProof/>
              </w:rPr>
            </w:pPr>
            <w:r>
              <w:rPr>
                <w:noProof/>
              </w:rPr>
              <w:t>Uspostava financijskog instrumenta („Fond”) i donošenje investicijske politike Fonda</w:t>
            </w:r>
          </w:p>
        </w:tc>
      </w:tr>
      <w:tr w:rsidR="003F46B9" w14:paraId="1A7D48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CA91A6" w14:textId="77777777" w:rsidR="003F46B9" w:rsidRDefault="0065662E">
            <w:pPr>
              <w:pStyle w:val="P68B1DB1-Normal35"/>
              <w:spacing w:after="0"/>
              <w:jc w:val="center"/>
              <w:rPr>
                <w:rFonts w:eastAsia="Times New Roman"/>
                <w:noProof/>
              </w:rPr>
            </w:pPr>
            <w:r>
              <w:rPr>
                <w:noProof/>
              </w:rPr>
              <w:t>262</w:t>
            </w:r>
          </w:p>
        </w:tc>
        <w:tc>
          <w:tcPr>
            <w:tcW w:w="3544" w:type="dxa"/>
            <w:tcBorders>
              <w:top w:val="nil"/>
              <w:left w:val="nil"/>
              <w:bottom w:val="single" w:sz="4" w:space="0" w:color="auto"/>
              <w:right w:val="single" w:sz="4" w:space="0" w:color="auto"/>
            </w:tcBorders>
            <w:shd w:val="clear" w:color="auto" w:fill="C6EFCE"/>
            <w:noWrap/>
          </w:tcPr>
          <w:p w14:paraId="3A4246A0" w14:textId="77777777" w:rsidR="003F46B9" w:rsidRDefault="0065662E">
            <w:pPr>
              <w:pStyle w:val="P68B1DB1-Normal35"/>
              <w:spacing w:after="0"/>
              <w:jc w:val="both"/>
              <w:rPr>
                <w:noProof/>
              </w:rPr>
            </w:pPr>
            <w:r>
              <w:rPr>
                <w:noProof/>
              </w:rPr>
              <w:t xml:space="preserve">C9.I3.1 </w:t>
            </w:r>
          </w:p>
          <w:p w14:paraId="1B9C403E" w14:textId="77777777" w:rsidR="003F46B9" w:rsidRDefault="0065662E">
            <w:pPr>
              <w:pStyle w:val="P68B1DB1-Normal35"/>
              <w:spacing w:after="0"/>
              <w:jc w:val="both"/>
              <w:rPr>
                <w:rFonts w:eastAsia="Times New Roman"/>
                <w:noProof/>
              </w:rPr>
            </w:pPr>
            <w:r>
              <w:rPr>
                <w:noProof/>
              </w:rPr>
              <w:t xml:space="preserve">Programi potpora privatnog sektora – Program potpora za digitalizaciju MSP-ova </w:t>
            </w:r>
          </w:p>
        </w:tc>
        <w:tc>
          <w:tcPr>
            <w:tcW w:w="1275" w:type="dxa"/>
            <w:tcBorders>
              <w:top w:val="nil"/>
              <w:left w:val="nil"/>
              <w:bottom w:val="single" w:sz="4" w:space="0" w:color="auto"/>
              <w:right w:val="single" w:sz="4" w:space="0" w:color="auto"/>
            </w:tcBorders>
            <w:shd w:val="clear" w:color="auto" w:fill="C6EFCE"/>
            <w:noWrap/>
          </w:tcPr>
          <w:p w14:paraId="54595560"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22D2F54" w14:textId="77777777" w:rsidR="003F46B9" w:rsidRDefault="0065662E">
            <w:pPr>
              <w:pStyle w:val="P68B1DB1-Normal35"/>
              <w:spacing w:after="0"/>
              <w:jc w:val="both"/>
              <w:rPr>
                <w:rFonts w:eastAsia="Times New Roman"/>
                <w:noProof/>
              </w:rPr>
            </w:pPr>
            <w:r>
              <w:rPr>
                <w:noProof/>
              </w:rPr>
              <w:t xml:space="preserve">Odabir administratora sustava </w:t>
            </w:r>
          </w:p>
        </w:tc>
      </w:tr>
      <w:tr w:rsidR="003F46B9" w14:paraId="789519A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5D30DD" w14:textId="77777777" w:rsidR="003F46B9" w:rsidRDefault="0065662E">
            <w:pPr>
              <w:pStyle w:val="P68B1DB1-Normal35"/>
              <w:spacing w:after="0"/>
              <w:jc w:val="center"/>
              <w:rPr>
                <w:rFonts w:eastAsia="Times New Roman"/>
                <w:noProof/>
                <w:vertAlign w:val="subscript"/>
              </w:rPr>
            </w:pPr>
            <w:r>
              <w:rPr>
                <w:noProof/>
              </w:rPr>
              <w:t>326</w:t>
            </w:r>
          </w:p>
        </w:tc>
        <w:tc>
          <w:tcPr>
            <w:tcW w:w="3544" w:type="dxa"/>
            <w:tcBorders>
              <w:top w:val="nil"/>
              <w:left w:val="nil"/>
              <w:bottom w:val="single" w:sz="4" w:space="0" w:color="auto"/>
              <w:right w:val="single" w:sz="4" w:space="0" w:color="auto"/>
            </w:tcBorders>
            <w:shd w:val="clear" w:color="auto" w:fill="C6EFCE"/>
            <w:noWrap/>
          </w:tcPr>
          <w:p w14:paraId="39287ED4" w14:textId="77777777" w:rsidR="003F46B9" w:rsidRDefault="0065662E">
            <w:pPr>
              <w:pStyle w:val="P68B1DB1-Normal35"/>
              <w:spacing w:after="0"/>
              <w:jc w:val="both"/>
              <w:rPr>
                <w:noProof/>
              </w:rPr>
            </w:pPr>
            <w:r>
              <w:rPr>
                <w:noProof/>
              </w:rPr>
              <w:t>C11.R1</w:t>
            </w:r>
          </w:p>
          <w:p w14:paraId="61965E1C" w14:textId="3EE0F0C7" w:rsidR="003F46B9" w:rsidRDefault="0065662E">
            <w:pPr>
              <w:pStyle w:val="P68B1DB1-Normal35"/>
              <w:spacing w:after="0"/>
              <w:jc w:val="both"/>
              <w:rPr>
                <w:rFonts w:eastAsia="Times New Roman"/>
                <w:noProof/>
              </w:rPr>
            </w:pPr>
            <w:r>
              <w:rPr>
                <w:noProof/>
              </w:rPr>
              <w:t xml:space="preserve">Operacionalizacija organizacija za upravljanje odredištima </w:t>
            </w:r>
          </w:p>
        </w:tc>
        <w:tc>
          <w:tcPr>
            <w:tcW w:w="1275" w:type="dxa"/>
            <w:tcBorders>
              <w:top w:val="nil"/>
              <w:left w:val="nil"/>
              <w:bottom w:val="single" w:sz="4" w:space="0" w:color="auto"/>
              <w:right w:val="single" w:sz="4" w:space="0" w:color="auto"/>
            </w:tcBorders>
            <w:shd w:val="clear" w:color="auto" w:fill="C6EFCE"/>
            <w:noWrap/>
          </w:tcPr>
          <w:p w14:paraId="60A542D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F0331AA" w14:textId="77777777" w:rsidR="003F46B9" w:rsidRDefault="0065662E">
            <w:pPr>
              <w:pStyle w:val="P68B1DB1-Normal35"/>
              <w:spacing w:after="0"/>
              <w:jc w:val="both"/>
              <w:rPr>
                <w:rFonts w:eastAsia="Times New Roman"/>
                <w:noProof/>
              </w:rPr>
            </w:pPr>
            <w:r>
              <w:rPr>
                <w:noProof/>
              </w:rPr>
              <w:t xml:space="preserve">Sva optimalna odredišna područja za regionalne organizacije za </w:t>
            </w:r>
            <w:r>
              <w:rPr>
                <w:noProof/>
              </w:rPr>
              <w:t>upravljanje odredištima (DMO) u Rumunjskoj mapirana su</w:t>
            </w:r>
          </w:p>
        </w:tc>
      </w:tr>
      <w:tr w:rsidR="003F46B9" w14:paraId="14DBA1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050B49" w14:textId="77777777" w:rsidR="003F46B9" w:rsidRDefault="0065662E">
            <w:pPr>
              <w:pStyle w:val="P68B1DB1-Normal35"/>
              <w:spacing w:after="0"/>
              <w:jc w:val="center"/>
              <w:rPr>
                <w:rFonts w:eastAsia="Times New Roman"/>
                <w:noProof/>
              </w:rPr>
            </w:pPr>
            <w:r>
              <w:rPr>
                <w:noProof/>
              </w:rPr>
              <w:t>327</w:t>
            </w:r>
          </w:p>
        </w:tc>
        <w:tc>
          <w:tcPr>
            <w:tcW w:w="3544" w:type="dxa"/>
            <w:tcBorders>
              <w:top w:val="nil"/>
              <w:left w:val="nil"/>
              <w:bottom w:val="single" w:sz="4" w:space="0" w:color="auto"/>
              <w:right w:val="single" w:sz="4" w:space="0" w:color="auto"/>
            </w:tcBorders>
            <w:shd w:val="clear" w:color="auto" w:fill="C6EFCE"/>
            <w:noWrap/>
          </w:tcPr>
          <w:p w14:paraId="5B8EA23F" w14:textId="77777777" w:rsidR="003F46B9" w:rsidRDefault="0065662E">
            <w:pPr>
              <w:pStyle w:val="P68B1DB1-Normal35"/>
              <w:spacing w:after="0"/>
              <w:jc w:val="both"/>
              <w:rPr>
                <w:noProof/>
              </w:rPr>
            </w:pPr>
            <w:r>
              <w:rPr>
                <w:noProof/>
              </w:rPr>
              <w:t>C11.R1</w:t>
            </w:r>
          </w:p>
          <w:p w14:paraId="09F3239B" w14:textId="77777777" w:rsidR="003F46B9" w:rsidRDefault="0065662E">
            <w:pPr>
              <w:pStyle w:val="P68B1DB1-Normal35"/>
              <w:spacing w:after="0"/>
              <w:jc w:val="both"/>
              <w:rPr>
                <w:rFonts w:eastAsia="Times New Roman"/>
                <w:noProof/>
              </w:rPr>
            </w:pPr>
            <w:r>
              <w:rPr>
                <w:noProof/>
              </w:rPr>
              <w:t>Operacionalizacija organizacija za upravljanje odredištima</w:t>
            </w:r>
          </w:p>
        </w:tc>
        <w:tc>
          <w:tcPr>
            <w:tcW w:w="1275" w:type="dxa"/>
            <w:tcBorders>
              <w:top w:val="nil"/>
              <w:left w:val="nil"/>
              <w:bottom w:val="single" w:sz="4" w:space="0" w:color="auto"/>
              <w:right w:val="single" w:sz="4" w:space="0" w:color="auto"/>
            </w:tcBorders>
            <w:shd w:val="clear" w:color="auto" w:fill="C6EFCE"/>
            <w:noWrap/>
          </w:tcPr>
          <w:p w14:paraId="4FA9A72E"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A7F808E" w14:textId="77777777" w:rsidR="003F46B9" w:rsidRDefault="0065662E">
            <w:pPr>
              <w:pStyle w:val="P68B1DB1-Normal35"/>
              <w:spacing w:after="0"/>
              <w:jc w:val="both"/>
              <w:rPr>
                <w:noProof/>
              </w:rPr>
            </w:pPr>
            <w:r>
              <w:rPr>
                <w:noProof/>
              </w:rPr>
              <w:t>Akcijski plan za korištenje kulturne baštine za povećanje konkurentnosti rumunjskog turističkog sektora</w:t>
            </w:r>
          </w:p>
          <w:p w14:paraId="48739031" w14:textId="77777777" w:rsidR="003F46B9" w:rsidRDefault="003F46B9">
            <w:pPr>
              <w:spacing w:after="0"/>
              <w:jc w:val="both"/>
              <w:rPr>
                <w:rFonts w:ascii="Times New Roman" w:hAnsi="Times New Roman" w:cs="Times New Roman"/>
                <w:noProof/>
              </w:rPr>
            </w:pPr>
          </w:p>
          <w:p w14:paraId="146F8204" w14:textId="77777777" w:rsidR="003F46B9" w:rsidRDefault="003F46B9">
            <w:pPr>
              <w:spacing w:after="0"/>
              <w:jc w:val="both"/>
              <w:rPr>
                <w:rFonts w:ascii="Times New Roman" w:eastAsia="Times New Roman" w:hAnsi="Times New Roman" w:cs="Times New Roman"/>
                <w:noProof/>
              </w:rPr>
            </w:pPr>
          </w:p>
        </w:tc>
      </w:tr>
      <w:tr w:rsidR="003F46B9" w14:paraId="7D65CC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D37C18" w14:textId="77777777" w:rsidR="003F46B9" w:rsidRDefault="0065662E">
            <w:pPr>
              <w:pStyle w:val="P68B1DB1-Normal35"/>
              <w:spacing w:after="0"/>
              <w:jc w:val="center"/>
              <w:rPr>
                <w:rFonts w:eastAsia="Times New Roman"/>
                <w:noProof/>
              </w:rPr>
            </w:pPr>
            <w:r>
              <w:rPr>
                <w:noProof/>
              </w:rPr>
              <w:t>331</w:t>
            </w:r>
          </w:p>
        </w:tc>
        <w:tc>
          <w:tcPr>
            <w:tcW w:w="3544" w:type="dxa"/>
            <w:tcBorders>
              <w:top w:val="nil"/>
              <w:left w:val="nil"/>
              <w:bottom w:val="single" w:sz="4" w:space="0" w:color="auto"/>
              <w:right w:val="single" w:sz="4" w:space="0" w:color="auto"/>
            </w:tcBorders>
            <w:shd w:val="clear" w:color="auto" w:fill="C6EFCE"/>
            <w:noWrap/>
          </w:tcPr>
          <w:p w14:paraId="744C74D0" w14:textId="77777777" w:rsidR="003F46B9" w:rsidRDefault="0065662E">
            <w:pPr>
              <w:pStyle w:val="P68B1DB1-Normal35"/>
              <w:spacing w:after="0"/>
              <w:jc w:val="both"/>
              <w:rPr>
                <w:noProof/>
              </w:rPr>
            </w:pPr>
            <w:r>
              <w:rPr>
                <w:noProof/>
              </w:rPr>
              <w:t>C11.I1</w:t>
            </w:r>
          </w:p>
          <w:p w14:paraId="342A566F" w14:textId="77777777" w:rsidR="003F46B9" w:rsidRDefault="0065662E">
            <w:pPr>
              <w:pStyle w:val="P68B1DB1-Normal35"/>
              <w:spacing w:after="0"/>
              <w:jc w:val="both"/>
              <w:rPr>
                <w:rFonts w:eastAsia="Times New Roman"/>
                <w:noProof/>
              </w:rPr>
            </w:pPr>
            <w:r>
              <w:rPr>
                <w:noProof/>
              </w:rPr>
              <w:t xml:space="preserve">Promicanje 12 turističkih/kulturnih ruta </w:t>
            </w:r>
          </w:p>
        </w:tc>
        <w:tc>
          <w:tcPr>
            <w:tcW w:w="1275" w:type="dxa"/>
            <w:tcBorders>
              <w:top w:val="nil"/>
              <w:left w:val="nil"/>
              <w:bottom w:val="single" w:sz="4" w:space="0" w:color="auto"/>
              <w:right w:val="single" w:sz="4" w:space="0" w:color="auto"/>
            </w:tcBorders>
            <w:shd w:val="clear" w:color="auto" w:fill="C6EFCE"/>
            <w:noWrap/>
          </w:tcPr>
          <w:p w14:paraId="5742B85D"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5A7B209" w14:textId="77777777" w:rsidR="003F46B9" w:rsidRDefault="0065662E">
            <w:pPr>
              <w:pStyle w:val="P68B1DB1-Normal35"/>
              <w:spacing w:after="0"/>
              <w:jc w:val="both"/>
              <w:rPr>
                <w:rFonts w:eastAsia="Times New Roman"/>
                <w:noProof/>
              </w:rPr>
            </w:pPr>
            <w:r>
              <w:rPr>
                <w:noProof/>
              </w:rPr>
              <w:t>Lokaliteti koji će biti uključeni u kulturne rute</w:t>
            </w:r>
          </w:p>
        </w:tc>
      </w:tr>
      <w:tr w:rsidR="003F46B9" w14:paraId="21F9BD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562298E" w14:textId="77777777" w:rsidR="003F46B9" w:rsidRDefault="0065662E">
            <w:pPr>
              <w:pStyle w:val="P68B1DB1-Normal35"/>
              <w:spacing w:after="0"/>
              <w:jc w:val="center"/>
              <w:rPr>
                <w:rFonts w:eastAsia="Times New Roman"/>
                <w:noProof/>
              </w:rPr>
            </w:pPr>
            <w:r>
              <w:rPr>
                <w:noProof/>
              </w:rPr>
              <w:t>338</w:t>
            </w:r>
          </w:p>
        </w:tc>
        <w:tc>
          <w:tcPr>
            <w:tcW w:w="3544" w:type="dxa"/>
            <w:tcBorders>
              <w:top w:val="nil"/>
              <w:left w:val="nil"/>
              <w:bottom w:val="single" w:sz="4" w:space="0" w:color="auto"/>
              <w:right w:val="single" w:sz="4" w:space="0" w:color="auto"/>
            </w:tcBorders>
            <w:shd w:val="clear" w:color="auto" w:fill="C6EFCE"/>
            <w:noWrap/>
          </w:tcPr>
          <w:p w14:paraId="61E10021" w14:textId="77777777" w:rsidR="003F46B9" w:rsidRDefault="0065662E">
            <w:pPr>
              <w:pStyle w:val="P68B1DB1-Normal35"/>
              <w:spacing w:after="0"/>
              <w:jc w:val="both"/>
              <w:rPr>
                <w:noProof/>
              </w:rPr>
            </w:pPr>
            <w:r>
              <w:rPr>
                <w:noProof/>
              </w:rPr>
              <w:t>C11.R2</w:t>
            </w:r>
          </w:p>
          <w:p w14:paraId="0FCEE023" w14:textId="77777777" w:rsidR="003F46B9" w:rsidRDefault="0065662E">
            <w:pPr>
              <w:pStyle w:val="P68B1DB1-Normal35"/>
              <w:spacing w:after="0"/>
              <w:jc w:val="both"/>
              <w:rPr>
                <w:rFonts w:eastAsia="Times New Roman"/>
                <w:noProof/>
              </w:rPr>
            </w:pPr>
            <w:r>
              <w:rPr>
                <w:noProof/>
              </w:rPr>
              <w:t xml:space="preserve">Okvir za operacionalizaciju biciklističkih ruta na nacionalnoj razini </w:t>
            </w:r>
          </w:p>
        </w:tc>
        <w:tc>
          <w:tcPr>
            <w:tcW w:w="1275" w:type="dxa"/>
            <w:tcBorders>
              <w:top w:val="nil"/>
              <w:left w:val="nil"/>
              <w:bottom w:val="single" w:sz="4" w:space="0" w:color="auto"/>
              <w:right w:val="single" w:sz="4" w:space="0" w:color="auto"/>
            </w:tcBorders>
            <w:shd w:val="clear" w:color="auto" w:fill="C6EFCE"/>
            <w:noWrap/>
          </w:tcPr>
          <w:p w14:paraId="0E7952A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F6432B2" w14:textId="77777777" w:rsidR="003F46B9" w:rsidRDefault="0065662E">
            <w:pPr>
              <w:pStyle w:val="P68B1DB1-Normal35"/>
              <w:spacing w:after="0"/>
              <w:jc w:val="both"/>
              <w:rPr>
                <w:rFonts w:eastAsia="Times New Roman"/>
                <w:noProof/>
              </w:rPr>
            </w:pPr>
            <w:r>
              <w:rPr>
                <w:noProof/>
              </w:rPr>
              <w:t xml:space="preserve">Stupanje na snagu regulatornog okvira o biciklističkom turizmu </w:t>
            </w:r>
          </w:p>
        </w:tc>
      </w:tr>
      <w:tr w:rsidR="003F46B9" w14:paraId="79E730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4EEFFC7" w14:textId="77777777" w:rsidR="003F46B9" w:rsidRDefault="0065662E">
            <w:pPr>
              <w:pStyle w:val="P68B1DB1-Normal35"/>
              <w:spacing w:after="0"/>
              <w:jc w:val="center"/>
              <w:rPr>
                <w:rFonts w:eastAsia="Times New Roman"/>
                <w:noProof/>
              </w:rPr>
            </w:pPr>
            <w:r>
              <w:rPr>
                <w:noProof/>
              </w:rPr>
              <w:t>30</w:t>
            </w:r>
          </w:p>
        </w:tc>
        <w:tc>
          <w:tcPr>
            <w:tcW w:w="3544" w:type="dxa"/>
            <w:tcBorders>
              <w:top w:val="nil"/>
              <w:left w:val="nil"/>
              <w:bottom w:val="single" w:sz="4" w:space="0" w:color="auto"/>
              <w:right w:val="single" w:sz="4" w:space="0" w:color="auto"/>
            </w:tcBorders>
            <w:shd w:val="clear" w:color="auto" w:fill="C6EFCE"/>
            <w:noWrap/>
          </w:tcPr>
          <w:p w14:paraId="5FD72BEA" w14:textId="77777777" w:rsidR="003F46B9" w:rsidRDefault="0065662E">
            <w:pPr>
              <w:pStyle w:val="P68B1DB1-Normal35"/>
              <w:spacing w:after="0"/>
              <w:jc w:val="both"/>
              <w:rPr>
                <w:noProof/>
              </w:rPr>
            </w:pPr>
            <w:r>
              <w:rPr>
                <w:noProof/>
              </w:rPr>
              <w:t>C2.R2</w:t>
            </w:r>
          </w:p>
          <w:p w14:paraId="5CBC99CE" w14:textId="77777777" w:rsidR="003F46B9" w:rsidRDefault="0065662E">
            <w:pPr>
              <w:pStyle w:val="P68B1DB1-Normal35"/>
              <w:spacing w:after="0"/>
              <w:jc w:val="both"/>
              <w:rPr>
                <w:rFonts w:eastAsia="Times New Roman"/>
                <w:noProof/>
              </w:rPr>
            </w:pPr>
            <w:r>
              <w:rPr>
                <w:noProof/>
              </w:rPr>
              <w:t>Reforma sustava upravljanja zaštićenim prirodnim područjima usklađenom i učinkovitom provedbom Europske strategije za bioraznolikost</w:t>
            </w:r>
          </w:p>
        </w:tc>
        <w:tc>
          <w:tcPr>
            <w:tcW w:w="1275" w:type="dxa"/>
            <w:tcBorders>
              <w:top w:val="nil"/>
              <w:left w:val="nil"/>
              <w:bottom w:val="single" w:sz="4" w:space="0" w:color="auto"/>
              <w:right w:val="single" w:sz="4" w:space="0" w:color="auto"/>
            </w:tcBorders>
            <w:shd w:val="clear" w:color="auto" w:fill="C6EFCE"/>
            <w:noWrap/>
          </w:tcPr>
          <w:p w14:paraId="4A655FF5"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E1F17F7" w14:textId="77777777" w:rsidR="003F46B9" w:rsidRDefault="0065662E">
            <w:pPr>
              <w:pStyle w:val="P68B1DB1-Normal35"/>
              <w:spacing w:after="0"/>
              <w:jc w:val="both"/>
              <w:rPr>
                <w:rFonts w:eastAsia="Times New Roman"/>
                <w:noProof/>
              </w:rPr>
            </w:pPr>
            <w:r>
              <w:rPr>
                <w:noProof/>
              </w:rPr>
              <w:t>Stupanje na snagu zakonodavnog akta kojim se osniva međuinstitucijski odbor za analizu pravnog okvira primjenjivog na sek</w:t>
            </w:r>
            <w:r>
              <w:rPr>
                <w:noProof/>
              </w:rPr>
              <w:t xml:space="preserve">tore koji utječu na bioraznolikost </w:t>
            </w:r>
          </w:p>
        </w:tc>
      </w:tr>
      <w:tr w:rsidR="003F46B9" w14:paraId="5DFA9C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2A5974" w14:textId="77777777" w:rsidR="003F46B9" w:rsidRDefault="0065662E">
            <w:pPr>
              <w:pStyle w:val="P68B1DB1-Normal35"/>
              <w:spacing w:after="0"/>
              <w:jc w:val="center"/>
              <w:rPr>
                <w:noProof/>
              </w:rPr>
            </w:pPr>
            <w:r>
              <w:rPr>
                <w:noProof/>
              </w:rPr>
              <w:t>97</w:t>
            </w:r>
          </w:p>
        </w:tc>
        <w:tc>
          <w:tcPr>
            <w:tcW w:w="3544" w:type="dxa"/>
            <w:tcBorders>
              <w:top w:val="nil"/>
              <w:left w:val="nil"/>
              <w:bottom w:val="single" w:sz="4" w:space="0" w:color="auto"/>
              <w:right w:val="single" w:sz="4" w:space="0" w:color="auto"/>
            </w:tcBorders>
            <w:shd w:val="clear" w:color="auto" w:fill="C6EFCE"/>
            <w:noWrap/>
          </w:tcPr>
          <w:p w14:paraId="34B699F9" w14:textId="77777777" w:rsidR="003F46B9" w:rsidRDefault="0065662E">
            <w:pPr>
              <w:pStyle w:val="P68B1DB1-Normal35"/>
              <w:spacing w:after="0"/>
              <w:jc w:val="both"/>
              <w:rPr>
                <w:noProof/>
              </w:rPr>
            </w:pPr>
            <w:r>
              <w:rPr>
                <w:noProof/>
              </w:rPr>
              <w:t>C5.I1</w:t>
            </w:r>
          </w:p>
          <w:p w14:paraId="5C3DAF56" w14:textId="77777777" w:rsidR="003F46B9" w:rsidRDefault="0065662E">
            <w:pPr>
              <w:pStyle w:val="P68B1DB1-Normal35"/>
              <w:spacing w:after="0"/>
              <w:jc w:val="both"/>
              <w:rPr>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457C53D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DA8C0D5" w14:textId="77777777" w:rsidR="003F46B9" w:rsidRDefault="0065662E">
            <w:pPr>
              <w:pStyle w:val="P68B1DB1-Normal35"/>
              <w:spacing w:after="0"/>
              <w:jc w:val="both"/>
              <w:rPr>
                <w:noProof/>
              </w:rPr>
            </w:pPr>
            <w:r>
              <w:rPr>
                <w:noProof/>
              </w:rPr>
              <w:t xml:space="preserve">Pozivi na podnošenje prijedloga za obnovu radi povećanja energetske učinkovitosti i integriranu obnovu (seizmička </w:t>
            </w:r>
            <w:r>
              <w:rPr>
                <w:noProof/>
              </w:rPr>
              <w:t>konsolidacija i energetska učinkovitost) stambenih zgrada</w:t>
            </w:r>
          </w:p>
        </w:tc>
      </w:tr>
      <w:tr w:rsidR="003F46B9" w14:paraId="2C890B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261DE25" w14:textId="77777777" w:rsidR="003F46B9" w:rsidRDefault="0065662E">
            <w:pPr>
              <w:pStyle w:val="P68B1DB1-Normal35"/>
              <w:spacing w:after="0"/>
              <w:jc w:val="center"/>
              <w:rPr>
                <w:noProof/>
              </w:rPr>
            </w:pPr>
            <w:r>
              <w:rPr>
                <w:noProof/>
              </w:rPr>
              <w:t>98</w:t>
            </w:r>
          </w:p>
        </w:tc>
        <w:tc>
          <w:tcPr>
            <w:tcW w:w="3544" w:type="dxa"/>
            <w:tcBorders>
              <w:top w:val="nil"/>
              <w:left w:val="nil"/>
              <w:bottom w:val="single" w:sz="4" w:space="0" w:color="auto"/>
              <w:right w:val="single" w:sz="4" w:space="0" w:color="auto"/>
            </w:tcBorders>
            <w:shd w:val="clear" w:color="auto" w:fill="C6EFCE"/>
            <w:noWrap/>
          </w:tcPr>
          <w:p w14:paraId="2F94334B" w14:textId="77777777" w:rsidR="003F46B9" w:rsidRDefault="0065662E">
            <w:pPr>
              <w:pStyle w:val="P68B1DB1-Normal35"/>
              <w:spacing w:after="0"/>
              <w:jc w:val="both"/>
              <w:rPr>
                <w:noProof/>
              </w:rPr>
            </w:pPr>
            <w:r>
              <w:rPr>
                <w:noProof/>
              </w:rPr>
              <w:t>C5.I1</w:t>
            </w:r>
          </w:p>
          <w:p w14:paraId="638095D7" w14:textId="77777777" w:rsidR="003F46B9" w:rsidRDefault="0065662E">
            <w:pPr>
              <w:pStyle w:val="P68B1DB1-Normal35"/>
              <w:spacing w:after="0"/>
              <w:jc w:val="both"/>
              <w:rPr>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570151E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8AF6A2C" w14:textId="4EA4B8FF" w:rsidR="003F46B9" w:rsidRDefault="0065662E">
            <w:pPr>
              <w:pStyle w:val="P68B1DB1-Normal35"/>
              <w:spacing w:after="0"/>
              <w:jc w:val="both"/>
              <w:rPr>
                <w:noProof/>
              </w:rPr>
            </w:pPr>
            <w:r>
              <w:rPr>
                <w:noProof/>
              </w:rPr>
              <w:t>Poziv na podnošenje prijedloga za obnovu radi povećanja energetske učinkovitosti i integriranu</w:t>
            </w:r>
            <w:r>
              <w:rPr>
                <w:noProof/>
              </w:rPr>
              <w:t xml:space="preserve"> obnovu (seizmička konsolidacija i energetska učinkovitost) (javne zgrade)</w:t>
            </w:r>
          </w:p>
        </w:tc>
      </w:tr>
      <w:tr w:rsidR="003F46B9" w14:paraId="7AC8B91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093AE12" w14:textId="77777777" w:rsidR="003F46B9" w:rsidRDefault="0065662E">
            <w:pPr>
              <w:pStyle w:val="P68B1DB1-Normal35"/>
              <w:spacing w:after="0"/>
              <w:jc w:val="center"/>
              <w:rPr>
                <w:noProof/>
              </w:rPr>
            </w:pPr>
            <w:r>
              <w:rPr>
                <w:noProof/>
              </w:rPr>
              <w:t>129</w:t>
            </w:r>
          </w:p>
        </w:tc>
        <w:tc>
          <w:tcPr>
            <w:tcW w:w="3544" w:type="dxa"/>
            <w:tcBorders>
              <w:top w:val="nil"/>
              <w:left w:val="nil"/>
              <w:bottom w:val="single" w:sz="4" w:space="0" w:color="auto"/>
              <w:right w:val="single" w:sz="4" w:space="0" w:color="auto"/>
            </w:tcBorders>
            <w:shd w:val="clear" w:color="auto" w:fill="C6EFCE"/>
            <w:noWrap/>
          </w:tcPr>
          <w:p w14:paraId="5C89B7A9" w14:textId="77777777" w:rsidR="003F46B9" w:rsidRDefault="0065662E">
            <w:pPr>
              <w:pStyle w:val="P68B1DB1-Normal35"/>
              <w:spacing w:after="0"/>
              <w:jc w:val="both"/>
              <w:rPr>
                <w:noProof/>
              </w:rPr>
            </w:pPr>
            <w:r>
              <w:rPr>
                <w:noProof/>
              </w:rPr>
              <w:t>C6.I2</w:t>
            </w:r>
          </w:p>
          <w:p w14:paraId="2A57C768" w14:textId="77777777" w:rsidR="003F46B9" w:rsidRDefault="0065662E">
            <w:pPr>
              <w:pStyle w:val="P68B1DB1-Normal35"/>
              <w:spacing w:after="0"/>
              <w:jc w:val="both"/>
              <w:rPr>
                <w:noProof/>
              </w:rPr>
            </w:pPr>
            <w:r>
              <w:rPr>
                <w:noProof/>
              </w:rPr>
              <w:t>Distribucijska infrastruktura plinova iz obnovljivih izvora (korištenje prirodnog plina u kombinaciji sa zelenim vodikom kao prijelaznom mjerom) te kapaciteti za proizvod</w:t>
            </w:r>
            <w:r>
              <w:rPr>
                <w:noProof/>
              </w:rPr>
              <w:t>nju zelenog vodika i/ili njegova upotreba za skladištenje električne energije</w:t>
            </w:r>
          </w:p>
        </w:tc>
        <w:tc>
          <w:tcPr>
            <w:tcW w:w="1275" w:type="dxa"/>
            <w:tcBorders>
              <w:top w:val="nil"/>
              <w:left w:val="nil"/>
              <w:bottom w:val="single" w:sz="4" w:space="0" w:color="auto"/>
              <w:right w:val="single" w:sz="4" w:space="0" w:color="auto"/>
            </w:tcBorders>
            <w:shd w:val="clear" w:color="auto" w:fill="C6EFCE"/>
            <w:noWrap/>
          </w:tcPr>
          <w:p w14:paraId="0489A1A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F0C0280" w14:textId="77777777" w:rsidR="003F46B9" w:rsidRDefault="0065662E">
            <w:pPr>
              <w:pStyle w:val="P68B1DB1-Normal35"/>
              <w:spacing w:after="0"/>
              <w:jc w:val="both"/>
              <w:rPr>
                <w:noProof/>
              </w:rPr>
            </w:pPr>
            <w:r>
              <w:rPr>
                <w:noProof/>
              </w:rPr>
              <w:t>Potpisivanje ugovora za izgradnju kapaciteta novih elektrolizatora od najmanje 100 MW</w:t>
            </w:r>
          </w:p>
        </w:tc>
      </w:tr>
      <w:tr w:rsidR="003F46B9" w14:paraId="156A25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72C530" w14:textId="77777777" w:rsidR="003F46B9" w:rsidRDefault="0065662E">
            <w:pPr>
              <w:pStyle w:val="P68B1DB1-Normal35"/>
              <w:spacing w:after="0"/>
              <w:jc w:val="center"/>
              <w:rPr>
                <w:noProof/>
              </w:rPr>
            </w:pPr>
            <w:r>
              <w:rPr>
                <w:noProof/>
              </w:rPr>
              <w:t>133</w:t>
            </w:r>
          </w:p>
        </w:tc>
        <w:tc>
          <w:tcPr>
            <w:tcW w:w="3544" w:type="dxa"/>
            <w:tcBorders>
              <w:top w:val="nil"/>
              <w:left w:val="nil"/>
              <w:bottom w:val="single" w:sz="4" w:space="0" w:color="auto"/>
              <w:right w:val="single" w:sz="4" w:space="0" w:color="auto"/>
            </w:tcBorders>
            <w:shd w:val="clear" w:color="auto" w:fill="C6EFCE"/>
            <w:noWrap/>
          </w:tcPr>
          <w:p w14:paraId="2B037DB5" w14:textId="77777777" w:rsidR="003F46B9" w:rsidRDefault="0065662E">
            <w:pPr>
              <w:pStyle w:val="P68B1DB1-Normal35"/>
              <w:spacing w:after="0"/>
              <w:jc w:val="both"/>
              <w:rPr>
                <w:noProof/>
              </w:rPr>
            </w:pPr>
            <w:r>
              <w:rPr>
                <w:noProof/>
              </w:rPr>
              <w:t>C6.I3</w:t>
            </w:r>
          </w:p>
          <w:p w14:paraId="3FFA563B" w14:textId="77777777" w:rsidR="003F46B9" w:rsidRDefault="0065662E">
            <w:pPr>
              <w:pStyle w:val="P68B1DB1-Normal35"/>
              <w:spacing w:after="0"/>
              <w:jc w:val="both"/>
              <w:rPr>
                <w:noProof/>
              </w:rPr>
            </w:pPr>
            <w:r>
              <w:rPr>
                <w:noProof/>
              </w:rPr>
              <w:t xml:space="preserve">Razvoj fleksibilne i visokoučinkovite kombinirane proizvodnje toplinske i </w:t>
            </w:r>
            <w:r>
              <w:rPr>
                <w:noProof/>
              </w:rPr>
              <w:t>električne energije na plin (CHP) u centraliziranom grijanju kako bi se postigla temeljita dekarbonizacija</w:t>
            </w:r>
          </w:p>
        </w:tc>
        <w:tc>
          <w:tcPr>
            <w:tcW w:w="1275" w:type="dxa"/>
            <w:tcBorders>
              <w:top w:val="nil"/>
              <w:left w:val="nil"/>
              <w:bottom w:val="single" w:sz="4" w:space="0" w:color="auto"/>
              <w:right w:val="single" w:sz="4" w:space="0" w:color="auto"/>
            </w:tcBorders>
            <w:shd w:val="clear" w:color="auto" w:fill="C6EFCE"/>
            <w:noWrap/>
          </w:tcPr>
          <w:p w14:paraId="01CAF3B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1F52A71" w14:textId="77777777" w:rsidR="003F46B9" w:rsidRDefault="0065662E">
            <w:pPr>
              <w:pStyle w:val="P68B1DB1-Normal35"/>
              <w:spacing w:after="0"/>
              <w:jc w:val="both"/>
              <w:rPr>
                <w:noProof/>
              </w:rPr>
            </w:pPr>
            <w:r>
              <w:rPr>
                <w:noProof/>
              </w:rPr>
              <w:t>Potpisivanje ugovora za projekte visokoučinkovite plinske kogeneracije i centraliziranog grijanja</w:t>
            </w:r>
          </w:p>
        </w:tc>
      </w:tr>
      <w:tr w:rsidR="003F46B9" w14:paraId="53A5CB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2487FB" w14:textId="77777777" w:rsidR="003F46B9" w:rsidRDefault="0065662E">
            <w:pPr>
              <w:pStyle w:val="P68B1DB1-Normal35"/>
              <w:spacing w:after="0"/>
              <w:jc w:val="center"/>
              <w:rPr>
                <w:noProof/>
              </w:rPr>
            </w:pPr>
            <w:r>
              <w:rPr>
                <w:noProof/>
              </w:rPr>
              <w:t>140</w:t>
            </w:r>
          </w:p>
        </w:tc>
        <w:tc>
          <w:tcPr>
            <w:tcW w:w="3544" w:type="dxa"/>
            <w:tcBorders>
              <w:top w:val="nil"/>
              <w:left w:val="nil"/>
              <w:bottom w:val="single" w:sz="4" w:space="0" w:color="auto"/>
              <w:right w:val="single" w:sz="4" w:space="0" w:color="auto"/>
            </w:tcBorders>
            <w:shd w:val="clear" w:color="auto" w:fill="C6EFCE"/>
            <w:noWrap/>
          </w:tcPr>
          <w:p w14:paraId="28817FB4" w14:textId="77777777" w:rsidR="003F46B9" w:rsidRDefault="0065662E">
            <w:pPr>
              <w:pStyle w:val="P68B1DB1-Normal35"/>
              <w:spacing w:after="0"/>
              <w:jc w:val="both"/>
              <w:rPr>
                <w:noProof/>
              </w:rPr>
            </w:pPr>
            <w:r>
              <w:rPr>
                <w:noProof/>
              </w:rPr>
              <w:t>C6.I5</w:t>
            </w:r>
          </w:p>
          <w:p w14:paraId="0B0CD5DD" w14:textId="77777777" w:rsidR="003F46B9" w:rsidRDefault="0065662E">
            <w:pPr>
              <w:pStyle w:val="P68B1DB1-Normal35"/>
              <w:spacing w:after="0"/>
              <w:jc w:val="both"/>
              <w:rPr>
                <w:noProof/>
              </w:rPr>
            </w:pPr>
            <w:r>
              <w:rPr>
                <w:noProof/>
              </w:rPr>
              <w:t xml:space="preserve">Osiguravanje energetske učinkovitosti </w:t>
            </w:r>
            <w:r>
              <w:rPr>
                <w:noProof/>
              </w:rPr>
              <w:t>u industrijskom sektoru</w:t>
            </w:r>
          </w:p>
        </w:tc>
        <w:tc>
          <w:tcPr>
            <w:tcW w:w="1275" w:type="dxa"/>
            <w:tcBorders>
              <w:top w:val="nil"/>
              <w:left w:val="nil"/>
              <w:bottom w:val="single" w:sz="4" w:space="0" w:color="auto"/>
              <w:right w:val="single" w:sz="4" w:space="0" w:color="auto"/>
            </w:tcBorders>
            <w:shd w:val="clear" w:color="auto" w:fill="C6EFCE"/>
            <w:noWrap/>
          </w:tcPr>
          <w:p w14:paraId="06753EF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AFDBF6E" w14:textId="77777777" w:rsidR="003F46B9" w:rsidRDefault="0065662E">
            <w:pPr>
              <w:pStyle w:val="P68B1DB1-Normal35"/>
              <w:spacing w:after="0"/>
              <w:jc w:val="both"/>
              <w:rPr>
                <w:noProof/>
              </w:rPr>
            </w:pPr>
            <w:r>
              <w:rPr>
                <w:noProof/>
              </w:rPr>
              <w:t xml:space="preserve">Otvaranje poziva na podnošenje ponuda za ulaganja u energetsku učinkovitost u industriji </w:t>
            </w:r>
          </w:p>
        </w:tc>
      </w:tr>
      <w:tr w:rsidR="003F46B9" w14:paraId="26858A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6FA276" w14:textId="77777777" w:rsidR="003F46B9" w:rsidRDefault="0065662E">
            <w:pPr>
              <w:pStyle w:val="P68B1DB1-Normal35"/>
              <w:spacing w:after="0"/>
              <w:jc w:val="center"/>
              <w:rPr>
                <w:noProof/>
              </w:rPr>
            </w:pPr>
            <w:r>
              <w:rPr>
                <w:noProof/>
              </w:rPr>
              <w:t>266</w:t>
            </w:r>
          </w:p>
        </w:tc>
        <w:tc>
          <w:tcPr>
            <w:tcW w:w="3544" w:type="dxa"/>
            <w:tcBorders>
              <w:top w:val="nil"/>
              <w:left w:val="nil"/>
              <w:bottom w:val="single" w:sz="4" w:space="0" w:color="auto"/>
              <w:right w:val="single" w:sz="4" w:space="0" w:color="auto"/>
            </w:tcBorders>
            <w:shd w:val="clear" w:color="auto" w:fill="C6EFCE"/>
            <w:noWrap/>
          </w:tcPr>
          <w:p w14:paraId="47B8560B" w14:textId="77777777" w:rsidR="003F46B9" w:rsidRDefault="0065662E">
            <w:pPr>
              <w:pStyle w:val="P68B1DB1-Normal35"/>
              <w:spacing w:after="0"/>
              <w:jc w:val="both"/>
              <w:rPr>
                <w:noProof/>
              </w:rPr>
            </w:pPr>
            <w:r>
              <w:rPr>
                <w:noProof/>
              </w:rPr>
              <w:t>C9.I4</w:t>
            </w:r>
          </w:p>
          <w:p w14:paraId="05C9C149" w14:textId="77777777" w:rsidR="003F46B9" w:rsidRDefault="0065662E">
            <w:pPr>
              <w:pStyle w:val="P68B1DB1-Normal35"/>
              <w:spacing w:after="0"/>
              <w:jc w:val="both"/>
              <w:rPr>
                <w:noProof/>
              </w:rPr>
            </w:pPr>
            <w:r>
              <w:rPr>
                <w:noProof/>
              </w:rPr>
              <w:t>Prekogranični i višedržavni projekti – procesori niske potrošnje energije</w:t>
            </w:r>
            <w:r>
              <w:rPr>
                <w:noProof/>
              </w:rPr>
              <w:br/>
              <w:t xml:space="preserve">i poluvodički čipovi </w:t>
            </w:r>
          </w:p>
        </w:tc>
        <w:tc>
          <w:tcPr>
            <w:tcW w:w="1275" w:type="dxa"/>
            <w:tcBorders>
              <w:top w:val="nil"/>
              <w:left w:val="nil"/>
              <w:bottom w:val="single" w:sz="4" w:space="0" w:color="auto"/>
              <w:right w:val="single" w:sz="4" w:space="0" w:color="auto"/>
            </w:tcBorders>
            <w:shd w:val="clear" w:color="auto" w:fill="C6EFCE"/>
            <w:noWrap/>
          </w:tcPr>
          <w:p w14:paraId="2808C67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3B29EDD" w14:textId="77777777" w:rsidR="003F46B9" w:rsidRDefault="0065662E">
            <w:pPr>
              <w:pStyle w:val="P68B1DB1-Normal35"/>
              <w:spacing w:after="0"/>
              <w:jc w:val="both"/>
              <w:rPr>
                <w:noProof/>
              </w:rPr>
            </w:pPr>
            <w:r>
              <w:rPr>
                <w:noProof/>
              </w:rPr>
              <w:t xml:space="preserve">Stupanje na snagu Odluke Vlade </w:t>
            </w:r>
            <w:r>
              <w:rPr>
                <w:noProof/>
              </w:rPr>
              <w:t>o dodjeli potrebnih sredstava u iznosu od 500 milijuna EUR za pružanje potpore povećanju nacionalnih kapaciteta do prvog industrijskog razvoja i sudjelovanju u višedržavnom projektu</w:t>
            </w:r>
          </w:p>
        </w:tc>
      </w:tr>
      <w:tr w:rsidR="003F46B9" w14:paraId="01ECFA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C101788" w14:textId="77777777" w:rsidR="003F46B9" w:rsidRDefault="0065662E">
            <w:pPr>
              <w:pStyle w:val="P68B1DB1-Normal35"/>
              <w:spacing w:after="0"/>
              <w:jc w:val="center"/>
              <w:rPr>
                <w:noProof/>
              </w:rPr>
            </w:pPr>
            <w:r>
              <w:rPr>
                <w:noProof/>
              </w:rPr>
              <w:t>307</w:t>
            </w:r>
          </w:p>
        </w:tc>
        <w:tc>
          <w:tcPr>
            <w:tcW w:w="3544" w:type="dxa"/>
            <w:tcBorders>
              <w:top w:val="nil"/>
              <w:left w:val="nil"/>
              <w:bottom w:val="single" w:sz="4" w:space="0" w:color="auto"/>
              <w:right w:val="single" w:sz="4" w:space="0" w:color="auto"/>
            </w:tcBorders>
            <w:shd w:val="clear" w:color="auto" w:fill="C6EFCE"/>
            <w:noWrap/>
          </w:tcPr>
          <w:p w14:paraId="4063A18F" w14:textId="77777777" w:rsidR="003F46B9" w:rsidRDefault="0065662E">
            <w:pPr>
              <w:pStyle w:val="P68B1DB1-Normal35"/>
              <w:spacing w:after="0"/>
              <w:jc w:val="both"/>
              <w:rPr>
                <w:noProof/>
              </w:rPr>
            </w:pPr>
            <w:r>
              <w:rPr>
                <w:noProof/>
              </w:rPr>
              <w:t xml:space="preserve">C10.R2 </w:t>
            </w:r>
          </w:p>
          <w:p w14:paraId="4939CD2E" w14:textId="77777777" w:rsidR="003F46B9" w:rsidRDefault="0065662E">
            <w:pPr>
              <w:pStyle w:val="P68B1DB1-Normal35"/>
              <w:spacing w:after="0"/>
              <w:jc w:val="both"/>
              <w:rPr>
                <w:noProof/>
              </w:rPr>
            </w:pPr>
            <w:r>
              <w:rPr>
                <w:noProof/>
              </w:rPr>
              <w:t xml:space="preserve">Stvaranje političkog okvira za održivu urbanu transformaciju </w:t>
            </w:r>
            <w:r>
              <w:rPr>
                <w:noProof/>
              </w:rPr>
              <w:t xml:space="preserve">– urbana politika Rumunjske </w:t>
            </w:r>
          </w:p>
        </w:tc>
        <w:tc>
          <w:tcPr>
            <w:tcW w:w="1275" w:type="dxa"/>
            <w:tcBorders>
              <w:top w:val="nil"/>
              <w:left w:val="nil"/>
              <w:bottom w:val="single" w:sz="4" w:space="0" w:color="auto"/>
              <w:right w:val="single" w:sz="4" w:space="0" w:color="auto"/>
            </w:tcBorders>
            <w:shd w:val="clear" w:color="auto" w:fill="C6EFCE"/>
            <w:noWrap/>
          </w:tcPr>
          <w:p w14:paraId="49813C92"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FD853A" w14:textId="77777777" w:rsidR="003F46B9" w:rsidRDefault="0065662E">
            <w:pPr>
              <w:pStyle w:val="P68B1DB1-Normal35"/>
              <w:spacing w:after="0"/>
              <w:jc w:val="both"/>
              <w:rPr>
                <w:noProof/>
              </w:rPr>
            </w:pPr>
            <w:r>
              <w:rPr>
                <w:noProof/>
              </w:rPr>
              <w:t>Stupanje na snagu Zakona o metropolskim područjima</w:t>
            </w:r>
          </w:p>
        </w:tc>
      </w:tr>
      <w:tr w:rsidR="003F46B9" w14:paraId="6A534F0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B4976F0" w14:textId="77777777" w:rsidR="003F46B9" w:rsidRDefault="0065662E">
            <w:pPr>
              <w:pStyle w:val="P68B1DB1-Normal35"/>
              <w:spacing w:after="0"/>
              <w:jc w:val="center"/>
              <w:rPr>
                <w:noProof/>
              </w:rPr>
            </w:pPr>
            <w:r>
              <w:rPr>
                <w:noProof/>
              </w:rPr>
              <w:t>312</w:t>
            </w:r>
          </w:p>
        </w:tc>
        <w:tc>
          <w:tcPr>
            <w:tcW w:w="3544" w:type="dxa"/>
            <w:tcBorders>
              <w:top w:val="nil"/>
              <w:left w:val="nil"/>
              <w:bottom w:val="single" w:sz="4" w:space="0" w:color="auto"/>
              <w:right w:val="single" w:sz="4" w:space="0" w:color="auto"/>
            </w:tcBorders>
            <w:shd w:val="clear" w:color="auto" w:fill="C6EFCE"/>
            <w:noWrap/>
          </w:tcPr>
          <w:p w14:paraId="4C64C189" w14:textId="77777777" w:rsidR="003F46B9" w:rsidRDefault="0065662E">
            <w:pPr>
              <w:pStyle w:val="P68B1DB1-Normal35"/>
              <w:spacing w:after="0"/>
              <w:jc w:val="both"/>
              <w:rPr>
                <w:noProof/>
              </w:rPr>
            </w:pPr>
            <w:r>
              <w:rPr>
                <w:noProof/>
              </w:rPr>
              <w:t xml:space="preserve">C10.R4 </w:t>
            </w:r>
          </w:p>
          <w:p w14:paraId="50618859" w14:textId="77777777" w:rsidR="003F46B9" w:rsidRDefault="0065662E">
            <w:pPr>
              <w:pStyle w:val="P68B1DB1-Normal35"/>
              <w:spacing w:after="0"/>
              <w:jc w:val="both"/>
              <w:rPr>
                <w:noProof/>
              </w:rPr>
            </w:pPr>
            <w:r>
              <w:rPr>
                <w:noProof/>
              </w:rPr>
              <w:t xml:space="preserve">Poboljšanje kvalitete stanovanja </w:t>
            </w:r>
          </w:p>
        </w:tc>
        <w:tc>
          <w:tcPr>
            <w:tcW w:w="1275" w:type="dxa"/>
            <w:tcBorders>
              <w:top w:val="nil"/>
              <w:left w:val="nil"/>
              <w:bottom w:val="single" w:sz="4" w:space="0" w:color="auto"/>
              <w:right w:val="single" w:sz="4" w:space="0" w:color="auto"/>
            </w:tcBorders>
            <w:shd w:val="clear" w:color="auto" w:fill="C6EFCE"/>
            <w:noWrap/>
          </w:tcPr>
          <w:p w14:paraId="48B8A78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EFFE724" w14:textId="77777777" w:rsidR="003F46B9" w:rsidRDefault="0065662E">
            <w:pPr>
              <w:pStyle w:val="P68B1DB1-Normal35"/>
              <w:spacing w:after="0"/>
              <w:jc w:val="both"/>
              <w:rPr>
                <w:noProof/>
              </w:rPr>
            </w:pPr>
            <w:r>
              <w:rPr>
                <w:noProof/>
              </w:rPr>
              <w:t xml:space="preserve">Stupanje na snagu zakonodavnog akta za provedbu Nacionalne strategije za stanovanje i akcijskog plana za smanjenje teške </w:t>
            </w:r>
            <w:r>
              <w:rPr>
                <w:noProof/>
              </w:rPr>
              <w:t>stambene oskudice</w:t>
            </w:r>
          </w:p>
        </w:tc>
      </w:tr>
      <w:tr w:rsidR="003F46B9" w14:paraId="390422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90ACE2E" w14:textId="77777777" w:rsidR="003F46B9" w:rsidRDefault="0065662E">
            <w:pPr>
              <w:pStyle w:val="P68B1DB1-Normal35"/>
              <w:spacing w:after="0"/>
              <w:jc w:val="center"/>
              <w:rPr>
                <w:noProof/>
              </w:rPr>
            </w:pPr>
            <w:r>
              <w:rPr>
                <w:noProof/>
              </w:rPr>
              <w:t>339</w:t>
            </w:r>
          </w:p>
        </w:tc>
        <w:tc>
          <w:tcPr>
            <w:tcW w:w="3544" w:type="dxa"/>
            <w:tcBorders>
              <w:top w:val="nil"/>
              <w:left w:val="nil"/>
              <w:bottom w:val="single" w:sz="4" w:space="0" w:color="auto"/>
              <w:right w:val="single" w:sz="4" w:space="0" w:color="auto"/>
            </w:tcBorders>
            <w:shd w:val="clear" w:color="auto" w:fill="C6EFCE"/>
            <w:noWrap/>
          </w:tcPr>
          <w:p w14:paraId="4E947501" w14:textId="77777777" w:rsidR="003F46B9" w:rsidRDefault="0065662E">
            <w:pPr>
              <w:pStyle w:val="P68B1DB1-Normal35"/>
              <w:spacing w:after="0"/>
              <w:jc w:val="both"/>
              <w:rPr>
                <w:noProof/>
              </w:rPr>
            </w:pPr>
            <w:r>
              <w:rPr>
                <w:noProof/>
              </w:rPr>
              <w:t>C11.R2</w:t>
            </w:r>
          </w:p>
          <w:p w14:paraId="30598D58" w14:textId="77777777" w:rsidR="003F46B9" w:rsidRDefault="0065662E">
            <w:pPr>
              <w:pStyle w:val="P68B1DB1-Normal35"/>
              <w:spacing w:after="0"/>
              <w:jc w:val="both"/>
              <w:rPr>
                <w:noProof/>
              </w:rPr>
            </w:pPr>
            <w:r>
              <w:rPr>
                <w:noProof/>
              </w:rPr>
              <w:t xml:space="preserve">Okvir za operacionalizaciju biciklističkih ruta na nacionalnoj razini </w:t>
            </w:r>
          </w:p>
        </w:tc>
        <w:tc>
          <w:tcPr>
            <w:tcW w:w="1275" w:type="dxa"/>
            <w:tcBorders>
              <w:top w:val="nil"/>
              <w:left w:val="nil"/>
              <w:bottom w:val="single" w:sz="4" w:space="0" w:color="auto"/>
              <w:right w:val="single" w:sz="4" w:space="0" w:color="auto"/>
            </w:tcBorders>
            <w:shd w:val="clear" w:color="auto" w:fill="C6EFCE"/>
            <w:noWrap/>
          </w:tcPr>
          <w:p w14:paraId="7690249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2D964FE" w14:textId="77777777" w:rsidR="003F46B9" w:rsidRDefault="0065662E">
            <w:pPr>
              <w:pStyle w:val="P68B1DB1-Normal35"/>
              <w:spacing w:after="0"/>
              <w:jc w:val="both"/>
              <w:rPr>
                <w:noProof/>
              </w:rPr>
            </w:pPr>
            <w:r>
              <w:rPr>
                <w:noProof/>
              </w:rPr>
              <w:t xml:space="preserve">Uspostavljen i operativan nacionalni koordinacijski centar Velo Routes </w:t>
            </w:r>
          </w:p>
        </w:tc>
      </w:tr>
      <w:tr w:rsidR="003F46B9" w14:paraId="263DC0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EADDFCC" w14:textId="77777777" w:rsidR="003F46B9" w:rsidRDefault="0065662E">
            <w:pPr>
              <w:pStyle w:val="P68B1DB1-Normal35"/>
              <w:spacing w:after="0"/>
              <w:jc w:val="center"/>
              <w:rPr>
                <w:noProof/>
              </w:rPr>
            </w:pPr>
            <w:r>
              <w:rPr>
                <w:noProof/>
              </w:rPr>
              <w:t>398</w:t>
            </w:r>
          </w:p>
        </w:tc>
        <w:tc>
          <w:tcPr>
            <w:tcW w:w="3544" w:type="dxa"/>
            <w:tcBorders>
              <w:top w:val="nil"/>
              <w:left w:val="nil"/>
              <w:bottom w:val="single" w:sz="4" w:space="0" w:color="auto"/>
              <w:right w:val="single" w:sz="4" w:space="0" w:color="auto"/>
            </w:tcBorders>
            <w:shd w:val="clear" w:color="auto" w:fill="C6EFCE"/>
            <w:noWrap/>
          </w:tcPr>
          <w:p w14:paraId="1F6F82E2" w14:textId="77777777" w:rsidR="003F46B9" w:rsidRDefault="0065662E">
            <w:pPr>
              <w:pStyle w:val="P68B1DB1-Normal35"/>
              <w:spacing w:after="0"/>
              <w:jc w:val="both"/>
              <w:rPr>
                <w:noProof/>
              </w:rPr>
            </w:pPr>
            <w:r>
              <w:rPr>
                <w:noProof/>
              </w:rPr>
              <w:t>C13.R6</w:t>
            </w:r>
          </w:p>
          <w:p w14:paraId="13FCCFA0" w14:textId="77777777" w:rsidR="003F46B9" w:rsidRDefault="0065662E">
            <w:pPr>
              <w:pStyle w:val="P68B1DB1-Normal35"/>
              <w:spacing w:after="0"/>
              <w:jc w:val="both"/>
              <w:rPr>
                <w:noProof/>
              </w:rPr>
            </w:pPr>
            <w:r>
              <w:rPr>
                <w:noProof/>
              </w:rPr>
              <w:t xml:space="preserve">Poboljšanje zakonodavstva o socijalnoj ekonomiji </w:t>
            </w:r>
          </w:p>
        </w:tc>
        <w:tc>
          <w:tcPr>
            <w:tcW w:w="1275" w:type="dxa"/>
            <w:tcBorders>
              <w:top w:val="nil"/>
              <w:left w:val="nil"/>
              <w:bottom w:val="single" w:sz="4" w:space="0" w:color="auto"/>
              <w:right w:val="single" w:sz="4" w:space="0" w:color="auto"/>
            </w:tcBorders>
            <w:shd w:val="clear" w:color="auto" w:fill="C6EFCE"/>
            <w:noWrap/>
          </w:tcPr>
          <w:p w14:paraId="64B5F77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3E2FE2C" w14:textId="77777777" w:rsidR="003F46B9" w:rsidRDefault="0065662E">
            <w:pPr>
              <w:pStyle w:val="P68B1DB1-Normal35"/>
              <w:spacing w:after="0"/>
              <w:jc w:val="both"/>
              <w:rPr>
                <w:noProof/>
              </w:rPr>
            </w:pPr>
            <w:r>
              <w:rPr>
                <w:noProof/>
              </w:rPr>
              <w:t>Stupanje na snagu</w:t>
            </w:r>
            <w:r>
              <w:rPr>
                <w:noProof/>
              </w:rPr>
              <w:t xml:space="preserve"> izmjene Zakona br. 219/2015 o socijalnoj ekonomiji i provedbenih pravila</w:t>
            </w:r>
          </w:p>
        </w:tc>
      </w:tr>
      <w:tr w:rsidR="003F46B9" w14:paraId="7C26BD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A0C7C74" w14:textId="77777777" w:rsidR="003F46B9" w:rsidRDefault="0065662E">
            <w:pPr>
              <w:pStyle w:val="P68B1DB1-Normal35"/>
              <w:spacing w:after="0"/>
              <w:jc w:val="center"/>
              <w:rPr>
                <w:noProof/>
              </w:rPr>
            </w:pPr>
            <w:r>
              <w:rPr>
                <w:noProof/>
              </w:rPr>
              <w:t>500</w:t>
            </w:r>
          </w:p>
        </w:tc>
        <w:tc>
          <w:tcPr>
            <w:tcW w:w="3544" w:type="dxa"/>
            <w:tcBorders>
              <w:top w:val="nil"/>
              <w:left w:val="nil"/>
              <w:bottom w:val="single" w:sz="4" w:space="0" w:color="auto"/>
              <w:right w:val="single" w:sz="4" w:space="0" w:color="auto"/>
            </w:tcBorders>
            <w:shd w:val="clear" w:color="auto" w:fill="C6EFCE"/>
            <w:noWrap/>
          </w:tcPr>
          <w:p w14:paraId="3C0F39F8" w14:textId="77777777" w:rsidR="003F46B9" w:rsidRDefault="0065662E">
            <w:pPr>
              <w:pStyle w:val="P68B1DB1-Normal35"/>
              <w:spacing w:after="0"/>
              <w:jc w:val="both"/>
              <w:rPr>
                <w:noProof/>
              </w:rPr>
            </w:pPr>
            <w:r>
              <w:rPr>
                <w:noProof/>
              </w:rPr>
              <w:t xml:space="preserve">C15.I16. </w:t>
            </w:r>
          </w:p>
          <w:p w14:paraId="2F2FB20A" w14:textId="77777777" w:rsidR="003F46B9" w:rsidRDefault="0065662E">
            <w:pPr>
              <w:pStyle w:val="P68B1DB1-Normal35"/>
              <w:spacing w:after="0"/>
              <w:jc w:val="both"/>
              <w:rPr>
                <w:noProof/>
              </w:rPr>
            </w:pPr>
            <w:r>
              <w:rPr>
                <w:noProof/>
              </w:rPr>
              <w:t>Digitalizacija sveučilišta i priprema za digitalna zanimanja budućnosti</w:t>
            </w:r>
          </w:p>
        </w:tc>
        <w:tc>
          <w:tcPr>
            <w:tcW w:w="1275" w:type="dxa"/>
            <w:tcBorders>
              <w:top w:val="nil"/>
              <w:left w:val="nil"/>
              <w:bottom w:val="single" w:sz="4" w:space="0" w:color="auto"/>
              <w:right w:val="single" w:sz="4" w:space="0" w:color="auto"/>
            </w:tcBorders>
            <w:shd w:val="clear" w:color="auto" w:fill="C6EFCE"/>
            <w:noWrap/>
          </w:tcPr>
          <w:p w14:paraId="53CE0665"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1D82596" w14:textId="77777777" w:rsidR="003F46B9" w:rsidRDefault="0065662E">
            <w:pPr>
              <w:pStyle w:val="P68B1DB1-Normal35"/>
              <w:spacing w:after="0"/>
              <w:jc w:val="both"/>
              <w:rPr>
                <w:noProof/>
              </w:rPr>
            </w:pPr>
            <w:r>
              <w:rPr>
                <w:noProof/>
              </w:rPr>
              <w:t>Potpisivanje ugovora za bespovratna sredstva za inovativne tehnološke centre na sveučilištima</w:t>
            </w:r>
          </w:p>
        </w:tc>
      </w:tr>
      <w:tr w:rsidR="003F46B9" w14:paraId="4B61BF4C"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5450CDE"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750BA2F2"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5A771952"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26133EED" w14:textId="77777777" w:rsidR="003F46B9" w:rsidRDefault="0065662E">
            <w:pPr>
              <w:pStyle w:val="P68B1DB1-Normal36"/>
              <w:spacing w:after="0"/>
              <w:jc w:val="right"/>
              <w:rPr>
                <w:noProof/>
              </w:rPr>
            </w:pPr>
            <w:r>
              <w:rPr>
                <w:noProof/>
              </w:rPr>
              <w:t>1080198230 EURA</w:t>
            </w:r>
          </w:p>
        </w:tc>
      </w:tr>
    </w:tbl>
    <w:p w14:paraId="7FF49F19" w14:textId="77777777" w:rsidR="003F46B9" w:rsidRDefault="003F46B9">
      <w:pPr>
        <w:rPr>
          <w:noProof/>
          <w:vertAlign w:val="subscript"/>
        </w:rPr>
      </w:pPr>
    </w:p>
    <w:p w14:paraId="66886FC6" w14:textId="77777777" w:rsidR="003F46B9" w:rsidRDefault="0065662E">
      <w:pPr>
        <w:pStyle w:val="Heading3"/>
        <w:rPr>
          <w:noProof/>
        </w:rPr>
      </w:pPr>
      <w:r>
        <w:rPr>
          <w:noProof/>
        </w:rPr>
        <w:t xml:space="preserve">Treći obrok (potpora u obliku zajma): </w:t>
      </w:r>
    </w:p>
    <w:tbl>
      <w:tblPr>
        <w:tblW w:w="9640" w:type="dxa"/>
        <w:tblInd w:w="113" w:type="dxa"/>
        <w:tblLook w:val="04A0" w:firstRow="1" w:lastRow="0" w:firstColumn="1" w:lastColumn="0" w:noHBand="0" w:noVBand="1"/>
      </w:tblPr>
      <w:tblGrid>
        <w:gridCol w:w="1419"/>
        <w:gridCol w:w="3544"/>
        <w:gridCol w:w="1316"/>
        <w:gridCol w:w="3402"/>
      </w:tblGrid>
      <w:tr w:rsidR="003F46B9" w14:paraId="33EAAB3A" w14:textId="77777777">
        <w:trPr>
          <w:trHeight w:val="906"/>
          <w:tblHeader/>
        </w:trPr>
        <w:tc>
          <w:tcPr>
            <w:tcW w:w="141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B34FC23"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5AB99232" w14:textId="77777777" w:rsidR="003F46B9" w:rsidRDefault="0065662E">
            <w:pPr>
              <w:pStyle w:val="P68B1DB1-Normal34"/>
              <w:spacing w:after="0"/>
              <w:jc w:val="center"/>
              <w:rPr>
                <w:noProof/>
              </w:rPr>
            </w:pPr>
            <w:r>
              <w:rPr>
                <w:noProof/>
              </w:rPr>
              <w:t>Povezana mjera</w:t>
            </w:r>
          </w:p>
          <w:p w14:paraId="1C2A6CF2"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2A23F28"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55DA0B2" w14:textId="77777777" w:rsidR="003F46B9" w:rsidRDefault="0065662E">
            <w:pPr>
              <w:pStyle w:val="P68B1DB1-Normal34"/>
              <w:spacing w:after="0"/>
              <w:jc w:val="center"/>
              <w:rPr>
                <w:noProof/>
              </w:rPr>
            </w:pPr>
            <w:r>
              <w:rPr>
                <w:noProof/>
              </w:rPr>
              <w:t>Ime</w:t>
            </w:r>
          </w:p>
        </w:tc>
      </w:tr>
      <w:tr w:rsidR="003F46B9" w14:paraId="7DB74D88" w14:textId="77777777">
        <w:trPr>
          <w:trHeight w:val="509"/>
          <w:tblHeader/>
        </w:trPr>
        <w:tc>
          <w:tcPr>
            <w:tcW w:w="1419" w:type="dxa"/>
            <w:vMerge/>
            <w:tcBorders>
              <w:top w:val="single" w:sz="4" w:space="0" w:color="auto"/>
              <w:left w:val="single" w:sz="4" w:space="0" w:color="auto"/>
              <w:bottom w:val="single" w:sz="4" w:space="0" w:color="000000"/>
              <w:right w:val="single" w:sz="4" w:space="0" w:color="auto"/>
            </w:tcBorders>
            <w:vAlign w:val="center"/>
            <w:hideMark/>
          </w:tcPr>
          <w:p w14:paraId="4CB78C63"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38919446"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3F200E5" w14:textId="77777777" w:rsidR="003F46B9" w:rsidRDefault="003F46B9">
            <w:pPr>
              <w:spacing w:after="0"/>
              <w:jc w:val="center"/>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36192543" w14:textId="77777777" w:rsidR="003F46B9" w:rsidRDefault="003F46B9">
            <w:pPr>
              <w:spacing w:after="0"/>
              <w:jc w:val="both"/>
              <w:rPr>
                <w:rFonts w:ascii="Times New Roman" w:eastAsia="Times New Roman" w:hAnsi="Times New Roman" w:cs="Times New Roman"/>
                <w:b/>
                <w:noProof/>
              </w:rPr>
            </w:pPr>
          </w:p>
        </w:tc>
      </w:tr>
      <w:tr w:rsidR="003F46B9" w14:paraId="49DD7A4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hideMark/>
          </w:tcPr>
          <w:p w14:paraId="7C266492" w14:textId="77777777" w:rsidR="003F46B9" w:rsidRDefault="0065662E">
            <w:pPr>
              <w:pStyle w:val="P68B1DB1-Normal35"/>
              <w:spacing w:after="0"/>
              <w:jc w:val="center"/>
              <w:rPr>
                <w:rFonts w:eastAsia="Times New Roman"/>
                <w:noProof/>
              </w:rPr>
            </w:pPr>
            <w:r>
              <w:rPr>
                <w:noProof/>
              </w:rPr>
              <w:t>43</w:t>
            </w:r>
          </w:p>
        </w:tc>
        <w:tc>
          <w:tcPr>
            <w:tcW w:w="3544" w:type="dxa"/>
            <w:tcBorders>
              <w:top w:val="nil"/>
              <w:left w:val="nil"/>
              <w:bottom w:val="single" w:sz="4" w:space="0" w:color="auto"/>
              <w:right w:val="single" w:sz="4" w:space="0" w:color="auto"/>
            </w:tcBorders>
            <w:shd w:val="clear" w:color="auto" w:fill="C6EFCE"/>
            <w:noWrap/>
            <w:hideMark/>
          </w:tcPr>
          <w:p w14:paraId="67ED3324" w14:textId="77777777" w:rsidR="003F46B9" w:rsidRDefault="0065662E">
            <w:pPr>
              <w:pStyle w:val="P68B1DB1-Normal35"/>
              <w:spacing w:after="0"/>
              <w:jc w:val="both"/>
              <w:rPr>
                <w:noProof/>
              </w:rPr>
            </w:pPr>
            <w:r>
              <w:rPr>
                <w:noProof/>
              </w:rPr>
              <w:t>C3.R1</w:t>
            </w:r>
          </w:p>
          <w:p w14:paraId="11CFE0E5" w14:textId="77777777" w:rsidR="003F46B9" w:rsidRDefault="0065662E">
            <w:pPr>
              <w:pStyle w:val="P68B1DB1-Normal35"/>
              <w:spacing w:after="0"/>
              <w:jc w:val="both"/>
              <w:rPr>
                <w:rFonts w:eastAsia="Times New Roman"/>
                <w:noProof/>
              </w:rPr>
            </w:pPr>
            <w:r>
              <w:rPr>
                <w:noProof/>
              </w:rPr>
              <w:t xml:space="preserve">Poboljšanje upravljanja gospodarenjem otpadom kako bi se ubrzao prelazak na kružno gospodarstvo </w:t>
            </w:r>
          </w:p>
        </w:tc>
        <w:tc>
          <w:tcPr>
            <w:tcW w:w="1275" w:type="dxa"/>
            <w:tcBorders>
              <w:top w:val="nil"/>
              <w:left w:val="nil"/>
              <w:bottom w:val="single" w:sz="4" w:space="0" w:color="auto"/>
              <w:right w:val="single" w:sz="4" w:space="0" w:color="auto"/>
            </w:tcBorders>
            <w:shd w:val="clear" w:color="auto" w:fill="C6EFCE"/>
            <w:noWrap/>
            <w:hideMark/>
          </w:tcPr>
          <w:p w14:paraId="6EF36B7C"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0B6F5A07" w14:textId="77777777" w:rsidR="003F46B9" w:rsidRDefault="0065662E">
            <w:pPr>
              <w:pStyle w:val="P68B1DB1-Normal35"/>
              <w:spacing w:after="0"/>
              <w:jc w:val="both"/>
              <w:rPr>
                <w:rFonts w:eastAsia="Times New Roman"/>
                <w:noProof/>
              </w:rPr>
            </w:pPr>
            <w:r>
              <w:rPr>
                <w:noProof/>
              </w:rPr>
              <w:t>Donošenje nacionalne strategije za kružno gospodarstvo</w:t>
            </w:r>
          </w:p>
        </w:tc>
      </w:tr>
      <w:tr w:rsidR="003F46B9" w14:paraId="6A9ACBB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0A82D43" w14:textId="77777777" w:rsidR="003F46B9" w:rsidRDefault="0065662E">
            <w:pPr>
              <w:pStyle w:val="P68B1DB1-Normal35"/>
              <w:spacing w:after="0"/>
              <w:jc w:val="center"/>
              <w:rPr>
                <w:noProof/>
              </w:rPr>
            </w:pPr>
            <w:r>
              <w:rPr>
                <w:noProof/>
              </w:rPr>
              <w:t>46</w:t>
            </w:r>
          </w:p>
        </w:tc>
        <w:tc>
          <w:tcPr>
            <w:tcW w:w="3544" w:type="dxa"/>
            <w:tcBorders>
              <w:top w:val="nil"/>
              <w:left w:val="nil"/>
              <w:bottom w:val="single" w:sz="4" w:space="0" w:color="auto"/>
              <w:right w:val="single" w:sz="4" w:space="0" w:color="auto"/>
            </w:tcBorders>
            <w:shd w:val="clear" w:color="auto" w:fill="C6EFCE"/>
            <w:noWrap/>
          </w:tcPr>
          <w:p w14:paraId="5EDD43C5" w14:textId="77777777" w:rsidR="003F46B9" w:rsidRDefault="0065662E">
            <w:pPr>
              <w:pStyle w:val="P68B1DB1-Normal35"/>
              <w:spacing w:after="0"/>
              <w:jc w:val="both"/>
              <w:rPr>
                <w:noProof/>
              </w:rPr>
            </w:pPr>
            <w:r>
              <w:rPr>
                <w:noProof/>
              </w:rPr>
              <w:t>C3.R1</w:t>
            </w:r>
          </w:p>
          <w:p w14:paraId="697DD400" w14:textId="77777777" w:rsidR="003F46B9" w:rsidRDefault="0065662E">
            <w:pPr>
              <w:pStyle w:val="P68B1DB1-Normal35"/>
              <w:spacing w:after="0"/>
              <w:jc w:val="both"/>
              <w:rPr>
                <w:noProof/>
              </w:rPr>
            </w:pPr>
            <w:r>
              <w:rPr>
                <w:noProof/>
              </w:rPr>
              <w:t xml:space="preserve">Poboljšanje upravljanja gospodarenjem otpadom kako bi se ubrzao prelazak na kružno gospodarstvo </w:t>
            </w:r>
          </w:p>
        </w:tc>
        <w:tc>
          <w:tcPr>
            <w:tcW w:w="1275" w:type="dxa"/>
            <w:tcBorders>
              <w:top w:val="nil"/>
              <w:left w:val="nil"/>
              <w:bottom w:val="single" w:sz="4" w:space="0" w:color="auto"/>
              <w:right w:val="single" w:sz="4" w:space="0" w:color="auto"/>
            </w:tcBorders>
            <w:shd w:val="clear" w:color="auto" w:fill="C6EFCE"/>
            <w:noWrap/>
          </w:tcPr>
          <w:p w14:paraId="1B3AF25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F70EF58" w14:textId="77777777" w:rsidR="003F46B9" w:rsidRDefault="0065662E">
            <w:pPr>
              <w:pStyle w:val="P68B1DB1-Normal35"/>
              <w:spacing w:after="0"/>
              <w:jc w:val="both"/>
              <w:rPr>
                <w:noProof/>
              </w:rPr>
            </w:pPr>
            <w:r>
              <w:rPr>
                <w:noProof/>
              </w:rPr>
              <w:t>Stupanje na snagu zakonodavnih akata potrebnih za operacionalizaciju jedinstvenog gospodarenja otpadom u skladu s Nacionalnim planom gospodarenja otpadom</w:t>
            </w:r>
          </w:p>
        </w:tc>
      </w:tr>
      <w:tr w:rsidR="003F46B9" w14:paraId="756AA56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F86605B" w14:textId="77777777" w:rsidR="003F46B9" w:rsidRDefault="0065662E">
            <w:pPr>
              <w:pStyle w:val="P68B1DB1-Normal35"/>
              <w:spacing w:after="0"/>
              <w:jc w:val="center"/>
              <w:rPr>
                <w:noProof/>
              </w:rPr>
            </w:pPr>
            <w:r>
              <w:rPr>
                <w:noProof/>
              </w:rPr>
              <w:t>127</w:t>
            </w:r>
          </w:p>
        </w:tc>
        <w:tc>
          <w:tcPr>
            <w:tcW w:w="3544" w:type="dxa"/>
            <w:tcBorders>
              <w:top w:val="nil"/>
              <w:left w:val="nil"/>
              <w:bottom w:val="single" w:sz="4" w:space="0" w:color="auto"/>
              <w:right w:val="single" w:sz="4" w:space="0" w:color="auto"/>
            </w:tcBorders>
            <w:shd w:val="clear" w:color="auto" w:fill="C6EFCE"/>
            <w:noWrap/>
          </w:tcPr>
          <w:p w14:paraId="712B6F54" w14:textId="77777777" w:rsidR="003F46B9" w:rsidRDefault="0065662E">
            <w:pPr>
              <w:pStyle w:val="P68B1DB1-Normal35"/>
              <w:spacing w:after="0"/>
              <w:jc w:val="both"/>
              <w:rPr>
                <w:noProof/>
              </w:rPr>
            </w:pPr>
            <w:r>
              <w:rPr>
                <w:noProof/>
              </w:rPr>
              <w:t>C6.R5</w:t>
            </w:r>
          </w:p>
          <w:p w14:paraId="2A5AD56A" w14:textId="77777777" w:rsidR="003F46B9" w:rsidRDefault="0065662E">
            <w:pPr>
              <w:pStyle w:val="P68B1DB1-Normal35"/>
              <w:spacing w:after="0"/>
              <w:jc w:val="both"/>
              <w:rPr>
                <w:noProof/>
              </w:rPr>
            </w:pPr>
            <w:r>
              <w:rPr>
                <w:noProof/>
              </w:rPr>
              <w:t xml:space="preserve">Smanjenje energetskog intenziteta gospodarstva razvojem održivog mehanizma za poticanje energetske učinkovitosti u industriji </w:t>
            </w:r>
          </w:p>
        </w:tc>
        <w:tc>
          <w:tcPr>
            <w:tcW w:w="1275" w:type="dxa"/>
            <w:tcBorders>
              <w:top w:val="nil"/>
              <w:left w:val="nil"/>
              <w:bottom w:val="single" w:sz="4" w:space="0" w:color="auto"/>
              <w:right w:val="single" w:sz="4" w:space="0" w:color="auto"/>
            </w:tcBorders>
            <w:shd w:val="clear" w:color="auto" w:fill="C6EFCE"/>
            <w:noWrap/>
          </w:tcPr>
          <w:p w14:paraId="79BA0C8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80CDF8" w14:textId="77777777" w:rsidR="003F46B9" w:rsidRDefault="0065662E">
            <w:pPr>
              <w:pStyle w:val="P68B1DB1-Normal35"/>
              <w:spacing w:after="0"/>
              <w:jc w:val="both"/>
              <w:rPr>
                <w:noProof/>
              </w:rPr>
            </w:pPr>
            <w:r>
              <w:rPr>
                <w:noProof/>
              </w:rPr>
              <w:t>Stupanje na snagu zakonodavnog okvira kojim se uvode mjere za olakšavanje ulaganja u energetsku učinkovitost u indust</w:t>
            </w:r>
            <w:r>
              <w:rPr>
                <w:noProof/>
              </w:rPr>
              <w:t>riji</w:t>
            </w:r>
          </w:p>
        </w:tc>
      </w:tr>
      <w:tr w:rsidR="003F46B9" w14:paraId="2056052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5EEBBDF" w14:textId="77777777" w:rsidR="003F46B9" w:rsidRDefault="0065662E">
            <w:pPr>
              <w:pStyle w:val="P68B1DB1-Normal35"/>
              <w:spacing w:after="0"/>
              <w:jc w:val="center"/>
              <w:rPr>
                <w:noProof/>
              </w:rPr>
            </w:pPr>
            <w:r>
              <w:rPr>
                <w:noProof/>
              </w:rPr>
              <w:t>241</w:t>
            </w:r>
          </w:p>
        </w:tc>
        <w:tc>
          <w:tcPr>
            <w:tcW w:w="3544" w:type="dxa"/>
            <w:tcBorders>
              <w:top w:val="nil"/>
              <w:left w:val="nil"/>
              <w:bottom w:val="single" w:sz="4" w:space="0" w:color="auto"/>
              <w:right w:val="single" w:sz="4" w:space="0" w:color="auto"/>
            </w:tcBorders>
            <w:shd w:val="clear" w:color="auto" w:fill="C6EFCE"/>
            <w:noWrap/>
          </w:tcPr>
          <w:p w14:paraId="12AA4397" w14:textId="77777777" w:rsidR="003F46B9" w:rsidRDefault="0065662E">
            <w:pPr>
              <w:pStyle w:val="P68B1DB1-Normal35"/>
              <w:spacing w:after="0"/>
              <w:jc w:val="both"/>
              <w:rPr>
                <w:noProof/>
              </w:rPr>
            </w:pPr>
            <w:r>
              <w:rPr>
                <w:noProof/>
              </w:rPr>
              <w:t>C9.R1</w:t>
            </w:r>
          </w:p>
          <w:p w14:paraId="28EFA8B6" w14:textId="77777777" w:rsidR="003F46B9" w:rsidRDefault="0065662E">
            <w:pPr>
              <w:pStyle w:val="P68B1DB1-Normal35"/>
              <w:spacing w:after="0"/>
              <w:jc w:val="both"/>
              <w:rPr>
                <w:noProof/>
              </w:rPr>
            </w:pPr>
            <w:r>
              <w:rPr>
                <w:noProof/>
              </w:rPr>
              <w:t xml:space="preserve">Zakonodavna transparentnost, debirokratizacija i pojednostavnjenje postupaka za poduzeća </w:t>
            </w:r>
          </w:p>
        </w:tc>
        <w:tc>
          <w:tcPr>
            <w:tcW w:w="1275" w:type="dxa"/>
            <w:tcBorders>
              <w:top w:val="nil"/>
              <w:left w:val="nil"/>
              <w:bottom w:val="single" w:sz="4" w:space="0" w:color="auto"/>
              <w:right w:val="single" w:sz="4" w:space="0" w:color="auto"/>
            </w:tcBorders>
            <w:shd w:val="clear" w:color="auto" w:fill="C6EFCE"/>
            <w:noWrap/>
          </w:tcPr>
          <w:p w14:paraId="0D281215"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4A5970" w14:textId="77777777" w:rsidR="003F46B9" w:rsidRDefault="0065662E">
            <w:pPr>
              <w:pStyle w:val="P68B1DB1-Normal35"/>
              <w:spacing w:after="0"/>
              <w:jc w:val="both"/>
              <w:rPr>
                <w:noProof/>
              </w:rPr>
            </w:pPr>
            <w:r>
              <w:rPr>
                <w:noProof/>
              </w:rPr>
              <w:t xml:space="preserve">Stupanje na snagu zakonodavnih izmjena radi racionalizacije, pojednostavnjenja i potpune digitalizacije poslovnih postupaka </w:t>
            </w:r>
          </w:p>
        </w:tc>
      </w:tr>
      <w:tr w:rsidR="003F46B9" w14:paraId="5B39808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0F02E" w14:textId="77777777" w:rsidR="003F46B9" w:rsidRDefault="0065662E">
            <w:pPr>
              <w:pStyle w:val="P68B1DB1-Normal35"/>
              <w:spacing w:after="0"/>
              <w:jc w:val="center"/>
              <w:rPr>
                <w:noProof/>
              </w:rPr>
            </w:pPr>
            <w:r>
              <w:rPr>
                <w:noProof/>
              </w:rPr>
              <w:t>242</w:t>
            </w:r>
          </w:p>
        </w:tc>
        <w:tc>
          <w:tcPr>
            <w:tcW w:w="3544" w:type="dxa"/>
            <w:tcBorders>
              <w:top w:val="nil"/>
              <w:left w:val="nil"/>
              <w:bottom w:val="single" w:sz="4" w:space="0" w:color="auto"/>
              <w:right w:val="single" w:sz="4" w:space="0" w:color="auto"/>
            </w:tcBorders>
            <w:shd w:val="clear" w:color="auto" w:fill="C6EFCE"/>
            <w:noWrap/>
          </w:tcPr>
          <w:p w14:paraId="67DAD8F8" w14:textId="77777777" w:rsidR="003F46B9" w:rsidRDefault="0065662E">
            <w:pPr>
              <w:pStyle w:val="P68B1DB1-Normal35"/>
              <w:spacing w:after="0"/>
              <w:jc w:val="both"/>
              <w:rPr>
                <w:noProof/>
              </w:rPr>
            </w:pPr>
            <w:r>
              <w:rPr>
                <w:noProof/>
              </w:rPr>
              <w:t>C9.R1</w:t>
            </w:r>
          </w:p>
          <w:p w14:paraId="51C28E24" w14:textId="77777777" w:rsidR="003F46B9" w:rsidRDefault="0065662E">
            <w:pPr>
              <w:pStyle w:val="P68B1DB1-Normal35"/>
              <w:spacing w:after="0"/>
              <w:jc w:val="both"/>
              <w:rPr>
                <w:noProof/>
              </w:rPr>
            </w:pPr>
            <w:r>
              <w:rPr>
                <w:noProof/>
              </w:rPr>
              <w:t xml:space="preserve">Zakonodavna transparentnost, debirokratizacija i pojednostavnjenje postupaka za poduzeća </w:t>
            </w:r>
          </w:p>
        </w:tc>
        <w:tc>
          <w:tcPr>
            <w:tcW w:w="1275" w:type="dxa"/>
            <w:tcBorders>
              <w:top w:val="nil"/>
              <w:left w:val="nil"/>
              <w:bottom w:val="single" w:sz="4" w:space="0" w:color="auto"/>
              <w:right w:val="single" w:sz="4" w:space="0" w:color="auto"/>
            </w:tcBorders>
            <w:shd w:val="clear" w:color="auto" w:fill="C6EFCE"/>
            <w:noWrap/>
          </w:tcPr>
          <w:p w14:paraId="2FD3D212"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C2ED1F4" w14:textId="77777777" w:rsidR="003F46B9" w:rsidRDefault="0065662E">
            <w:pPr>
              <w:pStyle w:val="P68B1DB1-Normal35"/>
              <w:spacing w:after="0"/>
              <w:jc w:val="both"/>
              <w:rPr>
                <w:noProof/>
              </w:rPr>
            </w:pPr>
            <w:r>
              <w:rPr>
                <w:noProof/>
              </w:rPr>
              <w:t>Stupanje na snagu zakonodavnih izmjena kako bi se pojednostavnilo i učinilo provođenje testa utjecaja zakonodavstva na MSP-ove transparentnim i primjenjivim</w:t>
            </w:r>
          </w:p>
        </w:tc>
      </w:tr>
      <w:tr w:rsidR="003F46B9" w14:paraId="63391AC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805148F" w14:textId="77777777" w:rsidR="003F46B9" w:rsidRDefault="0065662E">
            <w:pPr>
              <w:pStyle w:val="P68B1DB1-Normal35"/>
              <w:spacing w:after="0"/>
              <w:jc w:val="center"/>
              <w:rPr>
                <w:noProof/>
              </w:rPr>
            </w:pPr>
            <w:r>
              <w:rPr>
                <w:noProof/>
              </w:rPr>
              <w:t>328</w:t>
            </w:r>
          </w:p>
        </w:tc>
        <w:tc>
          <w:tcPr>
            <w:tcW w:w="3544" w:type="dxa"/>
            <w:tcBorders>
              <w:top w:val="nil"/>
              <w:left w:val="nil"/>
              <w:bottom w:val="single" w:sz="4" w:space="0" w:color="auto"/>
              <w:right w:val="single" w:sz="4" w:space="0" w:color="auto"/>
            </w:tcBorders>
            <w:shd w:val="clear" w:color="auto" w:fill="C6EFCE"/>
            <w:noWrap/>
          </w:tcPr>
          <w:p w14:paraId="05F29768" w14:textId="77777777" w:rsidR="003F46B9" w:rsidRDefault="0065662E">
            <w:pPr>
              <w:pStyle w:val="P68B1DB1-Normal35"/>
              <w:spacing w:after="0"/>
              <w:jc w:val="both"/>
              <w:rPr>
                <w:noProof/>
              </w:rPr>
            </w:pPr>
            <w:r>
              <w:rPr>
                <w:noProof/>
              </w:rPr>
              <w:t>C1</w:t>
            </w:r>
            <w:r>
              <w:rPr>
                <w:noProof/>
              </w:rPr>
              <w:t>1.R1</w:t>
            </w:r>
          </w:p>
          <w:p w14:paraId="46A72202" w14:textId="77777777" w:rsidR="003F46B9" w:rsidRDefault="0065662E">
            <w:pPr>
              <w:pStyle w:val="P68B1DB1-Normal35"/>
              <w:spacing w:after="0"/>
              <w:jc w:val="both"/>
              <w:rPr>
                <w:noProof/>
              </w:rPr>
            </w:pPr>
            <w:r>
              <w:rPr>
                <w:noProof/>
              </w:rPr>
              <w:t>Operacionalizacija organizacija za upravljanje odredištima</w:t>
            </w:r>
          </w:p>
        </w:tc>
        <w:tc>
          <w:tcPr>
            <w:tcW w:w="1275" w:type="dxa"/>
            <w:tcBorders>
              <w:top w:val="nil"/>
              <w:left w:val="nil"/>
              <w:bottom w:val="single" w:sz="4" w:space="0" w:color="auto"/>
              <w:right w:val="single" w:sz="4" w:space="0" w:color="auto"/>
            </w:tcBorders>
            <w:shd w:val="clear" w:color="auto" w:fill="C6EFCE"/>
            <w:noWrap/>
          </w:tcPr>
          <w:p w14:paraId="14D08D8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FD255FA" w14:textId="77777777" w:rsidR="003F46B9" w:rsidRDefault="0065662E">
            <w:pPr>
              <w:pStyle w:val="P68B1DB1-Normal35"/>
              <w:spacing w:after="0"/>
              <w:jc w:val="both"/>
              <w:rPr>
                <w:noProof/>
              </w:rPr>
            </w:pPr>
            <w:r>
              <w:rPr>
                <w:noProof/>
              </w:rPr>
              <w:t>Stupanje na snagu zakonodavnog okvira Odlukom Vlade koja uključuje jasan opis mehanizma financiranja za potporu razvoju mreže AUO-ova i jasan model upravljanja</w:t>
            </w:r>
          </w:p>
        </w:tc>
      </w:tr>
      <w:tr w:rsidR="003F46B9" w14:paraId="181CAC8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20C63983" w14:textId="77777777" w:rsidR="003F46B9" w:rsidRDefault="0065662E">
            <w:pPr>
              <w:pStyle w:val="P68B1DB1-Normal35"/>
              <w:spacing w:after="0"/>
              <w:jc w:val="center"/>
              <w:rPr>
                <w:noProof/>
              </w:rPr>
            </w:pPr>
            <w:r>
              <w:rPr>
                <w:noProof/>
              </w:rPr>
              <w:t>332</w:t>
            </w:r>
          </w:p>
        </w:tc>
        <w:tc>
          <w:tcPr>
            <w:tcW w:w="3544" w:type="dxa"/>
            <w:tcBorders>
              <w:top w:val="nil"/>
              <w:left w:val="nil"/>
              <w:bottom w:val="single" w:sz="4" w:space="0" w:color="auto"/>
              <w:right w:val="single" w:sz="4" w:space="0" w:color="auto"/>
            </w:tcBorders>
            <w:shd w:val="clear" w:color="auto" w:fill="C6EFCE"/>
            <w:noWrap/>
          </w:tcPr>
          <w:p w14:paraId="6F9926E9" w14:textId="77777777" w:rsidR="003F46B9" w:rsidRDefault="0065662E">
            <w:pPr>
              <w:pStyle w:val="P68B1DB1-Normal35"/>
              <w:spacing w:after="0"/>
              <w:jc w:val="both"/>
              <w:rPr>
                <w:noProof/>
              </w:rPr>
            </w:pPr>
            <w:r>
              <w:rPr>
                <w:noProof/>
              </w:rPr>
              <w:t>C11.I1</w:t>
            </w:r>
          </w:p>
          <w:p w14:paraId="6176AE0E" w14:textId="36DBE39A" w:rsidR="003F46B9" w:rsidRDefault="0065662E">
            <w:pPr>
              <w:pStyle w:val="P68B1DB1-Normal35"/>
              <w:spacing w:after="0"/>
              <w:jc w:val="both"/>
              <w:rPr>
                <w:noProof/>
              </w:rPr>
            </w:pPr>
            <w:r>
              <w:rPr>
                <w:noProof/>
              </w:rPr>
              <w:t xml:space="preserve">Promicanje 12 turističkih/kulturnih ruta </w:t>
            </w:r>
          </w:p>
        </w:tc>
        <w:tc>
          <w:tcPr>
            <w:tcW w:w="1275" w:type="dxa"/>
            <w:tcBorders>
              <w:top w:val="nil"/>
              <w:left w:val="nil"/>
              <w:bottom w:val="single" w:sz="4" w:space="0" w:color="auto"/>
              <w:right w:val="single" w:sz="4" w:space="0" w:color="auto"/>
            </w:tcBorders>
            <w:shd w:val="clear" w:color="auto" w:fill="C6EFCE"/>
            <w:noWrap/>
          </w:tcPr>
          <w:p w14:paraId="2100413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1D233DF" w14:textId="77777777" w:rsidR="003F46B9" w:rsidRDefault="0065662E">
            <w:pPr>
              <w:pStyle w:val="P68B1DB1-Normal35"/>
              <w:spacing w:after="0"/>
              <w:jc w:val="both"/>
              <w:rPr>
                <w:noProof/>
              </w:rPr>
            </w:pPr>
            <w:r>
              <w:rPr>
                <w:noProof/>
              </w:rPr>
              <w:t xml:space="preserve">Potpisivanje ugovora za promicanje 12 linija </w:t>
            </w:r>
          </w:p>
        </w:tc>
      </w:tr>
      <w:tr w:rsidR="003F46B9" w14:paraId="14A44FF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13B1ED" w14:textId="77777777" w:rsidR="003F46B9" w:rsidRDefault="0065662E">
            <w:pPr>
              <w:pStyle w:val="P68B1DB1-Normal35"/>
              <w:spacing w:after="0"/>
              <w:jc w:val="center"/>
              <w:rPr>
                <w:noProof/>
              </w:rPr>
            </w:pPr>
            <w:r>
              <w:rPr>
                <w:noProof/>
              </w:rPr>
              <w:t>340</w:t>
            </w:r>
          </w:p>
        </w:tc>
        <w:tc>
          <w:tcPr>
            <w:tcW w:w="3544" w:type="dxa"/>
            <w:tcBorders>
              <w:top w:val="nil"/>
              <w:left w:val="nil"/>
              <w:bottom w:val="single" w:sz="4" w:space="0" w:color="auto"/>
              <w:right w:val="single" w:sz="4" w:space="0" w:color="auto"/>
            </w:tcBorders>
            <w:shd w:val="clear" w:color="auto" w:fill="C6EFCE"/>
            <w:noWrap/>
          </w:tcPr>
          <w:p w14:paraId="519DA6BD" w14:textId="77777777" w:rsidR="003F46B9" w:rsidRDefault="0065662E">
            <w:pPr>
              <w:pStyle w:val="P68B1DB1-Normal35"/>
              <w:spacing w:after="0"/>
              <w:jc w:val="both"/>
              <w:rPr>
                <w:noProof/>
              </w:rPr>
            </w:pPr>
            <w:r>
              <w:rPr>
                <w:noProof/>
              </w:rPr>
              <w:t>C11.R2</w:t>
            </w:r>
          </w:p>
          <w:p w14:paraId="2812921A" w14:textId="1129B5A3" w:rsidR="003F46B9" w:rsidRDefault="0065662E">
            <w:pPr>
              <w:pStyle w:val="P68B1DB1-Normal35"/>
              <w:spacing w:after="0"/>
              <w:jc w:val="both"/>
              <w:rPr>
                <w:noProof/>
              </w:rPr>
            </w:pPr>
            <w:r>
              <w:rPr>
                <w:noProof/>
              </w:rPr>
              <w:t xml:space="preserve">Okvir za operacionalizaciju biciklističkih ruta na nacionalnoj razini </w:t>
            </w:r>
          </w:p>
        </w:tc>
        <w:tc>
          <w:tcPr>
            <w:tcW w:w="1275" w:type="dxa"/>
            <w:tcBorders>
              <w:top w:val="nil"/>
              <w:left w:val="nil"/>
              <w:bottom w:val="single" w:sz="4" w:space="0" w:color="auto"/>
              <w:right w:val="single" w:sz="4" w:space="0" w:color="auto"/>
            </w:tcBorders>
            <w:shd w:val="clear" w:color="auto" w:fill="C6EFCE"/>
            <w:noWrap/>
          </w:tcPr>
          <w:p w14:paraId="6B7BC96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6EB86F0" w14:textId="77777777" w:rsidR="003F46B9" w:rsidRDefault="0065662E">
            <w:pPr>
              <w:pStyle w:val="P68B1DB1-Normal35"/>
              <w:spacing w:after="0"/>
              <w:jc w:val="both"/>
              <w:rPr>
                <w:noProof/>
              </w:rPr>
            </w:pPr>
            <w:r>
              <w:rPr>
                <w:noProof/>
              </w:rPr>
              <w:t>Sveobuhvatna studija o teritorijalnoj raspodjeli nacionalnih biciklističkih staza</w:t>
            </w:r>
          </w:p>
        </w:tc>
      </w:tr>
      <w:tr w:rsidR="003F46B9" w14:paraId="7E210F3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E9CD26E" w14:textId="77777777" w:rsidR="003F46B9" w:rsidRDefault="0065662E">
            <w:pPr>
              <w:pStyle w:val="P68B1DB1-Normal35"/>
              <w:spacing w:after="0"/>
              <w:jc w:val="center"/>
              <w:rPr>
                <w:noProof/>
              </w:rPr>
            </w:pPr>
            <w:r>
              <w:rPr>
                <w:noProof/>
              </w:rPr>
              <w:t>341</w:t>
            </w:r>
          </w:p>
        </w:tc>
        <w:tc>
          <w:tcPr>
            <w:tcW w:w="3544" w:type="dxa"/>
            <w:tcBorders>
              <w:top w:val="nil"/>
              <w:left w:val="nil"/>
              <w:bottom w:val="single" w:sz="4" w:space="0" w:color="auto"/>
              <w:right w:val="single" w:sz="4" w:space="0" w:color="auto"/>
            </w:tcBorders>
            <w:shd w:val="clear" w:color="auto" w:fill="C6EFCE"/>
            <w:noWrap/>
          </w:tcPr>
          <w:p w14:paraId="6141B108" w14:textId="77777777" w:rsidR="003F46B9" w:rsidRDefault="0065662E">
            <w:pPr>
              <w:pStyle w:val="P68B1DB1-Normal35"/>
              <w:spacing w:after="0"/>
              <w:jc w:val="both"/>
              <w:rPr>
                <w:noProof/>
              </w:rPr>
            </w:pPr>
            <w:r>
              <w:rPr>
                <w:noProof/>
              </w:rPr>
              <w:t>C11.I3</w:t>
            </w:r>
          </w:p>
          <w:p w14:paraId="30316F7A" w14:textId="77777777" w:rsidR="003F46B9" w:rsidRDefault="0065662E">
            <w:pPr>
              <w:pStyle w:val="P68B1DB1-Normal35"/>
              <w:spacing w:after="0"/>
              <w:jc w:val="both"/>
              <w:rPr>
                <w:noProof/>
              </w:rPr>
            </w:pPr>
            <w:r>
              <w:rPr>
                <w:noProof/>
              </w:rPr>
              <w:t xml:space="preserve">Uspostava i operacionalizacija Nacionalnog koordinacijskog centra Velo </w:t>
            </w:r>
          </w:p>
        </w:tc>
        <w:tc>
          <w:tcPr>
            <w:tcW w:w="1275" w:type="dxa"/>
            <w:tcBorders>
              <w:top w:val="nil"/>
              <w:left w:val="nil"/>
              <w:bottom w:val="single" w:sz="4" w:space="0" w:color="auto"/>
              <w:right w:val="single" w:sz="4" w:space="0" w:color="auto"/>
            </w:tcBorders>
            <w:shd w:val="clear" w:color="auto" w:fill="C6EFCE"/>
            <w:noWrap/>
          </w:tcPr>
          <w:p w14:paraId="738E608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81AFB22" w14:textId="77777777" w:rsidR="003F46B9" w:rsidRDefault="0065662E">
            <w:pPr>
              <w:pStyle w:val="P68B1DB1-Normal35"/>
              <w:spacing w:after="0"/>
              <w:jc w:val="both"/>
              <w:rPr>
                <w:noProof/>
              </w:rPr>
            </w:pPr>
            <w:r>
              <w:rPr>
                <w:noProof/>
              </w:rPr>
              <w:t>Integrirana nacionalna platforma eVelo i aplikacija za pametne telefone</w:t>
            </w:r>
          </w:p>
        </w:tc>
      </w:tr>
      <w:tr w:rsidR="003F46B9" w14:paraId="5C499FB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5514583" w14:textId="77777777" w:rsidR="003F46B9" w:rsidRDefault="0065662E">
            <w:pPr>
              <w:pStyle w:val="P68B1DB1-Normal35"/>
              <w:spacing w:after="0"/>
              <w:jc w:val="center"/>
              <w:rPr>
                <w:noProof/>
              </w:rPr>
            </w:pPr>
            <w:r>
              <w:rPr>
                <w:noProof/>
              </w:rPr>
              <w:t>344</w:t>
            </w:r>
          </w:p>
        </w:tc>
        <w:tc>
          <w:tcPr>
            <w:tcW w:w="3544" w:type="dxa"/>
            <w:tcBorders>
              <w:top w:val="nil"/>
              <w:left w:val="nil"/>
              <w:bottom w:val="single" w:sz="4" w:space="0" w:color="auto"/>
              <w:right w:val="single" w:sz="4" w:space="0" w:color="auto"/>
            </w:tcBorders>
            <w:shd w:val="clear" w:color="auto" w:fill="C6EFCE"/>
            <w:noWrap/>
          </w:tcPr>
          <w:p w14:paraId="29E483BD" w14:textId="77777777" w:rsidR="003F46B9" w:rsidRDefault="0065662E">
            <w:pPr>
              <w:pStyle w:val="P68B1DB1-Normal35"/>
              <w:spacing w:after="0"/>
              <w:jc w:val="both"/>
              <w:rPr>
                <w:noProof/>
              </w:rPr>
            </w:pPr>
            <w:r>
              <w:rPr>
                <w:noProof/>
              </w:rPr>
              <w:t>C11.R3</w:t>
            </w:r>
          </w:p>
          <w:p w14:paraId="3E9EB8A3" w14:textId="6E71A257" w:rsidR="003F46B9" w:rsidRDefault="0065662E">
            <w:pPr>
              <w:pStyle w:val="P68B1DB1-Normal35"/>
              <w:spacing w:after="0"/>
              <w:jc w:val="both"/>
              <w:rPr>
                <w:noProof/>
              </w:rPr>
            </w:pPr>
            <w:r>
              <w:rPr>
                <w:noProof/>
              </w:rPr>
              <w:t xml:space="preserve">Reforma sustava financiranja kulturnog sektora  </w:t>
            </w:r>
          </w:p>
        </w:tc>
        <w:tc>
          <w:tcPr>
            <w:tcW w:w="1275" w:type="dxa"/>
            <w:tcBorders>
              <w:top w:val="nil"/>
              <w:left w:val="nil"/>
              <w:bottom w:val="single" w:sz="4" w:space="0" w:color="auto"/>
              <w:right w:val="single" w:sz="4" w:space="0" w:color="auto"/>
            </w:tcBorders>
            <w:shd w:val="clear" w:color="auto" w:fill="C6EFCE"/>
            <w:noWrap/>
          </w:tcPr>
          <w:p w14:paraId="6A1E09E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D6F923B" w14:textId="77777777" w:rsidR="003F46B9" w:rsidRDefault="0065662E">
            <w:pPr>
              <w:pStyle w:val="P68B1DB1-Normal35"/>
              <w:spacing w:after="0"/>
              <w:jc w:val="both"/>
              <w:rPr>
                <w:noProof/>
              </w:rPr>
            </w:pPr>
            <w:r>
              <w:rPr>
                <w:noProof/>
              </w:rPr>
              <w:t>Stupanje na snagu zakona o sustavu</w:t>
            </w:r>
            <w:r>
              <w:rPr>
                <w:noProof/>
              </w:rPr>
              <w:t xml:space="preserve"> financiranja kulturnog sektora</w:t>
            </w:r>
          </w:p>
        </w:tc>
      </w:tr>
      <w:tr w:rsidR="003F46B9" w14:paraId="3CB8F93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F806DB2" w14:textId="77777777" w:rsidR="003F46B9" w:rsidRDefault="0065662E">
            <w:pPr>
              <w:pStyle w:val="P68B1DB1-Normal35"/>
              <w:spacing w:after="0"/>
              <w:jc w:val="center"/>
              <w:rPr>
                <w:noProof/>
              </w:rPr>
            </w:pPr>
            <w:r>
              <w:rPr>
                <w:noProof/>
              </w:rPr>
              <w:t>3</w:t>
            </w:r>
          </w:p>
        </w:tc>
        <w:tc>
          <w:tcPr>
            <w:tcW w:w="3544" w:type="dxa"/>
            <w:tcBorders>
              <w:top w:val="nil"/>
              <w:left w:val="nil"/>
              <w:bottom w:val="single" w:sz="4" w:space="0" w:color="auto"/>
              <w:right w:val="single" w:sz="4" w:space="0" w:color="auto"/>
            </w:tcBorders>
            <w:shd w:val="clear" w:color="auto" w:fill="C6EFCE"/>
            <w:noWrap/>
          </w:tcPr>
          <w:p w14:paraId="4CFD0D12" w14:textId="77777777" w:rsidR="003F46B9" w:rsidRDefault="0065662E">
            <w:pPr>
              <w:pStyle w:val="P68B1DB1-Normal35"/>
              <w:spacing w:after="0"/>
              <w:jc w:val="both"/>
              <w:rPr>
                <w:noProof/>
              </w:rPr>
            </w:pPr>
            <w:r>
              <w:rPr>
                <w:noProof/>
              </w:rPr>
              <w:t>C1.R1</w:t>
            </w:r>
          </w:p>
          <w:p w14:paraId="22EB495A" w14:textId="77777777" w:rsidR="003F46B9" w:rsidRDefault="0065662E">
            <w:pPr>
              <w:pStyle w:val="P68B1DB1-Normal35"/>
              <w:spacing w:after="0"/>
              <w:jc w:val="both"/>
              <w:rPr>
                <w:noProof/>
              </w:rPr>
            </w:pPr>
            <w:r>
              <w:rPr>
                <w:noProof/>
              </w:rPr>
              <w:t>Jačanje regulatornog okvira za održivo upravljanje sektorom voda i otpadnih voda te ubrzavanje pristupa građana kvalitetnim uslugama u skladu s europskim direktivama</w:t>
            </w:r>
          </w:p>
        </w:tc>
        <w:tc>
          <w:tcPr>
            <w:tcW w:w="1275" w:type="dxa"/>
            <w:tcBorders>
              <w:top w:val="nil"/>
              <w:left w:val="nil"/>
              <w:bottom w:val="single" w:sz="4" w:space="0" w:color="auto"/>
              <w:right w:val="single" w:sz="4" w:space="0" w:color="auto"/>
            </w:tcBorders>
            <w:shd w:val="clear" w:color="auto" w:fill="C6EFCE"/>
            <w:noWrap/>
          </w:tcPr>
          <w:p w14:paraId="3769C50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FB98F3D" w14:textId="77777777" w:rsidR="003F46B9" w:rsidRDefault="0065662E">
            <w:pPr>
              <w:pStyle w:val="P68B1DB1-Normal35"/>
              <w:spacing w:after="0"/>
              <w:jc w:val="both"/>
              <w:rPr>
                <w:noProof/>
              </w:rPr>
            </w:pPr>
            <w:r>
              <w:rPr>
                <w:noProof/>
              </w:rPr>
              <w:t xml:space="preserve">Provedbeni sporazumi potpisani s lokalnim </w:t>
            </w:r>
            <w:r>
              <w:rPr>
                <w:noProof/>
              </w:rPr>
              <w:t>vlastima koje sudjeluju u prvom programu povezivanja s vodom i sanitarnim uvjetima</w:t>
            </w:r>
          </w:p>
        </w:tc>
      </w:tr>
      <w:tr w:rsidR="003F46B9" w14:paraId="3E0924E2"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F3E9086" w14:textId="77777777" w:rsidR="003F46B9" w:rsidRDefault="0065662E">
            <w:pPr>
              <w:pStyle w:val="P68B1DB1-Normal35"/>
              <w:spacing w:after="0"/>
              <w:jc w:val="center"/>
              <w:rPr>
                <w:noProof/>
              </w:rPr>
            </w:pPr>
            <w:r>
              <w:rPr>
                <w:noProof/>
              </w:rPr>
              <w:t>79</w:t>
            </w:r>
          </w:p>
        </w:tc>
        <w:tc>
          <w:tcPr>
            <w:tcW w:w="3544" w:type="dxa"/>
            <w:tcBorders>
              <w:top w:val="nil"/>
              <w:left w:val="nil"/>
              <w:bottom w:val="single" w:sz="4" w:space="0" w:color="auto"/>
              <w:right w:val="single" w:sz="4" w:space="0" w:color="auto"/>
            </w:tcBorders>
            <w:shd w:val="clear" w:color="auto" w:fill="C6EFCE"/>
            <w:noWrap/>
          </w:tcPr>
          <w:p w14:paraId="3E3B25B8" w14:textId="77777777" w:rsidR="003F46B9" w:rsidRDefault="0065662E">
            <w:pPr>
              <w:pStyle w:val="P68B1DB1-Normal35"/>
              <w:spacing w:after="0"/>
              <w:jc w:val="both"/>
              <w:rPr>
                <w:noProof/>
              </w:rPr>
            </w:pPr>
            <w:r>
              <w:rPr>
                <w:noProof/>
              </w:rPr>
              <w:t>C4.R2</w:t>
            </w:r>
          </w:p>
          <w:p w14:paraId="7E22D0CB" w14:textId="77777777" w:rsidR="003F46B9" w:rsidRDefault="0065662E">
            <w:pPr>
              <w:pStyle w:val="P68B1DB1-Normal35"/>
              <w:spacing w:after="0"/>
              <w:jc w:val="both"/>
              <w:rPr>
                <w:noProof/>
              </w:rPr>
            </w:pPr>
            <w:r>
              <w:rPr>
                <w:noProof/>
              </w:rPr>
              <w:t xml:space="preserve">Upravljanje kvalitetom u prometu na temelju uspješnosti – poboljšanje institucijskih kapaciteta i korporativnog upravljanja </w:t>
            </w:r>
          </w:p>
        </w:tc>
        <w:tc>
          <w:tcPr>
            <w:tcW w:w="1275" w:type="dxa"/>
            <w:tcBorders>
              <w:top w:val="nil"/>
              <w:left w:val="nil"/>
              <w:bottom w:val="single" w:sz="4" w:space="0" w:color="auto"/>
              <w:right w:val="single" w:sz="4" w:space="0" w:color="auto"/>
            </w:tcBorders>
            <w:shd w:val="clear" w:color="auto" w:fill="C6EFCE"/>
            <w:noWrap/>
          </w:tcPr>
          <w:p w14:paraId="18B0EA7E"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620A93B" w14:textId="77777777" w:rsidR="003F46B9" w:rsidRDefault="0065662E">
            <w:pPr>
              <w:pStyle w:val="P68B1DB1-Normal35"/>
              <w:spacing w:after="0"/>
              <w:jc w:val="both"/>
              <w:rPr>
                <w:noProof/>
              </w:rPr>
            </w:pPr>
            <w:r>
              <w:rPr>
                <w:noProof/>
              </w:rPr>
              <w:t>Odabir i imenovanje članova Upravnog</w:t>
            </w:r>
            <w:r>
              <w:rPr>
                <w:noProof/>
              </w:rPr>
              <w:t xml:space="preserve"> odbora C.N.A.I.R., C.N.I.R., C.F.R., Metrorex, C.F.R. Călători.</w:t>
            </w:r>
          </w:p>
        </w:tc>
      </w:tr>
      <w:tr w:rsidR="003F46B9" w14:paraId="37FB734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FD8D3E1" w14:textId="77777777" w:rsidR="003F46B9" w:rsidRDefault="0065662E">
            <w:pPr>
              <w:pStyle w:val="P68B1DB1-Normal35"/>
              <w:spacing w:after="0"/>
              <w:jc w:val="center"/>
              <w:rPr>
                <w:noProof/>
              </w:rPr>
            </w:pPr>
            <w:r>
              <w:rPr>
                <w:noProof/>
              </w:rPr>
              <w:t>86</w:t>
            </w:r>
          </w:p>
        </w:tc>
        <w:tc>
          <w:tcPr>
            <w:tcW w:w="3544" w:type="dxa"/>
            <w:tcBorders>
              <w:top w:val="nil"/>
              <w:left w:val="nil"/>
              <w:bottom w:val="single" w:sz="4" w:space="0" w:color="auto"/>
              <w:right w:val="single" w:sz="4" w:space="0" w:color="auto"/>
            </w:tcBorders>
            <w:shd w:val="clear" w:color="auto" w:fill="C6EFCE"/>
            <w:noWrap/>
          </w:tcPr>
          <w:p w14:paraId="3C456084" w14:textId="77777777" w:rsidR="003F46B9" w:rsidRDefault="0065662E">
            <w:pPr>
              <w:pStyle w:val="P68B1DB1-Normal35"/>
              <w:spacing w:after="0"/>
              <w:jc w:val="both"/>
              <w:rPr>
                <w:noProof/>
              </w:rPr>
            </w:pPr>
            <w:r>
              <w:rPr>
                <w:noProof/>
              </w:rPr>
              <w:t>C4.I4</w:t>
            </w:r>
          </w:p>
          <w:p w14:paraId="4C947282" w14:textId="77777777" w:rsidR="003F46B9" w:rsidRDefault="0065662E">
            <w:pPr>
              <w:pStyle w:val="P68B1DB1-Normal35"/>
              <w:spacing w:after="0"/>
              <w:jc w:val="both"/>
              <w:rPr>
                <w:noProof/>
              </w:rPr>
            </w:pPr>
            <w:r>
              <w:rPr>
                <w:noProof/>
              </w:rPr>
              <w:t xml:space="preserve">Razvoj mreže podzemnog prijevoza u općinama Bukurešt i Cluj-Napoca </w:t>
            </w:r>
          </w:p>
        </w:tc>
        <w:tc>
          <w:tcPr>
            <w:tcW w:w="1275" w:type="dxa"/>
            <w:tcBorders>
              <w:top w:val="nil"/>
              <w:left w:val="nil"/>
              <w:bottom w:val="single" w:sz="4" w:space="0" w:color="auto"/>
              <w:right w:val="single" w:sz="4" w:space="0" w:color="auto"/>
            </w:tcBorders>
            <w:shd w:val="clear" w:color="auto" w:fill="C6EFCE"/>
            <w:noWrap/>
          </w:tcPr>
          <w:p w14:paraId="75F9B4C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799F292" w14:textId="77777777" w:rsidR="003F46B9" w:rsidRDefault="0065662E">
            <w:pPr>
              <w:pStyle w:val="P68B1DB1-Normal35"/>
              <w:spacing w:after="0"/>
              <w:jc w:val="both"/>
              <w:rPr>
                <w:noProof/>
              </w:rPr>
            </w:pPr>
            <w:r>
              <w:rPr>
                <w:noProof/>
              </w:rPr>
              <w:t xml:space="preserve">Potpisivanje ugovora za 50 % radova na temelju otvorenih i konkurentnih natječaja i dobivenih odgovarajućih </w:t>
            </w:r>
            <w:r>
              <w:rPr>
                <w:noProof/>
              </w:rPr>
              <w:t>dozvola</w:t>
            </w:r>
          </w:p>
        </w:tc>
      </w:tr>
      <w:tr w:rsidR="003F46B9" w14:paraId="469BEBD7"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4823306" w14:textId="77777777" w:rsidR="003F46B9" w:rsidRDefault="0065662E">
            <w:pPr>
              <w:pStyle w:val="P68B1DB1-Normal35"/>
              <w:spacing w:after="0"/>
              <w:jc w:val="center"/>
              <w:rPr>
                <w:noProof/>
              </w:rPr>
            </w:pPr>
            <w:r>
              <w:rPr>
                <w:noProof/>
              </w:rPr>
              <w:t>90</w:t>
            </w:r>
          </w:p>
        </w:tc>
        <w:tc>
          <w:tcPr>
            <w:tcW w:w="3544" w:type="dxa"/>
            <w:tcBorders>
              <w:top w:val="nil"/>
              <w:left w:val="nil"/>
              <w:bottom w:val="single" w:sz="4" w:space="0" w:color="auto"/>
              <w:right w:val="single" w:sz="4" w:space="0" w:color="auto"/>
            </w:tcBorders>
            <w:shd w:val="clear" w:color="auto" w:fill="C6EFCE"/>
            <w:noWrap/>
          </w:tcPr>
          <w:p w14:paraId="51EC4AEA" w14:textId="77777777" w:rsidR="003F46B9" w:rsidRDefault="0065662E">
            <w:pPr>
              <w:pStyle w:val="P68B1DB1-Normal35"/>
              <w:spacing w:after="0"/>
              <w:jc w:val="both"/>
              <w:rPr>
                <w:noProof/>
              </w:rPr>
            </w:pPr>
            <w:r>
              <w:rPr>
                <w:noProof/>
              </w:rPr>
              <w:t>C5.R1</w:t>
            </w:r>
          </w:p>
          <w:p w14:paraId="7102D5C3" w14:textId="77777777" w:rsidR="003F46B9" w:rsidRDefault="0065662E">
            <w:pPr>
              <w:pStyle w:val="P68B1DB1-Normal35"/>
              <w:spacing w:after="0"/>
              <w:jc w:val="both"/>
              <w:rPr>
                <w:noProof/>
              </w:rPr>
            </w:pPr>
            <w:r>
              <w:rPr>
                <w:noProof/>
              </w:rPr>
              <w:t xml:space="preserve">Pojednostavnjen i ažuriran regulatorni okvir za potporu provedbi ulaganja u prelazak na zelene i otporne zgrade </w:t>
            </w:r>
          </w:p>
        </w:tc>
        <w:tc>
          <w:tcPr>
            <w:tcW w:w="1275" w:type="dxa"/>
            <w:tcBorders>
              <w:top w:val="nil"/>
              <w:left w:val="nil"/>
              <w:bottom w:val="single" w:sz="4" w:space="0" w:color="auto"/>
              <w:right w:val="single" w:sz="4" w:space="0" w:color="auto"/>
            </w:tcBorders>
            <w:shd w:val="clear" w:color="auto" w:fill="C6EFCE"/>
            <w:noWrap/>
          </w:tcPr>
          <w:p w14:paraId="14CF831E"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7E5D150" w14:textId="77777777" w:rsidR="003F46B9" w:rsidRDefault="0065662E">
            <w:pPr>
              <w:pStyle w:val="P68B1DB1-Normal35"/>
              <w:spacing w:after="0"/>
              <w:jc w:val="both"/>
              <w:rPr>
                <w:noProof/>
              </w:rPr>
            </w:pPr>
            <w:r>
              <w:rPr>
                <w:noProof/>
              </w:rPr>
              <w:t xml:space="preserve">Stupanje na snagu izmjena postojećeg zakonodavnog okvira višegodišnjeg nacionalnog programa za poboljšanje energetskih svojstava stambenih zgrada (Izvanredno rješenje Vlade br. 18/2009) </w:t>
            </w:r>
          </w:p>
        </w:tc>
      </w:tr>
      <w:tr w:rsidR="003F46B9" w14:paraId="3D6BEC2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B361A8" w14:textId="77777777" w:rsidR="003F46B9" w:rsidRDefault="0065662E">
            <w:pPr>
              <w:pStyle w:val="P68B1DB1-Normal35"/>
              <w:spacing w:after="0"/>
              <w:jc w:val="center"/>
              <w:rPr>
                <w:noProof/>
              </w:rPr>
            </w:pPr>
            <w:r>
              <w:rPr>
                <w:noProof/>
              </w:rPr>
              <w:t>91</w:t>
            </w:r>
          </w:p>
        </w:tc>
        <w:tc>
          <w:tcPr>
            <w:tcW w:w="3544" w:type="dxa"/>
            <w:tcBorders>
              <w:top w:val="nil"/>
              <w:left w:val="nil"/>
              <w:bottom w:val="single" w:sz="4" w:space="0" w:color="auto"/>
              <w:right w:val="single" w:sz="4" w:space="0" w:color="auto"/>
            </w:tcBorders>
            <w:shd w:val="clear" w:color="auto" w:fill="C6EFCE"/>
            <w:noWrap/>
          </w:tcPr>
          <w:p w14:paraId="0AB65FF9" w14:textId="77777777" w:rsidR="003F46B9" w:rsidRDefault="0065662E">
            <w:pPr>
              <w:pStyle w:val="P68B1DB1-Normal35"/>
              <w:spacing w:after="0"/>
              <w:jc w:val="both"/>
              <w:rPr>
                <w:noProof/>
              </w:rPr>
            </w:pPr>
            <w:r>
              <w:rPr>
                <w:noProof/>
              </w:rPr>
              <w:t>C5.R1</w:t>
            </w:r>
          </w:p>
          <w:p w14:paraId="118C8331" w14:textId="77777777" w:rsidR="003F46B9" w:rsidRDefault="0065662E">
            <w:pPr>
              <w:pStyle w:val="P68B1DB1-Normal35"/>
              <w:spacing w:after="0"/>
              <w:jc w:val="both"/>
              <w:rPr>
                <w:noProof/>
              </w:rPr>
            </w:pPr>
            <w:r>
              <w:rPr>
                <w:noProof/>
              </w:rPr>
              <w:t>Pojednostavnjen i ažuriran regulatorni okvir za potporu pro</w:t>
            </w:r>
            <w:r>
              <w:rPr>
                <w:noProof/>
              </w:rPr>
              <w:t xml:space="preserve">vedbi ulaganja u prelazak na zelene i otporne zgrade </w:t>
            </w:r>
          </w:p>
        </w:tc>
        <w:tc>
          <w:tcPr>
            <w:tcW w:w="1275" w:type="dxa"/>
            <w:tcBorders>
              <w:top w:val="nil"/>
              <w:left w:val="nil"/>
              <w:bottom w:val="single" w:sz="4" w:space="0" w:color="auto"/>
              <w:right w:val="single" w:sz="4" w:space="0" w:color="auto"/>
            </w:tcBorders>
            <w:shd w:val="clear" w:color="auto" w:fill="C6EFCE"/>
            <w:noWrap/>
          </w:tcPr>
          <w:p w14:paraId="569196F6"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A5942FF" w14:textId="77777777" w:rsidR="003F46B9" w:rsidRDefault="0065662E">
            <w:pPr>
              <w:pStyle w:val="P68B1DB1-Normal35"/>
              <w:spacing w:after="0"/>
              <w:jc w:val="both"/>
              <w:rPr>
                <w:noProof/>
              </w:rPr>
            </w:pPr>
            <w:r>
              <w:rPr>
                <w:noProof/>
              </w:rPr>
              <w:t>Tehnički regulatorni okvir za ulaganja za prelazak na zelene i digitalne zgrade operativan je</w:t>
            </w:r>
          </w:p>
        </w:tc>
      </w:tr>
      <w:tr w:rsidR="003F46B9" w14:paraId="65712F9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04E905E" w14:textId="77777777" w:rsidR="003F46B9" w:rsidRDefault="0065662E">
            <w:pPr>
              <w:pStyle w:val="P68B1DB1-Normal35"/>
              <w:spacing w:after="0"/>
              <w:jc w:val="center"/>
              <w:rPr>
                <w:noProof/>
              </w:rPr>
            </w:pPr>
            <w:r>
              <w:rPr>
                <w:noProof/>
              </w:rPr>
              <w:t>93</w:t>
            </w:r>
          </w:p>
        </w:tc>
        <w:tc>
          <w:tcPr>
            <w:tcW w:w="3544" w:type="dxa"/>
            <w:tcBorders>
              <w:top w:val="nil"/>
              <w:left w:val="nil"/>
              <w:bottom w:val="single" w:sz="4" w:space="0" w:color="auto"/>
              <w:right w:val="single" w:sz="4" w:space="0" w:color="auto"/>
            </w:tcBorders>
            <w:shd w:val="clear" w:color="auto" w:fill="C6EFCE"/>
            <w:noWrap/>
          </w:tcPr>
          <w:p w14:paraId="110552F3" w14:textId="77777777" w:rsidR="003F46B9" w:rsidRDefault="0065662E">
            <w:pPr>
              <w:pStyle w:val="P68B1DB1-Normal35"/>
              <w:spacing w:after="0"/>
              <w:jc w:val="both"/>
              <w:rPr>
                <w:noProof/>
              </w:rPr>
            </w:pPr>
            <w:r>
              <w:rPr>
                <w:noProof/>
              </w:rPr>
              <w:t>C5.R2</w:t>
            </w:r>
          </w:p>
          <w:p w14:paraId="144BDDDE" w14:textId="77777777" w:rsidR="003F46B9" w:rsidRDefault="0065662E">
            <w:pPr>
              <w:pStyle w:val="P68B1DB1-Normal35"/>
              <w:spacing w:after="0"/>
              <w:jc w:val="both"/>
              <w:rPr>
                <w:noProof/>
              </w:rPr>
            </w:pPr>
            <w:r>
              <w:rPr>
                <w:noProof/>
              </w:rPr>
              <w:t>Strateški, zakonodavni i postupovni okvir za potporu otpornosti zgrada na potrese</w:t>
            </w:r>
          </w:p>
        </w:tc>
        <w:tc>
          <w:tcPr>
            <w:tcW w:w="1275" w:type="dxa"/>
            <w:tcBorders>
              <w:top w:val="nil"/>
              <w:left w:val="nil"/>
              <w:bottom w:val="single" w:sz="4" w:space="0" w:color="auto"/>
              <w:right w:val="single" w:sz="4" w:space="0" w:color="auto"/>
            </w:tcBorders>
            <w:shd w:val="clear" w:color="auto" w:fill="C6EFCE"/>
            <w:noWrap/>
          </w:tcPr>
          <w:p w14:paraId="3D8B39D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13766D8" w14:textId="77777777" w:rsidR="003F46B9" w:rsidRDefault="0065662E">
            <w:pPr>
              <w:pStyle w:val="P68B1DB1-Normal35"/>
              <w:spacing w:after="0"/>
              <w:jc w:val="both"/>
              <w:rPr>
                <w:noProof/>
              </w:rPr>
            </w:pPr>
            <w:r>
              <w:rPr>
                <w:noProof/>
              </w:rPr>
              <w:t xml:space="preserve">Donošenje i </w:t>
            </w:r>
            <w:r>
              <w:rPr>
                <w:noProof/>
              </w:rPr>
              <w:t>provedba nacionalne strategije za smanjenje rizika od potresa za seizmičku prilagodbu postojećeg fonda zgrada</w:t>
            </w:r>
          </w:p>
        </w:tc>
      </w:tr>
      <w:tr w:rsidR="003F46B9" w14:paraId="6A7EA728"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23C1D8F" w14:textId="77777777" w:rsidR="003F46B9" w:rsidRDefault="0065662E">
            <w:pPr>
              <w:pStyle w:val="P68B1DB1-Normal35"/>
              <w:spacing w:after="0"/>
              <w:jc w:val="center"/>
              <w:rPr>
                <w:noProof/>
              </w:rPr>
            </w:pPr>
            <w:r>
              <w:rPr>
                <w:noProof/>
              </w:rPr>
              <w:t>94</w:t>
            </w:r>
          </w:p>
        </w:tc>
        <w:tc>
          <w:tcPr>
            <w:tcW w:w="3544" w:type="dxa"/>
            <w:tcBorders>
              <w:top w:val="nil"/>
              <w:left w:val="nil"/>
              <w:bottom w:val="single" w:sz="4" w:space="0" w:color="auto"/>
              <w:right w:val="single" w:sz="4" w:space="0" w:color="auto"/>
            </w:tcBorders>
            <w:shd w:val="clear" w:color="auto" w:fill="C6EFCE"/>
            <w:noWrap/>
          </w:tcPr>
          <w:p w14:paraId="1746BF08" w14:textId="77777777" w:rsidR="003F46B9" w:rsidRDefault="0065662E">
            <w:pPr>
              <w:pStyle w:val="P68B1DB1-Normal35"/>
              <w:spacing w:after="0"/>
              <w:jc w:val="both"/>
              <w:rPr>
                <w:noProof/>
              </w:rPr>
            </w:pPr>
            <w:r>
              <w:rPr>
                <w:noProof/>
              </w:rPr>
              <w:t>C5.R2</w:t>
            </w:r>
          </w:p>
          <w:p w14:paraId="101B65B5" w14:textId="77777777" w:rsidR="003F46B9" w:rsidRDefault="0065662E">
            <w:pPr>
              <w:pStyle w:val="P68B1DB1-Normal35"/>
              <w:spacing w:after="0"/>
              <w:jc w:val="both"/>
              <w:rPr>
                <w:noProof/>
              </w:rPr>
            </w:pPr>
            <w:r>
              <w:rPr>
                <w:noProof/>
              </w:rPr>
              <w:t>Strateški, zakonodavni i postupovni okvir za potporu otpornosti zgrada na potrese</w:t>
            </w:r>
          </w:p>
        </w:tc>
        <w:tc>
          <w:tcPr>
            <w:tcW w:w="1275" w:type="dxa"/>
            <w:tcBorders>
              <w:top w:val="nil"/>
              <w:left w:val="nil"/>
              <w:bottom w:val="single" w:sz="4" w:space="0" w:color="auto"/>
              <w:right w:val="single" w:sz="4" w:space="0" w:color="auto"/>
            </w:tcBorders>
            <w:shd w:val="clear" w:color="auto" w:fill="C6EFCE"/>
            <w:noWrap/>
          </w:tcPr>
          <w:p w14:paraId="0619956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E84DF7E" w14:textId="77777777" w:rsidR="003F46B9" w:rsidRDefault="0065662E">
            <w:pPr>
              <w:pStyle w:val="P68B1DB1-Normal35"/>
              <w:spacing w:after="0"/>
              <w:jc w:val="both"/>
              <w:rPr>
                <w:noProof/>
              </w:rPr>
            </w:pPr>
            <w:r>
              <w:rPr>
                <w:noProof/>
              </w:rPr>
              <w:t>Stupanje na snagu zakonodavnog okvira za smanjenje r</w:t>
            </w:r>
            <w:r>
              <w:rPr>
                <w:noProof/>
              </w:rPr>
              <w:t>izika od potresa u zgradama</w:t>
            </w:r>
          </w:p>
        </w:tc>
      </w:tr>
      <w:tr w:rsidR="003F46B9" w14:paraId="63CA26A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17DFA730" w14:textId="77777777" w:rsidR="003F46B9" w:rsidRDefault="0065662E">
            <w:pPr>
              <w:pStyle w:val="P68B1DB1-Normal35"/>
              <w:spacing w:after="0"/>
              <w:jc w:val="center"/>
              <w:rPr>
                <w:noProof/>
              </w:rPr>
            </w:pPr>
            <w:r>
              <w:rPr>
                <w:noProof/>
              </w:rPr>
              <w:t>99</w:t>
            </w:r>
          </w:p>
          <w:p w14:paraId="7A1DA75D" w14:textId="77777777" w:rsidR="003F46B9" w:rsidRDefault="003F46B9">
            <w:pPr>
              <w:spacing w:after="0"/>
              <w:jc w:val="center"/>
              <w:rPr>
                <w:rFonts w:ascii="Times New Roman" w:hAnsi="Times New Roman" w:cs="Times New Roman"/>
                <w:noProof/>
              </w:rPr>
            </w:pPr>
          </w:p>
        </w:tc>
        <w:tc>
          <w:tcPr>
            <w:tcW w:w="3544" w:type="dxa"/>
            <w:tcBorders>
              <w:top w:val="nil"/>
              <w:left w:val="nil"/>
              <w:bottom w:val="single" w:sz="4" w:space="0" w:color="auto"/>
              <w:right w:val="single" w:sz="4" w:space="0" w:color="auto"/>
            </w:tcBorders>
            <w:shd w:val="clear" w:color="auto" w:fill="C6EFCE"/>
            <w:noWrap/>
          </w:tcPr>
          <w:p w14:paraId="5EAA8D33" w14:textId="77777777" w:rsidR="003F46B9" w:rsidRDefault="0065662E">
            <w:pPr>
              <w:pStyle w:val="P68B1DB1-Normal35"/>
              <w:spacing w:after="0"/>
              <w:jc w:val="both"/>
              <w:rPr>
                <w:noProof/>
              </w:rPr>
            </w:pPr>
            <w:r>
              <w:rPr>
                <w:noProof/>
              </w:rPr>
              <w:t>C5.I1</w:t>
            </w:r>
          </w:p>
          <w:p w14:paraId="4FF7C574" w14:textId="77777777" w:rsidR="003F46B9" w:rsidRDefault="0065662E">
            <w:pPr>
              <w:pStyle w:val="P68B1DB1-Normal35"/>
              <w:spacing w:after="0"/>
              <w:jc w:val="both"/>
              <w:rPr>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6F5ECA81"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28BAF20" w14:textId="77777777" w:rsidR="003F46B9" w:rsidRDefault="0065662E">
            <w:pPr>
              <w:pStyle w:val="P68B1DB1-Normal35"/>
              <w:spacing w:after="0"/>
              <w:jc w:val="both"/>
              <w:rPr>
                <w:noProof/>
              </w:rPr>
            </w:pPr>
            <w:r>
              <w:rPr>
                <w:noProof/>
              </w:rPr>
              <w:t xml:space="preserve">Potpisivanje ugovora za obnovu radi povećanja energetske učinkovitosti i integriranu obnovu (seizmička konsolidacija i </w:t>
            </w:r>
            <w:r>
              <w:rPr>
                <w:noProof/>
              </w:rPr>
              <w:t>energetska učinkovitost) stambenih zgrada</w:t>
            </w:r>
          </w:p>
        </w:tc>
      </w:tr>
      <w:tr w:rsidR="003F46B9" w14:paraId="74FB971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D38DDAE" w14:textId="77777777" w:rsidR="003F46B9" w:rsidRDefault="0065662E">
            <w:pPr>
              <w:pStyle w:val="P68B1DB1-Normal35"/>
              <w:spacing w:after="0"/>
              <w:jc w:val="center"/>
              <w:rPr>
                <w:noProof/>
              </w:rPr>
            </w:pPr>
            <w:r>
              <w:rPr>
                <w:noProof/>
              </w:rPr>
              <w:t>100</w:t>
            </w:r>
          </w:p>
        </w:tc>
        <w:tc>
          <w:tcPr>
            <w:tcW w:w="3544" w:type="dxa"/>
            <w:tcBorders>
              <w:top w:val="nil"/>
              <w:left w:val="nil"/>
              <w:bottom w:val="single" w:sz="4" w:space="0" w:color="auto"/>
              <w:right w:val="single" w:sz="4" w:space="0" w:color="auto"/>
            </w:tcBorders>
            <w:shd w:val="clear" w:color="auto" w:fill="C6EFCE"/>
            <w:noWrap/>
          </w:tcPr>
          <w:p w14:paraId="699D4B54" w14:textId="77777777" w:rsidR="003F46B9" w:rsidRDefault="0065662E">
            <w:pPr>
              <w:pStyle w:val="P68B1DB1-Normal35"/>
              <w:spacing w:after="0"/>
              <w:jc w:val="both"/>
              <w:rPr>
                <w:noProof/>
              </w:rPr>
            </w:pPr>
            <w:r>
              <w:rPr>
                <w:noProof/>
              </w:rPr>
              <w:t>C5.I1</w:t>
            </w:r>
          </w:p>
          <w:p w14:paraId="525FBDAA" w14:textId="77777777" w:rsidR="003F46B9" w:rsidRDefault="0065662E">
            <w:pPr>
              <w:pStyle w:val="P68B1DB1-Normal35"/>
              <w:spacing w:after="0"/>
              <w:jc w:val="both"/>
              <w:rPr>
                <w:noProof/>
              </w:rPr>
            </w:pPr>
            <w:r>
              <w:rPr>
                <w:noProof/>
              </w:rPr>
              <w:t>Uspostava fonda za val obnove za financiranje radova na poboljšanju postojećeg fonda zgrada</w:t>
            </w:r>
          </w:p>
        </w:tc>
        <w:tc>
          <w:tcPr>
            <w:tcW w:w="1275" w:type="dxa"/>
            <w:tcBorders>
              <w:top w:val="nil"/>
              <w:left w:val="nil"/>
              <w:bottom w:val="single" w:sz="4" w:space="0" w:color="auto"/>
              <w:right w:val="single" w:sz="4" w:space="0" w:color="auto"/>
            </w:tcBorders>
            <w:shd w:val="clear" w:color="auto" w:fill="C6EFCE"/>
            <w:noWrap/>
          </w:tcPr>
          <w:p w14:paraId="3DFC0F0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9D96B71" w14:textId="77777777" w:rsidR="003F46B9" w:rsidRDefault="0065662E">
            <w:pPr>
              <w:pStyle w:val="P68B1DB1-Normal35"/>
              <w:spacing w:after="0"/>
              <w:jc w:val="both"/>
              <w:rPr>
                <w:noProof/>
              </w:rPr>
            </w:pPr>
            <w:r>
              <w:rPr>
                <w:noProof/>
              </w:rPr>
              <w:t xml:space="preserve">Potpisivanje ugovora za obnovu radi povećanja energetske učinkovitosti i integriranu obnovu (seizmička </w:t>
            </w:r>
            <w:r>
              <w:rPr>
                <w:noProof/>
              </w:rPr>
              <w:t>konsolidacija i energetska učinkovitost) za javne zgrade</w:t>
            </w:r>
          </w:p>
        </w:tc>
      </w:tr>
      <w:tr w:rsidR="003F46B9" w14:paraId="58A989D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2E0C477" w14:textId="77777777" w:rsidR="003F46B9" w:rsidRDefault="0065662E">
            <w:pPr>
              <w:pStyle w:val="P68B1DB1-Normal35"/>
              <w:spacing w:after="0"/>
              <w:jc w:val="center"/>
              <w:rPr>
                <w:noProof/>
              </w:rPr>
            </w:pPr>
            <w:r>
              <w:rPr>
                <w:noProof/>
              </w:rPr>
              <w:t>243</w:t>
            </w:r>
          </w:p>
        </w:tc>
        <w:tc>
          <w:tcPr>
            <w:tcW w:w="3544" w:type="dxa"/>
            <w:tcBorders>
              <w:top w:val="nil"/>
              <w:left w:val="nil"/>
              <w:bottom w:val="single" w:sz="4" w:space="0" w:color="auto"/>
              <w:right w:val="single" w:sz="4" w:space="0" w:color="auto"/>
            </w:tcBorders>
            <w:shd w:val="clear" w:color="auto" w:fill="C6EFCE"/>
            <w:noWrap/>
          </w:tcPr>
          <w:p w14:paraId="33DE0B88" w14:textId="77777777" w:rsidR="003F46B9" w:rsidRDefault="0065662E">
            <w:pPr>
              <w:pStyle w:val="P68B1DB1-Normal35"/>
              <w:spacing w:after="0"/>
              <w:jc w:val="both"/>
              <w:rPr>
                <w:noProof/>
              </w:rPr>
            </w:pPr>
            <w:r>
              <w:rPr>
                <w:noProof/>
              </w:rPr>
              <w:t>C9.R1</w:t>
            </w:r>
          </w:p>
          <w:p w14:paraId="686D3573" w14:textId="77777777" w:rsidR="003F46B9" w:rsidRDefault="0065662E">
            <w:pPr>
              <w:pStyle w:val="P68B1DB1-Normal35"/>
              <w:spacing w:after="0"/>
              <w:jc w:val="both"/>
              <w:rPr>
                <w:noProof/>
              </w:rPr>
            </w:pPr>
            <w:r>
              <w:rPr>
                <w:noProof/>
              </w:rPr>
              <w:t xml:space="preserve">Zakonodavna transparentnost, debirokratizacija i pojednostavnjenje postupaka za poduzeća </w:t>
            </w:r>
          </w:p>
        </w:tc>
        <w:tc>
          <w:tcPr>
            <w:tcW w:w="1275" w:type="dxa"/>
            <w:tcBorders>
              <w:top w:val="nil"/>
              <w:left w:val="nil"/>
              <w:bottom w:val="single" w:sz="4" w:space="0" w:color="auto"/>
              <w:right w:val="single" w:sz="4" w:space="0" w:color="auto"/>
            </w:tcBorders>
            <w:shd w:val="clear" w:color="auto" w:fill="C6EFCE"/>
            <w:noWrap/>
          </w:tcPr>
          <w:p w14:paraId="40A85CD6"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5FE5257" w14:textId="77777777" w:rsidR="003F46B9" w:rsidRDefault="0065662E">
            <w:pPr>
              <w:pStyle w:val="P68B1DB1-Normal35"/>
              <w:spacing w:after="0"/>
              <w:jc w:val="both"/>
              <w:rPr>
                <w:noProof/>
              </w:rPr>
            </w:pPr>
            <w:r>
              <w:rPr>
                <w:noProof/>
              </w:rPr>
              <w:t xml:space="preserve">Stupanje na snagu zakona „jedinstvena industrijska dozvola” </w:t>
            </w:r>
          </w:p>
        </w:tc>
      </w:tr>
      <w:tr w:rsidR="003F46B9" w14:paraId="4CA3AF6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7B1A5D83" w14:textId="77777777" w:rsidR="003F46B9" w:rsidRDefault="0065662E">
            <w:pPr>
              <w:pStyle w:val="P68B1DB1-Normal35"/>
              <w:spacing w:after="0"/>
              <w:jc w:val="center"/>
              <w:rPr>
                <w:noProof/>
              </w:rPr>
            </w:pPr>
            <w:r>
              <w:rPr>
                <w:noProof/>
              </w:rPr>
              <w:t>264</w:t>
            </w:r>
          </w:p>
        </w:tc>
        <w:tc>
          <w:tcPr>
            <w:tcW w:w="3544" w:type="dxa"/>
            <w:tcBorders>
              <w:top w:val="nil"/>
              <w:left w:val="nil"/>
              <w:bottom w:val="single" w:sz="4" w:space="0" w:color="auto"/>
              <w:right w:val="single" w:sz="4" w:space="0" w:color="auto"/>
            </w:tcBorders>
            <w:shd w:val="clear" w:color="auto" w:fill="C6EFCE"/>
            <w:noWrap/>
          </w:tcPr>
          <w:p w14:paraId="3D826B51" w14:textId="77777777" w:rsidR="003F46B9" w:rsidRDefault="0065662E">
            <w:pPr>
              <w:pStyle w:val="P68B1DB1-Normal35"/>
              <w:spacing w:after="0"/>
              <w:jc w:val="both"/>
              <w:rPr>
                <w:noProof/>
              </w:rPr>
            </w:pPr>
            <w:r>
              <w:rPr>
                <w:noProof/>
              </w:rPr>
              <w:t xml:space="preserve">C9.I3.2. </w:t>
            </w:r>
          </w:p>
          <w:p w14:paraId="4F5BDEA9" w14:textId="77777777" w:rsidR="003F46B9" w:rsidRDefault="0065662E">
            <w:pPr>
              <w:pStyle w:val="P68B1DB1-Normal35"/>
              <w:spacing w:after="0"/>
              <w:jc w:val="both"/>
              <w:rPr>
                <w:noProof/>
              </w:rPr>
            </w:pPr>
            <w:r>
              <w:rPr>
                <w:noProof/>
              </w:rPr>
              <w:t>Programi potpora pri</w:t>
            </w:r>
            <w:r>
              <w:rPr>
                <w:noProof/>
              </w:rPr>
              <w:t xml:space="preserve">vatnom sektoru – program de minimis za pomoć rumunjskim poduzećima u uvrštavanju na burzu </w:t>
            </w:r>
          </w:p>
        </w:tc>
        <w:tc>
          <w:tcPr>
            <w:tcW w:w="1275" w:type="dxa"/>
            <w:tcBorders>
              <w:top w:val="nil"/>
              <w:left w:val="nil"/>
              <w:bottom w:val="single" w:sz="4" w:space="0" w:color="auto"/>
              <w:right w:val="single" w:sz="4" w:space="0" w:color="auto"/>
            </w:tcBorders>
            <w:shd w:val="clear" w:color="auto" w:fill="C6EFCE"/>
            <w:noWrap/>
          </w:tcPr>
          <w:p w14:paraId="1279EA3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1BEEC3" w14:textId="77777777" w:rsidR="003F46B9" w:rsidRDefault="0065662E">
            <w:pPr>
              <w:pStyle w:val="P68B1DB1-Normal35"/>
              <w:spacing w:after="0"/>
              <w:jc w:val="both"/>
              <w:rPr>
                <w:noProof/>
              </w:rPr>
            </w:pPr>
            <w:r>
              <w:rPr>
                <w:noProof/>
              </w:rPr>
              <w:t>Odabir administratora sustava</w:t>
            </w:r>
          </w:p>
        </w:tc>
      </w:tr>
      <w:tr w:rsidR="003F46B9" w14:paraId="77D56B29"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6304EEC" w14:textId="77777777" w:rsidR="003F46B9" w:rsidRDefault="0065662E">
            <w:pPr>
              <w:pStyle w:val="P68B1DB1-Normal35"/>
              <w:spacing w:after="0"/>
              <w:jc w:val="center"/>
              <w:rPr>
                <w:noProof/>
              </w:rPr>
            </w:pPr>
            <w:r>
              <w:rPr>
                <w:noProof/>
              </w:rPr>
              <w:t>268</w:t>
            </w:r>
          </w:p>
        </w:tc>
        <w:tc>
          <w:tcPr>
            <w:tcW w:w="3544" w:type="dxa"/>
            <w:tcBorders>
              <w:top w:val="nil"/>
              <w:left w:val="nil"/>
              <w:bottom w:val="single" w:sz="4" w:space="0" w:color="auto"/>
              <w:right w:val="single" w:sz="4" w:space="0" w:color="auto"/>
            </w:tcBorders>
            <w:shd w:val="clear" w:color="auto" w:fill="C6EFCE"/>
            <w:noWrap/>
          </w:tcPr>
          <w:p w14:paraId="66509F54" w14:textId="77777777" w:rsidR="003F46B9" w:rsidRDefault="0065662E">
            <w:pPr>
              <w:pStyle w:val="P68B1DB1-Normal35"/>
              <w:spacing w:after="0"/>
              <w:jc w:val="both"/>
              <w:rPr>
                <w:noProof/>
              </w:rPr>
            </w:pPr>
            <w:r>
              <w:rPr>
                <w:noProof/>
              </w:rPr>
              <w:t>C9.I4</w:t>
            </w:r>
          </w:p>
          <w:p w14:paraId="3DFD536D" w14:textId="77777777" w:rsidR="003F46B9" w:rsidRDefault="0065662E">
            <w:pPr>
              <w:pStyle w:val="P68B1DB1-Normal35"/>
              <w:spacing w:after="0"/>
              <w:jc w:val="both"/>
              <w:rPr>
                <w:noProof/>
              </w:rPr>
            </w:pPr>
            <w:r>
              <w:rPr>
                <w:noProof/>
              </w:rPr>
              <w:t>Prekogranični i višedržavni projekti – procesori niske potrošnje energije</w:t>
            </w:r>
            <w:r>
              <w:rPr>
                <w:noProof/>
              </w:rPr>
              <w:br/>
              <w:t xml:space="preserve">i poluvodički čipovi </w:t>
            </w:r>
          </w:p>
        </w:tc>
        <w:tc>
          <w:tcPr>
            <w:tcW w:w="1275" w:type="dxa"/>
            <w:tcBorders>
              <w:top w:val="nil"/>
              <w:left w:val="nil"/>
              <w:bottom w:val="single" w:sz="4" w:space="0" w:color="auto"/>
              <w:right w:val="single" w:sz="4" w:space="0" w:color="auto"/>
            </w:tcBorders>
            <w:shd w:val="clear" w:color="auto" w:fill="C6EFCE"/>
            <w:noWrap/>
          </w:tcPr>
          <w:p w14:paraId="3A76446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62A1786" w14:textId="77777777" w:rsidR="003F46B9" w:rsidRDefault="0065662E">
            <w:pPr>
              <w:pStyle w:val="P68B1DB1-Normal35"/>
              <w:spacing w:after="0"/>
              <w:jc w:val="both"/>
              <w:rPr>
                <w:noProof/>
              </w:rPr>
            </w:pPr>
            <w:r>
              <w:rPr>
                <w:noProof/>
              </w:rPr>
              <w:t xml:space="preserve">Subjekti u konzorcijima </w:t>
            </w:r>
            <w:r>
              <w:rPr>
                <w:noProof/>
              </w:rPr>
              <w:t>koji sudjeluju u pozivima na podnošenje projekata Zajedničkog poduzeća za ključne digitalne tehnologije (Zajedničko poduzeće KDT)</w:t>
            </w:r>
          </w:p>
        </w:tc>
      </w:tr>
      <w:tr w:rsidR="003F46B9" w14:paraId="3F8502D3"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17CEAEC" w14:textId="77777777" w:rsidR="003F46B9" w:rsidRDefault="0065662E">
            <w:pPr>
              <w:pStyle w:val="P68B1DB1-Normal35"/>
              <w:spacing w:after="0"/>
              <w:jc w:val="center"/>
              <w:rPr>
                <w:noProof/>
              </w:rPr>
            </w:pPr>
            <w:r>
              <w:rPr>
                <w:noProof/>
              </w:rPr>
              <w:t>278</w:t>
            </w:r>
          </w:p>
        </w:tc>
        <w:tc>
          <w:tcPr>
            <w:tcW w:w="3544" w:type="dxa"/>
            <w:tcBorders>
              <w:top w:val="nil"/>
              <w:left w:val="nil"/>
              <w:bottom w:val="single" w:sz="4" w:space="0" w:color="auto"/>
              <w:right w:val="single" w:sz="4" w:space="0" w:color="auto"/>
            </w:tcBorders>
            <w:shd w:val="clear" w:color="auto" w:fill="C6EFCE"/>
            <w:noWrap/>
          </w:tcPr>
          <w:p w14:paraId="404D3048" w14:textId="77777777" w:rsidR="003F46B9" w:rsidRDefault="0065662E">
            <w:pPr>
              <w:pStyle w:val="P68B1DB1-Normal35"/>
              <w:spacing w:after="0"/>
              <w:jc w:val="both"/>
              <w:rPr>
                <w:noProof/>
              </w:rPr>
            </w:pPr>
            <w:r>
              <w:rPr>
                <w:noProof/>
              </w:rPr>
              <w:t xml:space="preserve">C9.R5 </w:t>
            </w:r>
          </w:p>
          <w:p w14:paraId="6C421E1C" w14:textId="77777777" w:rsidR="003F46B9" w:rsidRDefault="0065662E">
            <w:pPr>
              <w:pStyle w:val="P68B1DB1-Normal35"/>
              <w:spacing w:after="0"/>
              <w:jc w:val="both"/>
              <w:rPr>
                <w:noProof/>
              </w:rPr>
            </w:pPr>
            <w:r>
              <w:rPr>
                <w:noProof/>
              </w:rPr>
              <w:t>Potpora integraciji organizacija za istraživanje, razvoj i inovacije u Rumunjskoj u europski istraživački prostor</w:t>
            </w:r>
          </w:p>
        </w:tc>
        <w:tc>
          <w:tcPr>
            <w:tcW w:w="1275" w:type="dxa"/>
            <w:tcBorders>
              <w:top w:val="nil"/>
              <w:left w:val="nil"/>
              <w:bottom w:val="single" w:sz="4" w:space="0" w:color="auto"/>
              <w:right w:val="single" w:sz="4" w:space="0" w:color="auto"/>
            </w:tcBorders>
            <w:shd w:val="clear" w:color="auto" w:fill="C6EFCE"/>
            <w:noWrap/>
          </w:tcPr>
          <w:p w14:paraId="3F89FDD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BDC5A68" w14:textId="77777777" w:rsidR="003F46B9" w:rsidRDefault="0065662E">
            <w:pPr>
              <w:pStyle w:val="P68B1DB1-Normal35"/>
              <w:spacing w:after="0"/>
              <w:jc w:val="both"/>
              <w:rPr>
                <w:noProof/>
              </w:rPr>
            </w:pPr>
            <w:r>
              <w:rPr>
                <w:noProof/>
              </w:rPr>
              <w:t>Stupanje na snagu zakona kojim se potiču, olakšavaju i uređuju dobrovoljna i funkcionalna integracija i spajanje istraživačkih ustanova u Rumunjskoj</w:t>
            </w:r>
          </w:p>
        </w:tc>
      </w:tr>
      <w:tr w:rsidR="003F46B9" w14:paraId="230D6171"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CA3796" w14:textId="77777777" w:rsidR="003F46B9" w:rsidRDefault="0065662E">
            <w:pPr>
              <w:pStyle w:val="P68B1DB1-Normal35"/>
              <w:spacing w:after="0"/>
              <w:jc w:val="center"/>
              <w:rPr>
                <w:noProof/>
              </w:rPr>
            </w:pPr>
            <w:r>
              <w:rPr>
                <w:noProof/>
              </w:rPr>
              <w:t>280</w:t>
            </w:r>
          </w:p>
        </w:tc>
        <w:tc>
          <w:tcPr>
            <w:tcW w:w="3544" w:type="dxa"/>
            <w:tcBorders>
              <w:top w:val="nil"/>
              <w:left w:val="nil"/>
              <w:bottom w:val="single" w:sz="4" w:space="0" w:color="auto"/>
              <w:right w:val="single" w:sz="4" w:space="0" w:color="auto"/>
            </w:tcBorders>
            <w:shd w:val="clear" w:color="auto" w:fill="C6EFCE"/>
            <w:noWrap/>
          </w:tcPr>
          <w:p w14:paraId="24C354A7" w14:textId="77777777" w:rsidR="003F46B9" w:rsidRDefault="0065662E">
            <w:pPr>
              <w:pStyle w:val="P68B1DB1-Normal35"/>
              <w:spacing w:after="0"/>
              <w:jc w:val="both"/>
              <w:rPr>
                <w:noProof/>
              </w:rPr>
            </w:pPr>
            <w:r>
              <w:rPr>
                <w:noProof/>
              </w:rPr>
              <w:t xml:space="preserve">C9.I5 </w:t>
            </w:r>
          </w:p>
          <w:p w14:paraId="74935884" w14:textId="77777777" w:rsidR="003F46B9" w:rsidRDefault="0065662E">
            <w:pPr>
              <w:pStyle w:val="P68B1DB1-Normal35"/>
              <w:spacing w:after="0"/>
              <w:jc w:val="both"/>
              <w:rPr>
                <w:noProof/>
              </w:rPr>
            </w:pPr>
            <w:r>
              <w:rPr>
                <w:noProof/>
              </w:rPr>
              <w:t xml:space="preserve">Osnivanje i operacionalizacija centara za stručnost </w:t>
            </w:r>
          </w:p>
        </w:tc>
        <w:tc>
          <w:tcPr>
            <w:tcW w:w="1275" w:type="dxa"/>
            <w:tcBorders>
              <w:top w:val="nil"/>
              <w:left w:val="nil"/>
              <w:bottom w:val="single" w:sz="4" w:space="0" w:color="auto"/>
              <w:right w:val="single" w:sz="4" w:space="0" w:color="auto"/>
            </w:tcBorders>
            <w:shd w:val="clear" w:color="auto" w:fill="C6EFCE"/>
            <w:noWrap/>
          </w:tcPr>
          <w:p w14:paraId="53B7B59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9BE4296" w14:textId="77777777" w:rsidR="003F46B9" w:rsidRDefault="0065662E">
            <w:pPr>
              <w:pStyle w:val="P68B1DB1-Normal35"/>
              <w:spacing w:after="0"/>
              <w:jc w:val="both"/>
              <w:rPr>
                <w:noProof/>
              </w:rPr>
            </w:pPr>
            <w:r>
              <w:rPr>
                <w:noProof/>
              </w:rPr>
              <w:t>Osnivanje 5 centara za stručnost</w:t>
            </w:r>
          </w:p>
        </w:tc>
      </w:tr>
      <w:tr w:rsidR="003F46B9" w14:paraId="6F9925EE"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535FE392" w14:textId="77777777" w:rsidR="003F46B9" w:rsidRDefault="0065662E">
            <w:pPr>
              <w:pStyle w:val="P68B1DB1-Normal35"/>
              <w:spacing w:after="0"/>
              <w:jc w:val="center"/>
              <w:rPr>
                <w:noProof/>
              </w:rPr>
            </w:pPr>
            <w:r>
              <w:rPr>
                <w:noProof/>
              </w:rPr>
              <w:t>308</w:t>
            </w:r>
          </w:p>
        </w:tc>
        <w:tc>
          <w:tcPr>
            <w:tcW w:w="3544" w:type="dxa"/>
            <w:tcBorders>
              <w:top w:val="nil"/>
              <w:left w:val="nil"/>
              <w:bottom w:val="single" w:sz="4" w:space="0" w:color="auto"/>
              <w:right w:val="single" w:sz="4" w:space="0" w:color="auto"/>
            </w:tcBorders>
            <w:shd w:val="clear" w:color="auto" w:fill="C6EFCE"/>
            <w:noWrap/>
          </w:tcPr>
          <w:p w14:paraId="20AA48BC" w14:textId="77777777" w:rsidR="003F46B9" w:rsidRDefault="0065662E">
            <w:pPr>
              <w:pStyle w:val="P68B1DB1-Normal35"/>
              <w:spacing w:after="0"/>
              <w:jc w:val="both"/>
              <w:rPr>
                <w:noProof/>
              </w:rPr>
            </w:pPr>
            <w:r>
              <w:rPr>
                <w:noProof/>
              </w:rPr>
              <w:t>C10.R2</w:t>
            </w:r>
          </w:p>
          <w:p w14:paraId="3FB50EF7" w14:textId="77777777" w:rsidR="003F46B9" w:rsidRDefault="0065662E">
            <w:pPr>
              <w:pStyle w:val="P68B1DB1-Normal35"/>
              <w:spacing w:after="0"/>
              <w:jc w:val="both"/>
              <w:rPr>
                <w:noProof/>
              </w:rPr>
            </w:pPr>
            <w:r>
              <w:rPr>
                <w:noProof/>
              </w:rPr>
              <w:t>Stvaranje političkog okvira za održivu preobrazbu gradova</w:t>
            </w:r>
          </w:p>
        </w:tc>
        <w:tc>
          <w:tcPr>
            <w:tcW w:w="1275" w:type="dxa"/>
            <w:tcBorders>
              <w:top w:val="nil"/>
              <w:left w:val="nil"/>
              <w:bottom w:val="single" w:sz="4" w:space="0" w:color="auto"/>
              <w:right w:val="single" w:sz="4" w:space="0" w:color="auto"/>
            </w:tcBorders>
            <w:shd w:val="clear" w:color="auto" w:fill="C6EFCE"/>
            <w:noWrap/>
          </w:tcPr>
          <w:p w14:paraId="200BFC3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6D68AD8" w14:textId="77777777" w:rsidR="003F46B9" w:rsidRDefault="0065662E">
            <w:pPr>
              <w:pStyle w:val="P68B1DB1-Normal35"/>
              <w:spacing w:after="0"/>
              <w:jc w:val="both"/>
              <w:rPr>
                <w:noProof/>
              </w:rPr>
            </w:pPr>
            <w:r>
              <w:rPr>
                <w:noProof/>
              </w:rPr>
              <w:t>Stupanje na snagu Odluke Vlade o uspostavi okvira za urbanu politiku Rumunjske</w:t>
            </w:r>
          </w:p>
        </w:tc>
      </w:tr>
      <w:tr w:rsidR="003F46B9" w14:paraId="5BBFE904"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15114C5" w14:textId="77777777" w:rsidR="003F46B9" w:rsidRDefault="0065662E">
            <w:pPr>
              <w:pStyle w:val="P68B1DB1-Normal35"/>
              <w:spacing w:after="0"/>
              <w:jc w:val="center"/>
              <w:rPr>
                <w:noProof/>
              </w:rPr>
            </w:pPr>
            <w:r>
              <w:rPr>
                <w:noProof/>
              </w:rPr>
              <w:t>310</w:t>
            </w:r>
          </w:p>
        </w:tc>
        <w:tc>
          <w:tcPr>
            <w:tcW w:w="3544" w:type="dxa"/>
            <w:tcBorders>
              <w:top w:val="nil"/>
              <w:left w:val="nil"/>
              <w:bottom w:val="single" w:sz="4" w:space="0" w:color="auto"/>
              <w:right w:val="single" w:sz="4" w:space="0" w:color="auto"/>
            </w:tcBorders>
            <w:shd w:val="clear" w:color="auto" w:fill="C6EFCE"/>
            <w:noWrap/>
          </w:tcPr>
          <w:p w14:paraId="7E96A666" w14:textId="77777777" w:rsidR="003F46B9" w:rsidRDefault="0065662E">
            <w:pPr>
              <w:pStyle w:val="P68B1DB1-Normal35"/>
              <w:spacing w:after="0"/>
              <w:jc w:val="both"/>
              <w:rPr>
                <w:noProof/>
              </w:rPr>
            </w:pPr>
            <w:r>
              <w:rPr>
                <w:noProof/>
              </w:rPr>
              <w:t xml:space="preserve">C10.R3 </w:t>
            </w:r>
          </w:p>
          <w:p w14:paraId="747A9947" w14:textId="498FFC1E" w:rsidR="003F46B9" w:rsidRDefault="0065662E">
            <w:pPr>
              <w:pStyle w:val="P68B1DB1-Normal35"/>
              <w:spacing w:after="0"/>
              <w:jc w:val="both"/>
              <w:rPr>
                <w:noProof/>
              </w:rPr>
            </w:pPr>
            <w:r>
              <w:rPr>
                <w:noProof/>
              </w:rPr>
              <w:t xml:space="preserve">Stvaranje političkog okvira za održivu preobrazbu ruralnih područja: uspostava administrativnih konzorcija u funkcionalnim ruralnim područjima </w:t>
            </w:r>
          </w:p>
        </w:tc>
        <w:tc>
          <w:tcPr>
            <w:tcW w:w="1275" w:type="dxa"/>
            <w:tcBorders>
              <w:top w:val="nil"/>
              <w:left w:val="nil"/>
              <w:bottom w:val="single" w:sz="4" w:space="0" w:color="auto"/>
              <w:right w:val="single" w:sz="4" w:space="0" w:color="auto"/>
            </w:tcBorders>
            <w:shd w:val="clear" w:color="auto" w:fill="C6EFCE"/>
            <w:noWrap/>
          </w:tcPr>
          <w:p w14:paraId="1E572D4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171F490" w14:textId="77777777" w:rsidR="003F46B9" w:rsidRDefault="0065662E">
            <w:pPr>
              <w:pStyle w:val="P68B1DB1-Normal35"/>
              <w:spacing w:after="0"/>
              <w:jc w:val="both"/>
              <w:rPr>
                <w:noProof/>
              </w:rPr>
            </w:pPr>
            <w:r>
              <w:rPr>
                <w:noProof/>
              </w:rPr>
              <w:t>Stupanje na snagu zakonodavnog akta o izmjeni Upravnog zakonika i osnivanju upravnih konzorcija u susjednim ru</w:t>
            </w:r>
            <w:r>
              <w:rPr>
                <w:noProof/>
              </w:rPr>
              <w:t>ralnim ili pretežno ruralnim upravnim teritorijalnim jedinicama koje postoje kao funkcionalna ruralna područja</w:t>
            </w:r>
          </w:p>
        </w:tc>
      </w:tr>
      <w:tr w:rsidR="003F46B9" w14:paraId="2D5DD326"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C5B1AD6" w14:textId="77777777" w:rsidR="003F46B9" w:rsidRDefault="0065662E">
            <w:pPr>
              <w:pStyle w:val="P68B1DB1-Normal35"/>
              <w:spacing w:after="0"/>
              <w:jc w:val="center"/>
              <w:rPr>
                <w:noProof/>
              </w:rPr>
            </w:pPr>
            <w:r>
              <w:rPr>
                <w:noProof/>
              </w:rPr>
              <w:t>317</w:t>
            </w:r>
          </w:p>
        </w:tc>
        <w:tc>
          <w:tcPr>
            <w:tcW w:w="3544" w:type="dxa"/>
            <w:tcBorders>
              <w:top w:val="nil"/>
              <w:left w:val="nil"/>
              <w:bottom w:val="single" w:sz="4" w:space="0" w:color="auto"/>
              <w:right w:val="single" w:sz="4" w:space="0" w:color="auto"/>
            </w:tcBorders>
            <w:shd w:val="clear" w:color="auto" w:fill="C6EFCE"/>
            <w:noWrap/>
          </w:tcPr>
          <w:p w14:paraId="7E218284" w14:textId="77777777" w:rsidR="003F46B9" w:rsidRDefault="0065662E">
            <w:pPr>
              <w:pStyle w:val="P68B1DB1-Normal35"/>
              <w:spacing w:after="0"/>
              <w:jc w:val="both"/>
              <w:rPr>
                <w:noProof/>
              </w:rPr>
            </w:pPr>
            <w:r>
              <w:rPr>
                <w:noProof/>
              </w:rPr>
              <w:t xml:space="preserve">C10.I2 </w:t>
            </w:r>
          </w:p>
          <w:p w14:paraId="66990F0B" w14:textId="77777777" w:rsidR="003F46B9" w:rsidRDefault="0065662E">
            <w:pPr>
              <w:pStyle w:val="P68B1DB1-Normal35"/>
              <w:spacing w:after="0"/>
              <w:jc w:val="both"/>
              <w:rPr>
                <w:noProof/>
              </w:rPr>
            </w:pPr>
            <w:r>
              <w:rPr>
                <w:noProof/>
              </w:rPr>
              <w:t>Izgradnja stambenog prostora za mlade i stručnjake u području zdravstva i obrazovanja</w:t>
            </w:r>
          </w:p>
        </w:tc>
        <w:tc>
          <w:tcPr>
            <w:tcW w:w="1275" w:type="dxa"/>
            <w:tcBorders>
              <w:top w:val="nil"/>
              <w:left w:val="nil"/>
              <w:bottom w:val="single" w:sz="4" w:space="0" w:color="auto"/>
              <w:right w:val="single" w:sz="4" w:space="0" w:color="auto"/>
            </w:tcBorders>
            <w:shd w:val="clear" w:color="auto" w:fill="C6EFCE"/>
            <w:noWrap/>
          </w:tcPr>
          <w:p w14:paraId="18E2F409"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5B8CB58" w14:textId="77777777" w:rsidR="003F46B9" w:rsidRDefault="0065662E">
            <w:pPr>
              <w:pStyle w:val="P68B1DB1-Normal35"/>
              <w:spacing w:after="0"/>
              <w:jc w:val="both"/>
              <w:rPr>
                <w:noProof/>
              </w:rPr>
            </w:pPr>
            <w:r>
              <w:rPr>
                <w:noProof/>
              </w:rPr>
              <w:t>Potpisivanje svih ugovora o javnoj nabavi za</w:t>
            </w:r>
            <w:r>
              <w:rPr>
                <w:noProof/>
              </w:rPr>
              <w:t xml:space="preserve"> izgradnju stambenog prostora za mlade koji dolaze iz ranjivih zajednica i skupina, za stanovanje u hitnim slučajevima te za zdravstvene i obrazovne djelatnike u urbanim i ruralnim područjima </w:t>
            </w:r>
          </w:p>
        </w:tc>
      </w:tr>
      <w:tr w:rsidR="003F46B9" w14:paraId="6F9BF5BA"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037A2D07" w14:textId="77777777" w:rsidR="003F46B9" w:rsidRDefault="0065662E">
            <w:pPr>
              <w:pStyle w:val="P68B1DB1-Normal35"/>
              <w:spacing w:after="0"/>
              <w:jc w:val="center"/>
              <w:rPr>
                <w:noProof/>
              </w:rPr>
            </w:pPr>
            <w:r>
              <w:rPr>
                <w:noProof/>
              </w:rPr>
              <w:t>320</w:t>
            </w:r>
          </w:p>
        </w:tc>
        <w:tc>
          <w:tcPr>
            <w:tcW w:w="3544" w:type="dxa"/>
            <w:tcBorders>
              <w:top w:val="nil"/>
              <w:left w:val="nil"/>
              <w:bottom w:val="single" w:sz="4" w:space="0" w:color="auto"/>
              <w:right w:val="single" w:sz="4" w:space="0" w:color="auto"/>
            </w:tcBorders>
            <w:shd w:val="clear" w:color="auto" w:fill="C6EFCE"/>
            <w:noWrap/>
          </w:tcPr>
          <w:p w14:paraId="011E1F51" w14:textId="77777777" w:rsidR="003F46B9" w:rsidRDefault="0065662E">
            <w:pPr>
              <w:pStyle w:val="P68B1DB1-Normal35"/>
              <w:spacing w:after="0"/>
              <w:jc w:val="both"/>
              <w:rPr>
                <w:noProof/>
              </w:rPr>
            </w:pPr>
            <w:r>
              <w:rPr>
                <w:noProof/>
              </w:rPr>
              <w:t xml:space="preserve">C10.I3 </w:t>
            </w:r>
          </w:p>
          <w:p w14:paraId="7BA41B9F" w14:textId="77777777" w:rsidR="003F46B9" w:rsidRDefault="0065662E">
            <w:pPr>
              <w:pStyle w:val="P68B1DB1-Normal35"/>
              <w:spacing w:after="0"/>
              <w:jc w:val="both"/>
              <w:rPr>
                <w:noProof/>
              </w:rPr>
            </w:pPr>
            <w:r>
              <w:rPr>
                <w:noProof/>
              </w:rPr>
              <w:t xml:space="preserve">Umjerena obnova javnih zgrada kako bi se poboljšalo pružanje javnih usluga upravnih teritorijalnih jedinica </w:t>
            </w:r>
          </w:p>
        </w:tc>
        <w:tc>
          <w:tcPr>
            <w:tcW w:w="1275" w:type="dxa"/>
            <w:tcBorders>
              <w:top w:val="nil"/>
              <w:left w:val="nil"/>
              <w:bottom w:val="single" w:sz="4" w:space="0" w:color="auto"/>
              <w:right w:val="single" w:sz="4" w:space="0" w:color="auto"/>
            </w:tcBorders>
            <w:shd w:val="clear" w:color="auto" w:fill="C6EFCE"/>
            <w:noWrap/>
          </w:tcPr>
          <w:p w14:paraId="61C4A19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F78FD58" w14:textId="77777777" w:rsidR="003F46B9" w:rsidRDefault="0065662E">
            <w:pPr>
              <w:pStyle w:val="P68B1DB1-Normal35"/>
              <w:spacing w:after="0"/>
              <w:jc w:val="both"/>
              <w:rPr>
                <w:noProof/>
              </w:rPr>
            </w:pPr>
            <w:r>
              <w:rPr>
                <w:noProof/>
              </w:rPr>
              <w:t>Potpisivanje ugovora</w:t>
            </w:r>
            <w:r>
              <w:rPr>
                <w:noProof/>
              </w:rPr>
              <w:br/>
              <w:t>za umjerenu obnovu javnih zgrada</w:t>
            </w:r>
          </w:p>
        </w:tc>
      </w:tr>
      <w:tr w:rsidR="003F46B9" w14:paraId="27AB0BDB"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4D2EDBD4" w14:textId="77777777" w:rsidR="003F46B9" w:rsidRDefault="0065662E">
            <w:pPr>
              <w:pStyle w:val="P68B1DB1-Normal35"/>
              <w:spacing w:after="0"/>
              <w:jc w:val="center"/>
              <w:rPr>
                <w:noProof/>
              </w:rPr>
            </w:pPr>
            <w:r>
              <w:rPr>
                <w:noProof/>
              </w:rPr>
              <w:t>323</w:t>
            </w:r>
          </w:p>
        </w:tc>
        <w:tc>
          <w:tcPr>
            <w:tcW w:w="3544" w:type="dxa"/>
            <w:tcBorders>
              <w:top w:val="nil"/>
              <w:left w:val="nil"/>
              <w:bottom w:val="single" w:sz="4" w:space="0" w:color="auto"/>
              <w:right w:val="single" w:sz="4" w:space="0" w:color="auto"/>
            </w:tcBorders>
            <w:shd w:val="clear" w:color="auto" w:fill="C6EFCE"/>
            <w:noWrap/>
          </w:tcPr>
          <w:p w14:paraId="19B42637" w14:textId="77777777" w:rsidR="003F46B9" w:rsidRDefault="0065662E">
            <w:pPr>
              <w:pStyle w:val="P68B1DB1-Normal35"/>
              <w:spacing w:after="0"/>
              <w:jc w:val="both"/>
              <w:rPr>
                <w:noProof/>
              </w:rPr>
            </w:pPr>
            <w:r>
              <w:rPr>
                <w:noProof/>
              </w:rPr>
              <w:t>C10.I4</w:t>
            </w:r>
          </w:p>
          <w:p w14:paraId="2F2AC96C" w14:textId="77777777" w:rsidR="003F46B9" w:rsidRDefault="0065662E">
            <w:pPr>
              <w:pStyle w:val="P68B1DB1-Normal35"/>
              <w:spacing w:after="0"/>
              <w:jc w:val="both"/>
              <w:rPr>
                <w:noProof/>
              </w:rPr>
            </w:pPr>
            <w:r>
              <w:rPr>
                <w:noProof/>
              </w:rPr>
              <w:t>Razvoj/ažuriranje dokumenata prostornog planiranja i urbanističkog planiranja u</w:t>
            </w:r>
            <w:r>
              <w:rPr>
                <w:noProof/>
              </w:rPr>
              <w:t xml:space="preserve"> GIS formatu </w:t>
            </w:r>
          </w:p>
        </w:tc>
        <w:tc>
          <w:tcPr>
            <w:tcW w:w="1275" w:type="dxa"/>
            <w:tcBorders>
              <w:top w:val="nil"/>
              <w:left w:val="nil"/>
              <w:bottom w:val="single" w:sz="4" w:space="0" w:color="auto"/>
              <w:right w:val="single" w:sz="4" w:space="0" w:color="auto"/>
            </w:tcBorders>
            <w:shd w:val="clear" w:color="auto" w:fill="C6EFCE"/>
            <w:noWrap/>
          </w:tcPr>
          <w:p w14:paraId="177E0BF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99E4432" w14:textId="77777777" w:rsidR="003F46B9" w:rsidRDefault="0065662E">
            <w:pPr>
              <w:pStyle w:val="P68B1DB1-Normal35"/>
              <w:spacing w:after="0"/>
              <w:jc w:val="both"/>
              <w:rPr>
                <w:noProof/>
              </w:rPr>
            </w:pPr>
            <w:r>
              <w:rPr>
                <w:noProof/>
              </w:rPr>
              <w:t>Potpisivanje ugovora za izradu/ažuriranje prostornog planiranja, urbanističkog planiranja i dokumentacije planova održive gradske mobilnosti</w:t>
            </w:r>
          </w:p>
        </w:tc>
      </w:tr>
      <w:tr w:rsidR="003F46B9" w14:paraId="0C68481F" w14:textId="77777777">
        <w:trPr>
          <w:trHeight w:val="302"/>
        </w:trPr>
        <w:tc>
          <w:tcPr>
            <w:tcW w:w="1419" w:type="dxa"/>
            <w:tcBorders>
              <w:top w:val="nil"/>
              <w:left w:val="single" w:sz="4" w:space="0" w:color="auto"/>
              <w:bottom w:val="single" w:sz="4" w:space="0" w:color="auto"/>
              <w:right w:val="single" w:sz="4" w:space="0" w:color="auto"/>
            </w:tcBorders>
            <w:shd w:val="clear" w:color="auto" w:fill="C6EFCE"/>
            <w:noWrap/>
          </w:tcPr>
          <w:p w14:paraId="67F2944B" w14:textId="77777777" w:rsidR="003F46B9" w:rsidRDefault="0065662E">
            <w:pPr>
              <w:pStyle w:val="P68B1DB1-Normal35"/>
              <w:spacing w:after="0"/>
              <w:jc w:val="center"/>
              <w:rPr>
                <w:noProof/>
              </w:rPr>
            </w:pPr>
            <w:r>
              <w:rPr>
                <w:noProof/>
              </w:rPr>
              <w:t>342</w:t>
            </w:r>
          </w:p>
        </w:tc>
        <w:tc>
          <w:tcPr>
            <w:tcW w:w="3544" w:type="dxa"/>
            <w:tcBorders>
              <w:top w:val="nil"/>
              <w:left w:val="nil"/>
              <w:bottom w:val="single" w:sz="4" w:space="0" w:color="auto"/>
              <w:right w:val="single" w:sz="4" w:space="0" w:color="auto"/>
            </w:tcBorders>
            <w:shd w:val="clear" w:color="auto" w:fill="C6EFCE"/>
            <w:noWrap/>
          </w:tcPr>
          <w:p w14:paraId="602FE2E0" w14:textId="77777777" w:rsidR="003F46B9" w:rsidRDefault="0065662E">
            <w:pPr>
              <w:pStyle w:val="P68B1DB1-Normal35"/>
              <w:spacing w:after="0"/>
              <w:jc w:val="both"/>
              <w:rPr>
                <w:noProof/>
              </w:rPr>
            </w:pPr>
            <w:r>
              <w:rPr>
                <w:noProof/>
              </w:rPr>
              <w:t>C11.I4</w:t>
            </w:r>
            <w:r>
              <w:rPr>
                <w:noProof/>
              </w:rPr>
              <w:br/>
              <w:t>Provedba 3 000 km biciklističkih staza</w:t>
            </w:r>
          </w:p>
        </w:tc>
        <w:tc>
          <w:tcPr>
            <w:tcW w:w="1275" w:type="dxa"/>
            <w:tcBorders>
              <w:top w:val="nil"/>
              <w:left w:val="nil"/>
              <w:bottom w:val="single" w:sz="4" w:space="0" w:color="auto"/>
              <w:right w:val="single" w:sz="4" w:space="0" w:color="auto"/>
            </w:tcBorders>
            <w:shd w:val="clear" w:color="auto" w:fill="C6EFCE"/>
            <w:noWrap/>
          </w:tcPr>
          <w:p w14:paraId="281F9F3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02BD3C6" w14:textId="77777777" w:rsidR="003F46B9" w:rsidRDefault="0065662E">
            <w:pPr>
              <w:pStyle w:val="P68B1DB1-Normal35"/>
              <w:spacing w:after="0"/>
              <w:jc w:val="both"/>
              <w:rPr>
                <w:noProof/>
              </w:rPr>
            </w:pPr>
            <w:r>
              <w:rPr>
                <w:noProof/>
              </w:rPr>
              <w:t xml:space="preserve">Potpisivanje ugovora za biciklističke rute </w:t>
            </w:r>
          </w:p>
        </w:tc>
      </w:tr>
      <w:tr w:rsidR="003F46B9" w14:paraId="2F94D9C1" w14:textId="77777777">
        <w:trPr>
          <w:trHeight w:val="1201"/>
        </w:trPr>
        <w:tc>
          <w:tcPr>
            <w:tcW w:w="1419" w:type="dxa"/>
            <w:tcBorders>
              <w:top w:val="nil"/>
              <w:left w:val="single" w:sz="4" w:space="0" w:color="auto"/>
              <w:bottom w:val="single" w:sz="4" w:space="0" w:color="auto"/>
              <w:right w:val="single" w:sz="4" w:space="0" w:color="auto"/>
            </w:tcBorders>
            <w:shd w:val="clear" w:color="auto" w:fill="C6EFCE"/>
            <w:noWrap/>
          </w:tcPr>
          <w:p w14:paraId="17A38409" w14:textId="77777777" w:rsidR="003F46B9" w:rsidRDefault="0065662E">
            <w:pPr>
              <w:pStyle w:val="P68B1DB1-Normal35"/>
              <w:spacing w:after="0"/>
              <w:jc w:val="center"/>
              <w:rPr>
                <w:noProof/>
              </w:rPr>
            </w:pPr>
            <w:r>
              <w:rPr>
                <w:noProof/>
              </w:rPr>
              <w:t>399</w:t>
            </w:r>
          </w:p>
        </w:tc>
        <w:tc>
          <w:tcPr>
            <w:tcW w:w="3544" w:type="dxa"/>
            <w:tcBorders>
              <w:top w:val="nil"/>
              <w:left w:val="nil"/>
              <w:bottom w:val="single" w:sz="4" w:space="0" w:color="auto"/>
              <w:right w:val="single" w:sz="4" w:space="0" w:color="auto"/>
            </w:tcBorders>
            <w:shd w:val="clear" w:color="auto" w:fill="C6EFCE"/>
            <w:noWrap/>
          </w:tcPr>
          <w:p w14:paraId="770D1EA3" w14:textId="77777777" w:rsidR="003F46B9" w:rsidRDefault="0065662E">
            <w:pPr>
              <w:pStyle w:val="P68B1DB1-Normal35"/>
              <w:spacing w:after="0"/>
              <w:jc w:val="both"/>
              <w:rPr>
                <w:noProof/>
              </w:rPr>
            </w:pPr>
            <w:r>
              <w:rPr>
                <w:noProof/>
              </w:rPr>
              <w:t>C13.R7</w:t>
            </w:r>
          </w:p>
          <w:p w14:paraId="4D5D5D75" w14:textId="77777777" w:rsidR="003F46B9" w:rsidRDefault="0065662E">
            <w:pPr>
              <w:pStyle w:val="P68B1DB1-Normal35"/>
              <w:spacing w:after="0"/>
              <w:jc w:val="both"/>
              <w:rPr>
                <w:noProof/>
              </w:rPr>
            </w:pPr>
            <w:r>
              <w:rPr>
                <w:noProof/>
              </w:rPr>
              <w:t>Reforma usluga dugotrajne skrbi za starije osobe</w:t>
            </w:r>
          </w:p>
        </w:tc>
        <w:tc>
          <w:tcPr>
            <w:tcW w:w="1275" w:type="dxa"/>
            <w:tcBorders>
              <w:top w:val="nil"/>
              <w:left w:val="nil"/>
              <w:bottom w:val="single" w:sz="4" w:space="0" w:color="auto"/>
              <w:right w:val="single" w:sz="4" w:space="0" w:color="auto"/>
            </w:tcBorders>
            <w:shd w:val="clear" w:color="auto" w:fill="C6EFCE"/>
            <w:noWrap/>
          </w:tcPr>
          <w:p w14:paraId="11D7304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vAlign w:val="center"/>
          </w:tcPr>
          <w:p w14:paraId="0764581C" w14:textId="77777777" w:rsidR="003F46B9" w:rsidRDefault="0065662E">
            <w:pPr>
              <w:pStyle w:val="P68B1DB1-Normal35"/>
              <w:spacing w:after="0"/>
              <w:jc w:val="both"/>
              <w:rPr>
                <w:noProof/>
              </w:rPr>
            </w:pPr>
            <w:r>
              <w:rPr>
                <w:noProof/>
              </w:rPr>
              <w:t>Stupanje na snagu zakona o donošenju i provedbi nacionalne strategije za dugotrajnu skrb</w:t>
            </w:r>
          </w:p>
        </w:tc>
      </w:tr>
      <w:tr w:rsidR="003F46B9" w14:paraId="1B620F84" w14:textId="77777777">
        <w:trPr>
          <w:trHeight w:val="302"/>
        </w:trPr>
        <w:tc>
          <w:tcPr>
            <w:tcW w:w="1419" w:type="dxa"/>
            <w:tcBorders>
              <w:top w:val="single" w:sz="4" w:space="0" w:color="auto"/>
              <w:left w:val="single" w:sz="4" w:space="0" w:color="auto"/>
              <w:bottom w:val="single" w:sz="4" w:space="0" w:color="auto"/>
              <w:right w:val="single" w:sz="4" w:space="0" w:color="auto"/>
            </w:tcBorders>
            <w:shd w:val="clear" w:color="auto" w:fill="C6EFCE"/>
            <w:noWrap/>
          </w:tcPr>
          <w:p w14:paraId="61FE4D64"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73EBCF3D"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387A562A"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8485E9A" w14:textId="645DFB3D" w:rsidR="003F46B9" w:rsidRDefault="0065662E">
            <w:pPr>
              <w:pStyle w:val="P68B1DB1-Normal36"/>
              <w:spacing w:after="0"/>
              <w:jc w:val="right"/>
              <w:rPr>
                <w:noProof/>
              </w:rPr>
            </w:pPr>
            <w:r>
              <w:rPr>
                <w:noProof/>
              </w:rPr>
              <w:t>811026482 EURA </w:t>
            </w:r>
          </w:p>
        </w:tc>
      </w:tr>
    </w:tbl>
    <w:p w14:paraId="1BF9FF11" w14:textId="77777777" w:rsidR="003F46B9" w:rsidRDefault="003F46B9">
      <w:pPr>
        <w:pStyle w:val="NumPar2"/>
        <w:tabs>
          <w:tab w:val="clear" w:pos="850"/>
        </w:tabs>
        <w:ind w:firstLine="0"/>
        <w:rPr>
          <w:noProof/>
        </w:rPr>
      </w:pPr>
    </w:p>
    <w:p w14:paraId="60BAE6EC" w14:textId="77777777" w:rsidR="003F46B9" w:rsidRDefault="0065662E">
      <w:pPr>
        <w:pStyle w:val="Heading3"/>
        <w:rPr>
          <w:noProof/>
        </w:rPr>
      </w:pPr>
      <w:r>
        <w:rPr>
          <w:noProof/>
        </w:rPr>
        <w:t xml:space="preserve">Četvrti obrok (potpora po kreditima): </w:t>
      </w:r>
    </w:p>
    <w:tbl>
      <w:tblPr>
        <w:tblW w:w="9634" w:type="dxa"/>
        <w:tblInd w:w="113" w:type="dxa"/>
        <w:tblLook w:val="04A0" w:firstRow="1" w:lastRow="0" w:firstColumn="1" w:lastColumn="0" w:noHBand="0" w:noVBand="1"/>
      </w:tblPr>
      <w:tblGrid>
        <w:gridCol w:w="1413"/>
        <w:gridCol w:w="3544"/>
        <w:gridCol w:w="1316"/>
        <w:gridCol w:w="3402"/>
      </w:tblGrid>
      <w:tr w:rsidR="003F46B9" w14:paraId="393543C4"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D39CAF7"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D2C60C4" w14:textId="77777777" w:rsidR="003F46B9" w:rsidRDefault="0065662E">
            <w:pPr>
              <w:pStyle w:val="P68B1DB1-Normal34"/>
              <w:spacing w:after="0"/>
              <w:jc w:val="center"/>
              <w:rPr>
                <w:noProof/>
              </w:rPr>
            </w:pPr>
            <w:r>
              <w:rPr>
                <w:noProof/>
              </w:rPr>
              <w:t xml:space="preserve">Povezana mjera </w:t>
            </w:r>
          </w:p>
          <w:p w14:paraId="1A88FC92"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144E3DD1"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18A62710" w14:textId="77777777" w:rsidR="003F46B9" w:rsidRDefault="0065662E">
            <w:pPr>
              <w:pStyle w:val="P68B1DB1-Normal34"/>
              <w:spacing w:after="0"/>
              <w:jc w:val="center"/>
              <w:rPr>
                <w:noProof/>
              </w:rPr>
            </w:pPr>
            <w:r>
              <w:rPr>
                <w:noProof/>
              </w:rPr>
              <w:t>Ime</w:t>
            </w:r>
          </w:p>
        </w:tc>
      </w:tr>
      <w:tr w:rsidR="003F46B9" w14:paraId="2B55910A"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4B757D76"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755AE7BD" w14:textId="77777777" w:rsidR="003F46B9" w:rsidRDefault="003F46B9">
            <w:pPr>
              <w:spacing w:after="0"/>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B792FA0" w14:textId="77777777" w:rsidR="003F46B9" w:rsidRDefault="003F46B9">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3324F19B" w14:textId="77777777" w:rsidR="003F46B9" w:rsidRDefault="003F46B9">
            <w:pPr>
              <w:spacing w:after="0"/>
              <w:jc w:val="both"/>
              <w:rPr>
                <w:rFonts w:ascii="Times New Roman" w:eastAsia="Times New Roman" w:hAnsi="Times New Roman" w:cs="Times New Roman"/>
                <w:b/>
                <w:noProof/>
              </w:rPr>
            </w:pPr>
          </w:p>
        </w:tc>
      </w:tr>
      <w:tr w:rsidR="003F46B9" w14:paraId="0AB5AD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CA9FC49" w14:textId="77777777" w:rsidR="003F46B9" w:rsidRDefault="0065662E">
            <w:pPr>
              <w:pStyle w:val="P68B1DB1-Normal35"/>
              <w:spacing w:after="0"/>
              <w:jc w:val="center"/>
              <w:rPr>
                <w:rFonts w:eastAsia="Times New Roman"/>
                <w:noProof/>
              </w:rPr>
            </w:pPr>
            <w:r>
              <w:rPr>
                <w:noProof/>
              </w:rPr>
              <w:t>41</w:t>
            </w:r>
          </w:p>
        </w:tc>
        <w:tc>
          <w:tcPr>
            <w:tcW w:w="3544" w:type="dxa"/>
            <w:tcBorders>
              <w:top w:val="nil"/>
              <w:left w:val="nil"/>
              <w:bottom w:val="single" w:sz="4" w:space="0" w:color="auto"/>
              <w:right w:val="single" w:sz="4" w:space="0" w:color="auto"/>
            </w:tcBorders>
            <w:shd w:val="clear" w:color="auto" w:fill="C6EFCE"/>
            <w:noWrap/>
            <w:hideMark/>
          </w:tcPr>
          <w:p w14:paraId="70403337" w14:textId="77777777" w:rsidR="003F46B9" w:rsidRDefault="0065662E">
            <w:pPr>
              <w:pStyle w:val="P68B1DB1-Normal35"/>
              <w:spacing w:after="0"/>
              <w:jc w:val="both"/>
              <w:rPr>
                <w:noProof/>
              </w:rPr>
            </w:pPr>
            <w:r>
              <w:rPr>
                <w:noProof/>
              </w:rPr>
              <w:t xml:space="preserve">C2.I5 </w:t>
            </w:r>
          </w:p>
          <w:p w14:paraId="69F9B5BF" w14:textId="77777777" w:rsidR="003F46B9" w:rsidRDefault="0065662E">
            <w:pPr>
              <w:pStyle w:val="P68B1DB1-Normal35"/>
              <w:spacing w:after="0"/>
              <w:jc w:val="both"/>
              <w:rPr>
                <w:rFonts w:eastAsia="Times New Roman"/>
                <w:noProof/>
              </w:rPr>
            </w:pPr>
            <w:r>
              <w:rPr>
                <w:noProof/>
              </w:rPr>
              <w:t xml:space="preserve">Ulaganja u integrirane sustave za smanjenje rizika od bujica u šumskim slivovima izloženima takvim pojavama </w:t>
            </w:r>
          </w:p>
        </w:tc>
        <w:tc>
          <w:tcPr>
            <w:tcW w:w="1275" w:type="dxa"/>
            <w:tcBorders>
              <w:top w:val="nil"/>
              <w:left w:val="nil"/>
              <w:bottom w:val="single" w:sz="4" w:space="0" w:color="auto"/>
              <w:right w:val="single" w:sz="4" w:space="0" w:color="auto"/>
            </w:tcBorders>
            <w:shd w:val="clear" w:color="auto" w:fill="C6EFCE"/>
            <w:noWrap/>
            <w:hideMark/>
          </w:tcPr>
          <w:p w14:paraId="2BBE4877"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3DEEBC2C" w14:textId="77777777" w:rsidR="003F46B9" w:rsidRDefault="0065662E">
            <w:pPr>
              <w:pStyle w:val="P68B1DB1-Normal35"/>
              <w:spacing w:after="0"/>
              <w:jc w:val="both"/>
              <w:rPr>
                <w:rFonts w:eastAsia="Times New Roman"/>
                <w:noProof/>
              </w:rPr>
            </w:pPr>
            <w:r>
              <w:rPr>
                <w:noProof/>
              </w:rPr>
              <w:t>Donošenje projektnih planova</w:t>
            </w:r>
          </w:p>
        </w:tc>
      </w:tr>
      <w:tr w:rsidR="003F46B9" w14:paraId="4E3730B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33541" w14:textId="77777777" w:rsidR="003F46B9" w:rsidRDefault="0065662E">
            <w:pPr>
              <w:pStyle w:val="P68B1DB1-Normal35"/>
              <w:spacing w:after="0"/>
              <w:jc w:val="center"/>
              <w:rPr>
                <w:noProof/>
              </w:rPr>
            </w:pPr>
            <w:r>
              <w:rPr>
                <w:noProof/>
              </w:rPr>
              <w:t>108</w:t>
            </w:r>
          </w:p>
        </w:tc>
        <w:tc>
          <w:tcPr>
            <w:tcW w:w="3544" w:type="dxa"/>
            <w:tcBorders>
              <w:top w:val="nil"/>
              <w:left w:val="nil"/>
              <w:bottom w:val="single" w:sz="4" w:space="0" w:color="auto"/>
              <w:right w:val="single" w:sz="4" w:space="0" w:color="auto"/>
            </w:tcBorders>
            <w:shd w:val="clear" w:color="auto" w:fill="C6EFCE"/>
            <w:noWrap/>
          </w:tcPr>
          <w:p w14:paraId="1FAF0629" w14:textId="77777777" w:rsidR="003F46B9" w:rsidRDefault="0065662E">
            <w:pPr>
              <w:pStyle w:val="P68B1DB1-Normal35"/>
              <w:spacing w:after="0"/>
              <w:jc w:val="both"/>
              <w:rPr>
                <w:noProof/>
              </w:rPr>
            </w:pPr>
            <w:r>
              <w:rPr>
                <w:noProof/>
              </w:rPr>
              <w:t>C5.I3</w:t>
            </w:r>
          </w:p>
          <w:p w14:paraId="188C1D00" w14:textId="77777777" w:rsidR="003F46B9" w:rsidRDefault="0065662E">
            <w:pPr>
              <w:pStyle w:val="P68B1DB1-Normal35"/>
              <w:spacing w:after="0"/>
              <w:jc w:val="both"/>
              <w:rPr>
                <w:noProof/>
              </w:rPr>
            </w:pPr>
            <w:r>
              <w:rPr>
                <w:noProof/>
              </w:rPr>
              <w:t xml:space="preserve">Jačanje stručne sposobnosti stručnjaka i radnika u sektoru obnove razvojem osposobljavanja u području energetske učinkovitosti u građevinarstvu </w:t>
            </w:r>
          </w:p>
        </w:tc>
        <w:tc>
          <w:tcPr>
            <w:tcW w:w="1275" w:type="dxa"/>
            <w:tcBorders>
              <w:top w:val="nil"/>
              <w:left w:val="nil"/>
              <w:bottom w:val="single" w:sz="4" w:space="0" w:color="auto"/>
              <w:right w:val="single" w:sz="4" w:space="0" w:color="auto"/>
            </w:tcBorders>
            <w:shd w:val="clear" w:color="auto" w:fill="C6EFCE"/>
            <w:noWrap/>
          </w:tcPr>
          <w:p w14:paraId="5241552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F6B9B72" w14:textId="77777777" w:rsidR="003F46B9" w:rsidRDefault="0065662E">
            <w:pPr>
              <w:pStyle w:val="P68B1DB1-Normal35"/>
              <w:spacing w:after="0"/>
              <w:jc w:val="both"/>
              <w:rPr>
                <w:noProof/>
              </w:rPr>
            </w:pPr>
            <w:r>
              <w:rPr>
                <w:noProof/>
              </w:rPr>
              <w:t>Uspostava programa certificiranja u području energetskih svojstava zgrada</w:t>
            </w:r>
          </w:p>
        </w:tc>
      </w:tr>
      <w:tr w:rsidR="003F46B9" w14:paraId="4FE610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53CCB2" w14:textId="77777777" w:rsidR="003F46B9" w:rsidRDefault="0065662E">
            <w:pPr>
              <w:pStyle w:val="P68B1DB1-Normal35"/>
              <w:spacing w:after="0"/>
              <w:jc w:val="center"/>
              <w:rPr>
                <w:noProof/>
              </w:rPr>
            </w:pPr>
            <w:r>
              <w:rPr>
                <w:noProof/>
              </w:rPr>
              <w:t>126</w:t>
            </w:r>
          </w:p>
        </w:tc>
        <w:tc>
          <w:tcPr>
            <w:tcW w:w="3544" w:type="dxa"/>
            <w:tcBorders>
              <w:top w:val="nil"/>
              <w:left w:val="nil"/>
              <w:bottom w:val="single" w:sz="4" w:space="0" w:color="auto"/>
              <w:right w:val="single" w:sz="4" w:space="0" w:color="auto"/>
            </w:tcBorders>
            <w:shd w:val="clear" w:color="auto" w:fill="C6EFCE"/>
            <w:noWrap/>
          </w:tcPr>
          <w:p w14:paraId="47E08CB3" w14:textId="77777777" w:rsidR="003F46B9" w:rsidRDefault="0065662E">
            <w:pPr>
              <w:pStyle w:val="P68B1DB1-Normal35"/>
              <w:spacing w:after="0"/>
              <w:jc w:val="both"/>
              <w:rPr>
                <w:noProof/>
              </w:rPr>
            </w:pPr>
            <w:r>
              <w:rPr>
                <w:noProof/>
              </w:rPr>
              <w:t>C6.R4</w:t>
            </w:r>
          </w:p>
          <w:p w14:paraId="0C82862C" w14:textId="77777777" w:rsidR="003F46B9" w:rsidRDefault="0065662E">
            <w:pPr>
              <w:pStyle w:val="P68B1DB1-Normal35"/>
              <w:spacing w:after="0"/>
              <w:jc w:val="both"/>
              <w:rPr>
                <w:noProof/>
              </w:rPr>
            </w:pPr>
            <w:r>
              <w:rPr>
                <w:noProof/>
              </w:rPr>
              <w:t xml:space="preserve">Razvoj povoljnog zakonodavnog i regulatornog okvira za buduće tehnologije, posebno rješenja za vodik i skladištenje </w:t>
            </w:r>
          </w:p>
        </w:tc>
        <w:tc>
          <w:tcPr>
            <w:tcW w:w="1275" w:type="dxa"/>
            <w:tcBorders>
              <w:top w:val="nil"/>
              <w:left w:val="nil"/>
              <w:bottom w:val="single" w:sz="4" w:space="0" w:color="auto"/>
              <w:right w:val="single" w:sz="4" w:space="0" w:color="auto"/>
            </w:tcBorders>
            <w:shd w:val="clear" w:color="auto" w:fill="C6EFCE"/>
            <w:noWrap/>
          </w:tcPr>
          <w:p w14:paraId="066202F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19051D" w14:textId="77777777" w:rsidR="003F46B9" w:rsidRDefault="0065662E">
            <w:pPr>
              <w:pStyle w:val="P68B1DB1-Normal35"/>
              <w:spacing w:after="0"/>
              <w:jc w:val="both"/>
              <w:rPr>
                <w:noProof/>
              </w:rPr>
            </w:pPr>
            <w:r>
              <w:rPr>
                <w:noProof/>
              </w:rPr>
              <w:t xml:space="preserve">Stupanje na snagu izmjena zakonodavnog okvira, provedba nacionalne strategije za vodik </w:t>
            </w:r>
          </w:p>
        </w:tc>
      </w:tr>
      <w:tr w:rsidR="003F46B9" w14:paraId="364037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81914A8" w14:textId="77777777" w:rsidR="003F46B9" w:rsidRDefault="0065662E">
            <w:pPr>
              <w:pStyle w:val="P68B1DB1-Normal35"/>
              <w:spacing w:after="0"/>
              <w:jc w:val="center"/>
              <w:rPr>
                <w:noProof/>
              </w:rPr>
            </w:pPr>
            <w:r>
              <w:rPr>
                <w:noProof/>
              </w:rPr>
              <w:t>334</w:t>
            </w:r>
          </w:p>
        </w:tc>
        <w:tc>
          <w:tcPr>
            <w:tcW w:w="3544" w:type="dxa"/>
            <w:tcBorders>
              <w:top w:val="nil"/>
              <w:left w:val="nil"/>
              <w:bottom w:val="single" w:sz="4" w:space="0" w:color="auto"/>
              <w:right w:val="single" w:sz="4" w:space="0" w:color="auto"/>
            </w:tcBorders>
            <w:shd w:val="clear" w:color="auto" w:fill="C6EFCE"/>
            <w:noWrap/>
          </w:tcPr>
          <w:p w14:paraId="053A49E6" w14:textId="77777777" w:rsidR="003F46B9" w:rsidRDefault="0065662E">
            <w:pPr>
              <w:pStyle w:val="P68B1DB1-Normal35"/>
              <w:spacing w:after="0"/>
              <w:jc w:val="both"/>
              <w:rPr>
                <w:noProof/>
              </w:rPr>
            </w:pPr>
            <w:r>
              <w:rPr>
                <w:noProof/>
              </w:rPr>
              <w:t>C11.I1</w:t>
            </w:r>
          </w:p>
          <w:p w14:paraId="2831C05E" w14:textId="16F81453" w:rsidR="003F46B9" w:rsidRDefault="0065662E">
            <w:pPr>
              <w:pStyle w:val="P68B1DB1-Normal35"/>
              <w:spacing w:after="0"/>
              <w:jc w:val="both"/>
              <w:rPr>
                <w:noProof/>
              </w:rPr>
            </w:pPr>
            <w:r>
              <w:rPr>
                <w:noProof/>
              </w:rPr>
              <w:t>Promicanje 12 turističkih/kulturnih r</w:t>
            </w:r>
            <w:r>
              <w:rPr>
                <w:noProof/>
              </w:rPr>
              <w:t xml:space="preserve">uta </w:t>
            </w:r>
          </w:p>
        </w:tc>
        <w:tc>
          <w:tcPr>
            <w:tcW w:w="1275" w:type="dxa"/>
            <w:tcBorders>
              <w:top w:val="nil"/>
              <w:left w:val="nil"/>
              <w:bottom w:val="single" w:sz="4" w:space="0" w:color="auto"/>
              <w:right w:val="single" w:sz="4" w:space="0" w:color="auto"/>
            </w:tcBorders>
            <w:shd w:val="clear" w:color="auto" w:fill="C6EFCE"/>
            <w:noWrap/>
          </w:tcPr>
          <w:p w14:paraId="17AD9863"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9BBD751" w14:textId="77777777" w:rsidR="003F46B9" w:rsidRDefault="0065662E">
            <w:pPr>
              <w:pStyle w:val="P68B1DB1-Normal35"/>
              <w:spacing w:after="0" w:line="240" w:lineRule="auto"/>
              <w:jc w:val="both"/>
              <w:rPr>
                <w:noProof/>
              </w:rPr>
            </w:pPr>
            <w:r>
              <w:rPr>
                <w:noProof/>
              </w:rPr>
              <w:t xml:space="preserve">Potpisivanje ugovora za radove obnove/obnove lokaliteta uključenih u 12 kulturnih ruta </w:t>
            </w:r>
          </w:p>
        </w:tc>
      </w:tr>
      <w:tr w:rsidR="003F46B9" w14:paraId="4736AE0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AFA3D2" w14:textId="77777777" w:rsidR="003F46B9" w:rsidRDefault="0065662E">
            <w:pPr>
              <w:pStyle w:val="P68B1DB1-Normal35"/>
              <w:spacing w:after="0"/>
              <w:jc w:val="center"/>
              <w:rPr>
                <w:noProof/>
              </w:rPr>
            </w:pPr>
            <w:r>
              <w:rPr>
                <w:noProof/>
              </w:rPr>
              <w:t>336</w:t>
            </w:r>
          </w:p>
        </w:tc>
        <w:tc>
          <w:tcPr>
            <w:tcW w:w="3544" w:type="dxa"/>
            <w:tcBorders>
              <w:top w:val="nil"/>
              <w:left w:val="nil"/>
              <w:bottom w:val="single" w:sz="4" w:space="0" w:color="auto"/>
              <w:right w:val="single" w:sz="4" w:space="0" w:color="auto"/>
            </w:tcBorders>
            <w:shd w:val="clear" w:color="auto" w:fill="C6EFCE"/>
            <w:noWrap/>
          </w:tcPr>
          <w:p w14:paraId="652C85C1" w14:textId="77777777" w:rsidR="003F46B9" w:rsidRDefault="0065662E">
            <w:pPr>
              <w:pStyle w:val="P68B1DB1-Normal35"/>
              <w:spacing w:after="0"/>
              <w:jc w:val="both"/>
              <w:rPr>
                <w:noProof/>
              </w:rPr>
            </w:pPr>
            <w:r>
              <w:rPr>
                <w:noProof/>
              </w:rPr>
              <w:t>C11.I2</w:t>
            </w:r>
          </w:p>
          <w:p w14:paraId="78142E7A" w14:textId="77777777" w:rsidR="003F46B9" w:rsidRDefault="0065662E">
            <w:pPr>
              <w:pStyle w:val="P68B1DB1-Normal35"/>
              <w:spacing w:after="0"/>
              <w:jc w:val="both"/>
              <w:rPr>
                <w:noProof/>
              </w:rPr>
            </w:pPr>
            <w:r>
              <w:rPr>
                <w:noProof/>
              </w:rPr>
              <w:t>Modernizacija/stvaranje muzeja i spomenika</w:t>
            </w:r>
          </w:p>
        </w:tc>
        <w:tc>
          <w:tcPr>
            <w:tcW w:w="1275" w:type="dxa"/>
            <w:tcBorders>
              <w:top w:val="nil"/>
              <w:left w:val="nil"/>
              <w:bottom w:val="single" w:sz="4" w:space="0" w:color="auto"/>
              <w:right w:val="single" w:sz="4" w:space="0" w:color="auto"/>
            </w:tcBorders>
            <w:shd w:val="clear" w:color="auto" w:fill="C6EFCE"/>
            <w:noWrap/>
          </w:tcPr>
          <w:p w14:paraId="3947F7B4"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8F6981F" w14:textId="77777777" w:rsidR="003F46B9" w:rsidRDefault="0065662E">
            <w:pPr>
              <w:pStyle w:val="P68B1DB1-Normal35"/>
              <w:spacing w:after="0"/>
              <w:jc w:val="both"/>
              <w:rPr>
                <w:noProof/>
              </w:rPr>
            </w:pPr>
            <w:r>
              <w:rPr>
                <w:noProof/>
              </w:rPr>
              <w:t>Potpisivanje ugovora za građevinske radove muzeja</w:t>
            </w:r>
          </w:p>
        </w:tc>
      </w:tr>
      <w:tr w:rsidR="003F46B9" w14:paraId="40A337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BF61C5" w14:textId="77777777" w:rsidR="003F46B9" w:rsidRDefault="0065662E">
            <w:pPr>
              <w:pStyle w:val="P68B1DB1-Normal35"/>
              <w:spacing w:after="0"/>
              <w:jc w:val="center"/>
              <w:rPr>
                <w:noProof/>
              </w:rPr>
            </w:pPr>
            <w:r>
              <w:rPr>
                <w:noProof/>
              </w:rPr>
              <w:t>345</w:t>
            </w:r>
          </w:p>
        </w:tc>
        <w:tc>
          <w:tcPr>
            <w:tcW w:w="3544" w:type="dxa"/>
            <w:tcBorders>
              <w:top w:val="nil"/>
              <w:left w:val="nil"/>
              <w:bottom w:val="single" w:sz="4" w:space="0" w:color="auto"/>
              <w:right w:val="single" w:sz="4" w:space="0" w:color="auto"/>
            </w:tcBorders>
            <w:shd w:val="clear" w:color="auto" w:fill="C6EFCE"/>
            <w:noWrap/>
          </w:tcPr>
          <w:p w14:paraId="24167585" w14:textId="77777777" w:rsidR="003F46B9" w:rsidRDefault="0065662E">
            <w:pPr>
              <w:pStyle w:val="P68B1DB1-Normal35"/>
              <w:spacing w:after="0"/>
              <w:jc w:val="both"/>
              <w:rPr>
                <w:noProof/>
              </w:rPr>
            </w:pPr>
            <w:r>
              <w:rPr>
                <w:noProof/>
              </w:rPr>
              <w:t>C11.R3</w:t>
            </w:r>
          </w:p>
          <w:p w14:paraId="0CA73694" w14:textId="533D9E13" w:rsidR="003F46B9" w:rsidRDefault="0065662E">
            <w:pPr>
              <w:pStyle w:val="P68B1DB1-Normal35"/>
              <w:spacing w:after="0"/>
              <w:jc w:val="both"/>
              <w:rPr>
                <w:noProof/>
              </w:rPr>
            </w:pPr>
            <w:r>
              <w:rPr>
                <w:noProof/>
              </w:rPr>
              <w:t xml:space="preserve">Reforma sustava financiranja kulturnog sektora  </w:t>
            </w:r>
          </w:p>
        </w:tc>
        <w:tc>
          <w:tcPr>
            <w:tcW w:w="1275" w:type="dxa"/>
            <w:tcBorders>
              <w:top w:val="nil"/>
              <w:left w:val="nil"/>
              <w:bottom w:val="single" w:sz="4" w:space="0" w:color="auto"/>
              <w:right w:val="single" w:sz="4" w:space="0" w:color="auto"/>
            </w:tcBorders>
            <w:shd w:val="clear" w:color="auto" w:fill="C6EFCE"/>
            <w:noWrap/>
          </w:tcPr>
          <w:p w14:paraId="05E57548"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ED0F065" w14:textId="77777777" w:rsidR="003F46B9" w:rsidRDefault="0065662E">
            <w:pPr>
              <w:pStyle w:val="P68B1DB1-Normal35"/>
              <w:spacing w:after="0"/>
              <w:jc w:val="both"/>
              <w:rPr>
                <w:noProof/>
              </w:rPr>
            </w:pPr>
            <w:r>
              <w:rPr>
                <w:noProof/>
              </w:rPr>
              <w:t>Stupanje na snagu zakona o statutu kulturnih radnika</w:t>
            </w:r>
          </w:p>
        </w:tc>
      </w:tr>
      <w:tr w:rsidR="003F46B9" w14:paraId="5D06B7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50857CD8" w14:textId="77777777" w:rsidR="003F46B9" w:rsidRDefault="0065662E">
            <w:pPr>
              <w:pStyle w:val="P68B1DB1-Normal35"/>
              <w:spacing w:after="0"/>
              <w:jc w:val="center"/>
              <w:rPr>
                <w:rFonts w:eastAsia="Times New Roman"/>
                <w:noProof/>
              </w:rPr>
            </w:pPr>
            <w:r>
              <w:rPr>
                <w:noProof/>
              </w:rPr>
              <w:t>346</w:t>
            </w:r>
          </w:p>
        </w:tc>
        <w:tc>
          <w:tcPr>
            <w:tcW w:w="3544" w:type="dxa"/>
            <w:tcBorders>
              <w:top w:val="nil"/>
              <w:left w:val="nil"/>
              <w:bottom w:val="single" w:sz="4" w:space="0" w:color="auto"/>
              <w:right w:val="single" w:sz="4" w:space="0" w:color="auto"/>
            </w:tcBorders>
            <w:shd w:val="clear" w:color="auto" w:fill="C6EFCE"/>
            <w:noWrap/>
            <w:hideMark/>
          </w:tcPr>
          <w:p w14:paraId="2C133E3D" w14:textId="77777777" w:rsidR="003F46B9" w:rsidRDefault="0065662E">
            <w:pPr>
              <w:pStyle w:val="P68B1DB1-Normal35"/>
              <w:spacing w:after="0"/>
              <w:jc w:val="both"/>
              <w:rPr>
                <w:noProof/>
              </w:rPr>
            </w:pPr>
            <w:r>
              <w:rPr>
                <w:noProof/>
              </w:rPr>
              <w:t>C11.I5</w:t>
            </w:r>
          </w:p>
          <w:p w14:paraId="794786D8" w14:textId="03523488" w:rsidR="003F46B9" w:rsidRDefault="0065662E">
            <w:pPr>
              <w:pStyle w:val="P68B1DB1-Normal35"/>
              <w:spacing w:after="0"/>
              <w:jc w:val="both"/>
              <w:rPr>
                <w:rFonts w:eastAsia="Times New Roman"/>
                <w:noProof/>
              </w:rPr>
            </w:pPr>
            <w:r>
              <w:rPr>
                <w:noProof/>
              </w:rPr>
              <w:t xml:space="preserve">Povećanje pristupa kulturi u područjima zahvaćenima kulturom </w:t>
            </w:r>
          </w:p>
        </w:tc>
        <w:tc>
          <w:tcPr>
            <w:tcW w:w="1275" w:type="dxa"/>
            <w:tcBorders>
              <w:top w:val="nil"/>
              <w:left w:val="nil"/>
              <w:bottom w:val="single" w:sz="4" w:space="0" w:color="auto"/>
              <w:right w:val="single" w:sz="4" w:space="0" w:color="auto"/>
            </w:tcBorders>
            <w:shd w:val="clear" w:color="auto" w:fill="C6EFCE"/>
            <w:noWrap/>
            <w:hideMark/>
          </w:tcPr>
          <w:p w14:paraId="480D00C2" w14:textId="77777777" w:rsidR="003F46B9" w:rsidRDefault="0065662E">
            <w:pPr>
              <w:pStyle w:val="P68B1DB1-Normal35"/>
              <w:spacing w:after="0"/>
              <w:jc w:val="center"/>
              <w:rPr>
                <w:rFonts w:eastAsia="Times New Roman"/>
                <w:noProof/>
              </w:rPr>
            </w:pPr>
            <w:r>
              <w:rPr>
                <w:noProof/>
              </w:rPr>
              <w:t>M</w:t>
            </w:r>
          </w:p>
        </w:tc>
        <w:tc>
          <w:tcPr>
            <w:tcW w:w="3402" w:type="dxa"/>
            <w:tcBorders>
              <w:top w:val="nil"/>
              <w:left w:val="nil"/>
              <w:bottom w:val="single" w:sz="4" w:space="0" w:color="auto"/>
              <w:right w:val="single" w:sz="4" w:space="0" w:color="auto"/>
            </w:tcBorders>
            <w:shd w:val="clear" w:color="auto" w:fill="C6EFCE"/>
            <w:noWrap/>
            <w:hideMark/>
          </w:tcPr>
          <w:p w14:paraId="35E2E8B8" w14:textId="77777777" w:rsidR="003F46B9" w:rsidRDefault="0065662E">
            <w:pPr>
              <w:pStyle w:val="P68B1DB1-Normal35"/>
              <w:spacing w:after="0"/>
              <w:jc w:val="both"/>
              <w:rPr>
                <w:rFonts w:eastAsia="Times New Roman"/>
                <w:noProof/>
              </w:rPr>
            </w:pPr>
            <w:r>
              <w:rPr>
                <w:noProof/>
              </w:rPr>
              <w:t>Potpisivanje ugovora o financiranju</w:t>
            </w:r>
          </w:p>
        </w:tc>
      </w:tr>
      <w:tr w:rsidR="003F46B9" w14:paraId="5B0FE27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B30AB8" w14:textId="77777777" w:rsidR="003F46B9" w:rsidRDefault="0065662E">
            <w:pPr>
              <w:pStyle w:val="P68B1DB1-Normal35"/>
              <w:spacing w:after="0"/>
              <w:jc w:val="center"/>
              <w:rPr>
                <w:noProof/>
              </w:rPr>
            </w:pPr>
            <w:r>
              <w:rPr>
                <w:noProof/>
              </w:rPr>
              <w:t>16</w:t>
            </w:r>
          </w:p>
        </w:tc>
        <w:tc>
          <w:tcPr>
            <w:tcW w:w="3544" w:type="dxa"/>
            <w:tcBorders>
              <w:top w:val="nil"/>
              <w:left w:val="nil"/>
              <w:bottom w:val="single" w:sz="4" w:space="0" w:color="auto"/>
              <w:right w:val="single" w:sz="4" w:space="0" w:color="auto"/>
            </w:tcBorders>
            <w:shd w:val="clear" w:color="auto" w:fill="C6EFCE"/>
            <w:noWrap/>
          </w:tcPr>
          <w:p w14:paraId="20AF1774" w14:textId="77777777" w:rsidR="003F46B9" w:rsidRDefault="0065662E">
            <w:pPr>
              <w:pStyle w:val="P68B1DB1-Normal35"/>
              <w:spacing w:after="0"/>
              <w:jc w:val="both"/>
              <w:rPr>
                <w:noProof/>
              </w:rPr>
            </w:pPr>
            <w:r>
              <w:rPr>
                <w:noProof/>
              </w:rPr>
              <w:t xml:space="preserve">C1.I4.2 </w:t>
            </w:r>
          </w:p>
          <w:p w14:paraId="7823721D" w14:textId="77777777" w:rsidR="003F46B9" w:rsidRDefault="0065662E">
            <w:pPr>
              <w:pStyle w:val="P68B1DB1-Normal35"/>
              <w:spacing w:after="0"/>
              <w:jc w:val="both"/>
              <w:rPr>
                <w:noProof/>
              </w:rPr>
            </w:pPr>
            <w:r>
              <w:rPr>
                <w:noProof/>
              </w:rPr>
              <w:t xml:space="preserve">Sanacija postojećih akumulacija koje zahtijevaju hitne intervencije za siguran rad </w:t>
            </w:r>
          </w:p>
        </w:tc>
        <w:tc>
          <w:tcPr>
            <w:tcW w:w="1275" w:type="dxa"/>
            <w:tcBorders>
              <w:top w:val="nil"/>
              <w:left w:val="nil"/>
              <w:bottom w:val="single" w:sz="4" w:space="0" w:color="auto"/>
              <w:right w:val="single" w:sz="4" w:space="0" w:color="auto"/>
            </w:tcBorders>
            <w:shd w:val="clear" w:color="auto" w:fill="C6EFCE"/>
            <w:noWrap/>
          </w:tcPr>
          <w:p w14:paraId="02DDAC7D"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D2EE4E5" w14:textId="77777777" w:rsidR="003F46B9" w:rsidRDefault="0065662E">
            <w:pPr>
              <w:pStyle w:val="P68B1DB1-Normal35"/>
              <w:spacing w:after="0"/>
              <w:jc w:val="both"/>
              <w:rPr>
                <w:noProof/>
              </w:rPr>
            </w:pPr>
            <w:r>
              <w:rPr>
                <w:noProof/>
              </w:rPr>
              <w:t xml:space="preserve">Donošenje nacrta projekta Odlukom Vlade/ministarskom odlukom, prema potrebi </w:t>
            </w:r>
          </w:p>
        </w:tc>
      </w:tr>
      <w:tr w:rsidR="003F46B9" w14:paraId="24884BF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708FD9" w14:textId="77777777" w:rsidR="003F46B9" w:rsidRDefault="0065662E">
            <w:pPr>
              <w:pStyle w:val="P68B1DB1-Normal35"/>
              <w:spacing w:after="0"/>
              <w:jc w:val="center"/>
              <w:rPr>
                <w:noProof/>
              </w:rPr>
            </w:pPr>
            <w:r>
              <w:rPr>
                <w:noProof/>
              </w:rPr>
              <w:t>80</w:t>
            </w:r>
          </w:p>
        </w:tc>
        <w:tc>
          <w:tcPr>
            <w:tcW w:w="3544" w:type="dxa"/>
            <w:tcBorders>
              <w:top w:val="nil"/>
              <w:left w:val="nil"/>
              <w:bottom w:val="single" w:sz="4" w:space="0" w:color="auto"/>
              <w:right w:val="single" w:sz="4" w:space="0" w:color="auto"/>
            </w:tcBorders>
            <w:shd w:val="clear" w:color="auto" w:fill="C6EFCE"/>
            <w:noWrap/>
          </w:tcPr>
          <w:p w14:paraId="784B3618" w14:textId="77777777" w:rsidR="003F46B9" w:rsidRDefault="0065662E">
            <w:pPr>
              <w:pStyle w:val="P68B1DB1-Normal35"/>
              <w:spacing w:after="0"/>
              <w:jc w:val="both"/>
              <w:rPr>
                <w:noProof/>
              </w:rPr>
            </w:pPr>
            <w:r>
              <w:rPr>
                <w:noProof/>
              </w:rPr>
              <w:t>C4.R2</w:t>
            </w:r>
          </w:p>
          <w:p w14:paraId="786734BF" w14:textId="77777777" w:rsidR="003F46B9" w:rsidRDefault="0065662E">
            <w:pPr>
              <w:pStyle w:val="P68B1DB1-Normal35"/>
              <w:spacing w:after="0"/>
              <w:jc w:val="both"/>
              <w:rPr>
                <w:noProof/>
              </w:rPr>
            </w:pPr>
            <w:r>
              <w:rPr>
                <w:noProof/>
              </w:rPr>
              <w:t xml:space="preserve">Upravljanje kvalitetom u prometu na temelju uspješnosti – poboljšanje </w:t>
            </w:r>
            <w:r>
              <w:rPr>
                <w:noProof/>
              </w:rPr>
              <w:t>institucijskih kapaciteta i korporativnog upravljanja</w:t>
            </w:r>
          </w:p>
        </w:tc>
        <w:tc>
          <w:tcPr>
            <w:tcW w:w="1275" w:type="dxa"/>
            <w:tcBorders>
              <w:top w:val="nil"/>
              <w:left w:val="nil"/>
              <w:bottom w:val="single" w:sz="4" w:space="0" w:color="auto"/>
              <w:right w:val="single" w:sz="4" w:space="0" w:color="auto"/>
            </w:tcBorders>
            <w:shd w:val="clear" w:color="auto" w:fill="C6EFCE"/>
            <w:noWrap/>
          </w:tcPr>
          <w:p w14:paraId="2A5F714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A8AA929" w14:textId="77777777" w:rsidR="003F46B9" w:rsidRDefault="0065662E">
            <w:pPr>
              <w:pStyle w:val="P68B1DB1-Normal35"/>
              <w:spacing w:after="0"/>
              <w:jc w:val="both"/>
              <w:rPr>
                <w:noProof/>
              </w:rPr>
            </w:pPr>
            <w:r>
              <w:rPr>
                <w:noProof/>
              </w:rPr>
              <w:t>Provedba glavnih preporuka za povećanje financijske i operativne uspješnosti C.N.A.I.R., C.N.I.R., C.F.R. Calatori i Metrorex</w:t>
            </w:r>
          </w:p>
        </w:tc>
      </w:tr>
      <w:tr w:rsidR="003F46B9" w14:paraId="462794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D7BDF8" w14:textId="77777777" w:rsidR="003F46B9" w:rsidRDefault="0065662E">
            <w:pPr>
              <w:pStyle w:val="P68B1DB1-Normal35"/>
              <w:spacing w:after="0"/>
              <w:jc w:val="center"/>
              <w:rPr>
                <w:noProof/>
              </w:rPr>
            </w:pPr>
            <w:r>
              <w:rPr>
                <w:noProof/>
              </w:rPr>
              <w:t>248</w:t>
            </w:r>
          </w:p>
        </w:tc>
        <w:tc>
          <w:tcPr>
            <w:tcW w:w="3544" w:type="dxa"/>
            <w:tcBorders>
              <w:top w:val="nil"/>
              <w:left w:val="nil"/>
              <w:bottom w:val="single" w:sz="4" w:space="0" w:color="auto"/>
              <w:right w:val="single" w:sz="4" w:space="0" w:color="auto"/>
            </w:tcBorders>
            <w:shd w:val="clear" w:color="auto" w:fill="C6EFCE"/>
            <w:noWrap/>
          </w:tcPr>
          <w:p w14:paraId="3E9F8825" w14:textId="77777777" w:rsidR="003F46B9" w:rsidRDefault="0065662E">
            <w:pPr>
              <w:pStyle w:val="P68B1DB1-Normal35"/>
              <w:spacing w:after="0"/>
              <w:jc w:val="both"/>
              <w:rPr>
                <w:noProof/>
              </w:rPr>
            </w:pPr>
            <w:r>
              <w:rPr>
                <w:noProof/>
              </w:rPr>
              <w:t>C9.I2.1</w:t>
            </w:r>
          </w:p>
          <w:p w14:paraId="0936BE00" w14:textId="77777777" w:rsidR="003F46B9" w:rsidRDefault="0065662E">
            <w:pPr>
              <w:pStyle w:val="P68B1DB1-Normal35"/>
              <w:spacing w:after="0"/>
              <w:jc w:val="both"/>
              <w:rPr>
                <w:noProof/>
              </w:rPr>
            </w:pPr>
            <w:r>
              <w:rPr>
                <w:noProof/>
              </w:rPr>
              <w:t xml:space="preserve">Financijski instrumenti za privatni sektor – portfeljno jamstvo za otpornost </w:t>
            </w:r>
          </w:p>
        </w:tc>
        <w:tc>
          <w:tcPr>
            <w:tcW w:w="1275" w:type="dxa"/>
            <w:tcBorders>
              <w:top w:val="nil"/>
              <w:left w:val="nil"/>
              <w:bottom w:val="single" w:sz="4" w:space="0" w:color="auto"/>
              <w:right w:val="single" w:sz="4" w:space="0" w:color="auto"/>
            </w:tcBorders>
            <w:shd w:val="clear" w:color="auto" w:fill="C6EFCE"/>
            <w:noWrap/>
          </w:tcPr>
          <w:p w14:paraId="1423AF3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80580B6" w14:textId="77777777" w:rsidR="003F46B9" w:rsidRDefault="0065662E">
            <w:pPr>
              <w:pStyle w:val="P68B1DB1-Normal35"/>
              <w:spacing w:after="0"/>
              <w:jc w:val="both"/>
              <w:rPr>
                <w:noProof/>
              </w:rPr>
            </w:pPr>
            <w:r>
              <w:rPr>
                <w:noProof/>
              </w:rPr>
              <w:t>Operacije financiranja ili ulaganja u iznosu od najmanje 50 % ukupnog iznosa sredstava dodijeljenih instrumentu koji je odobrio Odbor za ulaganja InvestEU</w:t>
            </w:r>
          </w:p>
        </w:tc>
      </w:tr>
      <w:tr w:rsidR="003F46B9" w14:paraId="7B4D00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77E3F33" w14:textId="77777777" w:rsidR="003F46B9" w:rsidRDefault="0065662E">
            <w:pPr>
              <w:pStyle w:val="P68B1DB1-Normal35"/>
              <w:spacing w:after="0"/>
              <w:jc w:val="center"/>
              <w:rPr>
                <w:noProof/>
              </w:rPr>
            </w:pPr>
            <w:r>
              <w:rPr>
                <w:noProof/>
              </w:rPr>
              <w:t>251</w:t>
            </w:r>
          </w:p>
        </w:tc>
        <w:tc>
          <w:tcPr>
            <w:tcW w:w="3544" w:type="dxa"/>
            <w:tcBorders>
              <w:top w:val="nil"/>
              <w:left w:val="nil"/>
              <w:bottom w:val="single" w:sz="4" w:space="0" w:color="auto"/>
              <w:right w:val="single" w:sz="4" w:space="0" w:color="auto"/>
            </w:tcBorders>
            <w:shd w:val="clear" w:color="auto" w:fill="C6EFCE"/>
            <w:noWrap/>
          </w:tcPr>
          <w:p w14:paraId="414B8FBF" w14:textId="77777777" w:rsidR="003F46B9" w:rsidRDefault="0065662E">
            <w:pPr>
              <w:pStyle w:val="P68B1DB1-Normal35"/>
              <w:spacing w:after="0"/>
              <w:jc w:val="both"/>
              <w:rPr>
                <w:noProof/>
              </w:rPr>
            </w:pPr>
            <w:r>
              <w:rPr>
                <w:noProof/>
              </w:rPr>
              <w:t xml:space="preserve">C9.I2.2 </w:t>
            </w:r>
          </w:p>
          <w:p w14:paraId="0AD674EC" w14:textId="77777777" w:rsidR="003F46B9" w:rsidRDefault="0065662E">
            <w:pPr>
              <w:pStyle w:val="P68B1DB1-Normal35"/>
              <w:spacing w:after="0"/>
              <w:jc w:val="both"/>
              <w:rPr>
                <w:noProof/>
              </w:rPr>
            </w:pPr>
            <w:r>
              <w:rPr>
                <w:noProof/>
              </w:rPr>
              <w:t xml:space="preserve">Financijski instrumenti za privatni sektor – jamstvo portfelja za klimatsku politiku </w:t>
            </w:r>
          </w:p>
        </w:tc>
        <w:tc>
          <w:tcPr>
            <w:tcW w:w="1275" w:type="dxa"/>
            <w:tcBorders>
              <w:top w:val="nil"/>
              <w:left w:val="nil"/>
              <w:bottom w:val="single" w:sz="4" w:space="0" w:color="auto"/>
              <w:right w:val="single" w:sz="4" w:space="0" w:color="auto"/>
            </w:tcBorders>
            <w:shd w:val="clear" w:color="auto" w:fill="C6EFCE"/>
            <w:noWrap/>
          </w:tcPr>
          <w:p w14:paraId="60502FBD"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7F4453BA" w14:textId="77777777" w:rsidR="003F46B9" w:rsidRDefault="0065662E">
            <w:pPr>
              <w:pStyle w:val="P68B1DB1-Normal35"/>
              <w:spacing w:after="0"/>
              <w:jc w:val="both"/>
              <w:rPr>
                <w:noProof/>
              </w:rPr>
            </w:pPr>
            <w:r>
              <w:rPr>
                <w:noProof/>
              </w:rPr>
              <w:t>Operacije financiranja ili ulaganja u iznosu od najmanje 50 % ukupnog iznosa sredstava dodijeljenih instrumentu, koje je odobrio Odbor za ulaganja InvestEU</w:t>
            </w:r>
          </w:p>
        </w:tc>
      </w:tr>
      <w:tr w:rsidR="003F46B9" w14:paraId="27D7EF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0F96DA" w14:textId="77777777" w:rsidR="003F46B9" w:rsidRDefault="0065662E">
            <w:pPr>
              <w:pStyle w:val="P68B1DB1-Normal35"/>
              <w:spacing w:after="0"/>
              <w:jc w:val="center"/>
              <w:rPr>
                <w:noProof/>
              </w:rPr>
            </w:pPr>
            <w:r>
              <w:rPr>
                <w:noProof/>
              </w:rPr>
              <w:t>260</w:t>
            </w:r>
          </w:p>
        </w:tc>
        <w:tc>
          <w:tcPr>
            <w:tcW w:w="3544" w:type="dxa"/>
            <w:tcBorders>
              <w:top w:val="nil"/>
              <w:left w:val="nil"/>
              <w:bottom w:val="single" w:sz="4" w:space="0" w:color="auto"/>
              <w:right w:val="single" w:sz="4" w:space="0" w:color="auto"/>
            </w:tcBorders>
            <w:shd w:val="clear" w:color="auto" w:fill="C6EFCE"/>
            <w:noWrap/>
          </w:tcPr>
          <w:p w14:paraId="751B0FEB" w14:textId="77777777" w:rsidR="003F46B9" w:rsidRDefault="0065662E">
            <w:pPr>
              <w:pStyle w:val="P68B1DB1-Normal35"/>
              <w:spacing w:after="0"/>
              <w:jc w:val="both"/>
              <w:rPr>
                <w:noProof/>
              </w:rPr>
            </w:pPr>
            <w:r>
              <w:rPr>
                <w:noProof/>
              </w:rPr>
              <w:t>C9.I2.5</w:t>
            </w:r>
            <w:r>
              <w:rPr>
                <w:noProof/>
              </w:rPr>
              <w:t xml:space="preserve"> </w:t>
            </w:r>
          </w:p>
          <w:p w14:paraId="2A3EABB3" w14:textId="77777777" w:rsidR="003F46B9" w:rsidRDefault="0065662E">
            <w:pPr>
              <w:pStyle w:val="P68B1DB1-Normal35"/>
              <w:spacing w:after="0"/>
              <w:jc w:val="both"/>
              <w:rPr>
                <w:noProof/>
              </w:rPr>
            </w:pPr>
            <w:r>
              <w:rPr>
                <w:noProof/>
              </w:rPr>
              <w:t xml:space="preserve">Financijski instrumenti za privatni sektor – Ulaganja u energetsku učinkovitost u stambenom i građevinskom sektoru </w:t>
            </w:r>
          </w:p>
        </w:tc>
        <w:tc>
          <w:tcPr>
            <w:tcW w:w="1275" w:type="dxa"/>
            <w:tcBorders>
              <w:top w:val="nil"/>
              <w:left w:val="nil"/>
              <w:bottom w:val="single" w:sz="4" w:space="0" w:color="auto"/>
              <w:right w:val="single" w:sz="4" w:space="0" w:color="auto"/>
            </w:tcBorders>
            <w:shd w:val="clear" w:color="auto" w:fill="C6EFCE"/>
            <w:noWrap/>
          </w:tcPr>
          <w:p w14:paraId="414DB94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DC9F564" w14:textId="77777777" w:rsidR="003F46B9" w:rsidRDefault="0065662E">
            <w:pPr>
              <w:pStyle w:val="P68B1DB1-Normal35"/>
              <w:spacing w:after="0"/>
              <w:jc w:val="both"/>
              <w:rPr>
                <w:noProof/>
              </w:rPr>
            </w:pPr>
            <w:r>
              <w:rPr>
                <w:noProof/>
              </w:rPr>
              <w:t>Operacije financiranja ili ulaganja u iznosu od najmanje 50 % ukupnog ciljanog iznosa financiranja ili ulaganja koje je odobrio Odbor za</w:t>
            </w:r>
            <w:r>
              <w:rPr>
                <w:noProof/>
              </w:rPr>
              <w:t xml:space="preserve"> ulaganja InvestEU</w:t>
            </w:r>
          </w:p>
        </w:tc>
      </w:tr>
      <w:tr w:rsidR="003F46B9" w14:paraId="4C2AAD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3F4A7" w14:textId="77777777" w:rsidR="003F46B9" w:rsidRDefault="0065662E">
            <w:pPr>
              <w:pStyle w:val="P68B1DB1-Normal35"/>
              <w:spacing w:after="0"/>
              <w:jc w:val="center"/>
              <w:rPr>
                <w:noProof/>
              </w:rPr>
            </w:pPr>
            <w:r>
              <w:rPr>
                <w:noProof/>
              </w:rPr>
              <w:t>273</w:t>
            </w:r>
          </w:p>
        </w:tc>
        <w:tc>
          <w:tcPr>
            <w:tcW w:w="3544" w:type="dxa"/>
            <w:tcBorders>
              <w:top w:val="nil"/>
              <w:left w:val="nil"/>
              <w:bottom w:val="single" w:sz="4" w:space="0" w:color="auto"/>
              <w:right w:val="single" w:sz="4" w:space="0" w:color="auto"/>
            </w:tcBorders>
            <w:shd w:val="clear" w:color="auto" w:fill="C6EFCE"/>
            <w:noWrap/>
          </w:tcPr>
          <w:p w14:paraId="0CCD6D6F" w14:textId="77777777" w:rsidR="003F46B9" w:rsidRDefault="0065662E">
            <w:pPr>
              <w:pStyle w:val="P68B1DB1-Normal35"/>
              <w:spacing w:after="0"/>
              <w:jc w:val="both"/>
              <w:rPr>
                <w:noProof/>
              </w:rPr>
            </w:pPr>
            <w:r>
              <w:rPr>
                <w:noProof/>
              </w:rPr>
              <w:t xml:space="preserve">C9.R2 </w:t>
            </w:r>
          </w:p>
          <w:p w14:paraId="3FEBE8BB" w14:textId="77777777" w:rsidR="003F46B9" w:rsidRDefault="0065662E">
            <w:pPr>
              <w:pStyle w:val="P68B1DB1-Normal35"/>
              <w:spacing w:after="0"/>
              <w:jc w:val="both"/>
              <w:rPr>
                <w:noProof/>
              </w:rPr>
            </w:pPr>
            <w:r>
              <w:rPr>
                <w:noProof/>
              </w:rPr>
              <w:t xml:space="preserve">Pojednostavnjenje upravljanja istraživanjem, razvojem i inovacijama </w:t>
            </w:r>
          </w:p>
        </w:tc>
        <w:tc>
          <w:tcPr>
            <w:tcW w:w="1275" w:type="dxa"/>
            <w:tcBorders>
              <w:top w:val="nil"/>
              <w:left w:val="nil"/>
              <w:bottom w:val="single" w:sz="4" w:space="0" w:color="auto"/>
              <w:right w:val="single" w:sz="4" w:space="0" w:color="auto"/>
            </w:tcBorders>
            <w:shd w:val="clear" w:color="auto" w:fill="C6EFCE"/>
            <w:noWrap/>
          </w:tcPr>
          <w:p w14:paraId="584C2A9E"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D0BE3AF" w14:textId="77777777" w:rsidR="003F46B9" w:rsidRDefault="0065662E">
            <w:pPr>
              <w:pStyle w:val="P68B1DB1-Normal35"/>
              <w:spacing w:after="0"/>
              <w:jc w:val="both"/>
              <w:rPr>
                <w:noProof/>
              </w:rPr>
            </w:pPr>
            <w:r>
              <w:rPr>
                <w:noProof/>
              </w:rPr>
              <w:t xml:space="preserve">Stupanje na snagu vladinog pravilnika o osnivanju jedinstvenog tijela koje obuhvaća postojeća vijeća, osigurava koordinaciju među ministarstvima i </w:t>
            </w:r>
            <w:r>
              <w:rPr>
                <w:noProof/>
              </w:rPr>
              <w:t>obuhvaća uspostavu i rad privatnog sektora</w:t>
            </w:r>
          </w:p>
        </w:tc>
      </w:tr>
      <w:tr w:rsidR="003F46B9" w14:paraId="6B8537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429A40" w14:textId="77777777" w:rsidR="003F46B9" w:rsidRDefault="0065662E">
            <w:pPr>
              <w:pStyle w:val="P68B1DB1-Normal35"/>
              <w:spacing w:after="0"/>
              <w:jc w:val="center"/>
              <w:rPr>
                <w:noProof/>
              </w:rPr>
            </w:pPr>
            <w:r>
              <w:rPr>
                <w:noProof/>
              </w:rPr>
              <w:t>286</w:t>
            </w:r>
          </w:p>
        </w:tc>
        <w:tc>
          <w:tcPr>
            <w:tcW w:w="3544" w:type="dxa"/>
            <w:tcBorders>
              <w:top w:val="nil"/>
              <w:left w:val="nil"/>
              <w:bottom w:val="single" w:sz="4" w:space="0" w:color="auto"/>
              <w:right w:val="single" w:sz="4" w:space="0" w:color="auto"/>
            </w:tcBorders>
            <w:shd w:val="clear" w:color="auto" w:fill="C6EFCE"/>
            <w:noWrap/>
          </w:tcPr>
          <w:p w14:paraId="4224493D" w14:textId="77777777" w:rsidR="003F46B9" w:rsidRDefault="0065662E">
            <w:pPr>
              <w:pStyle w:val="P68B1DB1-Normal35"/>
              <w:spacing w:after="0"/>
              <w:jc w:val="both"/>
              <w:rPr>
                <w:noProof/>
              </w:rPr>
            </w:pPr>
            <w:r>
              <w:rPr>
                <w:noProof/>
              </w:rPr>
              <w:t xml:space="preserve">C9.I10 </w:t>
            </w:r>
          </w:p>
          <w:p w14:paraId="051A87A6" w14:textId="77777777" w:rsidR="003F46B9" w:rsidRDefault="0065662E">
            <w:pPr>
              <w:pStyle w:val="P68B1DB1-Normal35"/>
              <w:spacing w:after="0"/>
              <w:jc w:val="both"/>
              <w:rPr>
                <w:noProof/>
              </w:rPr>
            </w:pPr>
            <w:r>
              <w:rPr>
                <w:noProof/>
              </w:rPr>
              <w:t>Uspostava i financijska potpora nacionalne mreže osam regionalnih centara za profesionalno usmjeravanje u okviru Platforme europskog istraživačkog prostora za talente</w:t>
            </w:r>
          </w:p>
        </w:tc>
        <w:tc>
          <w:tcPr>
            <w:tcW w:w="1275" w:type="dxa"/>
            <w:tcBorders>
              <w:top w:val="nil"/>
              <w:left w:val="nil"/>
              <w:bottom w:val="single" w:sz="4" w:space="0" w:color="auto"/>
              <w:right w:val="single" w:sz="4" w:space="0" w:color="auto"/>
            </w:tcBorders>
            <w:shd w:val="clear" w:color="auto" w:fill="C6EFCE"/>
            <w:noWrap/>
          </w:tcPr>
          <w:p w14:paraId="65D2A0A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C6A0D18" w14:textId="77777777" w:rsidR="003F46B9" w:rsidRDefault="0065662E">
            <w:pPr>
              <w:pStyle w:val="P68B1DB1-Normal35"/>
              <w:spacing w:after="0"/>
              <w:jc w:val="both"/>
              <w:rPr>
                <w:noProof/>
              </w:rPr>
            </w:pPr>
            <w:r>
              <w:rPr>
                <w:noProof/>
              </w:rPr>
              <w:t>Mreža javnih sveučilišta koja s</w:t>
            </w:r>
            <w:r>
              <w:rPr>
                <w:noProof/>
              </w:rPr>
              <w:t>u domaćini i operativni osam centara za istraživačku karijeru</w:t>
            </w:r>
          </w:p>
        </w:tc>
      </w:tr>
      <w:tr w:rsidR="003F46B9" w14:paraId="0400F8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0A26A93" w14:textId="77777777" w:rsidR="003F46B9" w:rsidRDefault="0065662E">
            <w:pPr>
              <w:pStyle w:val="P68B1DB1-Normal35"/>
              <w:spacing w:after="0"/>
              <w:jc w:val="center"/>
              <w:rPr>
                <w:noProof/>
              </w:rPr>
            </w:pPr>
            <w:r>
              <w:rPr>
                <w:noProof/>
              </w:rPr>
              <w:t>315</w:t>
            </w:r>
          </w:p>
        </w:tc>
        <w:tc>
          <w:tcPr>
            <w:tcW w:w="3544" w:type="dxa"/>
            <w:tcBorders>
              <w:top w:val="nil"/>
              <w:left w:val="nil"/>
              <w:bottom w:val="single" w:sz="4" w:space="0" w:color="auto"/>
              <w:right w:val="single" w:sz="4" w:space="0" w:color="auto"/>
            </w:tcBorders>
            <w:shd w:val="clear" w:color="auto" w:fill="C6EFCE"/>
            <w:noWrap/>
          </w:tcPr>
          <w:p w14:paraId="21DF7048" w14:textId="77777777" w:rsidR="003F46B9" w:rsidRDefault="0065662E">
            <w:pPr>
              <w:pStyle w:val="P68B1DB1-Normal35"/>
              <w:spacing w:after="0"/>
              <w:jc w:val="both"/>
              <w:rPr>
                <w:noProof/>
              </w:rPr>
            </w:pPr>
            <w:r>
              <w:rPr>
                <w:noProof/>
              </w:rPr>
              <w:t xml:space="preserve">C10.R5 </w:t>
            </w:r>
          </w:p>
          <w:p w14:paraId="13E33CC5" w14:textId="77777777" w:rsidR="003F46B9" w:rsidRDefault="0065662E">
            <w:pPr>
              <w:pStyle w:val="P68B1DB1-Normal35"/>
              <w:spacing w:after="0"/>
              <w:jc w:val="both"/>
              <w:rPr>
                <w:noProof/>
              </w:rPr>
            </w:pPr>
            <w:r>
              <w:rPr>
                <w:noProof/>
              </w:rPr>
              <w:t>Razvoj sustava planiranja – Kodeks prostornog uređenja, urbanizma i graditeljstva</w:t>
            </w:r>
          </w:p>
        </w:tc>
        <w:tc>
          <w:tcPr>
            <w:tcW w:w="1275" w:type="dxa"/>
            <w:tcBorders>
              <w:top w:val="nil"/>
              <w:left w:val="nil"/>
              <w:bottom w:val="single" w:sz="4" w:space="0" w:color="auto"/>
              <w:right w:val="single" w:sz="4" w:space="0" w:color="auto"/>
            </w:tcBorders>
            <w:shd w:val="clear" w:color="auto" w:fill="C6EFCE"/>
            <w:noWrap/>
          </w:tcPr>
          <w:p w14:paraId="0F9F176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5188FB" w14:textId="77777777" w:rsidR="003F46B9" w:rsidRDefault="0065662E">
            <w:pPr>
              <w:pStyle w:val="P68B1DB1-Normal35"/>
              <w:spacing w:after="0"/>
              <w:jc w:val="both"/>
              <w:rPr>
                <w:noProof/>
              </w:rPr>
            </w:pPr>
            <w:r>
              <w:rPr>
                <w:noProof/>
              </w:rPr>
              <w:t xml:space="preserve">Stupanje na snagu Zakonika o prostornom planiranju, urbanističkom planiranju i gradnji </w:t>
            </w:r>
          </w:p>
        </w:tc>
      </w:tr>
      <w:tr w:rsidR="003F46B9" w14:paraId="540924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52AE7E" w14:textId="77777777" w:rsidR="003F46B9" w:rsidRDefault="0065662E">
            <w:pPr>
              <w:pStyle w:val="P68B1DB1-Normal35"/>
              <w:spacing w:after="0"/>
              <w:jc w:val="center"/>
              <w:rPr>
                <w:noProof/>
              </w:rPr>
            </w:pPr>
            <w:r>
              <w:rPr>
                <w:noProof/>
              </w:rPr>
              <w:t>316</w:t>
            </w:r>
          </w:p>
        </w:tc>
        <w:tc>
          <w:tcPr>
            <w:tcW w:w="3544" w:type="dxa"/>
            <w:tcBorders>
              <w:top w:val="nil"/>
              <w:left w:val="nil"/>
              <w:bottom w:val="single" w:sz="4" w:space="0" w:color="auto"/>
              <w:right w:val="single" w:sz="4" w:space="0" w:color="auto"/>
            </w:tcBorders>
            <w:shd w:val="clear" w:color="auto" w:fill="C6EFCE"/>
            <w:noWrap/>
          </w:tcPr>
          <w:p w14:paraId="62FCF715" w14:textId="77777777" w:rsidR="003F46B9" w:rsidRDefault="0065662E">
            <w:pPr>
              <w:pStyle w:val="P68B1DB1-Normal35"/>
              <w:spacing w:after="0"/>
              <w:jc w:val="both"/>
              <w:rPr>
                <w:noProof/>
              </w:rPr>
            </w:pPr>
            <w:r>
              <w:rPr>
                <w:noProof/>
              </w:rPr>
              <w:t xml:space="preserve">C10.R5 </w:t>
            </w:r>
          </w:p>
          <w:p w14:paraId="1D9FBC45" w14:textId="77777777" w:rsidR="003F46B9" w:rsidRDefault="0065662E">
            <w:pPr>
              <w:pStyle w:val="P68B1DB1-Normal35"/>
              <w:spacing w:after="0"/>
              <w:jc w:val="both"/>
              <w:rPr>
                <w:noProof/>
              </w:rPr>
            </w:pPr>
            <w:r>
              <w:rPr>
                <w:noProof/>
              </w:rPr>
              <w:t>Razvoj sustava planiranja – Kodeks prostornog uređenja, urbanizma i graditeljstva</w:t>
            </w:r>
          </w:p>
        </w:tc>
        <w:tc>
          <w:tcPr>
            <w:tcW w:w="1275" w:type="dxa"/>
            <w:tcBorders>
              <w:top w:val="nil"/>
              <w:left w:val="nil"/>
              <w:bottom w:val="single" w:sz="4" w:space="0" w:color="auto"/>
              <w:right w:val="single" w:sz="4" w:space="0" w:color="auto"/>
            </w:tcBorders>
            <w:shd w:val="clear" w:color="auto" w:fill="C6EFCE"/>
            <w:noWrap/>
          </w:tcPr>
          <w:p w14:paraId="14065C2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30A7A78" w14:textId="77777777" w:rsidR="003F46B9" w:rsidRDefault="0065662E">
            <w:pPr>
              <w:pStyle w:val="P68B1DB1-Normal35"/>
              <w:spacing w:after="0"/>
              <w:jc w:val="both"/>
              <w:rPr>
                <w:noProof/>
              </w:rPr>
            </w:pPr>
            <w:r>
              <w:rPr>
                <w:noProof/>
              </w:rPr>
              <w:t xml:space="preserve">Početak rada interoperabilne platforme za digitalne podatke gradova (kao dio Teritorijalnog opservatorija) </w:t>
            </w:r>
          </w:p>
        </w:tc>
      </w:tr>
      <w:tr w:rsidR="003F46B9" w14:paraId="742F6D1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DD60385" w14:textId="77777777" w:rsidR="003F46B9" w:rsidRDefault="003F46B9">
            <w:pPr>
              <w:spacing w:after="0"/>
              <w:jc w:val="center"/>
              <w:rPr>
                <w:rFonts w:ascii="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1651FBDB" w14:textId="77777777" w:rsidR="003F46B9" w:rsidRDefault="003F46B9">
            <w:pPr>
              <w:spacing w:after="0"/>
              <w:rPr>
                <w:rFonts w:ascii="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6237C1D2"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tcPr>
          <w:p w14:paraId="10137726" w14:textId="77777777" w:rsidR="003F46B9" w:rsidRDefault="003F46B9">
            <w:pPr>
              <w:spacing w:after="0"/>
              <w:jc w:val="both"/>
              <w:rPr>
                <w:rFonts w:ascii="Times New Roman" w:eastAsia="Times New Roman" w:hAnsi="Times New Roman" w:cs="Times New Roman"/>
                <w:noProof/>
              </w:rPr>
            </w:pPr>
          </w:p>
          <w:p w14:paraId="55CEA8D2" w14:textId="047C3924" w:rsidR="003F46B9" w:rsidRDefault="0065662E">
            <w:pPr>
              <w:pStyle w:val="P68B1DB1-Normal36"/>
              <w:spacing w:after="0"/>
              <w:jc w:val="right"/>
              <w:rPr>
                <w:noProof/>
              </w:rPr>
            </w:pPr>
            <w:r>
              <w:rPr>
                <w:noProof/>
              </w:rPr>
              <w:t>1677245690 EURA</w:t>
            </w:r>
          </w:p>
        </w:tc>
      </w:tr>
    </w:tbl>
    <w:p w14:paraId="5A78B4F0" w14:textId="77777777" w:rsidR="003F46B9" w:rsidRDefault="0065662E">
      <w:pPr>
        <w:pStyle w:val="NumPar2"/>
        <w:tabs>
          <w:tab w:val="clear" w:pos="850"/>
        </w:tabs>
        <w:ind w:firstLine="0"/>
        <w:rPr>
          <w:noProof/>
        </w:rPr>
      </w:pPr>
      <w:r>
        <w:rPr>
          <w:noProof/>
        </w:rPr>
        <w:br w:type="page"/>
      </w:r>
    </w:p>
    <w:p w14:paraId="63C25432" w14:textId="77777777" w:rsidR="003F46B9" w:rsidRDefault="0065662E">
      <w:pPr>
        <w:pStyle w:val="Heading3"/>
        <w:rPr>
          <w:noProof/>
        </w:rPr>
      </w:pPr>
      <w:r>
        <w:rPr>
          <w:noProof/>
        </w:rPr>
        <w:t xml:space="preserve">Peti obrok (potpora po kreditima): </w:t>
      </w:r>
    </w:p>
    <w:tbl>
      <w:tblPr>
        <w:tblW w:w="9634" w:type="dxa"/>
        <w:tblInd w:w="113" w:type="dxa"/>
        <w:tblLook w:val="04A0" w:firstRow="1" w:lastRow="0" w:firstColumn="1" w:lastColumn="0" w:noHBand="0" w:noVBand="1"/>
      </w:tblPr>
      <w:tblGrid>
        <w:gridCol w:w="1413"/>
        <w:gridCol w:w="3544"/>
        <w:gridCol w:w="1316"/>
        <w:gridCol w:w="3402"/>
      </w:tblGrid>
      <w:tr w:rsidR="003F46B9" w14:paraId="573B262F" w14:textId="77777777">
        <w:trPr>
          <w:trHeight w:val="905"/>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124E96B"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701B6CE2" w14:textId="77777777" w:rsidR="003F46B9" w:rsidRDefault="0065662E">
            <w:pPr>
              <w:pStyle w:val="P68B1DB1-Normal34"/>
              <w:spacing w:after="0"/>
              <w:jc w:val="center"/>
              <w:rPr>
                <w:noProof/>
              </w:rPr>
            </w:pPr>
            <w:r>
              <w:rPr>
                <w:noProof/>
              </w:rPr>
              <w:t>Povezana mjera</w:t>
            </w:r>
          </w:p>
          <w:p w14:paraId="672D1116" w14:textId="77777777" w:rsidR="003F46B9" w:rsidRDefault="0065662E">
            <w:pPr>
              <w:pStyle w:val="P68B1DB1-Normal34"/>
              <w:spacing w:after="0"/>
              <w:jc w:val="center"/>
              <w:rPr>
                <w:noProof/>
              </w:rPr>
            </w:pPr>
            <w:r>
              <w:rPr>
                <w:noProof/>
              </w:rPr>
              <w:t>(Reforma ili ulaganje)</w:t>
            </w:r>
          </w:p>
        </w:tc>
        <w:tc>
          <w:tcPr>
            <w:tcW w:w="127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6F563EA" w14:textId="77777777" w:rsidR="003F46B9" w:rsidRDefault="0065662E">
            <w:pPr>
              <w:pStyle w:val="P68B1DB1-Normal34"/>
              <w:spacing w:after="0"/>
              <w:jc w:val="center"/>
              <w:rPr>
                <w:noProof/>
              </w:rPr>
            </w:pPr>
            <w:r>
              <w:rPr>
                <w:noProof/>
              </w:rPr>
              <w:t>Ključna etapa/ciljna vrijednost</w:t>
            </w:r>
          </w:p>
        </w:tc>
        <w:tc>
          <w:tcPr>
            <w:tcW w:w="3402"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4F06E990" w14:textId="77777777" w:rsidR="003F46B9" w:rsidRDefault="0065662E">
            <w:pPr>
              <w:pStyle w:val="P68B1DB1-Normal34"/>
              <w:spacing w:after="0"/>
              <w:jc w:val="center"/>
              <w:rPr>
                <w:noProof/>
              </w:rPr>
            </w:pPr>
            <w:r>
              <w:rPr>
                <w:noProof/>
              </w:rPr>
              <w:t>Ime</w:t>
            </w:r>
          </w:p>
        </w:tc>
      </w:tr>
      <w:tr w:rsidR="003F46B9" w14:paraId="4215B659"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334AFFE"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75071B9" w14:textId="77777777" w:rsidR="003F46B9" w:rsidRDefault="003F46B9">
            <w:pPr>
              <w:spacing w:after="0"/>
              <w:jc w:val="both"/>
              <w:rPr>
                <w:rFonts w:ascii="Times New Roman" w:eastAsia="Times New Roman" w:hAnsi="Times New Roman" w:cs="Times New Roman"/>
                <w:b/>
                <w:noProof/>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1427A6DE" w14:textId="77777777" w:rsidR="003F46B9" w:rsidRDefault="003F46B9">
            <w:pPr>
              <w:spacing w:after="0"/>
              <w:rPr>
                <w:rFonts w:ascii="Times New Roman" w:eastAsia="Times New Roman" w:hAnsi="Times New Roman" w:cs="Times New Roman"/>
                <w:b/>
                <w:noProof/>
              </w:rPr>
            </w:pPr>
          </w:p>
        </w:tc>
        <w:tc>
          <w:tcPr>
            <w:tcW w:w="3402" w:type="dxa"/>
            <w:vMerge/>
            <w:tcBorders>
              <w:top w:val="single" w:sz="4" w:space="0" w:color="auto"/>
              <w:left w:val="nil"/>
              <w:bottom w:val="single" w:sz="4" w:space="0" w:color="000000"/>
              <w:right w:val="single" w:sz="4" w:space="0" w:color="auto"/>
            </w:tcBorders>
            <w:vAlign w:val="center"/>
            <w:hideMark/>
          </w:tcPr>
          <w:p w14:paraId="50395243" w14:textId="77777777" w:rsidR="003F46B9" w:rsidRDefault="003F46B9">
            <w:pPr>
              <w:spacing w:after="0"/>
              <w:jc w:val="both"/>
              <w:rPr>
                <w:rFonts w:ascii="Times New Roman" w:eastAsia="Times New Roman" w:hAnsi="Times New Roman" w:cs="Times New Roman"/>
                <w:b/>
                <w:noProof/>
              </w:rPr>
            </w:pPr>
          </w:p>
        </w:tc>
      </w:tr>
      <w:tr w:rsidR="003F46B9" w14:paraId="6CB70C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12449CC" w14:textId="77777777" w:rsidR="003F46B9" w:rsidRDefault="0065662E">
            <w:pPr>
              <w:pStyle w:val="P68B1DB1-Normal35"/>
              <w:spacing w:after="0"/>
              <w:jc w:val="center"/>
              <w:rPr>
                <w:noProof/>
              </w:rPr>
            </w:pPr>
            <w:r>
              <w:rPr>
                <w:noProof/>
              </w:rPr>
              <w:t>44</w:t>
            </w:r>
          </w:p>
        </w:tc>
        <w:tc>
          <w:tcPr>
            <w:tcW w:w="3544" w:type="dxa"/>
            <w:tcBorders>
              <w:top w:val="nil"/>
              <w:left w:val="nil"/>
              <w:bottom w:val="single" w:sz="4" w:space="0" w:color="auto"/>
              <w:right w:val="single" w:sz="4" w:space="0" w:color="auto"/>
            </w:tcBorders>
            <w:shd w:val="clear" w:color="auto" w:fill="C6EFCE"/>
            <w:noWrap/>
          </w:tcPr>
          <w:p w14:paraId="482FF751" w14:textId="77777777" w:rsidR="003F46B9" w:rsidRDefault="0065662E">
            <w:pPr>
              <w:pStyle w:val="P68B1DB1-Normal35"/>
              <w:spacing w:after="0"/>
              <w:jc w:val="both"/>
              <w:rPr>
                <w:noProof/>
              </w:rPr>
            </w:pPr>
            <w:r>
              <w:rPr>
                <w:noProof/>
              </w:rPr>
              <w:t>C3.R1</w:t>
            </w:r>
          </w:p>
          <w:p w14:paraId="732FC0F4" w14:textId="77777777" w:rsidR="003F46B9" w:rsidRDefault="0065662E">
            <w:pPr>
              <w:pStyle w:val="P68B1DB1-Normal35"/>
              <w:spacing w:after="0"/>
              <w:jc w:val="both"/>
              <w:rPr>
                <w:noProof/>
              </w:rPr>
            </w:pPr>
            <w:r>
              <w:rPr>
                <w:noProof/>
              </w:rPr>
              <w:t xml:space="preserve">Poboljšanje upravljanja gospodarenjem otpadom kako bi se ubrzao prelazak na kružno gospodarstvo </w:t>
            </w:r>
          </w:p>
        </w:tc>
        <w:tc>
          <w:tcPr>
            <w:tcW w:w="1275" w:type="dxa"/>
            <w:tcBorders>
              <w:top w:val="nil"/>
              <w:left w:val="nil"/>
              <w:bottom w:val="single" w:sz="4" w:space="0" w:color="auto"/>
              <w:right w:val="single" w:sz="4" w:space="0" w:color="auto"/>
            </w:tcBorders>
            <w:shd w:val="clear" w:color="auto" w:fill="C6EFCE"/>
            <w:noWrap/>
          </w:tcPr>
          <w:p w14:paraId="0A0A4B6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7FA69BB" w14:textId="77777777" w:rsidR="003F46B9" w:rsidRDefault="0065662E">
            <w:pPr>
              <w:pStyle w:val="P68B1DB1-Normal35"/>
              <w:spacing w:after="0"/>
              <w:jc w:val="both"/>
              <w:rPr>
                <w:noProof/>
              </w:rPr>
            </w:pPr>
            <w:r>
              <w:rPr>
                <w:noProof/>
              </w:rPr>
              <w:t xml:space="preserve">Donošenje akcijskog </w:t>
            </w:r>
            <w:r>
              <w:rPr>
                <w:noProof/>
              </w:rPr>
              <w:t>plana za nacionalnu strategiju za kružno gospodarstvo</w:t>
            </w:r>
          </w:p>
        </w:tc>
      </w:tr>
      <w:tr w:rsidR="003F46B9" w14:paraId="601B661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55B84CC" w14:textId="77777777" w:rsidR="003F46B9" w:rsidRDefault="0065662E">
            <w:pPr>
              <w:pStyle w:val="P68B1DB1-Normal35"/>
              <w:spacing w:after="0"/>
              <w:jc w:val="center"/>
              <w:rPr>
                <w:noProof/>
              </w:rPr>
            </w:pPr>
            <w:r>
              <w:rPr>
                <w:noProof/>
              </w:rPr>
              <w:t>348</w:t>
            </w:r>
          </w:p>
        </w:tc>
        <w:tc>
          <w:tcPr>
            <w:tcW w:w="3544" w:type="dxa"/>
            <w:tcBorders>
              <w:top w:val="nil"/>
              <w:left w:val="nil"/>
              <w:bottom w:val="single" w:sz="4" w:space="0" w:color="auto"/>
              <w:right w:val="single" w:sz="4" w:space="0" w:color="auto"/>
            </w:tcBorders>
            <w:shd w:val="clear" w:color="auto" w:fill="C6EFCE"/>
            <w:noWrap/>
          </w:tcPr>
          <w:p w14:paraId="63026D95" w14:textId="77777777" w:rsidR="003F46B9" w:rsidRDefault="0065662E">
            <w:pPr>
              <w:pStyle w:val="P68B1DB1-Normal35"/>
              <w:spacing w:after="0"/>
              <w:jc w:val="both"/>
              <w:rPr>
                <w:noProof/>
              </w:rPr>
            </w:pPr>
            <w:r>
              <w:rPr>
                <w:noProof/>
              </w:rPr>
              <w:t>C11.I6</w:t>
            </w:r>
          </w:p>
          <w:p w14:paraId="6F32E769" w14:textId="77777777" w:rsidR="003F46B9" w:rsidRDefault="0065662E">
            <w:pPr>
              <w:pStyle w:val="P68B1DB1-Normal35"/>
              <w:spacing w:after="0"/>
              <w:jc w:val="both"/>
              <w:rPr>
                <w:noProof/>
              </w:rPr>
            </w:pPr>
            <w:r>
              <w:rPr>
                <w:noProof/>
              </w:rPr>
              <w:t xml:space="preserve">Razvoj digitalnog sustava za procese financiranja kulture </w:t>
            </w:r>
          </w:p>
        </w:tc>
        <w:tc>
          <w:tcPr>
            <w:tcW w:w="1275" w:type="dxa"/>
            <w:tcBorders>
              <w:top w:val="nil"/>
              <w:left w:val="nil"/>
              <w:bottom w:val="single" w:sz="4" w:space="0" w:color="auto"/>
              <w:right w:val="single" w:sz="4" w:space="0" w:color="auto"/>
            </w:tcBorders>
            <w:shd w:val="clear" w:color="auto" w:fill="C6EFCE"/>
            <w:noWrap/>
          </w:tcPr>
          <w:p w14:paraId="0EE491C5"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1B8F852" w14:textId="77777777" w:rsidR="003F46B9" w:rsidRDefault="0065662E">
            <w:pPr>
              <w:pStyle w:val="P68B1DB1-Normal35"/>
              <w:spacing w:after="0"/>
              <w:jc w:val="both"/>
              <w:rPr>
                <w:noProof/>
              </w:rPr>
            </w:pPr>
            <w:r>
              <w:rPr>
                <w:noProof/>
              </w:rPr>
              <w:t>Operacionalizirane platforme i digitalni sustavi</w:t>
            </w:r>
          </w:p>
        </w:tc>
      </w:tr>
      <w:tr w:rsidR="003F46B9" w14:paraId="2155C85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2937FC" w14:textId="77777777" w:rsidR="003F46B9" w:rsidRDefault="0065662E">
            <w:pPr>
              <w:pStyle w:val="P68B1DB1-Normal35"/>
              <w:spacing w:after="0"/>
              <w:jc w:val="center"/>
              <w:rPr>
                <w:noProof/>
              </w:rPr>
            </w:pPr>
            <w:r>
              <w:rPr>
                <w:noProof/>
              </w:rPr>
              <w:t>349</w:t>
            </w:r>
          </w:p>
        </w:tc>
        <w:tc>
          <w:tcPr>
            <w:tcW w:w="3544" w:type="dxa"/>
            <w:tcBorders>
              <w:top w:val="nil"/>
              <w:left w:val="nil"/>
              <w:bottom w:val="single" w:sz="4" w:space="0" w:color="auto"/>
              <w:right w:val="single" w:sz="4" w:space="0" w:color="auto"/>
            </w:tcBorders>
            <w:shd w:val="clear" w:color="auto" w:fill="C6EFCE"/>
            <w:noWrap/>
          </w:tcPr>
          <w:p w14:paraId="46558308" w14:textId="77777777" w:rsidR="003F46B9" w:rsidRDefault="0065662E">
            <w:pPr>
              <w:pStyle w:val="P68B1DB1-Normal35"/>
              <w:spacing w:after="0"/>
              <w:jc w:val="both"/>
              <w:rPr>
                <w:noProof/>
              </w:rPr>
            </w:pPr>
            <w:r>
              <w:rPr>
                <w:noProof/>
              </w:rPr>
              <w:t>C11.I7</w:t>
            </w:r>
          </w:p>
          <w:p w14:paraId="5990A47E" w14:textId="7508DF92" w:rsidR="003F46B9" w:rsidRDefault="0065662E">
            <w:pPr>
              <w:pStyle w:val="P68B1DB1-Normal35"/>
              <w:spacing w:after="0"/>
              <w:jc w:val="both"/>
              <w:rPr>
                <w:noProof/>
              </w:rPr>
            </w:pPr>
            <w:r>
              <w:rPr>
                <w:noProof/>
              </w:rPr>
              <w:t xml:space="preserve">Ubrzavanje digitalizacije produkcije i distribucije filmova </w:t>
            </w:r>
          </w:p>
        </w:tc>
        <w:tc>
          <w:tcPr>
            <w:tcW w:w="1275" w:type="dxa"/>
            <w:tcBorders>
              <w:top w:val="nil"/>
              <w:left w:val="nil"/>
              <w:bottom w:val="single" w:sz="4" w:space="0" w:color="auto"/>
              <w:right w:val="single" w:sz="4" w:space="0" w:color="auto"/>
            </w:tcBorders>
            <w:shd w:val="clear" w:color="auto" w:fill="C6EFCE"/>
            <w:noWrap/>
          </w:tcPr>
          <w:p w14:paraId="1D0366C5"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68A43BF" w14:textId="77777777" w:rsidR="003F46B9" w:rsidRDefault="0065662E">
            <w:pPr>
              <w:pStyle w:val="P68B1DB1-Normal35"/>
              <w:spacing w:after="0"/>
              <w:jc w:val="both"/>
              <w:rPr>
                <w:noProof/>
              </w:rPr>
            </w:pPr>
            <w:r>
              <w:rPr>
                <w:noProof/>
              </w:rPr>
              <w:t>Potpisivanje ugovora o financiranju</w:t>
            </w:r>
          </w:p>
        </w:tc>
      </w:tr>
      <w:tr w:rsidR="003F46B9" w14:paraId="1102ADB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F44052" w14:textId="77777777" w:rsidR="003F46B9" w:rsidRDefault="0065662E">
            <w:pPr>
              <w:pStyle w:val="P68B1DB1-Normal35"/>
              <w:spacing w:after="0"/>
              <w:jc w:val="center"/>
              <w:rPr>
                <w:noProof/>
              </w:rPr>
            </w:pPr>
            <w:r>
              <w:rPr>
                <w:noProof/>
              </w:rPr>
              <w:t>496</w:t>
            </w:r>
          </w:p>
        </w:tc>
        <w:tc>
          <w:tcPr>
            <w:tcW w:w="3544" w:type="dxa"/>
            <w:tcBorders>
              <w:top w:val="nil"/>
              <w:left w:val="nil"/>
              <w:bottom w:val="single" w:sz="4" w:space="0" w:color="auto"/>
              <w:right w:val="single" w:sz="4" w:space="0" w:color="auto"/>
            </w:tcBorders>
            <w:shd w:val="clear" w:color="auto" w:fill="C6EFCE"/>
            <w:noWrap/>
          </w:tcPr>
          <w:p w14:paraId="1F546DE5" w14:textId="77777777" w:rsidR="003F46B9" w:rsidRDefault="0065662E">
            <w:pPr>
              <w:pStyle w:val="P68B1DB1-Normal35"/>
              <w:spacing w:after="0"/>
              <w:jc w:val="both"/>
              <w:rPr>
                <w:noProof/>
              </w:rPr>
            </w:pPr>
            <w:r>
              <w:rPr>
                <w:noProof/>
              </w:rPr>
              <w:t>C15.I13</w:t>
            </w:r>
          </w:p>
          <w:p w14:paraId="0508B772" w14:textId="77777777" w:rsidR="003F46B9" w:rsidRDefault="0065662E">
            <w:pPr>
              <w:pStyle w:val="P68B1DB1-Normal35"/>
              <w:spacing w:after="0"/>
              <w:jc w:val="both"/>
              <w:rPr>
                <w:noProof/>
              </w:rPr>
            </w:pPr>
            <w:r>
              <w:rPr>
                <w:noProof/>
              </w:rPr>
              <w:t>Opremanje informatičkih laboratorija u školama za strukovno obrazovanje i osposobljavanje (SOO)</w:t>
            </w:r>
          </w:p>
        </w:tc>
        <w:tc>
          <w:tcPr>
            <w:tcW w:w="1275" w:type="dxa"/>
            <w:tcBorders>
              <w:top w:val="nil"/>
              <w:left w:val="nil"/>
              <w:bottom w:val="single" w:sz="4" w:space="0" w:color="auto"/>
              <w:right w:val="single" w:sz="4" w:space="0" w:color="auto"/>
            </w:tcBorders>
            <w:shd w:val="clear" w:color="auto" w:fill="C6EFCE"/>
            <w:noWrap/>
          </w:tcPr>
          <w:p w14:paraId="3A724E4E"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32E186" w14:textId="77777777" w:rsidR="003F46B9" w:rsidRDefault="0065662E">
            <w:pPr>
              <w:pStyle w:val="P68B1DB1-Normal35"/>
              <w:spacing w:after="0"/>
              <w:jc w:val="both"/>
              <w:rPr>
                <w:noProof/>
              </w:rPr>
            </w:pPr>
            <w:r>
              <w:rPr>
                <w:noProof/>
              </w:rPr>
              <w:t>Obrazovne škole u SOO-u opremljene računalnim laboratorijima</w:t>
            </w:r>
          </w:p>
        </w:tc>
      </w:tr>
      <w:tr w:rsidR="003F46B9" w14:paraId="09E49CB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hideMark/>
          </w:tcPr>
          <w:p w14:paraId="2ECE3B3D" w14:textId="77777777" w:rsidR="003F46B9" w:rsidRDefault="0065662E">
            <w:pPr>
              <w:pStyle w:val="P68B1DB1-Normal35"/>
              <w:spacing w:after="0"/>
              <w:jc w:val="center"/>
              <w:rPr>
                <w:rFonts w:eastAsia="Times New Roman"/>
                <w:noProof/>
              </w:rPr>
            </w:pPr>
            <w:r>
              <w:rPr>
                <w:noProof/>
              </w:rPr>
              <w:t>497</w:t>
            </w:r>
          </w:p>
        </w:tc>
        <w:tc>
          <w:tcPr>
            <w:tcW w:w="3544" w:type="dxa"/>
            <w:tcBorders>
              <w:top w:val="nil"/>
              <w:left w:val="nil"/>
              <w:bottom w:val="single" w:sz="4" w:space="0" w:color="auto"/>
              <w:right w:val="single" w:sz="4" w:space="0" w:color="auto"/>
            </w:tcBorders>
            <w:shd w:val="clear" w:color="auto" w:fill="C6EFCE"/>
            <w:noWrap/>
            <w:hideMark/>
          </w:tcPr>
          <w:p w14:paraId="38C36821" w14:textId="77777777" w:rsidR="003F46B9" w:rsidRDefault="0065662E">
            <w:pPr>
              <w:pStyle w:val="P68B1DB1-Normal35"/>
              <w:spacing w:after="0"/>
              <w:jc w:val="both"/>
              <w:rPr>
                <w:noProof/>
              </w:rPr>
            </w:pPr>
            <w:r>
              <w:rPr>
                <w:noProof/>
              </w:rPr>
              <w:t xml:space="preserve">C15.I14 </w:t>
            </w:r>
          </w:p>
          <w:p w14:paraId="3B7E9314" w14:textId="77777777" w:rsidR="003F46B9" w:rsidRDefault="0065662E">
            <w:pPr>
              <w:pStyle w:val="P68B1DB1-Normal35"/>
              <w:spacing w:after="0"/>
              <w:jc w:val="both"/>
              <w:rPr>
                <w:rFonts w:eastAsia="Times New Roman"/>
                <w:noProof/>
              </w:rPr>
            </w:pPr>
            <w:r>
              <w:rPr>
                <w:noProof/>
              </w:rPr>
              <w:t>Organiziranje praktičnih radionica</w:t>
            </w:r>
            <w:r>
              <w:rPr>
                <w:noProof/>
              </w:rPr>
              <w:t xml:space="preserve"> u školama za strukovno obrazovanje i osposobljavanje</w:t>
            </w:r>
          </w:p>
        </w:tc>
        <w:tc>
          <w:tcPr>
            <w:tcW w:w="1275" w:type="dxa"/>
            <w:tcBorders>
              <w:top w:val="nil"/>
              <w:left w:val="nil"/>
              <w:bottom w:val="single" w:sz="4" w:space="0" w:color="auto"/>
              <w:right w:val="single" w:sz="4" w:space="0" w:color="auto"/>
            </w:tcBorders>
            <w:shd w:val="clear" w:color="auto" w:fill="C6EFCE"/>
            <w:noWrap/>
            <w:hideMark/>
          </w:tcPr>
          <w:p w14:paraId="01DD3EFC" w14:textId="77777777" w:rsidR="003F46B9" w:rsidRDefault="0065662E">
            <w:pPr>
              <w:pStyle w:val="P68B1DB1-Normal35"/>
              <w:spacing w:after="0"/>
              <w:jc w:val="center"/>
              <w:rPr>
                <w:rFonts w:eastAsia="Times New Roman"/>
                <w:noProof/>
              </w:rPr>
            </w:pPr>
            <w:r>
              <w:rPr>
                <w:noProof/>
              </w:rPr>
              <w:t>T</w:t>
            </w:r>
          </w:p>
        </w:tc>
        <w:tc>
          <w:tcPr>
            <w:tcW w:w="3402" w:type="dxa"/>
            <w:tcBorders>
              <w:top w:val="nil"/>
              <w:left w:val="nil"/>
              <w:bottom w:val="single" w:sz="4" w:space="0" w:color="auto"/>
              <w:right w:val="single" w:sz="4" w:space="0" w:color="auto"/>
            </w:tcBorders>
            <w:shd w:val="clear" w:color="auto" w:fill="C6EFCE"/>
            <w:noWrap/>
            <w:hideMark/>
          </w:tcPr>
          <w:p w14:paraId="1FC5FF6C" w14:textId="77777777" w:rsidR="003F46B9" w:rsidRDefault="0065662E">
            <w:pPr>
              <w:pStyle w:val="P68B1DB1-Normal35"/>
              <w:spacing w:after="0"/>
              <w:jc w:val="both"/>
              <w:rPr>
                <w:rFonts w:eastAsia="Times New Roman"/>
                <w:noProof/>
              </w:rPr>
            </w:pPr>
            <w:r>
              <w:rPr>
                <w:noProof/>
              </w:rPr>
              <w:t>Obrazovne jedinice u SOO-u opremljene laboratorijima za funkcionalnu praksu</w:t>
            </w:r>
          </w:p>
        </w:tc>
      </w:tr>
      <w:tr w:rsidR="003F46B9" w14:paraId="3BDAB05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25CF817" w14:textId="77777777" w:rsidR="003F46B9" w:rsidRDefault="0065662E">
            <w:pPr>
              <w:pStyle w:val="P68B1DB1-Normal35"/>
              <w:spacing w:after="0"/>
              <w:jc w:val="center"/>
              <w:rPr>
                <w:noProof/>
              </w:rPr>
            </w:pPr>
            <w:r>
              <w:rPr>
                <w:noProof/>
              </w:rPr>
              <w:t>9</w:t>
            </w:r>
          </w:p>
        </w:tc>
        <w:tc>
          <w:tcPr>
            <w:tcW w:w="3544" w:type="dxa"/>
            <w:tcBorders>
              <w:top w:val="nil"/>
              <w:left w:val="nil"/>
              <w:bottom w:val="single" w:sz="4" w:space="0" w:color="auto"/>
              <w:right w:val="single" w:sz="4" w:space="0" w:color="auto"/>
            </w:tcBorders>
            <w:shd w:val="clear" w:color="auto" w:fill="C6EFCE"/>
            <w:noWrap/>
          </w:tcPr>
          <w:p w14:paraId="63A65B80" w14:textId="77777777" w:rsidR="003F46B9" w:rsidRDefault="0065662E">
            <w:pPr>
              <w:pStyle w:val="P68B1DB1-Normal35"/>
              <w:spacing w:after="0"/>
              <w:jc w:val="both"/>
              <w:rPr>
                <w:noProof/>
              </w:rPr>
            </w:pPr>
            <w:r>
              <w:rPr>
                <w:noProof/>
              </w:rPr>
              <w:t>C1.I2</w:t>
            </w:r>
          </w:p>
          <w:p w14:paraId="001132D8" w14:textId="77777777" w:rsidR="003F46B9" w:rsidRDefault="0065662E">
            <w:pPr>
              <w:pStyle w:val="P68B1DB1-Normal35"/>
              <w:spacing w:after="0"/>
              <w:jc w:val="both"/>
              <w:rPr>
                <w:noProof/>
              </w:rPr>
            </w:pPr>
            <w:r>
              <w:rPr>
                <w:noProof/>
              </w:rPr>
              <w:t xml:space="preserve">Prikupljanje otpadnih voda u aglomeracijama s manje od 2000 stanovnika koje sprečavaju postizanje dobrog stanja </w:t>
            </w:r>
            <w:r>
              <w:rPr>
                <w:noProof/>
              </w:rPr>
              <w:t>vodnih tijela i/ili utječu na zaštićena prirodna područja</w:t>
            </w:r>
          </w:p>
        </w:tc>
        <w:tc>
          <w:tcPr>
            <w:tcW w:w="1275" w:type="dxa"/>
            <w:tcBorders>
              <w:top w:val="nil"/>
              <w:left w:val="nil"/>
              <w:bottom w:val="single" w:sz="4" w:space="0" w:color="auto"/>
              <w:right w:val="single" w:sz="4" w:space="0" w:color="auto"/>
            </w:tcBorders>
            <w:shd w:val="clear" w:color="auto" w:fill="C6EFCE"/>
            <w:noWrap/>
          </w:tcPr>
          <w:p w14:paraId="2ED826D1"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555E90F" w14:textId="77777777" w:rsidR="003F46B9" w:rsidRDefault="0065662E">
            <w:pPr>
              <w:pStyle w:val="P68B1DB1-Normal35"/>
              <w:spacing w:after="0"/>
              <w:jc w:val="both"/>
              <w:rPr>
                <w:noProof/>
              </w:rPr>
            </w:pPr>
            <w:r>
              <w:rPr>
                <w:noProof/>
              </w:rPr>
              <w:t>Pojedinačni ili drugi odgovarajući sustavi izgrađeni i operativni u aglomeracijama s ekvivalentom stanovnika manjim od 2000</w:t>
            </w:r>
          </w:p>
        </w:tc>
      </w:tr>
      <w:tr w:rsidR="003F46B9" w14:paraId="262A20B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FAC469C" w14:textId="77777777" w:rsidR="003F46B9" w:rsidRDefault="0065662E">
            <w:pPr>
              <w:pStyle w:val="P68B1DB1-Normal35"/>
              <w:spacing w:after="0"/>
              <w:jc w:val="center"/>
              <w:rPr>
                <w:noProof/>
              </w:rPr>
            </w:pPr>
            <w:r>
              <w:rPr>
                <w:noProof/>
              </w:rPr>
              <w:t>34</w:t>
            </w:r>
          </w:p>
        </w:tc>
        <w:tc>
          <w:tcPr>
            <w:tcW w:w="3544" w:type="dxa"/>
            <w:tcBorders>
              <w:top w:val="nil"/>
              <w:left w:val="nil"/>
              <w:bottom w:val="single" w:sz="4" w:space="0" w:color="auto"/>
              <w:right w:val="single" w:sz="4" w:space="0" w:color="auto"/>
            </w:tcBorders>
            <w:shd w:val="clear" w:color="auto" w:fill="C6EFCE"/>
            <w:noWrap/>
          </w:tcPr>
          <w:p w14:paraId="1F1DA750" w14:textId="77777777" w:rsidR="003F46B9" w:rsidRDefault="0065662E">
            <w:pPr>
              <w:pStyle w:val="P68B1DB1-Normal35"/>
              <w:spacing w:after="0"/>
              <w:jc w:val="both"/>
              <w:rPr>
                <w:noProof/>
              </w:rPr>
            </w:pPr>
            <w:r>
              <w:rPr>
                <w:noProof/>
              </w:rPr>
              <w:t xml:space="preserve">C2.I3.2. </w:t>
            </w:r>
          </w:p>
          <w:p w14:paraId="4FA87D55" w14:textId="77777777" w:rsidR="003F46B9" w:rsidRDefault="0065662E">
            <w:pPr>
              <w:pStyle w:val="P68B1DB1-Normal35"/>
              <w:spacing w:after="0"/>
              <w:jc w:val="both"/>
              <w:rPr>
                <w:noProof/>
              </w:rPr>
            </w:pPr>
            <w:r>
              <w:rPr>
                <w:noProof/>
              </w:rPr>
              <w:t xml:space="preserve">Utvrđivanje potencijalnih područja za strogu zaštitu </w:t>
            </w:r>
            <w:r>
              <w:rPr>
                <w:noProof/>
              </w:rPr>
              <w:t>prirodnih kopnenih i morskih staništa radi provedbe Strategije EU-a za bioraznolikost do 2030.</w:t>
            </w:r>
          </w:p>
        </w:tc>
        <w:tc>
          <w:tcPr>
            <w:tcW w:w="1275" w:type="dxa"/>
            <w:tcBorders>
              <w:top w:val="nil"/>
              <w:left w:val="nil"/>
              <w:bottom w:val="single" w:sz="4" w:space="0" w:color="auto"/>
              <w:right w:val="single" w:sz="4" w:space="0" w:color="auto"/>
            </w:tcBorders>
            <w:shd w:val="clear" w:color="auto" w:fill="C6EFCE"/>
            <w:noWrap/>
          </w:tcPr>
          <w:p w14:paraId="0DDCF47B"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09BDAE9" w14:textId="77777777" w:rsidR="003F46B9" w:rsidRDefault="0065662E">
            <w:pPr>
              <w:pStyle w:val="P68B1DB1-Normal35"/>
              <w:spacing w:after="0"/>
              <w:jc w:val="both"/>
              <w:rPr>
                <w:noProof/>
              </w:rPr>
            </w:pPr>
            <w:r>
              <w:rPr>
                <w:noProof/>
              </w:rPr>
              <w:t>Stupanje na snagu zakonodavnog akta o određivanju strogo zaštićenih područja (utvrđenih u zaštićenim područjima mreže Natura 2000 s postojećim planovima upravl</w:t>
            </w:r>
            <w:r>
              <w:rPr>
                <w:noProof/>
              </w:rPr>
              <w:t>janja ili uključujući primarne šume i šume starog rasta)</w:t>
            </w:r>
          </w:p>
        </w:tc>
      </w:tr>
      <w:tr w:rsidR="003F46B9" w14:paraId="4EBA747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936FBDB" w14:textId="77777777" w:rsidR="003F46B9" w:rsidRDefault="0065662E">
            <w:pPr>
              <w:pStyle w:val="P68B1DB1-Normal35"/>
              <w:spacing w:after="0"/>
              <w:jc w:val="center"/>
              <w:rPr>
                <w:noProof/>
              </w:rPr>
            </w:pPr>
            <w:r>
              <w:rPr>
                <w:noProof/>
              </w:rPr>
              <w:t>82</w:t>
            </w:r>
          </w:p>
        </w:tc>
        <w:tc>
          <w:tcPr>
            <w:tcW w:w="3544" w:type="dxa"/>
            <w:tcBorders>
              <w:top w:val="nil"/>
              <w:left w:val="nil"/>
              <w:bottom w:val="single" w:sz="4" w:space="0" w:color="auto"/>
              <w:right w:val="single" w:sz="4" w:space="0" w:color="auto"/>
            </w:tcBorders>
            <w:shd w:val="clear" w:color="auto" w:fill="C6EFCE"/>
            <w:noWrap/>
          </w:tcPr>
          <w:p w14:paraId="0D68CA71" w14:textId="77777777" w:rsidR="003F46B9" w:rsidRDefault="0065662E">
            <w:pPr>
              <w:pStyle w:val="P68B1DB1-Normal35"/>
              <w:spacing w:after="0"/>
              <w:jc w:val="both"/>
              <w:rPr>
                <w:noProof/>
              </w:rPr>
            </w:pPr>
            <w:r>
              <w:rPr>
                <w:noProof/>
              </w:rPr>
              <w:t>C4.I3</w:t>
            </w:r>
          </w:p>
          <w:p w14:paraId="082B0847" w14:textId="77777777" w:rsidR="003F46B9" w:rsidRDefault="0065662E">
            <w:pPr>
              <w:pStyle w:val="P68B1DB1-Normal35"/>
              <w:spacing w:after="0"/>
              <w:jc w:val="both"/>
              <w:rPr>
                <w:noProof/>
              </w:rPr>
            </w:pPr>
            <w:r>
              <w:rPr>
                <w:noProof/>
              </w:rPr>
              <w:t xml:space="preserve">Razvoj održive cestovne infrastrukture u mreži TEN-T, naplata cestarina, upravljanje prometom i sigurnost na cestama </w:t>
            </w:r>
          </w:p>
        </w:tc>
        <w:tc>
          <w:tcPr>
            <w:tcW w:w="1275" w:type="dxa"/>
            <w:tcBorders>
              <w:top w:val="nil"/>
              <w:left w:val="nil"/>
              <w:bottom w:val="single" w:sz="4" w:space="0" w:color="auto"/>
              <w:right w:val="single" w:sz="4" w:space="0" w:color="auto"/>
            </w:tcBorders>
            <w:shd w:val="clear" w:color="auto" w:fill="C6EFCE"/>
            <w:noWrap/>
          </w:tcPr>
          <w:p w14:paraId="75E93A3F"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0F6C7468" w14:textId="77777777" w:rsidR="003F46B9" w:rsidRDefault="0065662E">
            <w:pPr>
              <w:pStyle w:val="P68B1DB1-Normal35"/>
              <w:spacing w:after="0"/>
              <w:jc w:val="both"/>
              <w:rPr>
                <w:noProof/>
              </w:rPr>
            </w:pPr>
            <w:r>
              <w:rPr>
                <w:noProof/>
              </w:rPr>
              <w:t xml:space="preserve">Potpisivanje ugovora za 100 % radova, nakon otvorenih i konkurentnih </w:t>
            </w:r>
            <w:r>
              <w:rPr>
                <w:noProof/>
              </w:rPr>
              <w:t>natječaja i dobivenih relevantnih dozvola, uz mišljenja o procjeni utjecaja na okoliš (procjena utjecaja na okoliš) i odgovarajućoj procjeni (dio Direktive o staništima) koja su izdana i uključena u osmišljavanje ulaganja</w:t>
            </w:r>
          </w:p>
        </w:tc>
      </w:tr>
      <w:tr w:rsidR="003F46B9" w14:paraId="57DF628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212423B" w14:textId="77777777" w:rsidR="003F46B9" w:rsidRDefault="0065662E">
            <w:pPr>
              <w:pStyle w:val="P68B1DB1-Normal35"/>
              <w:spacing w:after="0"/>
              <w:jc w:val="center"/>
              <w:rPr>
                <w:noProof/>
              </w:rPr>
            </w:pPr>
            <w:r>
              <w:rPr>
                <w:noProof/>
              </w:rPr>
              <w:t>87</w:t>
            </w:r>
          </w:p>
        </w:tc>
        <w:tc>
          <w:tcPr>
            <w:tcW w:w="3544" w:type="dxa"/>
            <w:tcBorders>
              <w:top w:val="nil"/>
              <w:left w:val="nil"/>
              <w:bottom w:val="single" w:sz="4" w:space="0" w:color="auto"/>
              <w:right w:val="single" w:sz="4" w:space="0" w:color="auto"/>
            </w:tcBorders>
            <w:shd w:val="clear" w:color="auto" w:fill="C6EFCE"/>
            <w:noWrap/>
          </w:tcPr>
          <w:p w14:paraId="7183C532" w14:textId="77777777" w:rsidR="003F46B9" w:rsidRDefault="0065662E">
            <w:pPr>
              <w:pStyle w:val="P68B1DB1-Normal35"/>
              <w:spacing w:after="0"/>
              <w:jc w:val="both"/>
              <w:rPr>
                <w:noProof/>
              </w:rPr>
            </w:pPr>
            <w:r>
              <w:rPr>
                <w:noProof/>
              </w:rPr>
              <w:t>C4.I4</w:t>
            </w:r>
          </w:p>
          <w:p w14:paraId="6731015A" w14:textId="77777777" w:rsidR="003F46B9" w:rsidRDefault="0065662E">
            <w:pPr>
              <w:pStyle w:val="P68B1DB1-Normal35"/>
              <w:spacing w:after="0"/>
              <w:jc w:val="both"/>
              <w:rPr>
                <w:noProof/>
              </w:rPr>
            </w:pPr>
            <w:r>
              <w:rPr>
                <w:noProof/>
              </w:rPr>
              <w:t xml:space="preserve">Razvoj mreže podzemnog prijevoza u općinama Bukurešt i Cluj-Napoca </w:t>
            </w:r>
          </w:p>
        </w:tc>
        <w:tc>
          <w:tcPr>
            <w:tcW w:w="1275" w:type="dxa"/>
            <w:tcBorders>
              <w:top w:val="nil"/>
              <w:left w:val="nil"/>
              <w:bottom w:val="single" w:sz="4" w:space="0" w:color="auto"/>
              <w:right w:val="single" w:sz="4" w:space="0" w:color="auto"/>
            </w:tcBorders>
            <w:shd w:val="clear" w:color="auto" w:fill="C6EFCE"/>
            <w:noWrap/>
          </w:tcPr>
          <w:p w14:paraId="5E0DD301"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5364AA20" w14:textId="77777777" w:rsidR="003F46B9" w:rsidRDefault="0065662E">
            <w:pPr>
              <w:pStyle w:val="P68B1DB1-Normal35"/>
              <w:spacing w:after="0"/>
              <w:jc w:val="both"/>
              <w:rPr>
                <w:noProof/>
              </w:rPr>
            </w:pPr>
            <w:r>
              <w:rPr>
                <w:noProof/>
              </w:rPr>
              <w:t>Potpisivanje ugovora za 100 % radova na temelju otvorenih i konkurentnih natječaja i dobivenih odgovarajućih dozvola</w:t>
            </w:r>
          </w:p>
        </w:tc>
      </w:tr>
      <w:tr w:rsidR="003F46B9" w14:paraId="1E2E48AD"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FD35A70" w14:textId="77777777" w:rsidR="003F46B9" w:rsidRDefault="0065662E">
            <w:pPr>
              <w:pStyle w:val="P68B1DB1-Normal35"/>
              <w:spacing w:after="0"/>
              <w:jc w:val="center"/>
              <w:rPr>
                <w:noProof/>
              </w:rPr>
            </w:pPr>
            <w:r>
              <w:rPr>
                <w:noProof/>
              </w:rPr>
              <w:t>109</w:t>
            </w:r>
          </w:p>
        </w:tc>
        <w:tc>
          <w:tcPr>
            <w:tcW w:w="3544" w:type="dxa"/>
            <w:tcBorders>
              <w:top w:val="nil"/>
              <w:left w:val="nil"/>
              <w:bottom w:val="single" w:sz="4" w:space="0" w:color="auto"/>
              <w:right w:val="single" w:sz="4" w:space="0" w:color="auto"/>
            </w:tcBorders>
            <w:shd w:val="clear" w:color="auto" w:fill="C6EFCE"/>
            <w:noWrap/>
          </w:tcPr>
          <w:p w14:paraId="5A415786" w14:textId="77777777" w:rsidR="003F46B9" w:rsidRDefault="0065662E">
            <w:pPr>
              <w:pStyle w:val="P68B1DB1-Normal35"/>
              <w:spacing w:after="0"/>
              <w:jc w:val="both"/>
              <w:rPr>
                <w:noProof/>
              </w:rPr>
            </w:pPr>
            <w:r>
              <w:rPr>
                <w:noProof/>
              </w:rPr>
              <w:t>C5.I3</w:t>
            </w:r>
          </w:p>
          <w:p w14:paraId="17C78B8B" w14:textId="77777777" w:rsidR="003F46B9" w:rsidRDefault="0065662E">
            <w:pPr>
              <w:pStyle w:val="P68B1DB1-Normal35"/>
              <w:spacing w:after="0"/>
              <w:jc w:val="both"/>
              <w:rPr>
                <w:noProof/>
              </w:rPr>
            </w:pPr>
            <w:r>
              <w:rPr>
                <w:noProof/>
              </w:rPr>
              <w:t>Jačanje stručne sposobnosti stručnjaka i radnika u sektoru</w:t>
            </w:r>
            <w:r>
              <w:rPr>
                <w:noProof/>
              </w:rPr>
              <w:t xml:space="preserve"> obnove razvojem osposobljavanja u području energetske učinkovitosti u građevinarstvu</w:t>
            </w:r>
          </w:p>
        </w:tc>
        <w:tc>
          <w:tcPr>
            <w:tcW w:w="1275" w:type="dxa"/>
            <w:tcBorders>
              <w:top w:val="nil"/>
              <w:left w:val="nil"/>
              <w:bottom w:val="single" w:sz="4" w:space="0" w:color="auto"/>
              <w:right w:val="single" w:sz="4" w:space="0" w:color="auto"/>
            </w:tcBorders>
            <w:shd w:val="clear" w:color="auto" w:fill="C6EFCE"/>
            <w:noWrap/>
          </w:tcPr>
          <w:p w14:paraId="5D41217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26AEE259" w14:textId="77777777" w:rsidR="003F46B9" w:rsidRDefault="0065662E">
            <w:pPr>
              <w:pStyle w:val="P68B1DB1-Normal35"/>
              <w:spacing w:after="0"/>
              <w:jc w:val="both"/>
              <w:rPr>
                <w:noProof/>
              </w:rPr>
            </w:pPr>
            <w:r>
              <w:rPr>
                <w:noProof/>
              </w:rPr>
              <w:t xml:space="preserve">Najmanje 8000 stručnjaka i radnika s certifikatom za završetak osposobljavanja u području energetske učinkovitosti </w:t>
            </w:r>
          </w:p>
        </w:tc>
      </w:tr>
      <w:tr w:rsidR="003F46B9" w14:paraId="392553A8"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0A6CE3D" w14:textId="77777777" w:rsidR="003F46B9" w:rsidRDefault="0065662E">
            <w:pPr>
              <w:pStyle w:val="P68B1DB1-Normal35"/>
              <w:spacing w:after="0"/>
              <w:jc w:val="center"/>
              <w:rPr>
                <w:noProof/>
              </w:rPr>
            </w:pPr>
            <w:r>
              <w:rPr>
                <w:noProof/>
              </w:rPr>
              <w:t>128</w:t>
            </w:r>
          </w:p>
        </w:tc>
        <w:tc>
          <w:tcPr>
            <w:tcW w:w="3544" w:type="dxa"/>
            <w:tcBorders>
              <w:top w:val="nil"/>
              <w:left w:val="nil"/>
              <w:bottom w:val="single" w:sz="4" w:space="0" w:color="auto"/>
              <w:right w:val="single" w:sz="4" w:space="0" w:color="auto"/>
            </w:tcBorders>
            <w:shd w:val="clear" w:color="auto" w:fill="C6EFCE"/>
            <w:noWrap/>
          </w:tcPr>
          <w:p w14:paraId="4A42FF9B" w14:textId="77777777" w:rsidR="003F46B9" w:rsidRDefault="0065662E">
            <w:pPr>
              <w:pStyle w:val="P68B1DB1-Normal35"/>
              <w:spacing w:after="0"/>
              <w:jc w:val="both"/>
              <w:rPr>
                <w:noProof/>
              </w:rPr>
            </w:pPr>
            <w:r>
              <w:rPr>
                <w:noProof/>
              </w:rPr>
              <w:t>C6.R6</w:t>
            </w:r>
          </w:p>
          <w:p w14:paraId="0754CA7C" w14:textId="77777777" w:rsidR="003F46B9" w:rsidRDefault="0065662E">
            <w:pPr>
              <w:pStyle w:val="P68B1DB1-Normal35"/>
              <w:spacing w:after="0"/>
              <w:jc w:val="both"/>
              <w:rPr>
                <w:noProof/>
              </w:rPr>
            </w:pPr>
            <w:r>
              <w:rPr>
                <w:noProof/>
              </w:rPr>
              <w:t xml:space="preserve">Povećanje konkurentnosti i dekarbonizacije sektora grijanja i hlađenja </w:t>
            </w:r>
          </w:p>
        </w:tc>
        <w:tc>
          <w:tcPr>
            <w:tcW w:w="1275" w:type="dxa"/>
            <w:tcBorders>
              <w:top w:val="nil"/>
              <w:left w:val="nil"/>
              <w:bottom w:val="single" w:sz="4" w:space="0" w:color="auto"/>
              <w:right w:val="single" w:sz="4" w:space="0" w:color="auto"/>
            </w:tcBorders>
            <w:shd w:val="clear" w:color="auto" w:fill="C6EFCE"/>
            <w:noWrap/>
          </w:tcPr>
          <w:p w14:paraId="5AE89D1C"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8E01F81" w14:textId="77777777" w:rsidR="003F46B9" w:rsidRDefault="0065662E">
            <w:pPr>
              <w:pStyle w:val="P68B1DB1-Normal35"/>
              <w:spacing w:after="0"/>
              <w:jc w:val="both"/>
              <w:rPr>
                <w:noProof/>
              </w:rPr>
            </w:pPr>
            <w:r>
              <w:rPr>
                <w:noProof/>
              </w:rPr>
              <w:t>Stupanje na snagu zakonodavnog okvira kojim se uvode mjere za dekarbonizaciju sektora grijanja i hlađenja</w:t>
            </w:r>
          </w:p>
        </w:tc>
      </w:tr>
      <w:tr w:rsidR="003F46B9" w14:paraId="029222D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D3FB669" w14:textId="77777777" w:rsidR="003F46B9" w:rsidRDefault="0065662E">
            <w:pPr>
              <w:pStyle w:val="P68B1DB1-Normal35"/>
              <w:spacing w:after="0"/>
              <w:jc w:val="center"/>
              <w:rPr>
                <w:noProof/>
              </w:rPr>
            </w:pPr>
            <w:r>
              <w:rPr>
                <w:noProof/>
              </w:rPr>
              <w:t>274</w:t>
            </w:r>
          </w:p>
        </w:tc>
        <w:tc>
          <w:tcPr>
            <w:tcW w:w="3544" w:type="dxa"/>
            <w:tcBorders>
              <w:top w:val="nil"/>
              <w:left w:val="nil"/>
              <w:bottom w:val="single" w:sz="4" w:space="0" w:color="auto"/>
              <w:right w:val="single" w:sz="4" w:space="0" w:color="auto"/>
            </w:tcBorders>
            <w:shd w:val="clear" w:color="auto" w:fill="C6EFCE"/>
            <w:noWrap/>
          </w:tcPr>
          <w:p w14:paraId="604581B4" w14:textId="77777777" w:rsidR="003F46B9" w:rsidRDefault="0065662E">
            <w:pPr>
              <w:pStyle w:val="P68B1DB1-Normal35"/>
              <w:spacing w:after="0"/>
              <w:jc w:val="both"/>
              <w:rPr>
                <w:noProof/>
              </w:rPr>
            </w:pPr>
            <w:r>
              <w:rPr>
                <w:noProof/>
              </w:rPr>
              <w:t xml:space="preserve">C9.R3 </w:t>
            </w:r>
          </w:p>
          <w:p w14:paraId="658DD2FF" w14:textId="77777777" w:rsidR="003F46B9" w:rsidRDefault="0065662E">
            <w:pPr>
              <w:pStyle w:val="P68B1DB1-Normal35"/>
              <w:spacing w:after="0"/>
              <w:jc w:val="both"/>
              <w:rPr>
                <w:noProof/>
              </w:rPr>
            </w:pPr>
            <w:r>
              <w:rPr>
                <w:noProof/>
              </w:rPr>
              <w:t xml:space="preserve">Reforma istraživačke karijere </w:t>
            </w:r>
          </w:p>
        </w:tc>
        <w:tc>
          <w:tcPr>
            <w:tcW w:w="1275" w:type="dxa"/>
            <w:tcBorders>
              <w:top w:val="nil"/>
              <w:left w:val="nil"/>
              <w:bottom w:val="single" w:sz="4" w:space="0" w:color="auto"/>
              <w:right w:val="single" w:sz="4" w:space="0" w:color="auto"/>
            </w:tcBorders>
            <w:shd w:val="clear" w:color="auto" w:fill="C6EFCE"/>
            <w:noWrap/>
          </w:tcPr>
          <w:p w14:paraId="0CE45D1A"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2FD46778" w14:textId="77777777" w:rsidR="003F46B9" w:rsidRDefault="0065662E">
            <w:pPr>
              <w:pStyle w:val="P68B1DB1-Normal35"/>
              <w:spacing w:after="0"/>
              <w:jc w:val="both"/>
              <w:rPr>
                <w:noProof/>
              </w:rPr>
            </w:pPr>
            <w:r>
              <w:rPr>
                <w:noProof/>
              </w:rPr>
              <w:t>Stupanje na snagu zakonodavstva</w:t>
            </w:r>
            <w:r>
              <w:rPr>
                <w:noProof/>
              </w:rPr>
              <w:t xml:space="preserve"> o karijeri i statusu istraživača </w:t>
            </w:r>
          </w:p>
        </w:tc>
      </w:tr>
      <w:tr w:rsidR="003F46B9" w14:paraId="01403130"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2042D2B" w14:textId="77777777" w:rsidR="003F46B9" w:rsidRDefault="0065662E">
            <w:pPr>
              <w:pStyle w:val="P68B1DB1-Normal35"/>
              <w:spacing w:after="0"/>
              <w:jc w:val="center"/>
              <w:rPr>
                <w:noProof/>
              </w:rPr>
            </w:pPr>
            <w:r>
              <w:rPr>
                <w:noProof/>
              </w:rPr>
              <w:t>284</w:t>
            </w:r>
          </w:p>
        </w:tc>
        <w:tc>
          <w:tcPr>
            <w:tcW w:w="3544" w:type="dxa"/>
            <w:tcBorders>
              <w:top w:val="nil"/>
              <w:left w:val="nil"/>
              <w:bottom w:val="single" w:sz="4" w:space="0" w:color="auto"/>
              <w:right w:val="single" w:sz="4" w:space="0" w:color="auto"/>
            </w:tcBorders>
            <w:shd w:val="clear" w:color="auto" w:fill="C6EFCE"/>
            <w:noWrap/>
          </w:tcPr>
          <w:p w14:paraId="05459C5F" w14:textId="77777777" w:rsidR="003F46B9" w:rsidRDefault="0065662E">
            <w:pPr>
              <w:pStyle w:val="P68B1DB1-Normal35"/>
              <w:spacing w:after="0"/>
              <w:jc w:val="both"/>
              <w:rPr>
                <w:noProof/>
              </w:rPr>
            </w:pPr>
            <w:r>
              <w:rPr>
                <w:noProof/>
              </w:rPr>
              <w:t xml:space="preserve">C9.I8 </w:t>
            </w:r>
          </w:p>
          <w:p w14:paraId="5A8CA281" w14:textId="77777777" w:rsidR="003F46B9" w:rsidRDefault="0065662E">
            <w:pPr>
              <w:pStyle w:val="P68B1DB1-Normal35"/>
              <w:spacing w:after="0"/>
              <w:jc w:val="both"/>
              <w:rPr>
                <w:noProof/>
              </w:rPr>
            </w:pPr>
            <w:r>
              <w:rPr>
                <w:noProof/>
              </w:rPr>
              <w:t xml:space="preserve">Razvoj programa za privlačenje visokospecijaliziranih ljudskih resursa iz inozemstva u istraživačke, razvojne i inovacijske aktivnosti </w:t>
            </w:r>
          </w:p>
        </w:tc>
        <w:tc>
          <w:tcPr>
            <w:tcW w:w="1275" w:type="dxa"/>
            <w:tcBorders>
              <w:top w:val="nil"/>
              <w:left w:val="nil"/>
              <w:bottom w:val="single" w:sz="4" w:space="0" w:color="auto"/>
              <w:right w:val="single" w:sz="4" w:space="0" w:color="auto"/>
            </w:tcBorders>
            <w:shd w:val="clear" w:color="auto" w:fill="C6EFCE"/>
            <w:noWrap/>
          </w:tcPr>
          <w:p w14:paraId="60431F54"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A15CC02" w14:textId="77777777" w:rsidR="003F46B9" w:rsidRDefault="0065662E">
            <w:pPr>
              <w:pStyle w:val="P68B1DB1-Normal35"/>
              <w:spacing w:after="0"/>
              <w:jc w:val="both"/>
              <w:rPr>
                <w:noProof/>
              </w:rPr>
            </w:pPr>
            <w:r>
              <w:rPr>
                <w:noProof/>
              </w:rPr>
              <w:t xml:space="preserve">Projekti koje vode međunarodni istraživači </w:t>
            </w:r>
          </w:p>
        </w:tc>
      </w:tr>
      <w:tr w:rsidR="003F46B9" w14:paraId="1AD516C1"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ABA45B" w14:textId="77777777" w:rsidR="003F46B9" w:rsidRDefault="0065662E">
            <w:pPr>
              <w:pStyle w:val="P68B1DB1-Normal35"/>
              <w:spacing w:after="0"/>
              <w:jc w:val="center"/>
              <w:rPr>
                <w:noProof/>
              </w:rPr>
            </w:pPr>
            <w:r>
              <w:rPr>
                <w:noProof/>
              </w:rPr>
              <w:t>285</w:t>
            </w:r>
          </w:p>
        </w:tc>
        <w:tc>
          <w:tcPr>
            <w:tcW w:w="3544" w:type="dxa"/>
            <w:tcBorders>
              <w:top w:val="nil"/>
              <w:left w:val="nil"/>
              <w:bottom w:val="single" w:sz="4" w:space="0" w:color="auto"/>
              <w:right w:val="single" w:sz="4" w:space="0" w:color="auto"/>
            </w:tcBorders>
            <w:shd w:val="clear" w:color="auto" w:fill="C6EFCE"/>
            <w:noWrap/>
          </w:tcPr>
          <w:p w14:paraId="51CCE717" w14:textId="77777777" w:rsidR="003F46B9" w:rsidRDefault="0065662E">
            <w:pPr>
              <w:pStyle w:val="P68B1DB1-Normal35"/>
              <w:spacing w:after="0"/>
              <w:jc w:val="both"/>
              <w:rPr>
                <w:noProof/>
              </w:rPr>
            </w:pPr>
            <w:r>
              <w:rPr>
                <w:noProof/>
              </w:rPr>
              <w:t xml:space="preserve">C9.I9 </w:t>
            </w:r>
          </w:p>
          <w:p w14:paraId="3CCA2CE4" w14:textId="77777777" w:rsidR="003F46B9" w:rsidRDefault="0065662E">
            <w:pPr>
              <w:pStyle w:val="P68B1DB1-Normal35"/>
              <w:spacing w:after="0"/>
              <w:jc w:val="both"/>
              <w:rPr>
                <w:noProof/>
              </w:rPr>
            </w:pPr>
            <w:r>
              <w:rPr>
                <w:noProof/>
              </w:rPr>
              <w:t xml:space="preserve">Potpora nositeljima svjedodžbi o izvrsnosti primljenih u okviru Nagrade za individualnu stipendiju Marie Sklodowska Curie </w:t>
            </w:r>
          </w:p>
        </w:tc>
        <w:tc>
          <w:tcPr>
            <w:tcW w:w="1275" w:type="dxa"/>
            <w:tcBorders>
              <w:top w:val="nil"/>
              <w:left w:val="nil"/>
              <w:bottom w:val="single" w:sz="4" w:space="0" w:color="auto"/>
              <w:right w:val="single" w:sz="4" w:space="0" w:color="auto"/>
            </w:tcBorders>
            <w:shd w:val="clear" w:color="auto" w:fill="C6EFCE"/>
            <w:noWrap/>
          </w:tcPr>
          <w:p w14:paraId="33290C95"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8D47D3B" w14:textId="77777777" w:rsidR="003F46B9" w:rsidRDefault="0065662E">
            <w:pPr>
              <w:pStyle w:val="P68B1DB1-Normal35"/>
              <w:spacing w:after="0"/>
              <w:jc w:val="both"/>
              <w:rPr>
                <w:noProof/>
              </w:rPr>
            </w:pPr>
            <w:r>
              <w:rPr>
                <w:noProof/>
              </w:rPr>
              <w:t>Primatelji pečata izvrsnosti Marie Sklodowska Curie</w:t>
            </w:r>
          </w:p>
        </w:tc>
      </w:tr>
      <w:tr w:rsidR="003F46B9" w14:paraId="3A693C1E"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BD6A72D" w14:textId="77777777" w:rsidR="003F46B9" w:rsidRDefault="0065662E">
            <w:pPr>
              <w:pStyle w:val="P68B1DB1-Normal35"/>
              <w:spacing w:after="0"/>
              <w:jc w:val="center"/>
              <w:rPr>
                <w:noProof/>
              </w:rPr>
            </w:pPr>
            <w:r>
              <w:rPr>
                <w:noProof/>
              </w:rPr>
              <w:t>329</w:t>
            </w:r>
          </w:p>
        </w:tc>
        <w:tc>
          <w:tcPr>
            <w:tcW w:w="3544" w:type="dxa"/>
            <w:tcBorders>
              <w:top w:val="nil"/>
              <w:left w:val="nil"/>
              <w:bottom w:val="single" w:sz="4" w:space="0" w:color="auto"/>
              <w:right w:val="single" w:sz="4" w:space="0" w:color="auto"/>
            </w:tcBorders>
            <w:shd w:val="clear" w:color="auto" w:fill="C6EFCE"/>
            <w:noWrap/>
          </w:tcPr>
          <w:p w14:paraId="74D86AF9" w14:textId="77777777" w:rsidR="003F46B9" w:rsidRDefault="0065662E">
            <w:pPr>
              <w:pStyle w:val="P68B1DB1-Normal35"/>
              <w:spacing w:after="0"/>
              <w:jc w:val="both"/>
              <w:rPr>
                <w:noProof/>
              </w:rPr>
            </w:pPr>
            <w:r>
              <w:rPr>
                <w:noProof/>
              </w:rPr>
              <w:t>C11.R1</w:t>
            </w:r>
          </w:p>
          <w:p w14:paraId="2D8CB597" w14:textId="720A1F23" w:rsidR="003F46B9" w:rsidRDefault="0065662E">
            <w:pPr>
              <w:pStyle w:val="P68B1DB1-Normal35"/>
              <w:spacing w:after="0"/>
              <w:jc w:val="both"/>
              <w:rPr>
                <w:noProof/>
              </w:rPr>
            </w:pPr>
            <w:r>
              <w:rPr>
                <w:noProof/>
              </w:rPr>
              <w:t xml:space="preserve">Operacionalizacija organizacija za upravljanje odredištima </w:t>
            </w:r>
          </w:p>
        </w:tc>
        <w:tc>
          <w:tcPr>
            <w:tcW w:w="1275" w:type="dxa"/>
            <w:tcBorders>
              <w:top w:val="nil"/>
              <w:left w:val="nil"/>
              <w:bottom w:val="single" w:sz="4" w:space="0" w:color="auto"/>
              <w:right w:val="single" w:sz="4" w:space="0" w:color="auto"/>
            </w:tcBorders>
            <w:shd w:val="clear" w:color="auto" w:fill="C6EFCE"/>
            <w:noWrap/>
          </w:tcPr>
          <w:p w14:paraId="0A1F2153"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74E1ADB" w14:textId="77777777" w:rsidR="003F46B9" w:rsidRDefault="0065662E">
            <w:pPr>
              <w:pStyle w:val="P68B1DB1-Normal35"/>
              <w:spacing w:after="0"/>
              <w:jc w:val="both"/>
              <w:rPr>
                <w:noProof/>
              </w:rPr>
            </w:pPr>
            <w:r>
              <w:rPr>
                <w:noProof/>
              </w:rPr>
              <w:t xml:space="preserve">Osnovani AUO-ovi </w:t>
            </w:r>
          </w:p>
        </w:tc>
      </w:tr>
      <w:tr w:rsidR="003F46B9" w14:paraId="787FD6B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2342EB3" w14:textId="77777777" w:rsidR="003F46B9" w:rsidRDefault="0065662E">
            <w:pPr>
              <w:pStyle w:val="P68B1DB1-Normal35"/>
              <w:spacing w:after="0"/>
              <w:jc w:val="center"/>
              <w:rPr>
                <w:noProof/>
              </w:rPr>
            </w:pPr>
            <w:r>
              <w:rPr>
                <w:noProof/>
              </w:rPr>
              <w:t>135</w:t>
            </w:r>
          </w:p>
        </w:tc>
        <w:tc>
          <w:tcPr>
            <w:tcW w:w="3544" w:type="dxa"/>
            <w:tcBorders>
              <w:top w:val="nil"/>
              <w:left w:val="nil"/>
              <w:bottom w:val="single" w:sz="4" w:space="0" w:color="auto"/>
              <w:right w:val="single" w:sz="4" w:space="0" w:color="auto"/>
            </w:tcBorders>
            <w:shd w:val="clear" w:color="auto" w:fill="C6EFCE"/>
            <w:noWrap/>
          </w:tcPr>
          <w:p w14:paraId="56F08721" w14:textId="77777777" w:rsidR="003F46B9" w:rsidRDefault="0065662E">
            <w:pPr>
              <w:pStyle w:val="P68B1DB1-Normal35"/>
              <w:spacing w:after="0"/>
              <w:jc w:val="both"/>
              <w:rPr>
                <w:noProof/>
              </w:rPr>
            </w:pPr>
            <w:r>
              <w:rPr>
                <w:noProof/>
              </w:rPr>
              <w:t>C6.I4</w:t>
            </w:r>
          </w:p>
          <w:p w14:paraId="647CF1CD" w14:textId="77777777" w:rsidR="003F46B9" w:rsidRDefault="0065662E">
            <w:pPr>
              <w:pStyle w:val="P68B1DB1-Normal35"/>
              <w:spacing w:after="0"/>
              <w:jc w:val="both"/>
              <w:rPr>
                <w:noProof/>
              </w:rPr>
            </w:pPr>
            <w:r>
              <w:rPr>
                <w:noProof/>
              </w:rPr>
              <w:t>Industrijski lanac proizvodnje i/ili sastavljanja i/ili recikliranja baterija, ćelija i fotonaponskih ploča (uključujući pomoćnu opremu), proizvodnja sirovina koje se upotrebljavaju u povezanoj industriji i novi kapaciteti za s</w:t>
            </w:r>
            <w:r>
              <w:rPr>
                <w:noProof/>
              </w:rPr>
              <w:t xml:space="preserve">kladištenje električne energije </w:t>
            </w:r>
          </w:p>
        </w:tc>
        <w:tc>
          <w:tcPr>
            <w:tcW w:w="1275" w:type="dxa"/>
            <w:tcBorders>
              <w:top w:val="nil"/>
              <w:left w:val="nil"/>
              <w:bottom w:val="single" w:sz="4" w:space="0" w:color="auto"/>
              <w:right w:val="single" w:sz="4" w:space="0" w:color="auto"/>
            </w:tcBorders>
            <w:shd w:val="clear" w:color="auto" w:fill="C6EFCE"/>
            <w:noWrap/>
          </w:tcPr>
          <w:p w14:paraId="28552622"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5A4A5F7" w14:textId="77777777" w:rsidR="003F46B9" w:rsidRDefault="0065662E">
            <w:pPr>
              <w:pStyle w:val="P68B1DB1-Normal35"/>
              <w:spacing w:after="0"/>
              <w:jc w:val="both"/>
              <w:rPr>
                <w:noProof/>
              </w:rPr>
            </w:pPr>
            <w:r>
              <w:rPr>
                <w:noProof/>
              </w:rPr>
              <w:t>Potpisivanje ugovora za ulaganja u proizvodnju baterija i fotonaponske proizvodne lance</w:t>
            </w:r>
          </w:p>
        </w:tc>
      </w:tr>
      <w:tr w:rsidR="003F46B9" w14:paraId="60757CB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B5DDA9D" w14:textId="77777777" w:rsidR="003F46B9" w:rsidRDefault="0065662E">
            <w:pPr>
              <w:pStyle w:val="P68B1DB1-Normal35"/>
              <w:spacing w:after="0"/>
              <w:jc w:val="center"/>
              <w:rPr>
                <w:noProof/>
              </w:rPr>
            </w:pPr>
            <w:r>
              <w:rPr>
                <w:noProof/>
              </w:rPr>
              <w:t>136</w:t>
            </w:r>
          </w:p>
        </w:tc>
        <w:tc>
          <w:tcPr>
            <w:tcW w:w="3544" w:type="dxa"/>
            <w:tcBorders>
              <w:top w:val="nil"/>
              <w:left w:val="nil"/>
              <w:bottom w:val="single" w:sz="4" w:space="0" w:color="auto"/>
              <w:right w:val="single" w:sz="4" w:space="0" w:color="auto"/>
            </w:tcBorders>
            <w:shd w:val="clear" w:color="auto" w:fill="C6EFCE"/>
            <w:noWrap/>
          </w:tcPr>
          <w:p w14:paraId="3A989DAA" w14:textId="77777777" w:rsidR="003F46B9" w:rsidRDefault="0065662E">
            <w:pPr>
              <w:pStyle w:val="P68B1DB1-Normal35"/>
              <w:spacing w:after="0"/>
              <w:jc w:val="both"/>
              <w:rPr>
                <w:noProof/>
              </w:rPr>
            </w:pPr>
            <w:r>
              <w:rPr>
                <w:noProof/>
              </w:rPr>
              <w:t>C6.I4</w:t>
            </w:r>
          </w:p>
          <w:p w14:paraId="0BE55A6D" w14:textId="77777777" w:rsidR="003F46B9" w:rsidRDefault="0065662E">
            <w:pPr>
              <w:pStyle w:val="P68B1DB1-Normal35"/>
              <w:spacing w:after="0"/>
              <w:jc w:val="both"/>
              <w:rPr>
                <w:noProof/>
              </w:rPr>
            </w:pPr>
            <w:r>
              <w:rPr>
                <w:noProof/>
              </w:rPr>
              <w:t>Industrijski lanac proizvodnje i/ili sastavljanja i/ili recikliranja baterija, ćelija i fotonaponskih ploča (uključujući p</w:t>
            </w:r>
            <w:r>
              <w:rPr>
                <w:noProof/>
              </w:rPr>
              <w:t xml:space="preserve">omoćnu opremu), proizvodnja sirovina koje se upotrebljavaju u povezanoj industriji i novi kapaciteti za skladištenje električne energije </w:t>
            </w:r>
          </w:p>
        </w:tc>
        <w:tc>
          <w:tcPr>
            <w:tcW w:w="1275" w:type="dxa"/>
            <w:tcBorders>
              <w:top w:val="nil"/>
              <w:left w:val="nil"/>
              <w:bottom w:val="single" w:sz="4" w:space="0" w:color="auto"/>
              <w:right w:val="single" w:sz="4" w:space="0" w:color="auto"/>
            </w:tcBorders>
            <w:shd w:val="clear" w:color="auto" w:fill="C6EFCE"/>
            <w:noWrap/>
          </w:tcPr>
          <w:p w14:paraId="78CACF00"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1774372D" w14:textId="77777777" w:rsidR="003F46B9" w:rsidRDefault="0065662E">
            <w:pPr>
              <w:pStyle w:val="P68B1DB1-Normal35"/>
              <w:spacing w:after="0"/>
              <w:jc w:val="both"/>
              <w:rPr>
                <w:noProof/>
              </w:rPr>
            </w:pPr>
            <w:r>
              <w:rPr>
                <w:noProof/>
              </w:rPr>
              <w:t>Potpisivanje ugovora u okviru programa potpore za skladištenje baterija</w:t>
            </w:r>
          </w:p>
        </w:tc>
      </w:tr>
      <w:tr w:rsidR="003F46B9" w14:paraId="1A84399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63E10E9" w14:textId="77777777" w:rsidR="003F46B9" w:rsidRDefault="0065662E">
            <w:pPr>
              <w:pStyle w:val="P68B1DB1-Normal35"/>
              <w:spacing w:after="0"/>
              <w:jc w:val="center"/>
              <w:rPr>
                <w:noProof/>
              </w:rPr>
            </w:pPr>
            <w:r>
              <w:rPr>
                <w:noProof/>
              </w:rPr>
              <w:t>267</w:t>
            </w:r>
          </w:p>
        </w:tc>
        <w:tc>
          <w:tcPr>
            <w:tcW w:w="3544" w:type="dxa"/>
            <w:tcBorders>
              <w:top w:val="nil"/>
              <w:left w:val="nil"/>
              <w:bottom w:val="single" w:sz="4" w:space="0" w:color="auto"/>
              <w:right w:val="single" w:sz="4" w:space="0" w:color="auto"/>
            </w:tcBorders>
            <w:shd w:val="clear" w:color="auto" w:fill="C6EFCE"/>
            <w:noWrap/>
          </w:tcPr>
          <w:p w14:paraId="661B765C" w14:textId="77777777" w:rsidR="003F46B9" w:rsidRDefault="0065662E">
            <w:pPr>
              <w:pStyle w:val="P68B1DB1-Normal35"/>
              <w:spacing w:after="0"/>
              <w:jc w:val="both"/>
              <w:rPr>
                <w:noProof/>
              </w:rPr>
            </w:pPr>
            <w:r>
              <w:rPr>
                <w:noProof/>
              </w:rPr>
              <w:t>C9.I4</w:t>
            </w:r>
          </w:p>
          <w:p w14:paraId="46989EB5" w14:textId="77777777" w:rsidR="003F46B9" w:rsidRDefault="0065662E">
            <w:pPr>
              <w:pStyle w:val="P68B1DB1-Normal35"/>
              <w:spacing w:after="0"/>
              <w:jc w:val="both"/>
              <w:rPr>
                <w:noProof/>
              </w:rPr>
            </w:pPr>
            <w:r>
              <w:rPr>
                <w:noProof/>
              </w:rPr>
              <w:t xml:space="preserve">Prekogranični i višedržavni </w:t>
            </w:r>
            <w:r>
              <w:rPr>
                <w:noProof/>
              </w:rPr>
              <w:t>projekti – procesori niske potrošnje energije</w:t>
            </w:r>
            <w:r>
              <w:rPr>
                <w:noProof/>
              </w:rPr>
              <w:br/>
              <w:t xml:space="preserve">i poluvodički čipovi </w:t>
            </w:r>
          </w:p>
        </w:tc>
        <w:tc>
          <w:tcPr>
            <w:tcW w:w="1275" w:type="dxa"/>
            <w:tcBorders>
              <w:top w:val="nil"/>
              <w:left w:val="nil"/>
              <w:bottom w:val="single" w:sz="4" w:space="0" w:color="auto"/>
              <w:right w:val="single" w:sz="4" w:space="0" w:color="auto"/>
            </w:tcBorders>
            <w:shd w:val="clear" w:color="auto" w:fill="C6EFCE"/>
            <w:noWrap/>
          </w:tcPr>
          <w:p w14:paraId="680D662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5161082" w14:textId="77777777" w:rsidR="003F46B9" w:rsidRDefault="0065662E">
            <w:pPr>
              <w:pStyle w:val="P68B1DB1-Normal35"/>
              <w:spacing w:after="0"/>
              <w:jc w:val="both"/>
              <w:rPr>
                <w:noProof/>
              </w:rPr>
            </w:pPr>
            <w:r>
              <w:rPr>
                <w:noProof/>
              </w:rPr>
              <w:t>Subjekti odabrani za sudjelovanje u projektu</w:t>
            </w:r>
          </w:p>
        </w:tc>
      </w:tr>
      <w:tr w:rsidR="003F46B9" w14:paraId="2AE60119"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DA26B69" w14:textId="77777777" w:rsidR="003F46B9" w:rsidRDefault="0065662E">
            <w:pPr>
              <w:pStyle w:val="P68B1DB1-Normal35"/>
              <w:spacing w:after="0"/>
              <w:jc w:val="center"/>
              <w:rPr>
                <w:noProof/>
              </w:rPr>
            </w:pPr>
            <w:r>
              <w:rPr>
                <w:noProof/>
              </w:rPr>
              <w:t>526</w:t>
            </w:r>
          </w:p>
        </w:tc>
        <w:tc>
          <w:tcPr>
            <w:tcW w:w="3544" w:type="dxa"/>
            <w:tcBorders>
              <w:top w:val="nil"/>
              <w:left w:val="nil"/>
              <w:bottom w:val="single" w:sz="4" w:space="0" w:color="auto"/>
              <w:right w:val="single" w:sz="4" w:space="0" w:color="auto"/>
            </w:tcBorders>
            <w:shd w:val="clear" w:color="auto" w:fill="C6EFCE"/>
            <w:noWrap/>
          </w:tcPr>
          <w:p w14:paraId="3AFF8A44" w14:textId="77777777" w:rsidR="003F46B9" w:rsidRDefault="0065662E">
            <w:pPr>
              <w:pStyle w:val="P68B1DB1-Normal35"/>
              <w:spacing w:after="0"/>
              <w:jc w:val="both"/>
              <w:rPr>
                <w:noProof/>
              </w:rPr>
            </w:pPr>
            <w:r>
              <w:rPr>
                <w:noProof/>
              </w:rPr>
              <w:t xml:space="preserve">C16.I6. </w:t>
            </w:r>
          </w:p>
          <w:p w14:paraId="7868147D" w14:textId="77777777" w:rsidR="003F46B9" w:rsidRDefault="0065662E">
            <w:pPr>
              <w:pStyle w:val="P68B1DB1-Normal35"/>
              <w:spacing w:after="0"/>
              <w:jc w:val="both"/>
              <w:rPr>
                <w:noProof/>
              </w:rPr>
            </w:pPr>
            <w:r>
              <w:rPr>
                <w:noProof/>
              </w:rPr>
              <w:t>Pilot-projekt za ugradnju 20 MW plutajućih solarnih ploča na kanale navodnjavanja</w:t>
            </w:r>
          </w:p>
        </w:tc>
        <w:tc>
          <w:tcPr>
            <w:tcW w:w="1275" w:type="dxa"/>
            <w:tcBorders>
              <w:top w:val="nil"/>
              <w:left w:val="nil"/>
              <w:bottom w:val="single" w:sz="4" w:space="0" w:color="auto"/>
              <w:right w:val="single" w:sz="4" w:space="0" w:color="auto"/>
            </w:tcBorders>
            <w:shd w:val="clear" w:color="auto" w:fill="C6EFCE"/>
            <w:noWrap/>
          </w:tcPr>
          <w:p w14:paraId="4BE6EBAE"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74EC5E2E" w14:textId="77777777" w:rsidR="003F46B9" w:rsidRDefault="0065662E">
            <w:pPr>
              <w:pStyle w:val="P68B1DB1-Normal5"/>
              <w:spacing w:after="0"/>
              <w:jc w:val="both"/>
              <w:rPr>
                <w:rFonts w:cs="Times New Roman"/>
                <w:noProof/>
              </w:rPr>
            </w:pPr>
            <w:r>
              <w:rPr>
                <w:noProof/>
              </w:rPr>
              <w:t xml:space="preserve">Potpisivanje ugovora </w:t>
            </w:r>
          </w:p>
        </w:tc>
      </w:tr>
      <w:tr w:rsidR="003F46B9" w14:paraId="6D1BE4D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4C4F59F" w14:textId="77777777" w:rsidR="003F46B9" w:rsidRDefault="0065662E">
            <w:pPr>
              <w:pStyle w:val="P68B1DB1-Normal35"/>
              <w:spacing w:after="0"/>
              <w:rPr>
                <w:noProof/>
              </w:rPr>
            </w:pPr>
            <w:r>
              <w:rPr>
                <w:noProof/>
              </w:rPr>
              <w:t>276</w:t>
            </w:r>
          </w:p>
        </w:tc>
        <w:tc>
          <w:tcPr>
            <w:tcW w:w="3544" w:type="dxa"/>
            <w:tcBorders>
              <w:top w:val="nil"/>
              <w:left w:val="nil"/>
              <w:bottom w:val="single" w:sz="4" w:space="0" w:color="auto"/>
              <w:right w:val="single" w:sz="4" w:space="0" w:color="auto"/>
            </w:tcBorders>
            <w:shd w:val="clear" w:color="auto" w:fill="C6EFCE"/>
            <w:noWrap/>
          </w:tcPr>
          <w:p w14:paraId="230FB0ED" w14:textId="77777777" w:rsidR="003F46B9" w:rsidRDefault="0065662E">
            <w:pPr>
              <w:pStyle w:val="P68B1DB1-Normal35"/>
              <w:spacing w:after="0"/>
              <w:jc w:val="both"/>
              <w:rPr>
                <w:noProof/>
              </w:rPr>
            </w:pPr>
            <w:r>
              <w:rPr>
                <w:noProof/>
              </w:rPr>
              <w:t xml:space="preserve">C9.R4 </w:t>
            </w:r>
          </w:p>
          <w:p w14:paraId="2C03379C" w14:textId="77777777" w:rsidR="003F46B9" w:rsidRDefault="0065662E">
            <w:pPr>
              <w:pStyle w:val="P68B1DB1-Normal35"/>
              <w:spacing w:after="0"/>
              <w:jc w:val="both"/>
              <w:rPr>
                <w:noProof/>
              </w:rPr>
            </w:pPr>
            <w:r>
              <w:rPr>
                <w:noProof/>
              </w:rPr>
              <w:t xml:space="preserve">Pojačana suradnja između poduzeća i istraživanja </w:t>
            </w:r>
          </w:p>
        </w:tc>
        <w:tc>
          <w:tcPr>
            <w:tcW w:w="1275" w:type="dxa"/>
            <w:tcBorders>
              <w:top w:val="nil"/>
              <w:left w:val="nil"/>
              <w:bottom w:val="single" w:sz="4" w:space="0" w:color="auto"/>
              <w:right w:val="single" w:sz="4" w:space="0" w:color="auto"/>
            </w:tcBorders>
            <w:shd w:val="clear" w:color="auto" w:fill="C6EFCE"/>
            <w:noWrap/>
          </w:tcPr>
          <w:p w14:paraId="1279286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4D0FAAE5" w14:textId="77777777" w:rsidR="003F46B9" w:rsidRDefault="0065662E">
            <w:pPr>
              <w:pStyle w:val="P68B1DB1-Normal35"/>
              <w:spacing w:after="0"/>
              <w:jc w:val="both"/>
              <w:rPr>
                <w:noProof/>
              </w:rPr>
            </w:pPr>
            <w:r>
              <w:rPr>
                <w:noProof/>
              </w:rPr>
              <w:t>Stupanje na snagu zakonodavnih izmjena za povoljno okruženje za javna i privatna ulaganja u istraživanje, razvoj i inovacije</w:t>
            </w:r>
          </w:p>
        </w:tc>
      </w:tr>
      <w:tr w:rsidR="003F46B9" w14:paraId="2816B4B6" w14:textId="77777777">
        <w:trPr>
          <w:trHeight w:val="653"/>
        </w:trPr>
        <w:tc>
          <w:tcPr>
            <w:tcW w:w="1413" w:type="dxa"/>
            <w:tcBorders>
              <w:top w:val="nil"/>
              <w:left w:val="single" w:sz="4" w:space="0" w:color="auto"/>
              <w:bottom w:val="single" w:sz="4" w:space="0" w:color="auto"/>
              <w:right w:val="single" w:sz="4" w:space="0" w:color="auto"/>
            </w:tcBorders>
            <w:shd w:val="clear" w:color="auto" w:fill="C6EFCE"/>
            <w:noWrap/>
          </w:tcPr>
          <w:p w14:paraId="6227CBAC" w14:textId="77777777" w:rsidR="003F46B9" w:rsidRDefault="0065662E">
            <w:pPr>
              <w:pStyle w:val="P68B1DB1-Normal35"/>
              <w:spacing w:after="0"/>
              <w:rPr>
                <w:noProof/>
              </w:rPr>
            </w:pPr>
            <w:r>
              <w:rPr>
                <w:noProof/>
              </w:rPr>
              <w:t>333</w:t>
            </w:r>
          </w:p>
        </w:tc>
        <w:tc>
          <w:tcPr>
            <w:tcW w:w="3544" w:type="dxa"/>
            <w:tcBorders>
              <w:top w:val="nil"/>
              <w:left w:val="nil"/>
              <w:bottom w:val="single" w:sz="4" w:space="0" w:color="auto"/>
              <w:right w:val="single" w:sz="4" w:space="0" w:color="auto"/>
            </w:tcBorders>
            <w:shd w:val="clear" w:color="auto" w:fill="C6EFCE"/>
            <w:noWrap/>
          </w:tcPr>
          <w:p w14:paraId="2BBD7A26" w14:textId="77777777" w:rsidR="003F46B9" w:rsidRDefault="0065662E">
            <w:pPr>
              <w:pStyle w:val="P68B1DB1-Normal35"/>
              <w:spacing w:after="0"/>
              <w:jc w:val="both"/>
              <w:rPr>
                <w:noProof/>
              </w:rPr>
            </w:pPr>
            <w:r>
              <w:rPr>
                <w:noProof/>
              </w:rPr>
              <w:t xml:space="preserve">C11.I1 </w:t>
            </w:r>
          </w:p>
          <w:p w14:paraId="1F03D687" w14:textId="49052FB0" w:rsidR="003F46B9" w:rsidRDefault="0065662E">
            <w:pPr>
              <w:pStyle w:val="P68B1DB1-Normal35"/>
              <w:spacing w:after="0"/>
              <w:jc w:val="both"/>
              <w:rPr>
                <w:noProof/>
              </w:rPr>
            </w:pPr>
            <w:r>
              <w:rPr>
                <w:noProof/>
              </w:rPr>
              <w:t xml:space="preserve">Promicanje 12 turističkih/kulturnih ruta </w:t>
            </w:r>
          </w:p>
        </w:tc>
        <w:tc>
          <w:tcPr>
            <w:tcW w:w="1275" w:type="dxa"/>
            <w:tcBorders>
              <w:top w:val="nil"/>
              <w:left w:val="nil"/>
              <w:bottom w:val="single" w:sz="4" w:space="0" w:color="auto"/>
              <w:right w:val="single" w:sz="4" w:space="0" w:color="auto"/>
            </w:tcBorders>
            <w:shd w:val="clear" w:color="auto" w:fill="C6EFCE"/>
            <w:noWrap/>
          </w:tcPr>
          <w:p w14:paraId="7149C0E6"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357A18D0" w14:textId="77777777" w:rsidR="003F46B9" w:rsidRDefault="0065662E">
            <w:pPr>
              <w:pStyle w:val="P68B1DB1-Normal35"/>
              <w:spacing w:after="0"/>
              <w:jc w:val="both"/>
              <w:rPr>
                <w:noProof/>
              </w:rPr>
            </w:pPr>
            <w:r>
              <w:rPr>
                <w:noProof/>
              </w:rPr>
              <w:t>Otvaranje 12 kulturnih</w:t>
            </w:r>
            <w:r>
              <w:rPr>
                <w:noProof/>
              </w:rPr>
              <w:t xml:space="preserve"> ruta</w:t>
            </w:r>
          </w:p>
        </w:tc>
      </w:tr>
      <w:tr w:rsidR="003F46B9" w14:paraId="450B256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0A1F7918" w14:textId="77777777" w:rsidR="003F46B9" w:rsidRDefault="0065662E">
            <w:pPr>
              <w:pStyle w:val="P68B1DB1-Normal35"/>
              <w:spacing w:after="0"/>
              <w:rPr>
                <w:noProof/>
              </w:rPr>
            </w:pPr>
            <w:r>
              <w:rPr>
                <w:noProof/>
              </w:rPr>
              <w:t>11</w:t>
            </w:r>
          </w:p>
        </w:tc>
        <w:tc>
          <w:tcPr>
            <w:tcW w:w="3544" w:type="dxa"/>
            <w:tcBorders>
              <w:top w:val="nil"/>
              <w:left w:val="nil"/>
              <w:bottom w:val="single" w:sz="4" w:space="0" w:color="auto"/>
              <w:right w:val="single" w:sz="4" w:space="0" w:color="auto"/>
            </w:tcBorders>
            <w:shd w:val="clear" w:color="auto" w:fill="C6EFCE"/>
            <w:noWrap/>
          </w:tcPr>
          <w:p w14:paraId="7475526D" w14:textId="77777777" w:rsidR="003F46B9" w:rsidRDefault="0065662E">
            <w:pPr>
              <w:pStyle w:val="P68B1DB1-Normal35"/>
              <w:spacing w:after="0"/>
              <w:jc w:val="both"/>
              <w:rPr>
                <w:noProof/>
              </w:rPr>
            </w:pPr>
            <w:r>
              <w:rPr>
                <w:noProof/>
              </w:rPr>
              <w:t xml:space="preserve">C1.I2 </w:t>
            </w:r>
          </w:p>
          <w:p w14:paraId="53E80F17" w14:textId="77777777" w:rsidR="003F46B9" w:rsidRDefault="0065662E">
            <w:pPr>
              <w:pStyle w:val="P68B1DB1-Normal35"/>
              <w:spacing w:after="0"/>
              <w:jc w:val="both"/>
              <w:rPr>
                <w:noProof/>
              </w:rPr>
            </w:pPr>
            <w:r>
              <w:rPr>
                <w:noProof/>
              </w:rPr>
              <w:t>Prikupljanje otpadnih voda u aglomeracijama s manje od 2000 stanovnika koje sprečavaju postizanje dobrog stanja vodnih tijela i/ili utječu na prirodna zaštićena područja</w:t>
            </w:r>
          </w:p>
        </w:tc>
        <w:tc>
          <w:tcPr>
            <w:tcW w:w="1275" w:type="dxa"/>
            <w:tcBorders>
              <w:top w:val="nil"/>
              <w:left w:val="nil"/>
              <w:bottom w:val="single" w:sz="4" w:space="0" w:color="auto"/>
              <w:right w:val="single" w:sz="4" w:space="0" w:color="auto"/>
            </w:tcBorders>
            <w:shd w:val="clear" w:color="auto" w:fill="C6EFCE"/>
            <w:noWrap/>
          </w:tcPr>
          <w:p w14:paraId="0897C9FD"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22CA037" w14:textId="77777777" w:rsidR="003F46B9" w:rsidRDefault="0065662E">
            <w:pPr>
              <w:pStyle w:val="P68B1DB1-Normal35"/>
              <w:spacing w:after="0"/>
              <w:jc w:val="both"/>
              <w:rPr>
                <w:noProof/>
              </w:rPr>
            </w:pPr>
            <w:r>
              <w:rPr>
                <w:noProof/>
              </w:rPr>
              <w:t>Izgrađena i operativna kanalizacijska mreža u aglomeracijama manjim</w:t>
            </w:r>
            <w:r>
              <w:rPr>
                <w:noProof/>
              </w:rPr>
              <w:t>a od 2000 ekvivalenata stanovnika</w:t>
            </w:r>
          </w:p>
        </w:tc>
      </w:tr>
      <w:tr w:rsidR="003F46B9" w14:paraId="196F75C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57A624C6" w14:textId="77777777" w:rsidR="003F46B9" w:rsidRDefault="0065662E">
            <w:pPr>
              <w:pStyle w:val="P68B1DB1-Normal35"/>
              <w:spacing w:after="0"/>
              <w:rPr>
                <w:noProof/>
              </w:rPr>
            </w:pPr>
            <w:r>
              <w:rPr>
                <w:noProof/>
              </w:rPr>
              <w:t>249</w:t>
            </w:r>
          </w:p>
        </w:tc>
        <w:tc>
          <w:tcPr>
            <w:tcW w:w="3544" w:type="dxa"/>
            <w:tcBorders>
              <w:top w:val="nil"/>
              <w:left w:val="nil"/>
              <w:bottom w:val="single" w:sz="4" w:space="0" w:color="auto"/>
              <w:right w:val="single" w:sz="4" w:space="0" w:color="auto"/>
            </w:tcBorders>
            <w:shd w:val="clear" w:color="auto" w:fill="C6EFCE"/>
            <w:noWrap/>
          </w:tcPr>
          <w:p w14:paraId="1BDDA9A8" w14:textId="77777777" w:rsidR="003F46B9" w:rsidRDefault="0065662E">
            <w:pPr>
              <w:pStyle w:val="P68B1DB1-Normal35"/>
              <w:spacing w:after="0"/>
              <w:jc w:val="both"/>
              <w:rPr>
                <w:noProof/>
              </w:rPr>
            </w:pPr>
            <w:r>
              <w:rPr>
                <w:noProof/>
              </w:rPr>
              <w:t xml:space="preserve">C9.I2.1 </w:t>
            </w:r>
          </w:p>
          <w:p w14:paraId="21C250D3" w14:textId="77777777" w:rsidR="003F46B9" w:rsidRDefault="0065662E">
            <w:pPr>
              <w:pStyle w:val="P68B1DB1-Normal35"/>
              <w:spacing w:after="0"/>
              <w:jc w:val="both"/>
              <w:rPr>
                <w:noProof/>
              </w:rPr>
            </w:pPr>
            <w:r>
              <w:rPr>
                <w:noProof/>
              </w:rPr>
              <w:t xml:space="preserve">Financijski instrumenti za privatni sektor – portfeljno jamstvo za otpornost </w:t>
            </w:r>
          </w:p>
        </w:tc>
        <w:tc>
          <w:tcPr>
            <w:tcW w:w="1275" w:type="dxa"/>
            <w:tcBorders>
              <w:top w:val="nil"/>
              <w:left w:val="nil"/>
              <w:bottom w:val="single" w:sz="4" w:space="0" w:color="auto"/>
              <w:right w:val="single" w:sz="4" w:space="0" w:color="auto"/>
            </w:tcBorders>
            <w:shd w:val="clear" w:color="auto" w:fill="C6EFCE"/>
            <w:noWrap/>
          </w:tcPr>
          <w:p w14:paraId="36A36A5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36348F6F" w14:textId="77777777" w:rsidR="003F46B9" w:rsidRDefault="0065662E">
            <w:pPr>
              <w:pStyle w:val="P68B1DB1-Normal35"/>
              <w:spacing w:after="0"/>
              <w:jc w:val="both"/>
              <w:rPr>
                <w:noProof/>
              </w:rPr>
            </w:pPr>
            <w:r>
              <w:rPr>
                <w:noProof/>
              </w:rPr>
              <w:t xml:space="preserve">Operacije financiranja ili ulaganja u iznosu od 100 % sredstava dodijeljenih instrumentu koji je odobrio Odbor za ulaganja </w:t>
            </w:r>
            <w:r>
              <w:rPr>
                <w:noProof/>
              </w:rPr>
              <w:t>InvestEU.</w:t>
            </w:r>
          </w:p>
        </w:tc>
      </w:tr>
      <w:tr w:rsidR="003F46B9" w14:paraId="39FB1117"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405648C" w14:textId="77777777" w:rsidR="003F46B9" w:rsidRDefault="0065662E">
            <w:pPr>
              <w:pStyle w:val="P68B1DB1-Normal35"/>
              <w:spacing w:after="0"/>
              <w:rPr>
                <w:noProof/>
              </w:rPr>
            </w:pPr>
            <w:r>
              <w:rPr>
                <w:noProof/>
              </w:rPr>
              <w:t>252</w:t>
            </w:r>
          </w:p>
        </w:tc>
        <w:tc>
          <w:tcPr>
            <w:tcW w:w="3544" w:type="dxa"/>
            <w:tcBorders>
              <w:top w:val="nil"/>
              <w:left w:val="nil"/>
              <w:bottom w:val="single" w:sz="4" w:space="0" w:color="auto"/>
              <w:right w:val="single" w:sz="4" w:space="0" w:color="auto"/>
            </w:tcBorders>
            <w:shd w:val="clear" w:color="auto" w:fill="C6EFCE"/>
            <w:noWrap/>
          </w:tcPr>
          <w:p w14:paraId="3DEF3D3B" w14:textId="77777777" w:rsidR="003F46B9" w:rsidRDefault="0065662E">
            <w:pPr>
              <w:pStyle w:val="P68B1DB1-Normal35"/>
              <w:spacing w:after="0"/>
              <w:jc w:val="both"/>
              <w:rPr>
                <w:noProof/>
              </w:rPr>
            </w:pPr>
            <w:r>
              <w:rPr>
                <w:noProof/>
              </w:rPr>
              <w:t xml:space="preserve">C9.I2.2 </w:t>
            </w:r>
          </w:p>
          <w:p w14:paraId="1E0CC944" w14:textId="77777777" w:rsidR="003F46B9" w:rsidRDefault="0065662E">
            <w:pPr>
              <w:pStyle w:val="P68B1DB1-Normal35"/>
              <w:spacing w:after="0"/>
              <w:jc w:val="both"/>
              <w:rPr>
                <w:noProof/>
              </w:rPr>
            </w:pPr>
            <w:r>
              <w:rPr>
                <w:noProof/>
              </w:rPr>
              <w:t xml:space="preserve">Financijski instrumenti za privatni sektor – jamstvo portfelja za klimatsku politiku </w:t>
            </w:r>
          </w:p>
        </w:tc>
        <w:tc>
          <w:tcPr>
            <w:tcW w:w="1275" w:type="dxa"/>
            <w:tcBorders>
              <w:top w:val="nil"/>
              <w:left w:val="nil"/>
              <w:bottom w:val="single" w:sz="4" w:space="0" w:color="auto"/>
              <w:right w:val="single" w:sz="4" w:space="0" w:color="auto"/>
            </w:tcBorders>
            <w:shd w:val="clear" w:color="auto" w:fill="C6EFCE"/>
            <w:noWrap/>
          </w:tcPr>
          <w:p w14:paraId="6B91FE75"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5ADBB6A7" w14:textId="77777777" w:rsidR="003F46B9" w:rsidRDefault="0065662E">
            <w:pPr>
              <w:pStyle w:val="P68B1DB1-Normal35"/>
              <w:spacing w:after="0"/>
              <w:jc w:val="both"/>
              <w:rPr>
                <w:noProof/>
              </w:rPr>
            </w:pPr>
            <w:r>
              <w:rPr>
                <w:noProof/>
              </w:rPr>
              <w:t xml:space="preserve">Operacije financiranja ili ulaganja u iznosu od 100 % ukupnog iznosa sredstava dodijeljenih instrumentu, koje je odobrio Odbor za ulaganja </w:t>
            </w:r>
            <w:r>
              <w:rPr>
                <w:noProof/>
              </w:rPr>
              <w:t>programa InvestEU.</w:t>
            </w:r>
          </w:p>
        </w:tc>
      </w:tr>
      <w:tr w:rsidR="003F46B9" w14:paraId="642DD8A5"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6FCB72D3" w14:textId="77777777" w:rsidR="003F46B9" w:rsidRDefault="0065662E">
            <w:pPr>
              <w:pStyle w:val="P68B1DB1-Normal35"/>
              <w:spacing w:after="0"/>
              <w:rPr>
                <w:noProof/>
              </w:rPr>
            </w:pPr>
            <w:r>
              <w:rPr>
                <w:noProof/>
              </w:rPr>
              <w:t>261</w:t>
            </w:r>
          </w:p>
        </w:tc>
        <w:tc>
          <w:tcPr>
            <w:tcW w:w="3544" w:type="dxa"/>
            <w:tcBorders>
              <w:top w:val="nil"/>
              <w:left w:val="nil"/>
              <w:bottom w:val="single" w:sz="4" w:space="0" w:color="auto"/>
              <w:right w:val="single" w:sz="4" w:space="0" w:color="auto"/>
            </w:tcBorders>
            <w:shd w:val="clear" w:color="auto" w:fill="C6EFCE"/>
            <w:noWrap/>
          </w:tcPr>
          <w:p w14:paraId="6B00EFD4" w14:textId="77777777" w:rsidR="003F46B9" w:rsidRDefault="0065662E">
            <w:pPr>
              <w:pStyle w:val="P68B1DB1-Normal35"/>
              <w:spacing w:after="0"/>
              <w:jc w:val="both"/>
              <w:rPr>
                <w:noProof/>
              </w:rPr>
            </w:pPr>
            <w:r>
              <w:rPr>
                <w:noProof/>
              </w:rPr>
              <w:t xml:space="preserve">C9.I2.5 </w:t>
            </w:r>
          </w:p>
          <w:p w14:paraId="1DFD7681" w14:textId="77777777" w:rsidR="003F46B9" w:rsidRDefault="0065662E">
            <w:pPr>
              <w:pStyle w:val="P68B1DB1-Normal35"/>
              <w:spacing w:after="0"/>
              <w:jc w:val="both"/>
              <w:rPr>
                <w:noProof/>
              </w:rPr>
            </w:pPr>
            <w:r>
              <w:rPr>
                <w:noProof/>
              </w:rPr>
              <w:t>Financijski instrumenti za privatni sektor – Ulaganja u energetsku učinkovitost u stambenom i građevinskom sektoru</w:t>
            </w:r>
          </w:p>
          <w:p w14:paraId="1FB7E84A" w14:textId="77777777" w:rsidR="003F46B9" w:rsidRDefault="003F46B9">
            <w:pPr>
              <w:spacing w:after="0"/>
              <w:jc w:val="both"/>
              <w:rPr>
                <w:rFonts w:ascii="Times New Roman" w:hAnsi="Times New Roman" w:cs="Times New Roman"/>
                <w:noProof/>
              </w:rPr>
            </w:pPr>
          </w:p>
        </w:tc>
        <w:tc>
          <w:tcPr>
            <w:tcW w:w="1275" w:type="dxa"/>
            <w:tcBorders>
              <w:top w:val="nil"/>
              <w:left w:val="nil"/>
              <w:bottom w:val="single" w:sz="4" w:space="0" w:color="auto"/>
              <w:right w:val="single" w:sz="4" w:space="0" w:color="auto"/>
            </w:tcBorders>
            <w:shd w:val="clear" w:color="auto" w:fill="C6EFCE"/>
            <w:noWrap/>
          </w:tcPr>
          <w:p w14:paraId="6D5725EA"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3566357" w14:textId="77777777" w:rsidR="003F46B9" w:rsidRDefault="0065662E">
            <w:pPr>
              <w:pStyle w:val="P68B1DB1-Normal35"/>
              <w:spacing w:after="0"/>
              <w:jc w:val="both"/>
              <w:rPr>
                <w:noProof/>
              </w:rPr>
            </w:pPr>
            <w:r>
              <w:rPr>
                <w:noProof/>
              </w:rPr>
              <w:t>Operacije financiranja ili ulaganja u iznosu od 100 % ukupnog ciljanog iznosa financiranja ili ulaganja k</w:t>
            </w:r>
            <w:r>
              <w:rPr>
                <w:noProof/>
              </w:rPr>
              <w:t>oje je odobrio Odbor za ulaganja InvestEU.</w:t>
            </w:r>
          </w:p>
        </w:tc>
      </w:tr>
      <w:tr w:rsidR="003F46B9" w14:paraId="0111F9D3"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DD1C30" w14:textId="77777777" w:rsidR="003F46B9" w:rsidRDefault="0065662E">
            <w:pPr>
              <w:pStyle w:val="P68B1DB1-Normal35"/>
              <w:spacing w:after="0"/>
              <w:rPr>
                <w:noProof/>
              </w:rPr>
            </w:pPr>
            <w:r>
              <w:rPr>
                <w:noProof/>
              </w:rPr>
              <w:t>263</w:t>
            </w:r>
          </w:p>
        </w:tc>
        <w:tc>
          <w:tcPr>
            <w:tcW w:w="3544" w:type="dxa"/>
            <w:tcBorders>
              <w:top w:val="nil"/>
              <w:left w:val="nil"/>
              <w:bottom w:val="single" w:sz="4" w:space="0" w:color="auto"/>
              <w:right w:val="single" w:sz="4" w:space="0" w:color="auto"/>
            </w:tcBorders>
            <w:shd w:val="clear" w:color="auto" w:fill="C6EFCE"/>
            <w:noWrap/>
          </w:tcPr>
          <w:p w14:paraId="368F4D02" w14:textId="77777777" w:rsidR="003F46B9" w:rsidRDefault="0065662E">
            <w:pPr>
              <w:pStyle w:val="P68B1DB1-Normal35"/>
              <w:spacing w:after="0"/>
              <w:jc w:val="both"/>
              <w:rPr>
                <w:noProof/>
              </w:rPr>
            </w:pPr>
            <w:r>
              <w:rPr>
                <w:noProof/>
              </w:rPr>
              <w:t xml:space="preserve">C9.I3.1 </w:t>
            </w:r>
          </w:p>
          <w:p w14:paraId="328A0AF6" w14:textId="77777777" w:rsidR="003F46B9" w:rsidRDefault="0065662E">
            <w:pPr>
              <w:pStyle w:val="P68B1DB1-Normal35"/>
              <w:spacing w:after="0"/>
              <w:jc w:val="both"/>
              <w:rPr>
                <w:noProof/>
              </w:rPr>
            </w:pPr>
            <w:r>
              <w:rPr>
                <w:noProof/>
              </w:rPr>
              <w:t xml:space="preserve">Programi potpora privatnog sektora – Program potpora za digitalizaciju MSP-ova </w:t>
            </w:r>
          </w:p>
        </w:tc>
        <w:tc>
          <w:tcPr>
            <w:tcW w:w="1275" w:type="dxa"/>
            <w:tcBorders>
              <w:top w:val="nil"/>
              <w:left w:val="nil"/>
              <w:bottom w:val="single" w:sz="4" w:space="0" w:color="auto"/>
              <w:right w:val="single" w:sz="4" w:space="0" w:color="auto"/>
            </w:tcBorders>
            <w:shd w:val="clear" w:color="auto" w:fill="C6EFCE"/>
            <w:noWrap/>
          </w:tcPr>
          <w:p w14:paraId="74D352E9"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6A20A2C9" w14:textId="77777777" w:rsidR="003F46B9" w:rsidRDefault="0065662E">
            <w:pPr>
              <w:pStyle w:val="P68B1DB1-Normal35"/>
              <w:spacing w:after="0"/>
              <w:jc w:val="both"/>
              <w:rPr>
                <w:noProof/>
              </w:rPr>
            </w:pPr>
            <w:r>
              <w:rPr>
                <w:noProof/>
              </w:rPr>
              <w:t xml:space="preserve">Broj potpisanih ugovora o financiranju </w:t>
            </w:r>
          </w:p>
        </w:tc>
      </w:tr>
      <w:tr w:rsidR="003F46B9" w14:paraId="11BAFC1F"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9A9D059" w14:textId="77777777" w:rsidR="003F46B9" w:rsidRDefault="0065662E">
            <w:pPr>
              <w:pStyle w:val="P68B1DB1-Normal35"/>
              <w:spacing w:after="0"/>
              <w:rPr>
                <w:noProof/>
              </w:rPr>
            </w:pPr>
            <w:r>
              <w:rPr>
                <w:noProof/>
              </w:rPr>
              <w:t>347</w:t>
            </w:r>
          </w:p>
        </w:tc>
        <w:tc>
          <w:tcPr>
            <w:tcW w:w="3544" w:type="dxa"/>
            <w:tcBorders>
              <w:top w:val="nil"/>
              <w:left w:val="nil"/>
              <w:bottom w:val="single" w:sz="4" w:space="0" w:color="auto"/>
              <w:right w:val="single" w:sz="4" w:space="0" w:color="auto"/>
            </w:tcBorders>
            <w:shd w:val="clear" w:color="auto" w:fill="C6EFCE"/>
            <w:noWrap/>
          </w:tcPr>
          <w:p w14:paraId="72AA9EC0" w14:textId="77777777" w:rsidR="003F46B9" w:rsidRDefault="0065662E">
            <w:pPr>
              <w:pStyle w:val="P68B1DB1-Normal35"/>
              <w:spacing w:after="0"/>
              <w:jc w:val="both"/>
              <w:rPr>
                <w:noProof/>
              </w:rPr>
            </w:pPr>
            <w:r>
              <w:rPr>
                <w:noProof/>
              </w:rPr>
              <w:t xml:space="preserve">C11.I5 </w:t>
            </w:r>
          </w:p>
          <w:p w14:paraId="16992ED7" w14:textId="05549814" w:rsidR="003F46B9" w:rsidRDefault="0065662E">
            <w:pPr>
              <w:pStyle w:val="P68B1DB1-Normal35"/>
              <w:spacing w:after="0"/>
              <w:jc w:val="both"/>
              <w:rPr>
                <w:noProof/>
              </w:rPr>
            </w:pPr>
            <w:r>
              <w:rPr>
                <w:noProof/>
              </w:rPr>
              <w:t xml:space="preserve">Povećanje pristupa kulturi u područjima zahvaćenima kulturom </w:t>
            </w:r>
          </w:p>
        </w:tc>
        <w:tc>
          <w:tcPr>
            <w:tcW w:w="1275" w:type="dxa"/>
            <w:tcBorders>
              <w:top w:val="nil"/>
              <w:left w:val="nil"/>
              <w:bottom w:val="single" w:sz="4" w:space="0" w:color="auto"/>
              <w:right w:val="single" w:sz="4" w:space="0" w:color="auto"/>
            </w:tcBorders>
            <w:shd w:val="clear" w:color="auto" w:fill="C6EFCE"/>
            <w:noWrap/>
          </w:tcPr>
          <w:p w14:paraId="0DA6AC6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E2F902D" w14:textId="77777777" w:rsidR="003F46B9" w:rsidRDefault="0065662E">
            <w:pPr>
              <w:pStyle w:val="P68B1DB1-Normal35"/>
              <w:spacing w:after="0"/>
              <w:jc w:val="both"/>
              <w:rPr>
                <w:noProof/>
              </w:rPr>
            </w:pPr>
            <w:r>
              <w:rPr>
                <w:noProof/>
              </w:rPr>
              <w:t>Mala mjesta s povećanim pristupom kulturi</w:t>
            </w:r>
          </w:p>
        </w:tc>
      </w:tr>
      <w:tr w:rsidR="003F46B9" w14:paraId="64C731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D66E8B5" w14:textId="77777777" w:rsidR="003F46B9" w:rsidRDefault="0065662E">
            <w:pPr>
              <w:pStyle w:val="P68B1DB1-Normal35"/>
              <w:spacing w:after="0"/>
              <w:rPr>
                <w:noProof/>
              </w:rPr>
            </w:pPr>
            <w:r>
              <w:rPr>
                <w:noProof/>
              </w:rPr>
              <w:t>269</w:t>
            </w:r>
          </w:p>
        </w:tc>
        <w:tc>
          <w:tcPr>
            <w:tcW w:w="3544" w:type="dxa"/>
            <w:tcBorders>
              <w:top w:val="nil"/>
              <w:left w:val="nil"/>
              <w:bottom w:val="single" w:sz="4" w:space="0" w:color="auto"/>
              <w:right w:val="single" w:sz="4" w:space="0" w:color="auto"/>
            </w:tcBorders>
            <w:shd w:val="clear" w:color="auto" w:fill="C6EFCE"/>
            <w:noWrap/>
          </w:tcPr>
          <w:p w14:paraId="7FFA5179" w14:textId="77777777" w:rsidR="003F46B9" w:rsidRDefault="0065662E">
            <w:pPr>
              <w:pStyle w:val="P68B1DB1-Normal35"/>
              <w:spacing w:after="0"/>
              <w:jc w:val="both"/>
              <w:rPr>
                <w:noProof/>
              </w:rPr>
            </w:pPr>
            <w:r>
              <w:rPr>
                <w:noProof/>
              </w:rPr>
              <w:t>C9.I4</w:t>
            </w:r>
          </w:p>
          <w:p w14:paraId="41149A79" w14:textId="77777777" w:rsidR="003F46B9" w:rsidRDefault="0065662E">
            <w:pPr>
              <w:pStyle w:val="P68B1DB1-Normal35"/>
              <w:spacing w:after="0"/>
              <w:jc w:val="both"/>
              <w:rPr>
                <w:noProof/>
              </w:rPr>
            </w:pPr>
            <w:r>
              <w:rPr>
                <w:noProof/>
              </w:rPr>
              <w:t>Prekogranični i višedržavni projekti – procesori niske potrošnje energije</w:t>
            </w:r>
            <w:r>
              <w:rPr>
                <w:noProof/>
              </w:rPr>
              <w:br/>
              <w:t xml:space="preserve">i poluvodički čipovi </w:t>
            </w:r>
          </w:p>
        </w:tc>
        <w:tc>
          <w:tcPr>
            <w:tcW w:w="1275" w:type="dxa"/>
            <w:tcBorders>
              <w:top w:val="nil"/>
              <w:left w:val="nil"/>
              <w:bottom w:val="single" w:sz="4" w:space="0" w:color="auto"/>
              <w:right w:val="single" w:sz="4" w:space="0" w:color="auto"/>
            </w:tcBorders>
            <w:shd w:val="clear" w:color="auto" w:fill="C6EFCE"/>
            <w:noWrap/>
          </w:tcPr>
          <w:p w14:paraId="4E76F630"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4CF6E4C" w14:textId="77777777" w:rsidR="003F46B9" w:rsidRDefault="0065662E">
            <w:pPr>
              <w:pStyle w:val="P68B1DB1-Normal5"/>
              <w:spacing w:after="0"/>
              <w:jc w:val="both"/>
              <w:rPr>
                <w:rFonts w:cs="Times New Roman"/>
                <w:noProof/>
              </w:rPr>
            </w:pPr>
            <w:r>
              <w:rPr>
                <w:noProof/>
              </w:rPr>
              <w:t>Sredstva dodijeljena odabranim subjektima</w:t>
            </w:r>
          </w:p>
        </w:tc>
      </w:tr>
      <w:tr w:rsidR="003F46B9" w14:paraId="5A9AF3A2"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10DBFB62" w14:textId="794E0068" w:rsidR="003F46B9" w:rsidRDefault="0065662E">
            <w:pPr>
              <w:pStyle w:val="P68B1DB1-Normal35"/>
              <w:spacing w:after="0"/>
              <w:rPr>
                <w:noProof/>
              </w:rPr>
            </w:pPr>
            <w:r>
              <w:rPr>
                <w:noProof/>
              </w:rPr>
              <w:t>283</w:t>
            </w:r>
          </w:p>
        </w:tc>
        <w:tc>
          <w:tcPr>
            <w:tcW w:w="3544" w:type="dxa"/>
            <w:tcBorders>
              <w:top w:val="nil"/>
              <w:left w:val="nil"/>
              <w:bottom w:val="single" w:sz="4" w:space="0" w:color="auto"/>
              <w:right w:val="single" w:sz="4" w:space="0" w:color="auto"/>
            </w:tcBorders>
            <w:shd w:val="clear" w:color="auto" w:fill="C6EFCE"/>
            <w:noWrap/>
          </w:tcPr>
          <w:p w14:paraId="407292C3" w14:textId="77777777" w:rsidR="003F46B9" w:rsidRDefault="0065662E">
            <w:pPr>
              <w:pStyle w:val="P68B1DB1-Normal35"/>
              <w:spacing w:after="0"/>
              <w:jc w:val="both"/>
              <w:rPr>
                <w:noProof/>
              </w:rPr>
            </w:pPr>
            <w:r>
              <w:rPr>
                <w:noProof/>
              </w:rPr>
              <w:t>C9.I7</w:t>
            </w:r>
          </w:p>
          <w:p w14:paraId="6247912D" w14:textId="06751BC9" w:rsidR="003F46B9" w:rsidRDefault="0065662E">
            <w:pPr>
              <w:pStyle w:val="P68B1DB1-Normal35"/>
              <w:spacing w:after="0"/>
              <w:jc w:val="both"/>
              <w:rPr>
                <w:noProof/>
              </w:rPr>
            </w:pPr>
            <w:r>
              <w:rPr>
                <w:noProof/>
              </w:rPr>
              <w:t xml:space="preserve">Jačanje izvrsnosti i podupiranje sudjelovanja Rumunjske u partnerstvima i misijama u okviru programa Obzor Europa </w:t>
            </w:r>
          </w:p>
        </w:tc>
        <w:tc>
          <w:tcPr>
            <w:tcW w:w="1275" w:type="dxa"/>
            <w:tcBorders>
              <w:top w:val="nil"/>
              <w:left w:val="nil"/>
              <w:bottom w:val="single" w:sz="4" w:space="0" w:color="auto"/>
              <w:right w:val="single" w:sz="4" w:space="0" w:color="auto"/>
            </w:tcBorders>
            <w:shd w:val="clear" w:color="auto" w:fill="C6EFCE"/>
            <w:noWrap/>
          </w:tcPr>
          <w:p w14:paraId="6E995C7D" w14:textId="55B7926F"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C7E0BE4" w14:textId="7E7990CD" w:rsidR="003F46B9" w:rsidRDefault="0065662E">
            <w:pPr>
              <w:pStyle w:val="P68B1DB1-Normal35"/>
              <w:spacing w:after="0"/>
              <w:jc w:val="both"/>
              <w:rPr>
                <w:noProof/>
                <w:sz w:val="24"/>
              </w:rPr>
            </w:pPr>
            <w:r>
              <w:rPr>
                <w:noProof/>
              </w:rPr>
              <w:t>Broj potpisanih ugovora o financiranju istraživanja</w:t>
            </w:r>
          </w:p>
        </w:tc>
      </w:tr>
      <w:tr w:rsidR="003F46B9" w14:paraId="65EF4A9A"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48CE574B" w14:textId="77777777" w:rsidR="003F46B9" w:rsidRDefault="0065662E">
            <w:pPr>
              <w:pStyle w:val="P68B1DB1-Normal35"/>
              <w:spacing w:after="0"/>
              <w:rPr>
                <w:noProof/>
              </w:rPr>
            </w:pPr>
            <w:r>
              <w:rPr>
                <w:noProof/>
              </w:rPr>
              <w:t>523</w:t>
            </w:r>
          </w:p>
        </w:tc>
        <w:tc>
          <w:tcPr>
            <w:tcW w:w="3544" w:type="dxa"/>
            <w:tcBorders>
              <w:top w:val="nil"/>
              <w:left w:val="nil"/>
              <w:bottom w:val="single" w:sz="4" w:space="0" w:color="auto"/>
              <w:right w:val="single" w:sz="4" w:space="0" w:color="auto"/>
            </w:tcBorders>
            <w:shd w:val="clear" w:color="auto" w:fill="C6EFCE"/>
            <w:noWrap/>
          </w:tcPr>
          <w:p w14:paraId="2EF7BF93" w14:textId="77777777" w:rsidR="003F46B9" w:rsidRDefault="0065662E">
            <w:pPr>
              <w:pStyle w:val="P68B1DB1-Normal35"/>
              <w:spacing w:after="0"/>
              <w:jc w:val="both"/>
              <w:rPr>
                <w:noProof/>
              </w:rPr>
            </w:pPr>
            <w:r>
              <w:rPr>
                <w:noProof/>
              </w:rPr>
              <w:t>C16.R2 Uspostava jedinstvenih kontaktnih točaka (OSS) za pružanje savjetodavnih us</w:t>
            </w:r>
            <w:r>
              <w:rPr>
                <w:noProof/>
              </w:rPr>
              <w:t>luga u području energije za obnovu energetske učinkovitosti i proizvodnju energije iz obnovljivih izvora</w:t>
            </w:r>
          </w:p>
        </w:tc>
        <w:tc>
          <w:tcPr>
            <w:tcW w:w="1275" w:type="dxa"/>
            <w:tcBorders>
              <w:top w:val="nil"/>
              <w:left w:val="nil"/>
              <w:bottom w:val="single" w:sz="4" w:space="0" w:color="auto"/>
              <w:right w:val="single" w:sz="4" w:space="0" w:color="auto"/>
            </w:tcBorders>
            <w:shd w:val="clear" w:color="auto" w:fill="C6EFCE"/>
            <w:noWrap/>
          </w:tcPr>
          <w:p w14:paraId="717D3062"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AB61277" w14:textId="77777777" w:rsidR="003F46B9" w:rsidRDefault="0065662E">
            <w:pPr>
              <w:pStyle w:val="P68B1DB1-Normal35"/>
              <w:spacing w:after="0"/>
              <w:jc w:val="both"/>
              <w:rPr>
                <w:noProof/>
              </w:rPr>
            </w:pPr>
            <w:r>
              <w:rPr>
                <w:noProof/>
              </w:rPr>
              <w:t>Stupanje na snagu zakonodavnih izmjena za uspostavu i razvoj ureda jedinstvene kontaktne točke za pružanje savjetodavnih usluga u području energetike</w:t>
            </w:r>
          </w:p>
        </w:tc>
      </w:tr>
      <w:tr w:rsidR="003F46B9" w14:paraId="73722AC6"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280DDAF3" w14:textId="77777777" w:rsidR="003F46B9" w:rsidRDefault="0065662E">
            <w:pPr>
              <w:pStyle w:val="P68B1DB1-Normal35"/>
              <w:spacing w:after="0"/>
              <w:rPr>
                <w:noProof/>
              </w:rPr>
            </w:pPr>
            <w:r>
              <w:rPr>
                <w:noProof/>
              </w:rPr>
              <w:t>524</w:t>
            </w:r>
          </w:p>
        </w:tc>
        <w:tc>
          <w:tcPr>
            <w:tcW w:w="3544" w:type="dxa"/>
            <w:tcBorders>
              <w:top w:val="nil"/>
              <w:left w:val="nil"/>
              <w:bottom w:val="single" w:sz="4" w:space="0" w:color="auto"/>
              <w:right w:val="single" w:sz="4" w:space="0" w:color="auto"/>
            </w:tcBorders>
            <w:shd w:val="clear" w:color="auto" w:fill="C6EFCE"/>
            <w:noWrap/>
          </w:tcPr>
          <w:p w14:paraId="3695706C" w14:textId="77777777" w:rsidR="003F46B9" w:rsidRDefault="0065662E">
            <w:pPr>
              <w:pStyle w:val="P68B1DB1-Normal35"/>
              <w:spacing w:after="0"/>
              <w:jc w:val="both"/>
              <w:rPr>
                <w:noProof/>
              </w:rPr>
            </w:pPr>
            <w:r>
              <w:rPr>
                <w:noProof/>
              </w:rPr>
              <w:t>C16.R2 Uspostava jedinstvenih kontaktnih točaka (OSS) za pružanje savjetodavnih usluga u području energije za obnovu energetske učinkovitosti i proizvodnju energije iz obnovljivih izvora</w:t>
            </w:r>
          </w:p>
        </w:tc>
        <w:tc>
          <w:tcPr>
            <w:tcW w:w="1275" w:type="dxa"/>
            <w:tcBorders>
              <w:top w:val="nil"/>
              <w:left w:val="nil"/>
              <w:bottom w:val="single" w:sz="4" w:space="0" w:color="auto"/>
              <w:right w:val="single" w:sz="4" w:space="0" w:color="auto"/>
            </w:tcBorders>
            <w:shd w:val="clear" w:color="auto" w:fill="C6EFCE"/>
            <w:noWrap/>
          </w:tcPr>
          <w:p w14:paraId="1E06B867"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02DD00BE" w14:textId="77777777" w:rsidR="003F46B9" w:rsidRDefault="0065662E">
            <w:pPr>
              <w:pStyle w:val="P68B1DB1-Normal5"/>
              <w:spacing w:after="0"/>
              <w:jc w:val="both"/>
              <w:rPr>
                <w:rFonts w:cs="Times New Roman"/>
                <w:noProof/>
              </w:rPr>
            </w:pPr>
            <w:r>
              <w:rPr>
                <w:noProof/>
              </w:rPr>
              <w:t>Mjere za izgradnju kapaciteta</w:t>
            </w:r>
          </w:p>
        </w:tc>
      </w:tr>
      <w:tr w:rsidR="003F46B9" w14:paraId="3757BCC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7DDFDF25" w14:textId="77777777" w:rsidR="003F46B9" w:rsidRDefault="0065662E">
            <w:pPr>
              <w:pStyle w:val="P68B1DB1-Normal35"/>
              <w:spacing w:after="0"/>
              <w:rPr>
                <w:noProof/>
              </w:rPr>
            </w:pPr>
            <w:r>
              <w:rPr>
                <w:noProof/>
              </w:rPr>
              <w:t>525</w:t>
            </w:r>
          </w:p>
        </w:tc>
        <w:tc>
          <w:tcPr>
            <w:tcW w:w="3544" w:type="dxa"/>
            <w:tcBorders>
              <w:top w:val="nil"/>
              <w:left w:val="nil"/>
              <w:bottom w:val="single" w:sz="4" w:space="0" w:color="auto"/>
              <w:right w:val="single" w:sz="4" w:space="0" w:color="auto"/>
            </w:tcBorders>
            <w:shd w:val="clear" w:color="auto" w:fill="C6EFCE"/>
            <w:noWrap/>
          </w:tcPr>
          <w:p w14:paraId="108090E5" w14:textId="77777777" w:rsidR="003F46B9" w:rsidRDefault="0065662E">
            <w:pPr>
              <w:pStyle w:val="P68B1DB1-Normal35"/>
              <w:spacing w:after="0"/>
              <w:jc w:val="both"/>
              <w:rPr>
                <w:noProof/>
              </w:rPr>
            </w:pPr>
            <w:r>
              <w:rPr>
                <w:noProof/>
              </w:rPr>
              <w:t xml:space="preserve">C16.R2 Uspostava </w:t>
            </w:r>
            <w:r>
              <w:rPr>
                <w:noProof/>
              </w:rPr>
              <w:t>jedinstvenih kontaktnih točaka (OSS) za pružanje savjetodavnih usluga u području energije za obnovu energetske učinkovitosti i proizvodnju energije iz obnovljivih izvora</w:t>
            </w:r>
          </w:p>
        </w:tc>
        <w:tc>
          <w:tcPr>
            <w:tcW w:w="1275" w:type="dxa"/>
            <w:tcBorders>
              <w:top w:val="nil"/>
              <w:left w:val="nil"/>
              <w:bottom w:val="single" w:sz="4" w:space="0" w:color="auto"/>
              <w:right w:val="single" w:sz="4" w:space="0" w:color="auto"/>
            </w:tcBorders>
            <w:shd w:val="clear" w:color="auto" w:fill="C6EFCE"/>
            <w:noWrap/>
          </w:tcPr>
          <w:p w14:paraId="2F435DCF" w14:textId="77777777" w:rsidR="003F46B9" w:rsidRDefault="0065662E">
            <w:pPr>
              <w:pStyle w:val="P68B1DB1-Normal35"/>
              <w:spacing w:after="0"/>
              <w:jc w:val="center"/>
              <w:rPr>
                <w:noProof/>
              </w:rPr>
            </w:pPr>
            <w:r>
              <w:rPr>
                <w:noProof/>
              </w:rPr>
              <w:t>T</w:t>
            </w:r>
          </w:p>
        </w:tc>
        <w:tc>
          <w:tcPr>
            <w:tcW w:w="3402" w:type="dxa"/>
            <w:tcBorders>
              <w:top w:val="nil"/>
              <w:left w:val="nil"/>
              <w:bottom w:val="single" w:sz="4" w:space="0" w:color="auto"/>
              <w:right w:val="single" w:sz="4" w:space="0" w:color="auto"/>
            </w:tcBorders>
            <w:shd w:val="clear" w:color="auto" w:fill="C6EFCE"/>
            <w:noWrap/>
          </w:tcPr>
          <w:p w14:paraId="4672A604" w14:textId="77777777" w:rsidR="003F46B9" w:rsidRDefault="0065662E">
            <w:pPr>
              <w:pStyle w:val="P68B1DB1-Normal5"/>
              <w:spacing w:after="0"/>
              <w:jc w:val="both"/>
              <w:rPr>
                <w:rFonts w:cs="Times New Roman"/>
                <w:noProof/>
              </w:rPr>
            </w:pPr>
            <w:r>
              <w:rPr>
                <w:noProof/>
              </w:rPr>
              <w:t>Otvaranje fizičkih ureda jedinstvene kontaktne točke</w:t>
            </w:r>
          </w:p>
        </w:tc>
      </w:tr>
      <w:tr w:rsidR="003F46B9" w14:paraId="7F8F4D0C" w14:textId="77777777">
        <w:trPr>
          <w:trHeight w:val="301"/>
        </w:trPr>
        <w:tc>
          <w:tcPr>
            <w:tcW w:w="1413" w:type="dxa"/>
            <w:tcBorders>
              <w:top w:val="nil"/>
              <w:left w:val="single" w:sz="4" w:space="0" w:color="auto"/>
              <w:bottom w:val="single" w:sz="4" w:space="0" w:color="auto"/>
              <w:right w:val="single" w:sz="4" w:space="0" w:color="auto"/>
            </w:tcBorders>
            <w:shd w:val="clear" w:color="auto" w:fill="C6EFCE"/>
            <w:noWrap/>
          </w:tcPr>
          <w:p w14:paraId="3BF2B3AE" w14:textId="77777777" w:rsidR="003F46B9" w:rsidRDefault="0065662E">
            <w:pPr>
              <w:pStyle w:val="P68B1DB1-Normal35"/>
              <w:spacing w:after="0"/>
              <w:rPr>
                <w:noProof/>
              </w:rPr>
            </w:pPr>
            <w:r>
              <w:rPr>
                <w:noProof/>
              </w:rPr>
              <w:t>528</w:t>
            </w:r>
          </w:p>
        </w:tc>
        <w:tc>
          <w:tcPr>
            <w:tcW w:w="3544" w:type="dxa"/>
            <w:tcBorders>
              <w:top w:val="nil"/>
              <w:left w:val="nil"/>
              <w:bottom w:val="single" w:sz="4" w:space="0" w:color="auto"/>
              <w:right w:val="single" w:sz="4" w:space="0" w:color="auto"/>
            </w:tcBorders>
            <w:shd w:val="clear" w:color="auto" w:fill="C6EFCE"/>
            <w:noWrap/>
          </w:tcPr>
          <w:p w14:paraId="68E3DE52" w14:textId="77777777" w:rsidR="003F46B9" w:rsidRDefault="0065662E">
            <w:pPr>
              <w:pStyle w:val="P68B1DB1-Normal35"/>
              <w:spacing w:after="0"/>
              <w:jc w:val="both"/>
              <w:rPr>
                <w:noProof/>
              </w:rPr>
            </w:pPr>
            <w:r>
              <w:rPr>
                <w:noProof/>
              </w:rPr>
              <w:t xml:space="preserve">C16.I7 Program kupona </w:t>
            </w:r>
            <w:r>
              <w:rPr>
                <w:noProof/>
              </w:rPr>
              <w:t>bespovratnih sredstava za poboljšanje energetske učinkovitosti kućanstava</w:t>
            </w:r>
          </w:p>
        </w:tc>
        <w:tc>
          <w:tcPr>
            <w:tcW w:w="1275" w:type="dxa"/>
            <w:tcBorders>
              <w:top w:val="nil"/>
              <w:left w:val="nil"/>
              <w:bottom w:val="single" w:sz="4" w:space="0" w:color="auto"/>
              <w:right w:val="single" w:sz="4" w:space="0" w:color="auto"/>
            </w:tcBorders>
            <w:shd w:val="clear" w:color="auto" w:fill="C6EFCE"/>
            <w:noWrap/>
          </w:tcPr>
          <w:p w14:paraId="08D4CDE7" w14:textId="77777777" w:rsidR="003F46B9" w:rsidRDefault="0065662E">
            <w:pPr>
              <w:pStyle w:val="P68B1DB1-Normal35"/>
              <w:spacing w:after="0"/>
              <w:jc w:val="center"/>
              <w:rPr>
                <w:noProof/>
              </w:rPr>
            </w:pPr>
            <w:r>
              <w:rPr>
                <w:noProof/>
              </w:rPr>
              <w:t>M</w:t>
            </w:r>
          </w:p>
        </w:tc>
        <w:tc>
          <w:tcPr>
            <w:tcW w:w="3402" w:type="dxa"/>
            <w:tcBorders>
              <w:top w:val="nil"/>
              <w:left w:val="nil"/>
              <w:bottom w:val="single" w:sz="4" w:space="0" w:color="auto"/>
              <w:right w:val="single" w:sz="4" w:space="0" w:color="auto"/>
            </w:tcBorders>
            <w:shd w:val="clear" w:color="auto" w:fill="C6EFCE"/>
            <w:noWrap/>
          </w:tcPr>
          <w:p w14:paraId="66EBCFC9" w14:textId="526D4FDB" w:rsidR="003F46B9" w:rsidRDefault="0065662E">
            <w:pPr>
              <w:pStyle w:val="P68B1DB1-Normal5"/>
              <w:spacing w:after="0"/>
              <w:jc w:val="both"/>
              <w:rPr>
                <w:rFonts w:cs="Times New Roman"/>
                <w:noProof/>
              </w:rPr>
            </w:pPr>
            <w:r>
              <w:rPr>
                <w:noProof/>
              </w:rPr>
              <w:t>Objava poziva na podnošenje projekata</w:t>
            </w:r>
          </w:p>
        </w:tc>
      </w:tr>
      <w:tr w:rsidR="003F46B9" w14:paraId="10E73770" w14:textId="77777777">
        <w:trPr>
          <w:trHeight w:val="301"/>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378BCF4E"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99CA640" w14:textId="77777777" w:rsidR="003F46B9" w:rsidRDefault="003F46B9">
            <w:pPr>
              <w:spacing w:after="0"/>
              <w:jc w:val="both"/>
              <w:rPr>
                <w:rFonts w:ascii="Times New Roman" w:eastAsia="Times New Roman" w:hAnsi="Times New Roman" w:cs="Times New Roman"/>
                <w:noProof/>
              </w:rPr>
            </w:pPr>
          </w:p>
        </w:tc>
        <w:tc>
          <w:tcPr>
            <w:tcW w:w="1275" w:type="dxa"/>
            <w:tcBorders>
              <w:top w:val="single" w:sz="4" w:space="0" w:color="auto"/>
              <w:left w:val="nil"/>
              <w:bottom w:val="single" w:sz="4" w:space="0" w:color="auto"/>
              <w:right w:val="single" w:sz="4" w:space="0" w:color="auto"/>
            </w:tcBorders>
            <w:shd w:val="clear" w:color="auto" w:fill="C6EFCE"/>
            <w:noWrap/>
          </w:tcPr>
          <w:p w14:paraId="59A2A098" w14:textId="77777777" w:rsidR="003F46B9" w:rsidRDefault="0065662E">
            <w:pPr>
              <w:pStyle w:val="P68B1DB1-Normal36"/>
              <w:spacing w:after="0"/>
              <w:jc w:val="center"/>
              <w:rPr>
                <w:noProof/>
              </w:rPr>
            </w:pPr>
            <w:r>
              <w:rPr>
                <w:noProof/>
              </w:rPr>
              <w:t>Iznos obroka</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14:paraId="4EF7BBAA" w14:textId="2CA8D5B9" w:rsidR="003F46B9" w:rsidRDefault="0065662E">
            <w:pPr>
              <w:pStyle w:val="P68B1DB1-Normal36"/>
              <w:spacing w:after="0"/>
              <w:jc w:val="right"/>
              <w:rPr>
                <w:noProof/>
              </w:rPr>
            </w:pPr>
            <w:r>
              <w:rPr>
                <w:noProof/>
              </w:rPr>
              <w:t>3287401552 EURA</w:t>
            </w:r>
          </w:p>
        </w:tc>
      </w:tr>
    </w:tbl>
    <w:p w14:paraId="5212CBB9" w14:textId="77777777" w:rsidR="003F46B9" w:rsidRDefault="003F46B9">
      <w:pPr>
        <w:pStyle w:val="NumPar2"/>
        <w:tabs>
          <w:tab w:val="clear" w:pos="850"/>
        </w:tabs>
        <w:ind w:firstLine="0"/>
        <w:rPr>
          <w:noProof/>
          <w:sz w:val="22"/>
        </w:rPr>
        <w:sectPr w:rsidR="003F46B9">
          <w:headerReference w:type="even" r:id="rId367"/>
          <w:headerReference w:type="default" r:id="rId368"/>
          <w:footerReference w:type="even" r:id="rId369"/>
          <w:footerReference w:type="default" r:id="rId370"/>
          <w:headerReference w:type="first" r:id="rId371"/>
          <w:footerReference w:type="first" r:id="rId372"/>
          <w:pgSz w:w="11907" w:h="16839"/>
          <w:pgMar w:top="1134" w:right="1134" w:bottom="1134" w:left="1134" w:header="567" w:footer="567" w:gutter="0"/>
          <w:cols w:space="720"/>
          <w:docGrid w:linePitch="360"/>
        </w:sectPr>
      </w:pPr>
    </w:p>
    <w:p w14:paraId="361E56C4" w14:textId="1D0CDD73" w:rsidR="003F46B9" w:rsidRDefault="0065662E">
      <w:pPr>
        <w:pStyle w:val="Heading3"/>
        <w:rPr>
          <w:noProof/>
        </w:rPr>
      </w:pPr>
      <w:r>
        <w:rPr>
          <w:noProof/>
        </w:rPr>
        <w:t xml:space="preserve">Šesti obrok (potpora po kreditima): </w:t>
      </w:r>
    </w:p>
    <w:tbl>
      <w:tblPr>
        <w:tblW w:w="9634" w:type="dxa"/>
        <w:tblInd w:w="113" w:type="dxa"/>
        <w:tblLook w:val="04A0" w:firstRow="1" w:lastRow="0" w:firstColumn="1" w:lastColumn="0" w:noHBand="0" w:noVBand="1"/>
      </w:tblPr>
      <w:tblGrid>
        <w:gridCol w:w="1413"/>
        <w:gridCol w:w="3544"/>
        <w:gridCol w:w="1316"/>
        <w:gridCol w:w="3447"/>
      </w:tblGrid>
      <w:tr w:rsidR="003F46B9" w14:paraId="11CA1527"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4F37FE2"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4C7DE368" w14:textId="77777777" w:rsidR="003F46B9" w:rsidRDefault="0065662E">
            <w:pPr>
              <w:pStyle w:val="P68B1DB1-Normal34"/>
              <w:spacing w:after="0"/>
              <w:jc w:val="center"/>
              <w:rPr>
                <w:noProof/>
              </w:rPr>
            </w:pPr>
            <w:r>
              <w:rPr>
                <w:noProof/>
              </w:rPr>
              <w:t xml:space="preserve">Povezana mjera </w:t>
            </w:r>
          </w:p>
          <w:p w14:paraId="1489F29D" w14:textId="77777777" w:rsidR="003F46B9" w:rsidRDefault="0065662E">
            <w:pPr>
              <w:pStyle w:val="P68B1DB1-Normal34"/>
              <w:spacing w:after="0"/>
              <w:jc w:val="center"/>
              <w:rPr>
                <w:noProof/>
              </w:rPr>
            </w:pPr>
            <w:r>
              <w:rPr>
                <w:noProof/>
              </w:rPr>
              <w:t>(Reforma ili ulaganje)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B2D1EBF" w14:textId="77777777" w:rsidR="003F46B9" w:rsidRDefault="0065662E">
            <w:pPr>
              <w:pStyle w:val="P68B1DB1-Normal34"/>
              <w:spacing w:after="0"/>
              <w:jc w:val="center"/>
              <w:rPr>
                <w:noProof/>
              </w:rPr>
            </w:pPr>
            <w:r>
              <w:rPr>
                <w:noProof/>
              </w:rPr>
              <w:t>Ključna etapa/ciljna vrijednost</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5D013138" w14:textId="77777777" w:rsidR="003F46B9" w:rsidRDefault="0065662E">
            <w:pPr>
              <w:pStyle w:val="P68B1DB1-Normal34"/>
              <w:spacing w:after="0"/>
              <w:jc w:val="center"/>
              <w:rPr>
                <w:noProof/>
              </w:rPr>
            </w:pPr>
            <w:r>
              <w:rPr>
                <w:noProof/>
              </w:rPr>
              <w:t>Ime</w:t>
            </w:r>
          </w:p>
        </w:tc>
      </w:tr>
      <w:tr w:rsidR="003F46B9" w14:paraId="5BB196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109A2A8D" w14:textId="77777777" w:rsidR="003F46B9" w:rsidRDefault="003F46B9">
            <w:pPr>
              <w:spacing w:after="0"/>
              <w:jc w:val="center"/>
              <w:rPr>
                <w:rFonts w:ascii="Times New Roman" w:eastAsia="Times New Roman" w:hAnsi="Times New Roman" w:cs="Times New Roman"/>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55F0B3D" w14:textId="77777777" w:rsidR="003F46B9" w:rsidRDefault="003F46B9">
            <w:pPr>
              <w:spacing w:after="0"/>
              <w:rPr>
                <w:rFonts w:ascii="Times New Roman" w:eastAsia="Times New Roman" w:hAnsi="Times New Roman" w:cs="Times New Roman"/>
                <w:b/>
                <w:noProof/>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2A3ED67D" w14:textId="77777777" w:rsidR="003F46B9" w:rsidRDefault="003F46B9">
            <w:pPr>
              <w:spacing w:after="0"/>
              <w:jc w:val="center"/>
              <w:rPr>
                <w:rFonts w:ascii="Times New Roman" w:eastAsia="Times New Roman" w:hAnsi="Times New Roman" w:cs="Times New Roman"/>
                <w:noProof/>
              </w:rPr>
            </w:pPr>
          </w:p>
        </w:tc>
        <w:tc>
          <w:tcPr>
            <w:tcW w:w="3447" w:type="dxa"/>
            <w:vMerge/>
            <w:tcBorders>
              <w:top w:val="single" w:sz="4" w:space="0" w:color="auto"/>
              <w:left w:val="nil"/>
              <w:bottom w:val="single" w:sz="4" w:space="0" w:color="000000"/>
              <w:right w:val="single" w:sz="4" w:space="0" w:color="auto"/>
            </w:tcBorders>
            <w:vAlign w:val="center"/>
            <w:hideMark/>
          </w:tcPr>
          <w:p w14:paraId="47B73D25" w14:textId="77777777" w:rsidR="003F46B9" w:rsidRDefault="003F46B9">
            <w:pPr>
              <w:spacing w:after="0"/>
              <w:jc w:val="both"/>
              <w:rPr>
                <w:rFonts w:ascii="Times New Roman" w:eastAsia="Times New Roman" w:hAnsi="Times New Roman" w:cs="Times New Roman"/>
                <w:b/>
                <w:noProof/>
              </w:rPr>
            </w:pPr>
          </w:p>
        </w:tc>
      </w:tr>
      <w:tr w:rsidR="003F46B9" w14:paraId="2F9A7D5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46D72461" w14:textId="77777777" w:rsidR="003F46B9" w:rsidRDefault="0065662E">
            <w:pPr>
              <w:pStyle w:val="P68B1DB1-Normal35"/>
              <w:spacing w:after="0"/>
              <w:jc w:val="center"/>
              <w:rPr>
                <w:rFonts w:eastAsia="Times New Roman"/>
                <w:noProof/>
              </w:rPr>
            </w:pPr>
            <w:r>
              <w:rPr>
                <w:noProof/>
              </w:rPr>
              <w:t>4</w:t>
            </w:r>
          </w:p>
        </w:tc>
        <w:tc>
          <w:tcPr>
            <w:tcW w:w="3544" w:type="dxa"/>
            <w:tcBorders>
              <w:top w:val="nil"/>
              <w:left w:val="nil"/>
              <w:bottom w:val="single" w:sz="4" w:space="0" w:color="auto"/>
              <w:right w:val="single" w:sz="4" w:space="0" w:color="auto"/>
            </w:tcBorders>
            <w:shd w:val="clear" w:color="auto" w:fill="C6EFCE"/>
            <w:noWrap/>
            <w:hideMark/>
          </w:tcPr>
          <w:p w14:paraId="469B7009" w14:textId="77777777" w:rsidR="003F46B9" w:rsidRDefault="0065662E">
            <w:pPr>
              <w:pStyle w:val="P68B1DB1-Normal35"/>
              <w:spacing w:after="0"/>
              <w:jc w:val="both"/>
              <w:rPr>
                <w:noProof/>
              </w:rPr>
            </w:pPr>
            <w:r>
              <w:rPr>
                <w:noProof/>
              </w:rPr>
              <w:t xml:space="preserve">C1.R2 </w:t>
            </w:r>
          </w:p>
          <w:p w14:paraId="5425D818" w14:textId="77777777" w:rsidR="003F46B9" w:rsidRDefault="0065662E">
            <w:pPr>
              <w:pStyle w:val="P68B1DB1-Normal35"/>
              <w:spacing w:after="0"/>
              <w:jc w:val="both"/>
              <w:rPr>
                <w:rFonts w:eastAsia="Times New Roman"/>
                <w:noProof/>
              </w:rPr>
            </w:pPr>
            <w:r>
              <w:rPr>
                <w:noProof/>
              </w:rPr>
              <w:t xml:space="preserve">Preoblikovanje trenutačnog gospodarskog mehanizma ANAR-a kako bi se osigurala modernizacija i održavanje nacionalnog sustava upravljanja vodama te pravilna provedba Okvirne direktive o vodama i Direktive o poplavama </w:t>
            </w:r>
          </w:p>
        </w:tc>
        <w:tc>
          <w:tcPr>
            <w:tcW w:w="1230" w:type="dxa"/>
            <w:tcBorders>
              <w:top w:val="nil"/>
              <w:left w:val="nil"/>
              <w:bottom w:val="single" w:sz="4" w:space="0" w:color="auto"/>
              <w:right w:val="single" w:sz="4" w:space="0" w:color="auto"/>
            </w:tcBorders>
            <w:shd w:val="clear" w:color="auto" w:fill="C6EFCE"/>
            <w:noWrap/>
            <w:hideMark/>
          </w:tcPr>
          <w:p w14:paraId="4ADFEDDB" w14:textId="77777777" w:rsidR="003F46B9" w:rsidRDefault="0065662E">
            <w:pPr>
              <w:pStyle w:val="P68B1DB1-Normal35"/>
              <w:spacing w:after="0"/>
              <w:jc w:val="center"/>
              <w:rPr>
                <w:rFonts w:eastAsia="Times New Roman"/>
                <w:noProof/>
              </w:rPr>
            </w:pPr>
            <w:r>
              <w:rPr>
                <w:noProof/>
              </w:rPr>
              <w:t>M</w:t>
            </w:r>
          </w:p>
        </w:tc>
        <w:tc>
          <w:tcPr>
            <w:tcW w:w="3447" w:type="dxa"/>
            <w:tcBorders>
              <w:top w:val="nil"/>
              <w:left w:val="nil"/>
              <w:bottom w:val="single" w:sz="4" w:space="0" w:color="auto"/>
              <w:right w:val="single" w:sz="4" w:space="0" w:color="auto"/>
            </w:tcBorders>
            <w:shd w:val="clear" w:color="auto" w:fill="C6EFCE"/>
            <w:noWrap/>
            <w:hideMark/>
          </w:tcPr>
          <w:p w14:paraId="0BB4BBEF" w14:textId="77777777" w:rsidR="003F46B9" w:rsidRDefault="0065662E">
            <w:pPr>
              <w:pStyle w:val="P68B1DB1-Normal35"/>
              <w:spacing w:after="0"/>
              <w:jc w:val="both"/>
              <w:rPr>
                <w:rFonts w:eastAsia="Times New Roman"/>
                <w:noProof/>
              </w:rPr>
            </w:pPr>
            <w:r>
              <w:rPr>
                <w:noProof/>
              </w:rPr>
              <w:t>Stupanje na snagu zakona kojim se uvo</w:t>
            </w:r>
            <w:r>
              <w:rPr>
                <w:noProof/>
              </w:rPr>
              <w:t>de izmjene Zakona o vodama br. 107/1996</w:t>
            </w:r>
          </w:p>
        </w:tc>
      </w:tr>
      <w:tr w:rsidR="003F46B9" w14:paraId="5C0143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C75150" w14:textId="77777777" w:rsidR="003F46B9" w:rsidRDefault="0065662E">
            <w:pPr>
              <w:pStyle w:val="P68B1DB1-Normal35"/>
              <w:spacing w:after="0"/>
              <w:jc w:val="center"/>
              <w:rPr>
                <w:noProof/>
              </w:rPr>
            </w:pPr>
            <w:r>
              <w:rPr>
                <w:noProof/>
              </w:rPr>
              <w:t>5</w:t>
            </w:r>
          </w:p>
        </w:tc>
        <w:tc>
          <w:tcPr>
            <w:tcW w:w="3544" w:type="dxa"/>
            <w:tcBorders>
              <w:top w:val="nil"/>
              <w:left w:val="nil"/>
              <w:bottom w:val="single" w:sz="4" w:space="0" w:color="auto"/>
              <w:right w:val="single" w:sz="4" w:space="0" w:color="auto"/>
            </w:tcBorders>
            <w:shd w:val="clear" w:color="auto" w:fill="C6EFCE"/>
            <w:noWrap/>
          </w:tcPr>
          <w:p w14:paraId="7D875AAD" w14:textId="77777777" w:rsidR="003F46B9" w:rsidRDefault="0065662E">
            <w:pPr>
              <w:pStyle w:val="P68B1DB1-Normal35"/>
              <w:spacing w:after="0"/>
              <w:jc w:val="both"/>
              <w:rPr>
                <w:noProof/>
              </w:rPr>
            </w:pPr>
            <w:r>
              <w:rPr>
                <w:noProof/>
              </w:rPr>
              <w:t xml:space="preserve">C1.I1 </w:t>
            </w:r>
          </w:p>
          <w:p w14:paraId="4CAE9F46" w14:textId="77777777" w:rsidR="003F46B9" w:rsidRDefault="0065662E">
            <w:pPr>
              <w:pStyle w:val="P68B1DB1-Normal35"/>
              <w:spacing w:after="0"/>
              <w:jc w:val="both"/>
              <w:rPr>
                <w:noProof/>
              </w:rPr>
            </w:pPr>
            <w:r>
              <w:rPr>
                <w:noProof/>
              </w:rPr>
              <w:t>Proširenje vodoopskrbnih i kanalizacijskih sustava u aglomeracijama s više od 2000 ekvivalenata stanovnika, što je prioritet u ubrzanom planu za usklađivanje s europskim direktivama</w:t>
            </w:r>
          </w:p>
        </w:tc>
        <w:tc>
          <w:tcPr>
            <w:tcW w:w="1230" w:type="dxa"/>
            <w:tcBorders>
              <w:top w:val="nil"/>
              <w:left w:val="nil"/>
              <w:bottom w:val="single" w:sz="4" w:space="0" w:color="auto"/>
              <w:right w:val="single" w:sz="4" w:space="0" w:color="auto"/>
            </w:tcBorders>
            <w:shd w:val="clear" w:color="auto" w:fill="C6EFCE"/>
            <w:noWrap/>
          </w:tcPr>
          <w:p w14:paraId="62212728"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CE8047F" w14:textId="77777777" w:rsidR="003F46B9" w:rsidRDefault="0065662E">
            <w:pPr>
              <w:pStyle w:val="P68B1DB1-Normal35"/>
              <w:spacing w:after="0"/>
              <w:jc w:val="both"/>
              <w:rPr>
                <w:noProof/>
              </w:rPr>
            </w:pPr>
            <w:r>
              <w:rPr>
                <w:noProof/>
              </w:rPr>
              <w:t>Izgrađene i operativne</w:t>
            </w:r>
            <w:r>
              <w:rPr>
                <w:noProof/>
              </w:rPr>
              <w:t xml:space="preserve"> vodoopskrbne mreže</w:t>
            </w:r>
          </w:p>
        </w:tc>
      </w:tr>
      <w:tr w:rsidR="003F46B9" w14:paraId="6E6DE7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7D89D3" w14:textId="77777777" w:rsidR="003F46B9" w:rsidRDefault="0065662E">
            <w:pPr>
              <w:pStyle w:val="P68B1DB1-Normal35"/>
              <w:spacing w:after="0"/>
              <w:jc w:val="center"/>
              <w:rPr>
                <w:noProof/>
              </w:rPr>
            </w:pPr>
            <w:r>
              <w:rPr>
                <w:noProof/>
              </w:rPr>
              <w:t>7</w:t>
            </w:r>
          </w:p>
        </w:tc>
        <w:tc>
          <w:tcPr>
            <w:tcW w:w="3544" w:type="dxa"/>
            <w:tcBorders>
              <w:top w:val="nil"/>
              <w:left w:val="nil"/>
              <w:bottom w:val="single" w:sz="4" w:space="0" w:color="auto"/>
              <w:right w:val="single" w:sz="4" w:space="0" w:color="auto"/>
            </w:tcBorders>
            <w:shd w:val="clear" w:color="auto" w:fill="C6EFCE"/>
            <w:noWrap/>
          </w:tcPr>
          <w:p w14:paraId="661D377F" w14:textId="77777777" w:rsidR="003F46B9" w:rsidRDefault="0065662E">
            <w:pPr>
              <w:pStyle w:val="P68B1DB1-Normal35"/>
              <w:spacing w:after="0"/>
              <w:jc w:val="both"/>
              <w:rPr>
                <w:noProof/>
              </w:rPr>
            </w:pPr>
            <w:r>
              <w:rPr>
                <w:noProof/>
              </w:rPr>
              <w:t xml:space="preserve">C1.I1 </w:t>
            </w:r>
          </w:p>
          <w:p w14:paraId="09E6E6CC" w14:textId="77777777" w:rsidR="003F46B9" w:rsidRDefault="0065662E">
            <w:pPr>
              <w:pStyle w:val="P68B1DB1-Normal35"/>
              <w:spacing w:after="0"/>
              <w:jc w:val="both"/>
              <w:rPr>
                <w:noProof/>
              </w:rPr>
            </w:pPr>
            <w:r>
              <w:rPr>
                <w:noProof/>
              </w:rPr>
              <w:t xml:space="preserve">Proširenje vodoopskrbnih i kanalizacijskih sustava u aglomeracijama s više od 2000 ekvivalenata stanovnika, što je prioritet u ubrzanom planu za usklađivanje s europskim direktivama </w:t>
            </w:r>
          </w:p>
        </w:tc>
        <w:tc>
          <w:tcPr>
            <w:tcW w:w="1230" w:type="dxa"/>
            <w:tcBorders>
              <w:top w:val="nil"/>
              <w:left w:val="nil"/>
              <w:bottom w:val="single" w:sz="4" w:space="0" w:color="auto"/>
              <w:right w:val="single" w:sz="4" w:space="0" w:color="auto"/>
            </w:tcBorders>
            <w:shd w:val="clear" w:color="auto" w:fill="C6EFCE"/>
            <w:noWrap/>
          </w:tcPr>
          <w:p w14:paraId="7A30C38C"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BCACED7" w14:textId="77777777" w:rsidR="003F46B9" w:rsidRDefault="0065662E">
            <w:pPr>
              <w:pStyle w:val="P68B1DB1-Normal35"/>
              <w:spacing w:after="0"/>
              <w:jc w:val="both"/>
              <w:rPr>
                <w:noProof/>
              </w:rPr>
            </w:pPr>
            <w:r>
              <w:rPr>
                <w:noProof/>
              </w:rPr>
              <w:t xml:space="preserve">Izgrađene i operativne kanalizacijske mreže </w:t>
            </w:r>
          </w:p>
        </w:tc>
      </w:tr>
      <w:tr w:rsidR="003F46B9" w14:paraId="532201F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A984CFF" w14:textId="77777777" w:rsidR="003F46B9" w:rsidRDefault="0065662E">
            <w:pPr>
              <w:pStyle w:val="P68B1DB1-Normal35"/>
              <w:spacing w:after="0"/>
              <w:jc w:val="center"/>
              <w:rPr>
                <w:noProof/>
              </w:rPr>
            </w:pPr>
            <w:r>
              <w:rPr>
                <w:noProof/>
              </w:rPr>
              <w:t>48</w:t>
            </w:r>
          </w:p>
        </w:tc>
        <w:tc>
          <w:tcPr>
            <w:tcW w:w="3544" w:type="dxa"/>
            <w:tcBorders>
              <w:top w:val="nil"/>
              <w:left w:val="nil"/>
              <w:bottom w:val="single" w:sz="4" w:space="0" w:color="auto"/>
              <w:right w:val="single" w:sz="4" w:space="0" w:color="auto"/>
            </w:tcBorders>
            <w:shd w:val="clear" w:color="auto" w:fill="C6EFCE"/>
            <w:noWrap/>
          </w:tcPr>
          <w:p w14:paraId="5FCE8E5A" w14:textId="77777777" w:rsidR="003F46B9" w:rsidRDefault="0065662E">
            <w:pPr>
              <w:pStyle w:val="P68B1DB1-Normal35"/>
              <w:spacing w:after="0"/>
              <w:jc w:val="both"/>
              <w:rPr>
                <w:noProof/>
              </w:rPr>
            </w:pPr>
            <w:r>
              <w:rPr>
                <w:noProof/>
              </w:rPr>
              <w:t>C3.I1a</w:t>
            </w:r>
          </w:p>
          <w:p w14:paraId="123809FC" w14:textId="77777777" w:rsidR="003F46B9" w:rsidRDefault="0065662E">
            <w:pPr>
              <w:pStyle w:val="P68B1DB1-Normal35"/>
              <w:spacing w:after="0"/>
              <w:jc w:val="both"/>
              <w:rPr>
                <w:noProof/>
              </w:rPr>
            </w:pPr>
            <w:r>
              <w:rPr>
                <w:noProof/>
              </w:rPr>
              <w:t>Uspostava dobrovoljnih sabirnih centara</w:t>
            </w:r>
          </w:p>
        </w:tc>
        <w:tc>
          <w:tcPr>
            <w:tcW w:w="1230" w:type="dxa"/>
            <w:tcBorders>
              <w:top w:val="nil"/>
              <w:left w:val="nil"/>
              <w:bottom w:val="single" w:sz="4" w:space="0" w:color="auto"/>
              <w:right w:val="single" w:sz="4" w:space="0" w:color="auto"/>
            </w:tcBorders>
            <w:shd w:val="clear" w:color="auto" w:fill="C6EFCE"/>
            <w:noWrap/>
          </w:tcPr>
          <w:p w14:paraId="0AE3C29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EADF878" w14:textId="77777777" w:rsidR="003F46B9" w:rsidRDefault="0065662E">
            <w:pPr>
              <w:pStyle w:val="P68B1DB1-Normal35"/>
              <w:spacing w:after="0"/>
              <w:jc w:val="both"/>
              <w:rPr>
                <w:noProof/>
              </w:rPr>
            </w:pPr>
            <w:r>
              <w:rPr>
                <w:noProof/>
              </w:rPr>
              <w:t>Uspostavljeni i operativni dobrovoljni sabirni centri</w:t>
            </w:r>
          </w:p>
        </w:tc>
      </w:tr>
      <w:tr w:rsidR="003F46B9" w14:paraId="427AE63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AB2298F" w14:textId="77777777" w:rsidR="003F46B9" w:rsidRDefault="0065662E">
            <w:pPr>
              <w:pStyle w:val="P68B1DB1-Normal35"/>
              <w:spacing w:after="0"/>
              <w:jc w:val="center"/>
              <w:rPr>
                <w:noProof/>
              </w:rPr>
            </w:pPr>
            <w:r>
              <w:rPr>
                <w:noProof/>
              </w:rPr>
              <w:t>50</w:t>
            </w:r>
          </w:p>
        </w:tc>
        <w:tc>
          <w:tcPr>
            <w:tcW w:w="3544" w:type="dxa"/>
            <w:tcBorders>
              <w:top w:val="nil"/>
              <w:left w:val="nil"/>
              <w:bottom w:val="single" w:sz="4" w:space="0" w:color="auto"/>
              <w:right w:val="single" w:sz="4" w:space="0" w:color="auto"/>
            </w:tcBorders>
            <w:shd w:val="clear" w:color="auto" w:fill="C6EFCE"/>
            <w:noWrap/>
          </w:tcPr>
          <w:p w14:paraId="7FF14210" w14:textId="77777777" w:rsidR="003F46B9" w:rsidRDefault="0065662E">
            <w:pPr>
              <w:pStyle w:val="P68B1DB1-Normal35"/>
              <w:spacing w:after="0"/>
              <w:jc w:val="both"/>
              <w:rPr>
                <w:noProof/>
              </w:rPr>
            </w:pPr>
            <w:r>
              <w:rPr>
                <w:noProof/>
              </w:rPr>
              <w:t>C3.I1b</w:t>
            </w:r>
          </w:p>
          <w:p w14:paraId="65806E53" w14:textId="77777777" w:rsidR="003F46B9" w:rsidRDefault="0065662E">
            <w:pPr>
              <w:pStyle w:val="P68B1DB1-Normal35"/>
              <w:spacing w:after="0"/>
              <w:jc w:val="both"/>
              <w:rPr>
                <w:noProof/>
              </w:rPr>
            </w:pPr>
            <w:r>
              <w:rPr>
                <w:noProof/>
              </w:rPr>
              <w:t>Izgradnja digitaliziranih ekoloških otoka za odvojeno prikupljanje otpada na lokalnoj razini</w:t>
            </w:r>
          </w:p>
        </w:tc>
        <w:tc>
          <w:tcPr>
            <w:tcW w:w="1230" w:type="dxa"/>
            <w:tcBorders>
              <w:top w:val="nil"/>
              <w:left w:val="nil"/>
              <w:bottom w:val="single" w:sz="4" w:space="0" w:color="auto"/>
              <w:right w:val="single" w:sz="4" w:space="0" w:color="auto"/>
            </w:tcBorders>
            <w:shd w:val="clear" w:color="auto" w:fill="C6EFCE"/>
            <w:noWrap/>
          </w:tcPr>
          <w:p w14:paraId="0B155294"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C0DA4DF" w14:textId="77777777" w:rsidR="003F46B9" w:rsidRDefault="0065662E">
            <w:pPr>
              <w:pStyle w:val="P68B1DB1-Normal35"/>
              <w:spacing w:after="0"/>
              <w:jc w:val="both"/>
              <w:rPr>
                <w:noProof/>
              </w:rPr>
            </w:pPr>
            <w:r>
              <w:rPr>
                <w:noProof/>
              </w:rPr>
              <w:t>Digitalizirani ekootoci za odvojeno skupljanje otpada, uspostavljeni i operativni</w:t>
            </w:r>
          </w:p>
        </w:tc>
      </w:tr>
      <w:tr w:rsidR="003F46B9" w14:paraId="0D7F57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23305" w14:textId="77777777" w:rsidR="003F46B9" w:rsidRDefault="0065662E">
            <w:pPr>
              <w:pStyle w:val="P68B1DB1-Normal35"/>
              <w:spacing w:after="0"/>
              <w:jc w:val="center"/>
              <w:rPr>
                <w:noProof/>
              </w:rPr>
            </w:pPr>
            <w:r>
              <w:rPr>
                <w:noProof/>
              </w:rPr>
              <w:t>14</w:t>
            </w:r>
          </w:p>
        </w:tc>
        <w:tc>
          <w:tcPr>
            <w:tcW w:w="3544" w:type="dxa"/>
            <w:tcBorders>
              <w:top w:val="nil"/>
              <w:left w:val="nil"/>
              <w:bottom w:val="single" w:sz="4" w:space="0" w:color="auto"/>
              <w:right w:val="single" w:sz="4" w:space="0" w:color="auto"/>
            </w:tcBorders>
            <w:shd w:val="clear" w:color="auto" w:fill="C6EFCE"/>
            <w:noWrap/>
          </w:tcPr>
          <w:p w14:paraId="1ECC266D" w14:textId="77777777" w:rsidR="003F46B9" w:rsidRDefault="0065662E">
            <w:pPr>
              <w:pStyle w:val="P68B1DB1-Normal35"/>
              <w:spacing w:after="0"/>
              <w:jc w:val="both"/>
              <w:rPr>
                <w:noProof/>
              </w:rPr>
            </w:pPr>
            <w:r>
              <w:rPr>
                <w:noProof/>
              </w:rPr>
              <w:t>C1.I4.1</w:t>
            </w:r>
          </w:p>
          <w:p w14:paraId="18EAF4BF" w14:textId="77777777" w:rsidR="003F46B9" w:rsidRDefault="0065662E">
            <w:pPr>
              <w:pStyle w:val="P68B1DB1-Normal35"/>
              <w:spacing w:after="0"/>
              <w:jc w:val="both"/>
              <w:rPr>
                <w:noProof/>
              </w:rPr>
            </w:pPr>
            <w:r>
              <w:rPr>
                <w:noProof/>
              </w:rPr>
              <w:t xml:space="preserve">Obnova postojećih linija obrane u skladu s Direktivom o poplavama i Nacionalnom strategijom za upravljanje rizicima od poplava </w:t>
            </w:r>
          </w:p>
        </w:tc>
        <w:tc>
          <w:tcPr>
            <w:tcW w:w="1230" w:type="dxa"/>
            <w:tcBorders>
              <w:top w:val="nil"/>
              <w:left w:val="nil"/>
              <w:bottom w:val="single" w:sz="4" w:space="0" w:color="auto"/>
              <w:right w:val="single" w:sz="4" w:space="0" w:color="auto"/>
            </w:tcBorders>
            <w:shd w:val="clear" w:color="auto" w:fill="C6EFCE"/>
            <w:noWrap/>
          </w:tcPr>
          <w:p w14:paraId="08BC125D"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2193E7F" w14:textId="77777777" w:rsidR="003F46B9" w:rsidRDefault="0065662E">
            <w:pPr>
              <w:pStyle w:val="P68B1DB1-Normal35"/>
              <w:spacing w:after="0"/>
              <w:jc w:val="both"/>
              <w:rPr>
                <w:noProof/>
              </w:rPr>
            </w:pPr>
            <w:r>
              <w:rPr>
                <w:noProof/>
              </w:rPr>
              <w:t>Obnovljene obrambene linije od</w:t>
            </w:r>
            <w:r>
              <w:rPr>
                <w:noProof/>
              </w:rPr>
              <w:t xml:space="preserve"> poplava u skladu s Direktivom o poplavama i Nacionalnom strategijom za upravljanje poplavnim rizicima </w:t>
            </w:r>
          </w:p>
        </w:tc>
      </w:tr>
      <w:tr w:rsidR="003F46B9" w14:paraId="078DED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943B054" w14:textId="77777777" w:rsidR="003F46B9" w:rsidRDefault="0065662E">
            <w:pPr>
              <w:pStyle w:val="P68B1DB1-Normal35"/>
              <w:spacing w:after="0"/>
              <w:jc w:val="center"/>
              <w:rPr>
                <w:noProof/>
              </w:rPr>
            </w:pPr>
            <w:r>
              <w:rPr>
                <w:noProof/>
              </w:rPr>
              <w:t>52</w:t>
            </w:r>
          </w:p>
        </w:tc>
        <w:tc>
          <w:tcPr>
            <w:tcW w:w="3544" w:type="dxa"/>
            <w:tcBorders>
              <w:top w:val="nil"/>
              <w:left w:val="nil"/>
              <w:bottom w:val="single" w:sz="4" w:space="0" w:color="auto"/>
              <w:right w:val="single" w:sz="4" w:space="0" w:color="auto"/>
            </w:tcBorders>
            <w:shd w:val="clear" w:color="auto" w:fill="C6EFCE"/>
            <w:noWrap/>
          </w:tcPr>
          <w:p w14:paraId="64D0848B" w14:textId="77777777" w:rsidR="003F46B9" w:rsidRDefault="0065662E">
            <w:pPr>
              <w:pStyle w:val="P68B1DB1-Normal35"/>
              <w:spacing w:after="0"/>
              <w:jc w:val="both"/>
              <w:rPr>
                <w:noProof/>
              </w:rPr>
            </w:pPr>
            <w:r>
              <w:rPr>
                <w:noProof/>
              </w:rPr>
              <w:t>C3.I1c</w:t>
            </w:r>
          </w:p>
          <w:p w14:paraId="2E79B644" w14:textId="77777777" w:rsidR="003F46B9" w:rsidRDefault="0065662E">
            <w:pPr>
              <w:pStyle w:val="P68B1DB1-Normal35"/>
              <w:spacing w:after="0"/>
              <w:jc w:val="both"/>
              <w:rPr>
                <w:noProof/>
              </w:rPr>
            </w:pPr>
            <w:r>
              <w:rPr>
                <w:noProof/>
              </w:rPr>
              <w:t>Integrirani centri za gradske aglomeracije u vezi s odvojenim skupljanjem</w:t>
            </w:r>
          </w:p>
        </w:tc>
        <w:tc>
          <w:tcPr>
            <w:tcW w:w="1230" w:type="dxa"/>
            <w:tcBorders>
              <w:top w:val="nil"/>
              <w:left w:val="nil"/>
              <w:bottom w:val="single" w:sz="4" w:space="0" w:color="auto"/>
              <w:right w:val="single" w:sz="4" w:space="0" w:color="auto"/>
            </w:tcBorders>
            <w:shd w:val="clear" w:color="auto" w:fill="C6EFCE"/>
            <w:noWrap/>
          </w:tcPr>
          <w:p w14:paraId="0E522C84"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1828751" w14:textId="77777777" w:rsidR="003F46B9" w:rsidRDefault="0065662E">
            <w:pPr>
              <w:pStyle w:val="P68B1DB1-Normal35"/>
              <w:spacing w:after="0"/>
              <w:jc w:val="both"/>
              <w:rPr>
                <w:noProof/>
              </w:rPr>
            </w:pPr>
            <w:r>
              <w:rPr>
                <w:noProof/>
              </w:rPr>
              <w:t xml:space="preserve">Integrirani centri za prikupljanje otpada uspostavljeni i u </w:t>
            </w:r>
            <w:r>
              <w:rPr>
                <w:noProof/>
              </w:rPr>
              <w:t>funkciji u gradskim aglomeracijama</w:t>
            </w:r>
          </w:p>
        </w:tc>
      </w:tr>
      <w:tr w:rsidR="003F46B9" w14:paraId="75916A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AD2390F" w14:textId="77777777" w:rsidR="003F46B9" w:rsidRDefault="0065662E">
            <w:pPr>
              <w:pStyle w:val="P68B1DB1-Normal35"/>
              <w:spacing w:after="0"/>
              <w:jc w:val="center"/>
              <w:rPr>
                <w:noProof/>
              </w:rPr>
            </w:pPr>
            <w:r>
              <w:rPr>
                <w:noProof/>
              </w:rPr>
              <w:t>56</w:t>
            </w:r>
          </w:p>
        </w:tc>
        <w:tc>
          <w:tcPr>
            <w:tcW w:w="3544" w:type="dxa"/>
            <w:tcBorders>
              <w:top w:val="nil"/>
              <w:left w:val="nil"/>
              <w:bottom w:val="single" w:sz="4" w:space="0" w:color="auto"/>
              <w:right w:val="single" w:sz="4" w:space="0" w:color="auto"/>
            </w:tcBorders>
            <w:shd w:val="clear" w:color="auto" w:fill="C6EFCE"/>
            <w:noWrap/>
          </w:tcPr>
          <w:p w14:paraId="1DE3F73D" w14:textId="77777777" w:rsidR="003F46B9" w:rsidRDefault="0065662E">
            <w:pPr>
              <w:pStyle w:val="P68B1DB1-Normal35"/>
              <w:spacing w:after="0"/>
              <w:jc w:val="both"/>
              <w:rPr>
                <w:noProof/>
              </w:rPr>
            </w:pPr>
            <w:r>
              <w:rPr>
                <w:noProof/>
              </w:rPr>
              <w:t>C3.I3a</w:t>
            </w:r>
          </w:p>
          <w:p w14:paraId="4D90A7EA" w14:textId="77777777" w:rsidR="003F46B9" w:rsidRDefault="0065662E">
            <w:pPr>
              <w:pStyle w:val="P68B1DB1-Normal35"/>
              <w:spacing w:after="0"/>
              <w:jc w:val="both"/>
              <w:rPr>
                <w:noProof/>
              </w:rPr>
            </w:pPr>
            <w:r>
              <w:rPr>
                <w:noProof/>
              </w:rPr>
              <w:t>Oprema za praćenje i kontrolu za Nacionalnu službu za zaštitu okoliša</w:t>
            </w:r>
          </w:p>
        </w:tc>
        <w:tc>
          <w:tcPr>
            <w:tcW w:w="1230" w:type="dxa"/>
            <w:tcBorders>
              <w:top w:val="nil"/>
              <w:left w:val="nil"/>
              <w:bottom w:val="single" w:sz="4" w:space="0" w:color="auto"/>
              <w:right w:val="single" w:sz="4" w:space="0" w:color="auto"/>
            </w:tcBorders>
            <w:shd w:val="clear" w:color="auto" w:fill="C6EFCE"/>
            <w:noWrap/>
          </w:tcPr>
          <w:p w14:paraId="4186A429"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5547ECD" w14:textId="77777777" w:rsidR="003F46B9" w:rsidRDefault="0065662E">
            <w:pPr>
              <w:pStyle w:val="P68B1DB1-Normal35"/>
              <w:spacing w:after="0"/>
              <w:jc w:val="both"/>
              <w:rPr>
                <w:noProof/>
              </w:rPr>
            </w:pPr>
            <w:r>
              <w:rPr>
                <w:noProof/>
              </w:rPr>
              <w:t>Županijski povjerenici nacionalne garde za zaštitu okoliša opremljeni digitalnom opremom za aktivnosti praćenja i kontrole gospodarenja ot</w:t>
            </w:r>
            <w:r>
              <w:rPr>
                <w:noProof/>
              </w:rPr>
              <w:t>padom</w:t>
            </w:r>
          </w:p>
        </w:tc>
      </w:tr>
      <w:tr w:rsidR="003F46B9" w14:paraId="457F64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AA8791" w14:textId="77777777" w:rsidR="003F46B9" w:rsidRDefault="0065662E">
            <w:pPr>
              <w:pStyle w:val="P68B1DB1-Normal35"/>
              <w:spacing w:after="0"/>
              <w:jc w:val="center"/>
              <w:rPr>
                <w:noProof/>
              </w:rPr>
            </w:pPr>
            <w:r>
              <w:rPr>
                <w:noProof/>
              </w:rPr>
              <w:t>83</w:t>
            </w:r>
          </w:p>
        </w:tc>
        <w:tc>
          <w:tcPr>
            <w:tcW w:w="3544" w:type="dxa"/>
            <w:tcBorders>
              <w:top w:val="nil"/>
              <w:left w:val="nil"/>
              <w:bottom w:val="single" w:sz="4" w:space="0" w:color="auto"/>
              <w:right w:val="single" w:sz="4" w:space="0" w:color="auto"/>
            </w:tcBorders>
            <w:shd w:val="clear" w:color="auto" w:fill="C6EFCE"/>
            <w:noWrap/>
          </w:tcPr>
          <w:p w14:paraId="371FA369" w14:textId="77777777" w:rsidR="003F46B9" w:rsidRDefault="0065662E">
            <w:pPr>
              <w:pStyle w:val="P68B1DB1-Normal35"/>
              <w:spacing w:after="0"/>
              <w:jc w:val="both"/>
              <w:rPr>
                <w:noProof/>
              </w:rPr>
            </w:pPr>
            <w:r>
              <w:rPr>
                <w:noProof/>
              </w:rPr>
              <w:t>C4.I3</w:t>
            </w:r>
          </w:p>
          <w:p w14:paraId="53CCD5E6" w14:textId="77777777" w:rsidR="003F46B9" w:rsidRDefault="0065662E">
            <w:pPr>
              <w:pStyle w:val="P68B1DB1-Normal35"/>
              <w:spacing w:after="0"/>
              <w:jc w:val="both"/>
              <w:rPr>
                <w:noProof/>
              </w:rPr>
            </w:pPr>
            <w:r>
              <w:rPr>
                <w:noProof/>
              </w:rPr>
              <w:t>Razvoj održive cestovne infrastrukture u mreži TEN-T, naplata cestarina, upravljanje prometom i sigurnost na cestama</w:t>
            </w:r>
          </w:p>
        </w:tc>
        <w:tc>
          <w:tcPr>
            <w:tcW w:w="1230" w:type="dxa"/>
            <w:tcBorders>
              <w:top w:val="nil"/>
              <w:left w:val="nil"/>
              <w:bottom w:val="single" w:sz="4" w:space="0" w:color="auto"/>
              <w:right w:val="single" w:sz="4" w:space="0" w:color="auto"/>
            </w:tcBorders>
            <w:shd w:val="clear" w:color="auto" w:fill="C6EFCE"/>
            <w:noWrap/>
          </w:tcPr>
          <w:p w14:paraId="7436C1D3"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3B6C3B8" w14:textId="77777777" w:rsidR="003F46B9" w:rsidRDefault="0065662E">
            <w:pPr>
              <w:pStyle w:val="P68B1DB1-Normal35"/>
              <w:spacing w:after="0"/>
              <w:jc w:val="both"/>
              <w:rPr>
                <w:noProof/>
              </w:rPr>
            </w:pPr>
            <w:r>
              <w:rPr>
                <w:noProof/>
              </w:rPr>
              <w:t>Izgradnja novih cesta, 50 % dovršenih radova</w:t>
            </w:r>
          </w:p>
        </w:tc>
      </w:tr>
      <w:tr w:rsidR="003F46B9" w14:paraId="4E3A5B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45296B" w14:textId="77777777" w:rsidR="003F46B9" w:rsidRDefault="0065662E">
            <w:pPr>
              <w:pStyle w:val="P68B1DB1-Normal35"/>
              <w:spacing w:after="0"/>
              <w:jc w:val="center"/>
              <w:rPr>
                <w:noProof/>
              </w:rPr>
            </w:pPr>
            <w:r>
              <w:rPr>
                <w:noProof/>
              </w:rPr>
              <w:t>88</w:t>
            </w:r>
          </w:p>
        </w:tc>
        <w:tc>
          <w:tcPr>
            <w:tcW w:w="3544" w:type="dxa"/>
            <w:tcBorders>
              <w:top w:val="nil"/>
              <w:left w:val="nil"/>
              <w:bottom w:val="single" w:sz="4" w:space="0" w:color="auto"/>
              <w:right w:val="single" w:sz="4" w:space="0" w:color="auto"/>
            </w:tcBorders>
            <w:shd w:val="clear" w:color="auto" w:fill="C6EFCE"/>
            <w:noWrap/>
          </w:tcPr>
          <w:p w14:paraId="4F52C40A" w14:textId="77777777" w:rsidR="003F46B9" w:rsidRDefault="0065662E">
            <w:pPr>
              <w:pStyle w:val="P68B1DB1-Normal35"/>
              <w:spacing w:after="0"/>
              <w:jc w:val="both"/>
              <w:rPr>
                <w:noProof/>
              </w:rPr>
            </w:pPr>
            <w:r>
              <w:rPr>
                <w:noProof/>
              </w:rPr>
              <w:t>C4.I4</w:t>
            </w:r>
          </w:p>
          <w:p w14:paraId="35378921" w14:textId="77777777" w:rsidR="003F46B9" w:rsidRDefault="0065662E">
            <w:pPr>
              <w:pStyle w:val="P68B1DB1-Normal35"/>
              <w:spacing w:after="0"/>
              <w:jc w:val="both"/>
              <w:rPr>
                <w:noProof/>
              </w:rPr>
            </w:pPr>
            <w:r>
              <w:rPr>
                <w:noProof/>
              </w:rPr>
              <w:t xml:space="preserve">Razvoj mreže podzemnog prijevoza u općinama Bukurešt i Cluj-Napoca </w:t>
            </w:r>
          </w:p>
        </w:tc>
        <w:tc>
          <w:tcPr>
            <w:tcW w:w="1230" w:type="dxa"/>
            <w:tcBorders>
              <w:top w:val="nil"/>
              <w:left w:val="nil"/>
              <w:bottom w:val="single" w:sz="4" w:space="0" w:color="auto"/>
              <w:right w:val="single" w:sz="4" w:space="0" w:color="auto"/>
            </w:tcBorders>
            <w:shd w:val="clear" w:color="auto" w:fill="C6EFCE"/>
            <w:noWrap/>
          </w:tcPr>
          <w:p w14:paraId="2E947422"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1037F839" w14:textId="77777777" w:rsidR="003F46B9" w:rsidRDefault="0065662E">
            <w:pPr>
              <w:pStyle w:val="P68B1DB1-Normal35"/>
              <w:spacing w:after="0"/>
              <w:jc w:val="both"/>
              <w:rPr>
                <w:noProof/>
              </w:rPr>
            </w:pPr>
            <w:r>
              <w:rPr>
                <w:noProof/>
              </w:rPr>
              <w:t>Izgradnja 50 % ulaganja podzemne željeznice u Bukureštu i Cluj-Napoci</w:t>
            </w:r>
          </w:p>
        </w:tc>
      </w:tr>
      <w:tr w:rsidR="003F46B9" w14:paraId="2664ED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C9B215" w14:textId="77777777" w:rsidR="003F46B9" w:rsidRDefault="0065662E">
            <w:pPr>
              <w:pStyle w:val="P68B1DB1-Normal35"/>
              <w:spacing w:after="0"/>
              <w:jc w:val="center"/>
              <w:rPr>
                <w:noProof/>
              </w:rPr>
            </w:pPr>
            <w:r>
              <w:rPr>
                <w:noProof/>
              </w:rPr>
              <w:t>107</w:t>
            </w:r>
          </w:p>
        </w:tc>
        <w:tc>
          <w:tcPr>
            <w:tcW w:w="3544" w:type="dxa"/>
            <w:tcBorders>
              <w:top w:val="nil"/>
              <w:left w:val="nil"/>
              <w:bottom w:val="single" w:sz="4" w:space="0" w:color="auto"/>
              <w:right w:val="single" w:sz="4" w:space="0" w:color="auto"/>
            </w:tcBorders>
            <w:shd w:val="clear" w:color="auto" w:fill="C6EFCE"/>
            <w:noWrap/>
          </w:tcPr>
          <w:p w14:paraId="67C1A173" w14:textId="77777777" w:rsidR="003F46B9" w:rsidRDefault="0065662E">
            <w:pPr>
              <w:pStyle w:val="P68B1DB1-Normal35"/>
              <w:spacing w:after="0"/>
              <w:jc w:val="both"/>
              <w:rPr>
                <w:noProof/>
              </w:rPr>
            </w:pPr>
            <w:r>
              <w:rPr>
                <w:noProof/>
              </w:rPr>
              <w:t>C5.I2</w:t>
            </w:r>
          </w:p>
          <w:p w14:paraId="0A5BA01B" w14:textId="77777777" w:rsidR="003F46B9" w:rsidRDefault="0065662E">
            <w:pPr>
              <w:pStyle w:val="P68B1DB1-Normal35"/>
              <w:spacing w:after="0"/>
              <w:jc w:val="both"/>
              <w:rPr>
                <w:noProof/>
              </w:rPr>
            </w:pPr>
            <w:r>
              <w:rPr>
                <w:noProof/>
              </w:rPr>
              <w:t xml:space="preserve">Provedba nacionalnog registra zgrada </w:t>
            </w:r>
          </w:p>
        </w:tc>
        <w:tc>
          <w:tcPr>
            <w:tcW w:w="1230" w:type="dxa"/>
            <w:tcBorders>
              <w:top w:val="nil"/>
              <w:left w:val="nil"/>
              <w:bottom w:val="single" w:sz="4" w:space="0" w:color="auto"/>
              <w:right w:val="single" w:sz="4" w:space="0" w:color="auto"/>
            </w:tcBorders>
            <w:shd w:val="clear" w:color="auto" w:fill="C6EFCE"/>
            <w:noWrap/>
          </w:tcPr>
          <w:p w14:paraId="7819F1CA"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165DC540" w14:textId="77777777" w:rsidR="003F46B9" w:rsidRDefault="0065662E">
            <w:pPr>
              <w:pStyle w:val="P68B1DB1-Normal35"/>
              <w:spacing w:after="0"/>
              <w:jc w:val="both"/>
              <w:rPr>
                <w:noProof/>
              </w:rPr>
            </w:pPr>
            <w:r>
              <w:rPr>
                <w:noProof/>
              </w:rPr>
              <w:t>Uspostavljen i operativan nacionalni digitalni registar zgrada</w:t>
            </w:r>
          </w:p>
        </w:tc>
      </w:tr>
      <w:tr w:rsidR="003F46B9" w14:paraId="3ECD41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8EEE1FC" w14:textId="77777777" w:rsidR="003F46B9" w:rsidRDefault="0065662E">
            <w:pPr>
              <w:pStyle w:val="P68B1DB1-Normal35"/>
              <w:spacing w:after="0"/>
              <w:jc w:val="center"/>
              <w:rPr>
                <w:noProof/>
              </w:rPr>
            </w:pPr>
            <w:r>
              <w:rPr>
                <w:noProof/>
              </w:rPr>
              <w:t>110</w:t>
            </w:r>
          </w:p>
        </w:tc>
        <w:tc>
          <w:tcPr>
            <w:tcW w:w="3544" w:type="dxa"/>
            <w:tcBorders>
              <w:top w:val="nil"/>
              <w:left w:val="nil"/>
              <w:bottom w:val="single" w:sz="4" w:space="0" w:color="auto"/>
              <w:right w:val="single" w:sz="4" w:space="0" w:color="auto"/>
            </w:tcBorders>
            <w:shd w:val="clear" w:color="auto" w:fill="C6EFCE"/>
            <w:noWrap/>
          </w:tcPr>
          <w:p w14:paraId="4F602E54" w14:textId="77777777" w:rsidR="003F46B9" w:rsidRDefault="0065662E">
            <w:pPr>
              <w:pStyle w:val="P68B1DB1-Normal35"/>
              <w:spacing w:after="0"/>
              <w:jc w:val="both"/>
              <w:rPr>
                <w:noProof/>
              </w:rPr>
            </w:pPr>
            <w:r>
              <w:rPr>
                <w:noProof/>
              </w:rPr>
              <w:t>C5.I4</w:t>
            </w:r>
          </w:p>
          <w:p w14:paraId="37DE25AE" w14:textId="77777777" w:rsidR="003F46B9" w:rsidRDefault="0065662E">
            <w:pPr>
              <w:pStyle w:val="P68B1DB1-Normal35"/>
              <w:spacing w:after="0"/>
              <w:jc w:val="both"/>
              <w:rPr>
                <w:noProof/>
              </w:rPr>
            </w:pPr>
            <w:r>
              <w:rPr>
                <w:noProof/>
              </w:rPr>
              <w:t>Kružno gospodarstvo i veća energetska učinkovitost povijesnih zgrada</w:t>
            </w:r>
          </w:p>
        </w:tc>
        <w:tc>
          <w:tcPr>
            <w:tcW w:w="1230" w:type="dxa"/>
            <w:tcBorders>
              <w:top w:val="nil"/>
              <w:left w:val="nil"/>
              <w:bottom w:val="single" w:sz="4" w:space="0" w:color="auto"/>
              <w:right w:val="single" w:sz="4" w:space="0" w:color="auto"/>
            </w:tcBorders>
            <w:shd w:val="clear" w:color="auto" w:fill="C6EFCE"/>
            <w:noWrap/>
          </w:tcPr>
          <w:p w14:paraId="605863E5"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9FD204F" w14:textId="77777777" w:rsidR="003F46B9" w:rsidRDefault="0065662E">
            <w:pPr>
              <w:pStyle w:val="P68B1DB1-Normal35"/>
              <w:spacing w:after="0"/>
              <w:jc w:val="both"/>
              <w:rPr>
                <w:noProof/>
              </w:rPr>
            </w:pPr>
            <w:r>
              <w:rPr>
                <w:noProof/>
              </w:rPr>
              <w:t>U funkciji je laboratorij za testiranje novih materijala i tehnoloških rješenja za povijesne zgrade.</w:t>
            </w:r>
          </w:p>
        </w:tc>
      </w:tr>
      <w:tr w:rsidR="003F46B9" w14:paraId="176346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358A9AB" w14:textId="77777777" w:rsidR="003F46B9" w:rsidRDefault="0065662E">
            <w:pPr>
              <w:pStyle w:val="P68B1DB1-Normal35"/>
              <w:spacing w:after="0"/>
              <w:jc w:val="center"/>
              <w:rPr>
                <w:noProof/>
              </w:rPr>
            </w:pPr>
            <w:r>
              <w:rPr>
                <w:noProof/>
              </w:rPr>
              <w:t>111</w:t>
            </w:r>
          </w:p>
        </w:tc>
        <w:tc>
          <w:tcPr>
            <w:tcW w:w="3544" w:type="dxa"/>
            <w:tcBorders>
              <w:top w:val="nil"/>
              <w:left w:val="nil"/>
              <w:bottom w:val="single" w:sz="4" w:space="0" w:color="auto"/>
              <w:right w:val="single" w:sz="4" w:space="0" w:color="auto"/>
            </w:tcBorders>
            <w:shd w:val="clear" w:color="auto" w:fill="C6EFCE"/>
            <w:noWrap/>
          </w:tcPr>
          <w:p w14:paraId="5B71F117" w14:textId="77777777" w:rsidR="003F46B9" w:rsidRDefault="0065662E">
            <w:pPr>
              <w:pStyle w:val="P68B1DB1-Normal35"/>
              <w:spacing w:after="0"/>
              <w:jc w:val="both"/>
              <w:rPr>
                <w:noProof/>
              </w:rPr>
            </w:pPr>
            <w:r>
              <w:rPr>
                <w:noProof/>
              </w:rPr>
              <w:t>C5.I4</w:t>
            </w:r>
          </w:p>
          <w:p w14:paraId="3D3AF5BE" w14:textId="77777777" w:rsidR="003F46B9" w:rsidRDefault="0065662E">
            <w:pPr>
              <w:pStyle w:val="P68B1DB1-Normal35"/>
              <w:spacing w:after="0"/>
              <w:jc w:val="both"/>
              <w:rPr>
                <w:noProof/>
              </w:rPr>
            </w:pPr>
            <w:r>
              <w:rPr>
                <w:noProof/>
              </w:rPr>
              <w:t>Kružno gospodarstvo i veća energetska učinkovitost povijesnih z</w:t>
            </w:r>
            <w:r>
              <w:rPr>
                <w:noProof/>
              </w:rPr>
              <w:t>grada</w:t>
            </w:r>
          </w:p>
        </w:tc>
        <w:tc>
          <w:tcPr>
            <w:tcW w:w="1230" w:type="dxa"/>
            <w:tcBorders>
              <w:top w:val="nil"/>
              <w:left w:val="nil"/>
              <w:bottom w:val="single" w:sz="4" w:space="0" w:color="auto"/>
              <w:right w:val="single" w:sz="4" w:space="0" w:color="auto"/>
            </w:tcBorders>
            <w:shd w:val="clear" w:color="auto" w:fill="C6EFCE"/>
            <w:noWrap/>
          </w:tcPr>
          <w:p w14:paraId="19F25391"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007C977A" w14:textId="77777777" w:rsidR="003F46B9" w:rsidRDefault="0065662E">
            <w:pPr>
              <w:pStyle w:val="P68B1DB1-Normal35"/>
              <w:spacing w:after="0"/>
              <w:jc w:val="both"/>
              <w:rPr>
                <w:noProof/>
              </w:rPr>
            </w:pPr>
            <w:r>
              <w:rPr>
                <w:noProof/>
              </w:rPr>
              <w:t>U funkciji je pilot-centar unutar Nacionalnog instituta za baštinu za prikupljanje i ponovnu uporabu povijesnih građevinskih materijala.</w:t>
            </w:r>
          </w:p>
          <w:p w14:paraId="46CBE6D5" w14:textId="77777777" w:rsidR="003F46B9" w:rsidRDefault="003F46B9">
            <w:pPr>
              <w:spacing w:after="0"/>
              <w:jc w:val="both"/>
              <w:rPr>
                <w:rFonts w:ascii="Times New Roman" w:hAnsi="Times New Roman" w:cs="Times New Roman"/>
                <w:noProof/>
              </w:rPr>
            </w:pPr>
          </w:p>
        </w:tc>
      </w:tr>
      <w:tr w:rsidR="003F46B9" w14:paraId="262A4A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6855F1C" w14:textId="77777777" w:rsidR="003F46B9" w:rsidRDefault="0065662E">
            <w:pPr>
              <w:pStyle w:val="P68B1DB1-Normal35"/>
              <w:spacing w:after="0"/>
              <w:jc w:val="center"/>
              <w:rPr>
                <w:noProof/>
              </w:rPr>
            </w:pPr>
            <w:r>
              <w:rPr>
                <w:noProof/>
              </w:rPr>
              <w:t>254</w:t>
            </w:r>
          </w:p>
        </w:tc>
        <w:tc>
          <w:tcPr>
            <w:tcW w:w="3544" w:type="dxa"/>
            <w:tcBorders>
              <w:top w:val="nil"/>
              <w:left w:val="nil"/>
              <w:bottom w:val="single" w:sz="4" w:space="0" w:color="auto"/>
              <w:right w:val="single" w:sz="4" w:space="0" w:color="auto"/>
            </w:tcBorders>
            <w:shd w:val="clear" w:color="auto" w:fill="C6EFCE"/>
            <w:noWrap/>
          </w:tcPr>
          <w:p w14:paraId="559EA530" w14:textId="77777777" w:rsidR="003F46B9" w:rsidRDefault="0065662E">
            <w:pPr>
              <w:pStyle w:val="P68B1DB1-Normal35"/>
              <w:spacing w:after="0"/>
              <w:jc w:val="both"/>
              <w:rPr>
                <w:noProof/>
              </w:rPr>
            </w:pPr>
            <w:r>
              <w:rPr>
                <w:noProof/>
              </w:rPr>
              <w:t xml:space="preserve">C9.I2.3 </w:t>
            </w:r>
          </w:p>
          <w:p w14:paraId="4234117B" w14:textId="5984B8D3" w:rsidR="003F46B9" w:rsidRDefault="0065662E">
            <w:pPr>
              <w:pStyle w:val="P68B1DB1-Normal35"/>
              <w:spacing w:after="0"/>
              <w:jc w:val="both"/>
              <w:rPr>
                <w:noProof/>
              </w:rPr>
            </w:pPr>
            <w:r>
              <w:rPr>
                <w:noProof/>
              </w:rPr>
              <w:t xml:space="preserve">Financijski instrumenti za privatni sektor – Fond poduzetničkog kapitala za oporavak  </w:t>
            </w:r>
          </w:p>
        </w:tc>
        <w:tc>
          <w:tcPr>
            <w:tcW w:w="1230" w:type="dxa"/>
            <w:tcBorders>
              <w:top w:val="nil"/>
              <w:left w:val="nil"/>
              <w:bottom w:val="single" w:sz="4" w:space="0" w:color="auto"/>
              <w:right w:val="single" w:sz="4" w:space="0" w:color="auto"/>
            </w:tcBorders>
            <w:shd w:val="clear" w:color="auto" w:fill="C6EFCE"/>
            <w:noWrap/>
          </w:tcPr>
          <w:p w14:paraId="628F7CDD"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5B61AAE" w14:textId="77777777" w:rsidR="003F46B9" w:rsidRDefault="0065662E">
            <w:pPr>
              <w:pStyle w:val="P68B1DB1-Normal35"/>
              <w:spacing w:after="0"/>
              <w:jc w:val="both"/>
              <w:rPr>
                <w:noProof/>
              </w:rPr>
            </w:pPr>
            <w:r>
              <w:rPr>
                <w:noProof/>
              </w:rPr>
              <w:t>Operacije financiranja ili ulaganja u iznosu od 50 % ukupnog ciljanog iznosa financiranja ili ulaganja koje je odobrio Odbor za ulaganja</w:t>
            </w:r>
          </w:p>
        </w:tc>
      </w:tr>
      <w:tr w:rsidR="003F46B9" w14:paraId="5E92B5E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73EB17" w14:textId="77777777" w:rsidR="003F46B9" w:rsidRDefault="0065662E">
            <w:pPr>
              <w:pStyle w:val="P68B1DB1-Normal35"/>
              <w:spacing w:after="0"/>
              <w:jc w:val="center"/>
              <w:rPr>
                <w:noProof/>
              </w:rPr>
            </w:pPr>
            <w:r>
              <w:rPr>
                <w:noProof/>
              </w:rPr>
              <w:t>257</w:t>
            </w:r>
          </w:p>
        </w:tc>
        <w:tc>
          <w:tcPr>
            <w:tcW w:w="3544" w:type="dxa"/>
            <w:tcBorders>
              <w:top w:val="nil"/>
              <w:left w:val="nil"/>
              <w:bottom w:val="single" w:sz="4" w:space="0" w:color="auto"/>
              <w:right w:val="single" w:sz="4" w:space="0" w:color="auto"/>
            </w:tcBorders>
            <w:shd w:val="clear" w:color="auto" w:fill="C6EFCE"/>
            <w:noWrap/>
          </w:tcPr>
          <w:p w14:paraId="5D0E9D42" w14:textId="77777777" w:rsidR="003F46B9" w:rsidRDefault="0065662E">
            <w:pPr>
              <w:pStyle w:val="P68B1DB1-Normal35"/>
              <w:spacing w:after="0"/>
              <w:jc w:val="both"/>
              <w:rPr>
                <w:noProof/>
              </w:rPr>
            </w:pPr>
            <w:r>
              <w:rPr>
                <w:noProof/>
              </w:rPr>
              <w:t xml:space="preserve">C9.I2.4. </w:t>
            </w:r>
          </w:p>
          <w:p w14:paraId="14B3C6E5" w14:textId="77777777" w:rsidR="003F46B9" w:rsidRDefault="0065662E">
            <w:pPr>
              <w:pStyle w:val="P68B1DB1-Normal35"/>
              <w:spacing w:after="0"/>
              <w:jc w:val="both"/>
              <w:rPr>
                <w:noProof/>
              </w:rPr>
            </w:pPr>
            <w:r>
              <w:rPr>
                <w:noProof/>
              </w:rPr>
              <w:t>Financijski instrumenti za privatni sektor – Fond za digitalizaciju, klimatsku politiku i druga područja</w:t>
            </w:r>
            <w:r>
              <w:rPr>
                <w:noProof/>
              </w:rPr>
              <w:t xml:space="preserve"> interesa</w:t>
            </w:r>
          </w:p>
        </w:tc>
        <w:tc>
          <w:tcPr>
            <w:tcW w:w="1230" w:type="dxa"/>
            <w:tcBorders>
              <w:top w:val="nil"/>
              <w:left w:val="nil"/>
              <w:bottom w:val="single" w:sz="4" w:space="0" w:color="auto"/>
              <w:right w:val="single" w:sz="4" w:space="0" w:color="auto"/>
            </w:tcBorders>
            <w:shd w:val="clear" w:color="auto" w:fill="C6EFCE"/>
            <w:noWrap/>
          </w:tcPr>
          <w:p w14:paraId="4FE1F178"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9F95DDD" w14:textId="77777777" w:rsidR="003F46B9" w:rsidRDefault="0065662E">
            <w:pPr>
              <w:pStyle w:val="P68B1DB1-Normal35"/>
              <w:spacing w:after="0"/>
              <w:jc w:val="both"/>
              <w:rPr>
                <w:noProof/>
              </w:rPr>
            </w:pPr>
            <w:r>
              <w:rPr>
                <w:noProof/>
              </w:rPr>
              <w:t>Najmanje 30 % ciljanih korisnika kojima je pružena potpora</w:t>
            </w:r>
          </w:p>
        </w:tc>
      </w:tr>
      <w:tr w:rsidR="003F46B9" w14:paraId="56FCC75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C88880" w14:textId="77777777" w:rsidR="003F46B9" w:rsidRDefault="0065662E">
            <w:pPr>
              <w:pStyle w:val="P68B1DB1-Normal35"/>
              <w:spacing w:after="0"/>
              <w:jc w:val="center"/>
              <w:rPr>
                <w:noProof/>
              </w:rPr>
            </w:pPr>
            <w:r>
              <w:rPr>
                <w:noProof/>
              </w:rPr>
              <w:t>18</w:t>
            </w:r>
          </w:p>
        </w:tc>
        <w:tc>
          <w:tcPr>
            <w:tcW w:w="3544" w:type="dxa"/>
            <w:tcBorders>
              <w:top w:val="nil"/>
              <w:left w:val="nil"/>
              <w:bottom w:val="single" w:sz="4" w:space="0" w:color="auto"/>
              <w:right w:val="single" w:sz="4" w:space="0" w:color="auto"/>
            </w:tcBorders>
            <w:shd w:val="clear" w:color="auto" w:fill="C6EFCE"/>
            <w:noWrap/>
          </w:tcPr>
          <w:p w14:paraId="622938BE" w14:textId="77777777" w:rsidR="003F46B9" w:rsidRDefault="0065662E">
            <w:pPr>
              <w:pStyle w:val="P68B1DB1-Normal35"/>
              <w:spacing w:after="0"/>
              <w:jc w:val="both"/>
              <w:rPr>
                <w:noProof/>
              </w:rPr>
            </w:pPr>
            <w:r>
              <w:rPr>
                <w:noProof/>
              </w:rPr>
              <w:t xml:space="preserve">C1.I5 </w:t>
            </w:r>
          </w:p>
          <w:p w14:paraId="6272AB3D" w14:textId="77777777" w:rsidR="003F46B9" w:rsidRDefault="0065662E">
            <w:pPr>
              <w:pStyle w:val="P68B1DB1-Normal35"/>
              <w:spacing w:after="0"/>
              <w:jc w:val="both"/>
              <w:rPr>
                <w:noProof/>
              </w:rPr>
            </w:pPr>
            <w:r>
              <w:rPr>
                <w:noProof/>
              </w:rPr>
              <w:t xml:space="preserve">Odgovarajuća sredstva uprava riječnih slivova za praćenje poplava, sprečavanje poplava i odgovor na hitne situacije </w:t>
            </w:r>
          </w:p>
        </w:tc>
        <w:tc>
          <w:tcPr>
            <w:tcW w:w="1230" w:type="dxa"/>
            <w:tcBorders>
              <w:top w:val="nil"/>
              <w:left w:val="nil"/>
              <w:bottom w:val="single" w:sz="4" w:space="0" w:color="auto"/>
              <w:right w:val="single" w:sz="4" w:space="0" w:color="auto"/>
            </w:tcBorders>
            <w:shd w:val="clear" w:color="auto" w:fill="C6EFCE"/>
            <w:noWrap/>
          </w:tcPr>
          <w:p w14:paraId="64202850"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0B76725" w14:textId="77777777" w:rsidR="003F46B9" w:rsidRDefault="0065662E">
            <w:pPr>
              <w:pStyle w:val="P68B1DB1-Normal35"/>
              <w:spacing w:after="0"/>
              <w:jc w:val="both"/>
              <w:rPr>
                <w:noProof/>
              </w:rPr>
            </w:pPr>
            <w:r>
              <w:rPr>
                <w:noProof/>
              </w:rPr>
              <w:t xml:space="preserve">Uprave riječnih slivova opremljene strojevima za grubi </w:t>
            </w:r>
            <w:r>
              <w:rPr>
                <w:noProof/>
              </w:rPr>
              <w:t>pristup i intervenciju, amfibijski pristup i prijevoz pokretnih torbi/bicikala u teško dostupnim područjima, bespilotne letjelice opremljene senzorima LIDAR/Flir/fotogrammetrije, geoelektrorozivne/georadarne tehnologije tijela nasipa te hardversku i softve</w:t>
            </w:r>
            <w:r>
              <w:rPr>
                <w:noProof/>
              </w:rPr>
              <w:t>rsku infrastrukturu</w:t>
            </w:r>
          </w:p>
        </w:tc>
      </w:tr>
      <w:tr w:rsidR="003F46B9" w14:paraId="72808C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A791B38" w14:textId="77777777" w:rsidR="003F46B9" w:rsidRDefault="0065662E">
            <w:pPr>
              <w:pStyle w:val="P68B1DB1-Normal35"/>
              <w:spacing w:after="0"/>
              <w:jc w:val="center"/>
              <w:rPr>
                <w:noProof/>
              </w:rPr>
            </w:pPr>
            <w:r>
              <w:rPr>
                <w:noProof/>
              </w:rPr>
              <w:t>246</w:t>
            </w:r>
          </w:p>
        </w:tc>
        <w:tc>
          <w:tcPr>
            <w:tcW w:w="3544" w:type="dxa"/>
            <w:tcBorders>
              <w:top w:val="nil"/>
              <w:left w:val="nil"/>
              <w:bottom w:val="single" w:sz="4" w:space="0" w:color="auto"/>
              <w:right w:val="single" w:sz="4" w:space="0" w:color="auto"/>
            </w:tcBorders>
            <w:shd w:val="clear" w:color="auto" w:fill="C6EFCE"/>
            <w:noWrap/>
          </w:tcPr>
          <w:p w14:paraId="5316046A" w14:textId="77777777" w:rsidR="003F46B9" w:rsidRDefault="0065662E">
            <w:pPr>
              <w:pStyle w:val="P68B1DB1-Normal35"/>
              <w:spacing w:after="0"/>
              <w:jc w:val="both"/>
              <w:rPr>
                <w:noProof/>
              </w:rPr>
            </w:pPr>
            <w:r>
              <w:rPr>
                <w:noProof/>
              </w:rPr>
              <w:t>C9.I1</w:t>
            </w:r>
          </w:p>
          <w:p w14:paraId="0EB444E1" w14:textId="77777777" w:rsidR="003F46B9" w:rsidRDefault="0065662E">
            <w:pPr>
              <w:pStyle w:val="P68B1DB1-Normal35"/>
              <w:spacing w:after="0"/>
              <w:jc w:val="both"/>
              <w:rPr>
                <w:noProof/>
              </w:rPr>
            </w:pPr>
            <w:r>
              <w:rPr>
                <w:noProof/>
              </w:rPr>
              <w:t xml:space="preserve">Digitalne platforme o zakonodavnoj transparentnosti, debirokratizaciji i pojednostavnjenju postupaka za poduzeća. </w:t>
            </w:r>
          </w:p>
        </w:tc>
        <w:tc>
          <w:tcPr>
            <w:tcW w:w="1230" w:type="dxa"/>
            <w:tcBorders>
              <w:top w:val="nil"/>
              <w:left w:val="nil"/>
              <w:bottom w:val="single" w:sz="4" w:space="0" w:color="auto"/>
              <w:right w:val="single" w:sz="4" w:space="0" w:color="auto"/>
            </w:tcBorders>
            <w:shd w:val="clear" w:color="auto" w:fill="C6EFCE"/>
            <w:noWrap/>
          </w:tcPr>
          <w:p w14:paraId="34C33492"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FC48DCB" w14:textId="77777777" w:rsidR="003F46B9" w:rsidRDefault="0065662E">
            <w:pPr>
              <w:pStyle w:val="P68B1DB1-Normal35"/>
              <w:spacing w:after="0"/>
              <w:jc w:val="both"/>
              <w:rPr>
                <w:noProof/>
              </w:rPr>
            </w:pPr>
            <w:r>
              <w:rPr>
                <w:noProof/>
              </w:rPr>
              <w:t>Uspostava digitalnih platformi, povezana s jedinstvenom elektroničkom kontaktnom točkom i potpuno operativna</w:t>
            </w:r>
          </w:p>
        </w:tc>
      </w:tr>
      <w:tr w:rsidR="003F46B9" w14:paraId="1E62BC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1C3CC3" w14:textId="77777777" w:rsidR="003F46B9" w:rsidRDefault="0065662E">
            <w:pPr>
              <w:pStyle w:val="P68B1DB1-Normal35"/>
              <w:spacing w:after="0"/>
              <w:jc w:val="center"/>
              <w:rPr>
                <w:noProof/>
              </w:rPr>
            </w:pPr>
            <w:r>
              <w:rPr>
                <w:noProof/>
              </w:rPr>
              <w:t>32</w:t>
            </w:r>
          </w:p>
        </w:tc>
        <w:tc>
          <w:tcPr>
            <w:tcW w:w="3544" w:type="dxa"/>
            <w:tcBorders>
              <w:top w:val="nil"/>
              <w:left w:val="nil"/>
              <w:bottom w:val="single" w:sz="4" w:space="0" w:color="auto"/>
              <w:right w:val="single" w:sz="4" w:space="0" w:color="auto"/>
            </w:tcBorders>
            <w:shd w:val="clear" w:color="auto" w:fill="C6EFCE"/>
            <w:noWrap/>
          </w:tcPr>
          <w:p w14:paraId="4B53F3A9" w14:textId="259BCFFA" w:rsidR="003F46B9" w:rsidRDefault="0065662E">
            <w:pPr>
              <w:pStyle w:val="P68B1DB1-Normal35"/>
              <w:spacing w:after="0"/>
              <w:jc w:val="both"/>
              <w:rPr>
                <w:noProof/>
              </w:rPr>
            </w:pPr>
            <w:r>
              <w:rPr>
                <w:noProof/>
              </w:rPr>
              <w:t xml:space="preserve">C2.I3.1 </w:t>
            </w:r>
          </w:p>
          <w:p w14:paraId="6EB766BE" w14:textId="77777777" w:rsidR="003F46B9" w:rsidRDefault="0065662E">
            <w:pPr>
              <w:pStyle w:val="P68B1DB1-Normal35"/>
              <w:spacing w:after="0"/>
              <w:jc w:val="both"/>
              <w:rPr>
                <w:noProof/>
              </w:rPr>
            </w:pPr>
            <w:r>
              <w:rPr>
                <w:noProof/>
              </w:rPr>
              <w:t>Ažuriranje odobrenih planova upravljanja</w:t>
            </w:r>
          </w:p>
        </w:tc>
        <w:tc>
          <w:tcPr>
            <w:tcW w:w="1230" w:type="dxa"/>
            <w:tcBorders>
              <w:top w:val="nil"/>
              <w:left w:val="nil"/>
              <w:bottom w:val="single" w:sz="4" w:space="0" w:color="auto"/>
              <w:right w:val="single" w:sz="4" w:space="0" w:color="auto"/>
            </w:tcBorders>
            <w:shd w:val="clear" w:color="auto" w:fill="C6EFCE"/>
            <w:noWrap/>
          </w:tcPr>
          <w:p w14:paraId="0CED8AC0"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FF0A7D1" w14:textId="77777777" w:rsidR="003F46B9" w:rsidRDefault="0065662E">
            <w:pPr>
              <w:pStyle w:val="P68B1DB1-Normal35"/>
              <w:spacing w:after="0"/>
              <w:jc w:val="both"/>
              <w:rPr>
                <w:noProof/>
                <w:sz w:val="24"/>
              </w:rPr>
            </w:pPr>
            <w:r>
              <w:rPr>
                <w:noProof/>
              </w:rPr>
              <w:t xml:space="preserve">Zaštićena prirodna područja s ažuriranim planovima upravljanja stupili su na snagu </w:t>
            </w:r>
          </w:p>
        </w:tc>
      </w:tr>
      <w:tr w:rsidR="003F46B9" w14:paraId="0023B4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CD3BD0B" w14:textId="77777777" w:rsidR="003F46B9" w:rsidRDefault="0065662E">
            <w:pPr>
              <w:pStyle w:val="P68B1DB1-Normal35"/>
              <w:spacing w:after="0"/>
              <w:jc w:val="center"/>
              <w:rPr>
                <w:noProof/>
              </w:rPr>
            </w:pPr>
            <w:r>
              <w:rPr>
                <w:noProof/>
              </w:rPr>
              <w:t>350</w:t>
            </w:r>
          </w:p>
        </w:tc>
        <w:tc>
          <w:tcPr>
            <w:tcW w:w="3544" w:type="dxa"/>
            <w:tcBorders>
              <w:top w:val="nil"/>
              <w:left w:val="nil"/>
              <w:bottom w:val="single" w:sz="4" w:space="0" w:color="auto"/>
              <w:right w:val="single" w:sz="4" w:space="0" w:color="auto"/>
            </w:tcBorders>
            <w:shd w:val="clear" w:color="auto" w:fill="C6EFCE"/>
            <w:noWrap/>
          </w:tcPr>
          <w:p w14:paraId="720835CC" w14:textId="77777777" w:rsidR="003F46B9" w:rsidRDefault="0065662E">
            <w:pPr>
              <w:pStyle w:val="P68B1DB1-Normal35"/>
              <w:spacing w:after="0"/>
              <w:jc w:val="both"/>
              <w:rPr>
                <w:noProof/>
              </w:rPr>
            </w:pPr>
            <w:r>
              <w:rPr>
                <w:noProof/>
              </w:rPr>
              <w:t xml:space="preserve">C11.I7 </w:t>
            </w:r>
          </w:p>
          <w:p w14:paraId="4004B50A" w14:textId="700EEEC2" w:rsidR="003F46B9" w:rsidRDefault="0065662E">
            <w:pPr>
              <w:pStyle w:val="P68B1DB1-Normal35"/>
              <w:spacing w:after="0"/>
              <w:jc w:val="both"/>
              <w:rPr>
                <w:noProof/>
              </w:rPr>
            </w:pPr>
            <w:r>
              <w:rPr>
                <w:noProof/>
              </w:rPr>
              <w:t xml:space="preserve">Ubrzavanje digitalizacije produkcije i distribucije filmova </w:t>
            </w:r>
          </w:p>
        </w:tc>
        <w:tc>
          <w:tcPr>
            <w:tcW w:w="1230" w:type="dxa"/>
            <w:tcBorders>
              <w:top w:val="nil"/>
              <w:left w:val="nil"/>
              <w:bottom w:val="single" w:sz="4" w:space="0" w:color="auto"/>
              <w:right w:val="single" w:sz="4" w:space="0" w:color="auto"/>
            </w:tcBorders>
            <w:shd w:val="clear" w:color="auto" w:fill="C6EFCE"/>
            <w:noWrap/>
          </w:tcPr>
          <w:p w14:paraId="0FA22A0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B344ABA" w14:textId="77777777" w:rsidR="003F46B9" w:rsidRDefault="0065662E">
            <w:pPr>
              <w:pStyle w:val="P68B1DB1-Normal35"/>
              <w:spacing w:after="0"/>
              <w:jc w:val="both"/>
              <w:rPr>
                <w:noProof/>
                <w:sz w:val="24"/>
              </w:rPr>
            </w:pPr>
            <w:r>
              <w:rPr>
                <w:noProof/>
              </w:rPr>
              <w:t xml:space="preserve">Filmski producenti i distributeri s </w:t>
            </w:r>
            <w:r>
              <w:rPr>
                <w:noProof/>
              </w:rPr>
              <w:t>povećanim digitalnim kompetencijama</w:t>
            </w:r>
          </w:p>
        </w:tc>
      </w:tr>
      <w:tr w:rsidR="003F46B9" w14:paraId="2C6D6F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C27223" w14:textId="77777777" w:rsidR="003F46B9" w:rsidRDefault="0065662E">
            <w:pPr>
              <w:pStyle w:val="P68B1DB1-Normal35"/>
              <w:spacing w:after="0"/>
              <w:jc w:val="center"/>
              <w:rPr>
                <w:noProof/>
              </w:rPr>
            </w:pPr>
            <w:r>
              <w:rPr>
                <w:noProof/>
              </w:rPr>
              <w:t>499</w:t>
            </w:r>
          </w:p>
        </w:tc>
        <w:tc>
          <w:tcPr>
            <w:tcW w:w="3544" w:type="dxa"/>
            <w:tcBorders>
              <w:top w:val="nil"/>
              <w:left w:val="nil"/>
              <w:bottom w:val="single" w:sz="4" w:space="0" w:color="auto"/>
              <w:right w:val="single" w:sz="4" w:space="0" w:color="auto"/>
            </w:tcBorders>
            <w:shd w:val="clear" w:color="auto" w:fill="C6EFCE"/>
            <w:noWrap/>
          </w:tcPr>
          <w:p w14:paraId="62A1973C" w14:textId="77777777" w:rsidR="003F46B9" w:rsidRDefault="0065662E">
            <w:pPr>
              <w:pStyle w:val="P68B1DB1-Normal35"/>
              <w:spacing w:after="0"/>
              <w:jc w:val="both"/>
              <w:rPr>
                <w:noProof/>
              </w:rPr>
            </w:pPr>
            <w:r>
              <w:rPr>
                <w:noProof/>
              </w:rPr>
              <w:t>C15.I15.</w:t>
            </w:r>
          </w:p>
          <w:p w14:paraId="6C33BE06" w14:textId="77777777" w:rsidR="003F46B9" w:rsidRDefault="0065662E">
            <w:pPr>
              <w:pStyle w:val="P68B1DB1-Normal35"/>
              <w:spacing w:after="0"/>
              <w:jc w:val="both"/>
              <w:rPr>
                <w:noProof/>
              </w:rPr>
            </w:pPr>
            <w:r>
              <w:rPr>
                <w:noProof/>
              </w:rPr>
              <w:t>Internetska škola: Platforma za procjenu i razvoj sadržaja</w:t>
            </w:r>
          </w:p>
        </w:tc>
        <w:tc>
          <w:tcPr>
            <w:tcW w:w="1230" w:type="dxa"/>
            <w:tcBorders>
              <w:top w:val="nil"/>
              <w:left w:val="nil"/>
              <w:bottom w:val="single" w:sz="4" w:space="0" w:color="auto"/>
              <w:right w:val="single" w:sz="4" w:space="0" w:color="auto"/>
            </w:tcBorders>
            <w:shd w:val="clear" w:color="auto" w:fill="C6EFCE"/>
            <w:noWrap/>
          </w:tcPr>
          <w:p w14:paraId="180DD53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5BA0562" w14:textId="77777777" w:rsidR="003F46B9" w:rsidRDefault="0065662E">
            <w:pPr>
              <w:pStyle w:val="P68B1DB1-Normal35"/>
              <w:spacing w:after="0"/>
              <w:jc w:val="both"/>
              <w:rPr>
                <w:noProof/>
                <w:sz w:val="24"/>
              </w:rPr>
            </w:pPr>
            <w:r>
              <w:rPr>
                <w:noProof/>
              </w:rPr>
              <w:t>Izrađeni otvoreni obrazovni resursi (OER) (nastavni materijali)</w:t>
            </w:r>
          </w:p>
        </w:tc>
      </w:tr>
      <w:tr w:rsidR="003F46B9" w14:paraId="084F186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D556EA3" w14:textId="77777777" w:rsidR="003F46B9" w:rsidRDefault="0065662E">
            <w:pPr>
              <w:pStyle w:val="P68B1DB1-Normal35"/>
              <w:spacing w:after="0"/>
              <w:jc w:val="center"/>
              <w:rPr>
                <w:noProof/>
              </w:rPr>
            </w:pPr>
            <w:r>
              <w:rPr>
                <w:noProof/>
              </w:rPr>
              <w:t>31</w:t>
            </w:r>
          </w:p>
        </w:tc>
        <w:tc>
          <w:tcPr>
            <w:tcW w:w="3544" w:type="dxa"/>
            <w:tcBorders>
              <w:top w:val="nil"/>
              <w:left w:val="nil"/>
              <w:bottom w:val="single" w:sz="4" w:space="0" w:color="auto"/>
              <w:right w:val="single" w:sz="4" w:space="0" w:color="auto"/>
            </w:tcBorders>
            <w:shd w:val="clear" w:color="auto" w:fill="C6EFCE"/>
            <w:noWrap/>
          </w:tcPr>
          <w:p w14:paraId="51826417" w14:textId="77777777" w:rsidR="003F46B9" w:rsidRDefault="0065662E">
            <w:pPr>
              <w:pStyle w:val="P68B1DB1-Normal35"/>
              <w:spacing w:after="0"/>
              <w:jc w:val="both"/>
              <w:rPr>
                <w:noProof/>
              </w:rPr>
            </w:pPr>
            <w:r>
              <w:rPr>
                <w:noProof/>
              </w:rPr>
              <w:t xml:space="preserve">C2.R2 </w:t>
            </w:r>
          </w:p>
          <w:p w14:paraId="1246B062" w14:textId="77777777" w:rsidR="003F46B9" w:rsidRDefault="0065662E">
            <w:pPr>
              <w:pStyle w:val="P68B1DB1-Normal35"/>
              <w:spacing w:after="0"/>
              <w:jc w:val="both"/>
              <w:rPr>
                <w:noProof/>
              </w:rPr>
            </w:pPr>
            <w:r>
              <w:rPr>
                <w:noProof/>
              </w:rPr>
              <w:t>Reforma sustava upravljanja zaštićenim prirodnim područjima usklađenom</w:t>
            </w:r>
            <w:r>
              <w:rPr>
                <w:noProof/>
              </w:rPr>
              <w:t xml:space="preserve"> i učinkovitom provedbom Europske strategije za bioraznolikost</w:t>
            </w:r>
          </w:p>
        </w:tc>
        <w:tc>
          <w:tcPr>
            <w:tcW w:w="1230" w:type="dxa"/>
            <w:tcBorders>
              <w:top w:val="nil"/>
              <w:left w:val="nil"/>
              <w:bottom w:val="single" w:sz="4" w:space="0" w:color="auto"/>
              <w:right w:val="single" w:sz="4" w:space="0" w:color="auto"/>
            </w:tcBorders>
            <w:shd w:val="clear" w:color="auto" w:fill="C6EFCE"/>
            <w:noWrap/>
          </w:tcPr>
          <w:p w14:paraId="3CE953E7"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E449683" w14:textId="77777777" w:rsidR="003F46B9" w:rsidRDefault="0065662E">
            <w:pPr>
              <w:pStyle w:val="P68B1DB1-Normal35"/>
              <w:spacing w:after="0"/>
              <w:jc w:val="both"/>
              <w:rPr>
                <w:noProof/>
                <w:sz w:val="24"/>
              </w:rPr>
            </w:pPr>
            <w:r>
              <w:rPr>
                <w:noProof/>
              </w:rPr>
              <w:t>Stupanje na snagu zakonodavnog akta kojim se mijenja pravni okvir koji se primjenjuje na sektore koji utječu na bioraznolikost</w:t>
            </w:r>
          </w:p>
        </w:tc>
      </w:tr>
      <w:tr w:rsidR="003F46B9" w14:paraId="74D2C3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D66ED38" w14:textId="77777777" w:rsidR="003F46B9" w:rsidRDefault="0065662E">
            <w:pPr>
              <w:pStyle w:val="P68B1DB1-Normal35"/>
              <w:spacing w:after="0"/>
              <w:jc w:val="center"/>
              <w:rPr>
                <w:noProof/>
              </w:rPr>
            </w:pPr>
            <w:r>
              <w:rPr>
                <w:noProof/>
              </w:rPr>
              <w:t>58</w:t>
            </w:r>
          </w:p>
        </w:tc>
        <w:tc>
          <w:tcPr>
            <w:tcW w:w="3544" w:type="dxa"/>
            <w:tcBorders>
              <w:top w:val="nil"/>
              <w:left w:val="nil"/>
              <w:bottom w:val="single" w:sz="4" w:space="0" w:color="auto"/>
              <w:right w:val="single" w:sz="4" w:space="0" w:color="auto"/>
            </w:tcBorders>
            <w:shd w:val="clear" w:color="auto" w:fill="C6EFCE"/>
            <w:noWrap/>
          </w:tcPr>
          <w:p w14:paraId="50A76F16" w14:textId="77777777" w:rsidR="003F46B9" w:rsidRDefault="0065662E">
            <w:pPr>
              <w:pStyle w:val="P68B1DB1-Normal35"/>
              <w:spacing w:after="0"/>
              <w:jc w:val="both"/>
              <w:rPr>
                <w:noProof/>
              </w:rPr>
            </w:pPr>
            <w:r>
              <w:rPr>
                <w:noProof/>
              </w:rPr>
              <w:t>C3.I3b</w:t>
            </w:r>
          </w:p>
          <w:p w14:paraId="425D6E7E" w14:textId="77777777" w:rsidR="003F46B9" w:rsidRDefault="0065662E">
            <w:pPr>
              <w:pStyle w:val="P68B1DB1-Normal35"/>
              <w:spacing w:after="0"/>
              <w:jc w:val="both"/>
              <w:rPr>
                <w:noProof/>
              </w:rPr>
            </w:pPr>
            <w:r>
              <w:rPr>
                <w:noProof/>
              </w:rPr>
              <w:t xml:space="preserve">Oprema za kvalitetu zraka, radioaktivnost i praćenje </w:t>
            </w:r>
            <w:r>
              <w:rPr>
                <w:noProof/>
              </w:rPr>
              <w:t>buke za Nacionalnu agenciju za zaštitu okoliša</w:t>
            </w:r>
          </w:p>
        </w:tc>
        <w:tc>
          <w:tcPr>
            <w:tcW w:w="1230" w:type="dxa"/>
            <w:tcBorders>
              <w:top w:val="nil"/>
              <w:left w:val="nil"/>
              <w:bottom w:val="single" w:sz="4" w:space="0" w:color="auto"/>
              <w:right w:val="single" w:sz="4" w:space="0" w:color="auto"/>
            </w:tcBorders>
            <w:shd w:val="clear" w:color="auto" w:fill="C6EFCE"/>
            <w:noWrap/>
          </w:tcPr>
          <w:p w14:paraId="1564A6E7"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1639833" w14:textId="77777777" w:rsidR="003F46B9" w:rsidRDefault="0065662E">
            <w:pPr>
              <w:pStyle w:val="P68B1DB1-Normal35"/>
              <w:spacing w:after="0"/>
              <w:jc w:val="both"/>
              <w:rPr>
                <w:noProof/>
                <w:sz w:val="24"/>
              </w:rPr>
            </w:pPr>
            <w:r>
              <w:rPr>
                <w:noProof/>
              </w:rPr>
              <w:t>Operacionalizacija opreme za kvalitetu zraka, radioaktivnost i nadzor buke</w:t>
            </w:r>
          </w:p>
        </w:tc>
      </w:tr>
      <w:tr w:rsidR="003F46B9" w14:paraId="058C6A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4AD8EAC" w14:textId="77777777" w:rsidR="003F46B9" w:rsidRDefault="0065662E">
            <w:pPr>
              <w:pStyle w:val="P68B1DB1-Normal35"/>
              <w:spacing w:after="0"/>
              <w:jc w:val="center"/>
              <w:rPr>
                <w:noProof/>
              </w:rPr>
            </w:pPr>
            <w:r>
              <w:rPr>
                <w:noProof/>
              </w:rPr>
              <w:t>92</w:t>
            </w:r>
          </w:p>
        </w:tc>
        <w:tc>
          <w:tcPr>
            <w:tcW w:w="3544" w:type="dxa"/>
            <w:tcBorders>
              <w:top w:val="nil"/>
              <w:left w:val="nil"/>
              <w:bottom w:val="single" w:sz="4" w:space="0" w:color="auto"/>
              <w:right w:val="single" w:sz="4" w:space="0" w:color="auto"/>
            </w:tcBorders>
            <w:shd w:val="clear" w:color="auto" w:fill="C6EFCE"/>
            <w:noWrap/>
          </w:tcPr>
          <w:p w14:paraId="21472D2F" w14:textId="77777777" w:rsidR="003F46B9" w:rsidRDefault="0065662E">
            <w:pPr>
              <w:pStyle w:val="P68B1DB1-Normal35"/>
              <w:spacing w:after="0"/>
              <w:jc w:val="both"/>
              <w:rPr>
                <w:noProof/>
              </w:rPr>
            </w:pPr>
            <w:r>
              <w:rPr>
                <w:noProof/>
              </w:rPr>
              <w:t>C5.R1</w:t>
            </w:r>
          </w:p>
          <w:p w14:paraId="429D2F9A" w14:textId="77777777" w:rsidR="003F46B9" w:rsidRDefault="0065662E">
            <w:pPr>
              <w:pStyle w:val="P68B1DB1-Normal35"/>
              <w:spacing w:after="0"/>
              <w:jc w:val="both"/>
              <w:rPr>
                <w:noProof/>
              </w:rPr>
            </w:pPr>
            <w:r>
              <w:rPr>
                <w:noProof/>
              </w:rPr>
              <w:t xml:space="preserve">Pojednostavnjen i ažuriran regulatorni okvir za potporu provedbi ulaganja u prelazak na zelene i otporne zgrade </w:t>
            </w:r>
          </w:p>
        </w:tc>
        <w:tc>
          <w:tcPr>
            <w:tcW w:w="1230" w:type="dxa"/>
            <w:tcBorders>
              <w:top w:val="nil"/>
              <w:left w:val="nil"/>
              <w:bottom w:val="single" w:sz="4" w:space="0" w:color="auto"/>
              <w:right w:val="single" w:sz="4" w:space="0" w:color="auto"/>
            </w:tcBorders>
            <w:shd w:val="clear" w:color="auto" w:fill="C6EFCE"/>
            <w:noWrap/>
          </w:tcPr>
          <w:p w14:paraId="23380462"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70CEA7C" w14:textId="77777777" w:rsidR="003F46B9" w:rsidRDefault="0065662E">
            <w:pPr>
              <w:pStyle w:val="P68B1DB1-Normal35"/>
              <w:spacing w:after="0"/>
              <w:jc w:val="both"/>
              <w:rPr>
                <w:noProof/>
                <w:sz w:val="24"/>
              </w:rPr>
            </w:pPr>
            <w:r>
              <w:rPr>
                <w:noProof/>
              </w:rPr>
              <w:t>Skraćiv</w:t>
            </w:r>
            <w:r>
              <w:rPr>
                <w:noProof/>
              </w:rPr>
              <w:t>anje rokova za izdavanje građevinskih dozvola</w:t>
            </w:r>
          </w:p>
        </w:tc>
      </w:tr>
      <w:tr w:rsidR="003F46B9" w14:paraId="74CBAB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6DC5141" w14:textId="77777777" w:rsidR="003F46B9" w:rsidRDefault="0065662E">
            <w:pPr>
              <w:pStyle w:val="P68B1DB1-Normal35"/>
              <w:spacing w:after="0"/>
              <w:jc w:val="center"/>
              <w:rPr>
                <w:noProof/>
              </w:rPr>
            </w:pPr>
            <w:r>
              <w:rPr>
                <w:noProof/>
              </w:rPr>
              <w:t>265</w:t>
            </w:r>
          </w:p>
        </w:tc>
        <w:tc>
          <w:tcPr>
            <w:tcW w:w="3544" w:type="dxa"/>
            <w:tcBorders>
              <w:top w:val="nil"/>
              <w:left w:val="nil"/>
              <w:bottom w:val="single" w:sz="4" w:space="0" w:color="auto"/>
              <w:right w:val="single" w:sz="4" w:space="0" w:color="auto"/>
            </w:tcBorders>
            <w:shd w:val="clear" w:color="auto" w:fill="C6EFCE"/>
            <w:noWrap/>
          </w:tcPr>
          <w:p w14:paraId="7D263381" w14:textId="77777777" w:rsidR="003F46B9" w:rsidRDefault="0065662E">
            <w:pPr>
              <w:pStyle w:val="P68B1DB1-Normal35"/>
              <w:spacing w:after="0"/>
              <w:jc w:val="both"/>
              <w:rPr>
                <w:noProof/>
              </w:rPr>
            </w:pPr>
            <w:r>
              <w:rPr>
                <w:noProof/>
              </w:rPr>
              <w:t xml:space="preserve">C9.I3.2. </w:t>
            </w:r>
          </w:p>
          <w:p w14:paraId="3D92D6AC" w14:textId="77777777" w:rsidR="003F46B9" w:rsidRDefault="0065662E">
            <w:pPr>
              <w:pStyle w:val="P68B1DB1-Normal35"/>
              <w:spacing w:after="0"/>
              <w:jc w:val="both"/>
              <w:rPr>
                <w:noProof/>
              </w:rPr>
            </w:pPr>
            <w:r>
              <w:rPr>
                <w:noProof/>
              </w:rPr>
              <w:t xml:space="preserve">Programi potpora privatnom sektoru – program de minimis za pomoć rumunjskim poduzećima u uvrštavanju na burzu </w:t>
            </w:r>
          </w:p>
        </w:tc>
        <w:tc>
          <w:tcPr>
            <w:tcW w:w="1230" w:type="dxa"/>
            <w:tcBorders>
              <w:top w:val="nil"/>
              <w:left w:val="nil"/>
              <w:bottom w:val="single" w:sz="4" w:space="0" w:color="auto"/>
              <w:right w:val="single" w:sz="4" w:space="0" w:color="auto"/>
            </w:tcBorders>
            <w:shd w:val="clear" w:color="auto" w:fill="C6EFCE"/>
            <w:noWrap/>
          </w:tcPr>
          <w:p w14:paraId="4542533C"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C7FFAF8" w14:textId="77777777" w:rsidR="003F46B9" w:rsidRDefault="0065662E">
            <w:pPr>
              <w:pStyle w:val="P68B1DB1-Normal35"/>
              <w:spacing w:after="0"/>
              <w:jc w:val="both"/>
              <w:rPr>
                <w:noProof/>
                <w:sz w:val="24"/>
              </w:rPr>
            </w:pPr>
            <w:r>
              <w:rPr>
                <w:noProof/>
              </w:rPr>
              <w:t xml:space="preserve">Broj potpisanih ugovora o financiranju koji omogućuju uvrštenje na burzu u </w:t>
            </w:r>
            <w:r>
              <w:rPr>
                <w:noProof/>
              </w:rPr>
              <w:t>Bukureštu</w:t>
            </w:r>
          </w:p>
        </w:tc>
      </w:tr>
      <w:tr w:rsidR="003F46B9" w14:paraId="12ED8E99"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44748D36"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465A32D9" w14:textId="77777777" w:rsidR="003F46B9" w:rsidRDefault="003F46B9">
            <w:pPr>
              <w:spacing w:after="0"/>
              <w:rPr>
                <w:rFonts w:ascii="Times New Roman" w:eastAsia="Times New Roman" w:hAnsi="Times New Roman" w:cs="Times New Roman"/>
                <w:noProof/>
              </w:rPr>
            </w:pPr>
          </w:p>
        </w:tc>
        <w:tc>
          <w:tcPr>
            <w:tcW w:w="1230" w:type="dxa"/>
            <w:tcBorders>
              <w:top w:val="single" w:sz="4" w:space="0" w:color="auto"/>
              <w:left w:val="nil"/>
              <w:bottom w:val="single" w:sz="4" w:space="0" w:color="auto"/>
              <w:right w:val="single" w:sz="4" w:space="0" w:color="auto"/>
            </w:tcBorders>
            <w:shd w:val="clear" w:color="auto" w:fill="C6EFCE"/>
            <w:noWrap/>
          </w:tcPr>
          <w:p w14:paraId="0D5D8DB2" w14:textId="77777777" w:rsidR="003F46B9" w:rsidRDefault="0065662E">
            <w:pPr>
              <w:pStyle w:val="P68B1DB1-Normal36"/>
              <w:spacing w:after="0"/>
              <w:jc w:val="center"/>
              <w:rPr>
                <w:noProof/>
              </w:rPr>
            </w:pPr>
            <w:r>
              <w:rPr>
                <w:noProof/>
              </w:rPr>
              <w:t>Iznos obroka</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5911977D" w14:textId="1198557A" w:rsidR="003F46B9" w:rsidRDefault="0065662E">
            <w:pPr>
              <w:pStyle w:val="P68B1DB1-Normal36"/>
              <w:spacing w:after="0"/>
              <w:jc w:val="right"/>
              <w:rPr>
                <w:noProof/>
              </w:rPr>
            </w:pPr>
            <w:r>
              <w:rPr>
                <w:noProof/>
              </w:rPr>
              <w:t>1744335517 EURA </w:t>
            </w:r>
          </w:p>
        </w:tc>
      </w:tr>
    </w:tbl>
    <w:p w14:paraId="2E702DC8" w14:textId="77777777" w:rsidR="003F46B9" w:rsidRDefault="003F46B9">
      <w:pPr>
        <w:pStyle w:val="NumPar2"/>
        <w:tabs>
          <w:tab w:val="clear" w:pos="850"/>
        </w:tabs>
        <w:ind w:firstLine="0"/>
        <w:rPr>
          <w:noProof/>
        </w:rPr>
      </w:pPr>
    </w:p>
    <w:p w14:paraId="209915EB" w14:textId="44A50645" w:rsidR="003F46B9" w:rsidRDefault="0065662E">
      <w:pPr>
        <w:pStyle w:val="Heading3"/>
        <w:rPr>
          <w:noProof/>
        </w:rPr>
      </w:pPr>
      <w:r>
        <w:rPr>
          <w:noProof/>
        </w:rPr>
        <w:t xml:space="preserve">Sedmi obrok (potpora po kreditima): </w:t>
      </w:r>
    </w:p>
    <w:tbl>
      <w:tblPr>
        <w:tblW w:w="9634" w:type="dxa"/>
        <w:tblInd w:w="113" w:type="dxa"/>
        <w:tblLook w:val="04A0" w:firstRow="1" w:lastRow="0" w:firstColumn="1" w:lastColumn="0" w:noHBand="0" w:noVBand="1"/>
      </w:tblPr>
      <w:tblGrid>
        <w:gridCol w:w="1413"/>
        <w:gridCol w:w="3544"/>
        <w:gridCol w:w="1316"/>
        <w:gridCol w:w="3461"/>
      </w:tblGrid>
      <w:tr w:rsidR="003F46B9" w14:paraId="23C24B2B"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EA9E0E"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62BE5613" w14:textId="77777777" w:rsidR="003F46B9" w:rsidRDefault="0065662E">
            <w:pPr>
              <w:pStyle w:val="P68B1DB1-Normal34"/>
              <w:spacing w:after="0"/>
              <w:jc w:val="center"/>
              <w:rPr>
                <w:noProof/>
              </w:rPr>
            </w:pPr>
            <w:r>
              <w:rPr>
                <w:noProof/>
              </w:rPr>
              <w:t xml:space="preserve">Povezana mjera </w:t>
            </w:r>
          </w:p>
          <w:p w14:paraId="3AF912AF" w14:textId="77777777" w:rsidR="003F46B9" w:rsidRDefault="0065662E">
            <w:pPr>
              <w:pStyle w:val="P68B1DB1-Normal34"/>
              <w:spacing w:after="0"/>
              <w:jc w:val="center"/>
              <w:rPr>
                <w:noProof/>
              </w:rPr>
            </w:pPr>
            <w:r>
              <w:rPr>
                <w:noProof/>
              </w:rPr>
              <w:t>(Reforma ili ulaganje)</w:t>
            </w:r>
          </w:p>
        </w:tc>
        <w:tc>
          <w:tcPr>
            <w:tcW w:w="121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004EA01D" w14:textId="77777777" w:rsidR="003F46B9" w:rsidRDefault="0065662E">
            <w:pPr>
              <w:pStyle w:val="P68B1DB1-Normal34"/>
              <w:spacing w:after="0"/>
              <w:jc w:val="center"/>
              <w:rPr>
                <w:noProof/>
              </w:rPr>
            </w:pPr>
            <w:r>
              <w:rPr>
                <w:noProof/>
              </w:rPr>
              <w:t>Ključna etapa/ciljna vrijednost</w:t>
            </w:r>
          </w:p>
        </w:tc>
        <w:tc>
          <w:tcPr>
            <w:tcW w:w="346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3613886" w14:textId="77777777" w:rsidR="003F46B9" w:rsidRDefault="0065662E">
            <w:pPr>
              <w:pStyle w:val="P68B1DB1-Normal34"/>
              <w:spacing w:after="0"/>
              <w:jc w:val="center"/>
              <w:rPr>
                <w:noProof/>
              </w:rPr>
            </w:pPr>
            <w:r>
              <w:rPr>
                <w:noProof/>
              </w:rPr>
              <w:t>Ime</w:t>
            </w:r>
          </w:p>
        </w:tc>
      </w:tr>
      <w:tr w:rsidR="003F46B9" w14:paraId="47130F12"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6FCA745B"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4DEA8B1" w14:textId="77777777" w:rsidR="003F46B9" w:rsidRDefault="003F46B9">
            <w:pPr>
              <w:spacing w:after="0"/>
              <w:rPr>
                <w:rFonts w:ascii="Times New Roman" w:eastAsia="Times New Roman" w:hAnsi="Times New Roman" w:cs="Times New Roman"/>
                <w:b/>
                <w:noProof/>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2CFA5BDA" w14:textId="77777777" w:rsidR="003F46B9" w:rsidRDefault="003F46B9">
            <w:pPr>
              <w:spacing w:after="0"/>
              <w:jc w:val="center"/>
              <w:rPr>
                <w:rFonts w:ascii="Times New Roman" w:eastAsia="Times New Roman" w:hAnsi="Times New Roman" w:cs="Times New Roman"/>
                <w:b/>
                <w:noProof/>
              </w:rPr>
            </w:pPr>
          </w:p>
        </w:tc>
        <w:tc>
          <w:tcPr>
            <w:tcW w:w="3461" w:type="dxa"/>
            <w:vMerge/>
            <w:tcBorders>
              <w:top w:val="single" w:sz="4" w:space="0" w:color="auto"/>
              <w:left w:val="nil"/>
              <w:bottom w:val="single" w:sz="4" w:space="0" w:color="000000"/>
              <w:right w:val="single" w:sz="4" w:space="0" w:color="auto"/>
            </w:tcBorders>
            <w:vAlign w:val="center"/>
            <w:hideMark/>
          </w:tcPr>
          <w:p w14:paraId="1BA293F6" w14:textId="77777777" w:rsidR="003F46B9" w:rsidRDefault="003F46B9">
            <w:pPr>
              <w:spacing w:after="0"/>
              <w:rPr>
                <w:rFonts w:ascii="Times New Roman" w:eastAsia="Times New Roman" w:hAnsi="Times New Roman" w:cs="Times New Roman"/>
                <w:b/>
                <w:noProof/>
              </w:rPr>
            </w:pPr>
          </w:p>
        </w:tc>
      </w:tr>
      <w:tr w:rsidR="003F46B9" w14:paraId="52461CF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3EDA0C" w14:textId="77777777" w:rsidR="003F46B9" w:rsidRDefault="0065662E">
            <w:pPr>
              <w:pStyle w:val="P68B1DB1-Normal35"/>
              <w:spacing w:after="0"/>
              <w:jc w:val="center"/>
              <w:rPr>
                <w:noProof/>
              </w:rPr>
            </w:pPr>
            <w:r>
              <w:rPr>
                <w:noProof/>
              </w:rPr>
              <w:t>19</w:t>
            </w:r>
          </w:p>
        </w:tc>
        <w:tc>
          <w:tcPr>
            <w:tcW w:w="3544" w:type="dxa"/>
            <w:tcBorders>
              <w:top w:val="nil"/>
              <w:left w:val="nil"/>
              <w:bottom w:val="single" w:sz="4" w:space="0" w:color="auto"/>
              <w:right w:val="single" w:sz="4" w:space="0" w:color="auto"/>
            </w:tcBorders>
            <w:shd w:val="clear" w:color="auto" w:fill="C6EFCE"/>
            <w:noWrap/>
          </w:tcPr>
          <w:p w14:paraId="663FE2B0" w14:textId="77777777" w:rsidR="003F46B9" w:rsidRDefault="0065662E">
            <w:pPr>
              <w:pStyle w:val="P68B1DB1-Normal35"/>
              <w:spacing w:after="0"/>
              <w:jc w:val="both"/>
              <w:rPr>
                <w:noProof/>
              </w:rPr>
            </w:pPr>
            <w:r>
              <w:rPr>
                <w:noProof/>
              </w:rPr>
              <w:t xml:space="preserve">C1.I6 </w:t>
            </w:r>
          </w:p>
          <w:p w14:paraId="3BE85C18" w14:textId="77777777" w:rsidR="003F46B9" w:rsidRDefault="0065662E">
            <w:pPr>
              <w:pStyle w:val="P68B1DB1-Normal35"/>
              <w:spacing w:after="0"/>
              <w:jc w:val="both"/>
              <w:rPr>
                <w:noProof/>
              </w:rPr>
            </w:pPr>
            <w:r>
              <w:rPr>
                <w:noProof/>
              </w:rPr>
              <w:t xml:space="preserve">Provedba katastra vode </w:t>
            </w:r>
          </w:p>
        </w:tc>
        <w:tc>
          <w:tcPr>
            <w:tcW w:w="1216" w:type="dxa"/>
            <w:tcBorders>
              <w:top w:val="nil"/>
              <w:left w:val="nil"/>
              <w:bottom w:val="single" w:sz="4" w:space="0" w:color="auto"/>
              <w:right w:val="single" w:sz="4" w:space="0" w:color="auto"/>
            </w:tcBorders>
            <w:shd w:val="clear" w:color="auto" w:fill="C6EFCE"/>
            <w:noWrap/>
          </w:tcPr>
          <w:p w14:paraId="5C21DC9C" w14:textId="77777777" w:rsidR="003F46B9" w:rsidRDefault="0065662E">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1A1928FC" w14:textId="77777777" w:rsidR="003F46B9" w:rsidRDefault="0065662E">
            <w:pPr>
              <w:pStyle w:val="P68B1DB1-Normal35"/>
              <w:spacing w:after="0"/>
              <w:jc w:val="both"/>
              <w:rPr>
                <w:noProof/>
              </w:rPr>
            </w:pPr>
            <w:r>
              <w:rPr>
                <w:noProof/>
              </w:rPr>
              <w:t>Izrađen i operacionaliziran katastar vode</w:t>
            </w:r>
          </w:p>
        </w:tc>
      </w:tr>
      <w:tr w:rsidR="003F46B9" w14:paraId="2A680D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6D3271E" w14:textId="77777777" w:rsidR="003F46B9" w:rsidRDefault="0065662E">
            <w:pPr>
              <w:pStyle w:val="P68B1DB1-Normal35"/>
              <w:spacing w:after="0"/>
              <w:jc w:val="center"/>
              <w:rPr>
                <w:noProof/>
              </w:rPr>
            </w:pPr>
            <w:r>
              <w:rPr>
                <w:noProof/>
              </w:rPr>
              <w:t>20</w:t>
            </w:r>
          </w:p>
        </w:tc>
        <w:tc>
          <w:tcPr>
            <w:tcW w:w="3544" w:type="dxa"/>
            <w:tcBorders>
              <w:top w:val="nil"/>
              <w:left w:val="nil"/>
              <w:bottom w:val="single" w:sz="4" w:space="0" w:color="auto"/>
              <w:right w:val="single" w:sz="4" w:space="0" w:color="auto"/>
            </w:tcBorders>
            <w:shd w:val="clear" w:color="auto" w:fill="C6EFCE"/>
            <w:noWrap/>
          </w:tcPr>
          <w:p w14:paraId="4D90AAD9" w14:textId="77777777" w:rsidR="003F46B9" w:rsidRDefault="0065662E">
            <w:pPr>
              <w:pStyle w:val="P68B1DB1-Normal35"/>
              <w:spacing w:after="0"/>
              <w:jc w:val="both"/>
              <w:rPr>
                <w:noProof/>
              </w:rPr>
            </w:pPr>
            <w:r>
              <w:rPr>
                <w:noProof/>
              </w:rPr>
              <w:t xml:space="preserve">C1.I7 </w:t>
            </w:r>
          </w:p>
          <w:p w14:paraId="41F737D3" w14:textId="4C1A067E" w:rsidR="003F46B9" w:rsidRDefault="0065662E">
            <w:pPr>
              <w:pStyle w:val="P68B1DB1-Normal35"/>
              <w:spacing w:after="0"/>
              <w:jc w:val="both"/>
              <w:rPr>
                <w:noProof/>
              </w:rPr>
            </w:pPr>
            <w:r>
              <w:rPr>
                <w:noProof/>
              </w:rPr>
              <w:t xml:space="preserve">Proširenje nacionalne promatračke mreže nacionalnog integriranog meteorološkog sustava (SIMIN)  </w:t>
            </w:r>
          </w:p>
        </w:tc>
        <w:tc>
          <w:tcPr>
            <w:tcW w:w="1216" w:type="dxa"/>
            <w:tcBorders>
              <w:top w:val="nil"/>
              <w:left w:val="nil"/>
              <w:bottom w:val="single" w:sz="4" w:space="0" w:color="auto"/>
              <w:right w:val="single" w:sz="4" w:space="0" w:color="auto"/>
            </w:tcBorders>
            <w:shd w:val="clear" w:color="auto" w:fill="C6EFCE"/>
            <w:noWrap/>
          </w:tcPr>
          <w:p w14:paraId="44257032"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6B4E0022" w14:textId="77777777" w:rsidR="003F46B9" w:rsidRDefault="0065662E">
            <w:pPr>
              <w:pStyle w:val="P68B1DB1-Normal35"/>
              <w:spacing w:after="0"/>
              <w:jc w:val="both"/>
              <w:rPr>
                <w:noProof/>
              </w:rPr>
            </w:pPr>
            <w:r>
              <w:rPr>
                <w:noProof/>
              </w:rPr>
              <w:t xml:space="preserve">Kupljene i operativne meteorološke postaje </w:t>
            </w:r>
          </w:p>
        </w:tc>
      </w:tr>
      <w:tr w:rsidR="003F46B9" w14:paraId="644D3A3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4DF2436" w14:textId="77777777" w:rsidR="003F46B9" w:rsidRDefault="0065662E">
            <w:pPr>
              <w:pStyle w:val="P68B1DB1-Normal35"/>
              <w:spacing w:after="0"/>
              <w:jc w:val="center"/>
              <w:rPr>
                <w:noProof/>
              </w:rPr>
            </w:pPr>
            <w:r>
              <w:rPr>
                <w:noProof/>
              </w:rPr>
              <w:t>35</w:t>
            </w:r>
          </w:p>
        </w:tc>
        <w:tc>
          <w:tcPr>
            <w:tcW w:w="3544" w:type="dxa"/>
            <w:tcBorders>
              <w:top w:val="nil"/>
              <w:left w:val="nil"/>
              <w:bottom w:val="single" w:sz="4" w:space="0" w:color="auto"/>
              <w:right w:val="single" w:sz="4" w:space="0" w:color="auto"/>
            </w:tcBorders>
            <w:shd w:val="clear" w:color="auto" w:fill="C6EFCE"/>
            <w:noWrap/>
          </w:tcPr>
          <w:p w14:paraId="2F7D2634" w14:textId="77777777" w:rsidR="003F46B9" w:rsidRDefault="0065662E">
            <w:pPr>
              <w:pStyle w:val="P68B1DB1-Normal35"/>
              <w:spacing w:after="0"/>
              <w:jc w:val="both"/>
              <w:rPr>
                <w:noProof/>
              </w:rPr>
            </w:pPr>
            <w:r>
              <w:rPr>
                <w:noProof/>
              </w:rPr>
              <w:t xml:space="preserve">C2.I3.2. </w:t>
            </w:r>
          </w:p>
          <w:p w14:paraId="6F2F52A8" w14:textId="77777777" w:rsidR="003F46B9" w:rsidRDefault="0065662E">
            <w:pPr>
              <w:pStyle w:val="P68B1DB1-Normal35"/>
              <w:spacing w:after="0"/>
              <w:jc w:val="both"/>
              <w:rPr>
                <w:noProof/>
              </w:rPr>
            </w:pPr>
            <w:r>
              <w:rPr>
                <w:noProof/>
              </w:rPr>
              <w:t>Utvrđivanje potencijalnih područja za strogu zaštitu prirodnih kopnenih i morskih staništa r</w:t>
            </w:r>
            <w:r>
              <w:rPr>
                <w:noProof/>
              </w:rPr>
              <w:t>adi provedbe Strategije EU-a za bioraznolikost do 2030.</w:t>
            </w:r>
          </w:p>
        </w:tc>
        <w:tc>
          <w:tcPr>
            <w:tcW w:w="1216" w:type="dxa"/>
            <w:tcBorders>
              <w:top w:val="nil"/>
              <w:left w:val="nil"/>
              <w:bottom w:val="single" w:sz="4" w:space="0" w:color="auto"/>
              <w:right w:val="single" w:sz="4" w:space="0" w:color="auto"/>
            </w:tcBorders>
            <w:shd w:val="clear" w:color="auto" w:fill="C6EFCE"/>
            <w:noWrap/>
          </w:tcPr>
          <w:p w14:paraId="0582F8F6" w14:textId="77777777" w:rsidR="003F46B9" w:rsidRDefault="0065662E">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0C95A7A6" w14:textId="77777777" w:rsidR="003F46B9" w:rsidRDefault="0065662E">
            <w:pPr>
              <w:pStyle w:val="P68B1DB1-Normal35"/>
              <w:spacing w:after="0"/>
              <w:jc w:val="both"/>
              <w:rPr>
                <w:noProof/>
              </w:rPr>
            </w:pPr>
            <w:r>
              <w:rPr>
                <w:noProof/>
              </w:rPr>
              <w:t>Stupanje na snagu zakonodavnog akta o određivanju strogo zaštićenih područja (utvrđenih u zaštićenim područjima mreže Natura 2000 bez postojećih planova upravljanja i u drugim područjima)</w:t>
            </w:r>
          </w:p>
        </w:tc>
      </w:tr>
      <w:tr w:rsidR="003F46B9" w14:paraId="29FE7B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1BEF839" w14:textId="77777777" w:rsidR="003F46B9" w:rsidRDefault="0065662E">
            <w:pPr>
              <w:pStyle w:val="P68B1DB1-Normal35"/>
              <w:spacing w:after="0"/>
              <w:jc w:val="center"/>
              <w:rPr>
                <w:noProof/>
              </w:rPr>
            </w:pPr>
            <w:r>
              <w:rPr>
                <w:noProof/>
              </w:rPr>
              <w:t>57</w:t>
            </w:r>
          </w:p>
        </w:tc>
        <w:tc>
          <w:tcPr>
            <w:tcW w:w="3544" w:type="dxa"/>
            <w:tcBorders>
              <w:top w:val="nil"/>
              <w:left w:val="nil"/>
              <w:bottom w:val="single" w:sz="4" w:space="0" w:color="auto"/>
              <w:right w:val="single" w:sz="4" w:space="0" w:color="auto"/>
            </w:tcBorders>
            <w:shd w:val="clear" w:color="auto" w:fill="C6EFCE"/>
            <w:noWrap/>
          </w:tcPr>
          <w:p w14:paraId="16454494" w14:textId="77777777" w:rsidR="003F46B9" w:rsidRDefault="0065662E">
            <w:pPr>
              <w:pStyle w:val="P68B1DB1-Normal35"/>
              <w:spacing w:after="0"/>
              <w:jc w:val="both"/>
              <w:rPr>
                <w:noProof/>
              </w:rPr>
            </w:pPr>
            <w:r>
              <w:rPr>
                <w:noProof/>
              </w:rPr>
              <w:t>C3.I3a</w:t>
            </w:r>
            <w:r>
              <w:rPr>
                <w:noProof/>
              </w:rPr>
              <w:br/>
              <w:t>Oprema za praćenje i kontrolu za Nacionalnu službu za zaštitu okoliša</w:t>
            </w:r>
          </w:p>
        </w:tc>
        <w:tc>
          <w:tcPr>
            <w:tcW w:w="1216" w:type="dxa"/>
            <w:tcBorders>
              <w:top w:val="nil"/>
              <w:left w:val="nil"/>
              <w:bottom w:val="single" w:sz="4" w:space="0" w:color="auto"/>
              <w:right w:val="single" w:sz="4" w:space="0" w:color="auto"/>
            </w:tcBorders>
            <w:shd w:val="clear" w:color="auto" w:fill="C6EFCE"/>
            <w:noWrap/>
          </w:tcPr>
          <w:p w14:paraId="7A649923"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053CD7A" w14:textId="77777777" w:rsidR="003F46B9" w:rsidRDefault="0065662E">
            <w:pPr>
              <w:pStyle w:val="P68B1DB1-Normal35"/>
              <w:spacing w:after="0"/>
              <w:jc w:val="both"/>
              <w:rPr>
                <w:noProof/>
              </w:rPr>
            </w:pPr>
            <w:r>
              <w:rPr>
                <w:noProof/>
              </w:rPr>
              <w:t>400 kontrolnih misija s pomoću opreme za praćenje i kontrolu</w:t>
            </w:r>
          </w:p>
        </w:tc>
      </w:tr>
      <w:tr w:rsidR="003F46B9" w14:paraId="142844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2CABCAA" w14:textId="77777777" w:rsidR="003F46B9" w:rsidRDefault="0065662E">
            <w:pPr>
              <w:pStyle w:val="P68B1DB1-Normal35"/>
              <w:spacing w:after="0"/>
              <w:jc w:val="center"/>
              <w:rPr>
                <w:rFonts w:eastAsia="Times New Roman"/>
                <w:noProof/>
              </w:rPr>
            </w:pPr>
            <w:r>
              <w:rPr>
                <w:noProof/>
              </w:rPr>
              <w:t>81</w:t>
            </w:r>
          </w:p>
        </w:tc>
        <w:tc>
          <w:tcPr>
            <w:tcW w:w="3544" w:type="dxa"/>
            <w:tcBorders>
              <w:top w:val="nil"/>
              <w:left w:val="nil"/>
              <w:bottom w:val="single" w:sz="4" w:space="0" w:color="auto"/>
              <w:right w:val="single" w:sz="4" w:space="0" w:color="auto"/>
            </w:tcBorders>
            <w:shd w:val="clear" w:color="auto" w:fill="C6EFCE"/>
            <w:noWrap/>
            <w:hideMark/>
          </w:tcPr>
          <w:p w14:paraId="56B47E07" w14:textId="77777777" w:rsidR="003F46B9" w:rsidRDefault="0065662E">
            <w:pPr>
              <w:pStyle w:val="P68B1DB1-Normal35"/>
              <w:spacing w:after="0"/>
              <w:jc w:val="both"/>
              <w:rPr>
                <w:noProof/>
              </w:rPr>
            </w:pPr>
            <w:r>
              <w:rPr>
                <w:noProof/>
              </w:rPr>
              <w:t>C4.R2</w:t>
            </w:r>
          </w:p>
          <w:p w14:paraId="6553BC31" w14:textId="77777777" w:rsidR="003F46B9" w:rsidRDefault="0065662E">
            <w:pPr>
              <w:pStyle w:val="P68B1DB1-Normal35"/>
              <w:spacing w:after="0"/>
              <w:jc w:val="both"/>
              <w:rPr>
                <w:rFonts w:eastAsia="Times New Roman"/>
                <w:noProof/>
              </w:rPr>
            </w:pPr>
            <w:r>
              <w:rPr>
                <w:noProof/>
              </w:rPr>
              <w:t xml:space="preserve">Upravljanje kvalitetom u prometu na temelju uspješnosti – poboljšanje institucijskih kapaciteta i korporativnog </w:t>
            </w:r>
            <w:r>
              <w:rPr>
                <w:noProof/>
              </w:rPr>
              <w:t>upravljanja</w:t>
            </w:r>
          </w:p>
        </w:tc>
        <w:tc>
          <w:tcPr>
            <w:tcW w:w="1216" w:type="dxa"/>
            <w:tcBorders>
              <w:top w:val="nil"/>
              <w:left w:val="nil"/>
              <w:bottom w:val="single" w:sz="4" w:space="0" w:color="auto"/>
              <w:right w:val="single" w:sz="4" w:space="0" w:color="auto"/>
            </w:tcBorders>
            <w:shd w:val="clear" w:color="auto" w:fill="C6EFCE"/>
            <w:noWrap/>
            <w:hideMark/>
          </w:tcPr>
          <w:p w14:paraId="586781FC" w14:textId="77777777" w:rsidR="003F46B9" w:rsidRDefault="0065662E">
            <w:pPr>
              <w:pStyle w:val="P68B1DB1-Normal35"/>
              <w:spacing w:after="0"/>
              <w:jc w:val="center"/>
              <w:rPr>
                <w:rFonts w:eastAsia="Times New Roman"/>
                <w:noProof/>
              </w:rPr>
            </w:pPr>
            <w:r>
              <w:rPr>
                <w:noProof/>
              </w:rPr>
              <w:t>T</w:t>
            </w:r>
          </w:p>
        </w:tc>
        <w:tc>
          <w:tcPr>
            <w:tcW w:w="3461" w:type="dxa"/>
            <w:tcBorders>
              <w:top w:val="nil"/>
              <w:left w:val="nil"/>
              <w:bottom w:val="single" w:sz="4" w:space="0" w:color="auto"/>
              <w:right w:val="single" w:sz="4" w:space="0" w:color="auto"/>
            </w:tcBorders>
            <w:shd w:val="clear" w:color="auto" w:fill="C6EFCE"/>
            <w:noWrap/>
            <w:hideMark/>
          </w:tcPr>
          <w:p w14:paraId="15F286C1" w14:textId="77777777" w:rsidR="003F46B9" w:rsidRDefault="0065662E">
            <w:pPr>
              <w:pStyle w:val="P68B1DB1-Normal35"/>
              <w:spacing w:after="0"/>
              <w:jc w:val="both"/>
              <w:rPr>
                <w:rFonts w:eastAsia="Times New Roman"/>
                <w:noProof/>
              </w:rPr>
            </w:pPr>
            <w:r>
              <w:rPr>
                <w:noProof/>
              </w:rPr>
              <w:t>Poboljšana učinkovitost željeznica u smislu točnosti vlakova</w:t>
            </w:r>
          </w:p>
        </w:tc>
      </w:tr>
      <w:tr w:rsidR="003F46B9" w14:paraId="7AFBB1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B1AF1E" w14:textId="77777777" w:rsidR="003F46B9" w:rsidRDefault="0065662E">
            <w:pPr>
              <w:pStyle w:val="P68B1DB1-Normal35"/>
              <w:spacing w:after="0"/>
              <w:jc w:val="center"/>
              <w:rPr>
                <w:noProof/>
              </w:rPr>
            </w:pPr>
            <w:r>
              <w:rPr>
                <w:noProof/>
              </w:rPr>
              <w:t>112</w:t>
            </w:r>
          </w:p>
        </w:tc>
        <w:tc>
          <w:tcPr>
            <w:tcW w:w="3544" w:type="dxa"/>
            <w:tcBorders>
              <w:top w:val="nil"/>
              <w:left w:val="nil"/>
              <w:bottom w:val="single" w:sz="4" w:space="0" w:color="auto"/>
              <w:right w:val="single" w:sz="4" w:space="0" w:color="auto"/>
            </w:tcBorders>
            <w:shd w:val="clear" w:color="auto" w:fill="C6EFCE"/>
            <w:noWrap/>
          </w:tcPr>
          <w:p w14:paraId="3797DE1A" w14:textId="77777777" w:rsidR="003F46B9" w:rsidRDefault="0065662E">
            <w:pPr>
              <w:pStyle w:val="P68B1DB1-Normal35"/>
              <w:spacing w:after="0"/>
              <w:jc w:val="both"/>
              <w:rPr>
                <w:noProof/>
              </w:rPr>
            </w:pPr>
            <w:r>
              <w:rPr>
                <w:noProof/>
              </w:rPr>
              <w:t>C5.I4</w:t>
            </w:r>
          </w:p>
          <w:p w14:paraId="58305ADE" w14:textId="77777777" w:rsidR="003F46B9" w:rsidRDefault="0065662E">
            <w:pPr>
              <w:pStyle w:val="P68B1DB1-Normal35"/>
              <w:spacing w:after="0"/>
              <w:jc w:val="both"/>
              <w:rPr>
                <w:noProof/>
              </w:rPr>
            </w:pPr>
            <w:r>
              <w:rPr>
                <w:noProof/>
              </w:rPr>
              <w:t>Kružno gospodarstvo i veća energetska učinkovitost povijesnih zgrada</w:t>
            </w:r>
          </w:p>
        </w:tc>
        <w:tc>
          <w:tcPr>
            <w:tcW w:w="1216" w:type="dxa"/>
            <w:tcBorders>
              <w:top w:val="nil"/>
              <w:left w:val="nil"/>
              <w:bottom w:val="single" w:sz="4" w:space="0" w:color="auto"/>
              <w:right w:val="single" w:sz="4" w:space="0" w:color="auto"/>
            </w:tcBorders>
            <w:shd w:val="clear" w:color="auto" w:fill="C6EFCE"/>
            <w:noWrap/>
          </w:tcPr>
          <w:p w14:paraId="521AE52B"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6CD67963" w14:textId="77777777" w:rsidR="003F46B9" w:rsidRDefault="0065662E">
            <w:pPr>
              <w:pStyle w:val="P68B1DB1-Normal35"/>
              <w:spacing w:after="0"/>
              <w:jc w:val="both"/>
              <w:rPr>
                <w:noProof/>
              </w:rPr>
            </w:pPr>
            <w:r>
              <w:rPr>
                <w:noProof/>
              </w:rPr>
              <w:t xml:space="preserve">Najmanje 200 stručnjaka s certifikatom za završetak osposobljavanja o intervencijama i energetskoj </w:t>
            </w:r>
            <w:r>
              <w:rPr>
                <w:noProof/>
              </w:rPr>
              <w:t>učinkovitosti povijesnih zgrada</w:t>
            </w:r>
          </w:p>
        </w:tc>
      </w:tr>
      <w:tr w:rsidR="003F46B9" w14:paraId="6278156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E26E15" w14:textId="77777777" w:rsidR="003F46B9" w:rsidRDefault="0065662E">
            <w:pPr>
              <w:pStyle w:val="P68B1DB1-Normal35"/>
              <w:spacing w:after="0"/>
              <w:jc w:val="center"/>
              <w:rPr>
                <w:noProof/>
              </w:rPr>
            </w:pPr>
            <w:r>
              <w:rPr>
                <w:noProof/>
              </w:rPr>
              <w:t>131</w:t>
            </w:r>
          </w:p>
        </w:tc>
        <w:tc>
          <w:tcPr>
            <w:tcW w:w="3544" w:type="dxa"/>
            <w:tcBorders>
              <w:top w:val="nil"/>
              <w:left w:val="nil"/>
              <w:bottom w:val="single" w:sz="4" w:space="0" w:color="auto"/>
              <w:right w:val="single" w:sz="4" w:space="0" w:color="auto"/>
            </w:tcBorders>
            <w:shd w:val="clear" w:color="auto" w:fill="C6EFCE"/>
            <w:noWrap/>
          </w:tcPr>
          <w:p w14:paraId="1DA5E18A" w14:textId="77777777" w:rsidR="003F46B9" w:rsidRDefault="0065662E">
            <w:pPr>
              <w:pStyle w:val="P68B1DB1-Normal35"/>
              <w:spacing w:after="0"/>
              <w:jc w:val="both"/>
              <w:rPr>
                <w:noProof/>
              </w:rPr>
            </w:pPr>
            <w:r>
              <w:rPr>
                <w:noProof/>
              </w:rPr>
              <w:t>C6.I2</w:t>
            </w:r>
          </w:p>
          <w:p w14:paraId="7FCA30AA" w14:textId="77777777" w:rsidR="003F46B9" w:rsidRDefault="0065662E">
            <w:pPr>
              <w:pStyle w:val="P68B1DB1-Normal35"/>
              <w:spacing w:after="0"/>
              <w:jc w:val="both"/>
              <w:rPr>
                <w:noProof/>
              </w:rPr>
            </w:pPr>
            <w:r>
              <w:rPr>
                <w:noProof/>
              </w:rPr>
              <w:t xml:space="preserve">Distribucijska infrastruktura plinova iz obnovljivih izvora (korištenje prirodnog plina u kombinaciji sa zelenim vodikom kao prijelaznom mjerom) te kapaciteti za proizvodnju zelenog vodika i/ili njegova upotreba </w:t>
            </w:r>
            <w:r>
              <w:rPr>
                <w:noProof/>
              </w:rPr>
              <w:t>za skladištenje električne energije</w:t>
            </w:r>
          </w:p>
        </w:tc>
        <w:tc>
          <w:tcPr>
            <w:tcW w:w="1216" w:type="dxa"/>
            <w:tcBorders>
              <w:top w:val="nil"/>
              <w:left w:val="nil"/>
              <w:bottom w:val="single" w:sz="4" w:space="0" w:color="auto"/>
              <w:right w:val="single" w:sz="4" w:space="0" w:color="auto"/>
            </w:tcBorders>
            <w:shd w:val="clear" w:color="auto" w:fill="C6EFCE"/>
            <w:noWrap/>
          </w:tcPr>
          <w:p w14:paraId="0AB9D92E"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16CD7116" w14:textId="77777777" w:rsidR="003F46B9" w:rsidRDefault="0065662E">
            <w:pPr>
              <w:pStyle w:val="P68B1DB1-Normal35"/>
              <w:spacing w:after="0"/>
              <w:jc w:val="both"/>
              <w:rPr>
                <w:noProof/>
              </w:rPr>
            </w:pPr>
            <w:r>
              <w:rPr>
                <w:noProof/>
              </w:rPr>
              <w:t>Proizvodnja zelenog vodika</w:t>
            </w:r>
          </w:p>
        </w:tc>
      </w:tr>
      <w:tr w:rsidR="003F46B9" w14:paraId="061E50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5425A7E" w14:textId="77777777" w:rsidR="003F46B9" w:rsidRDefault="0065662E">
            <w:pPr>
              <w:pStyle w:val="P68B1DB1-Normal35"/>
              <w:spacing w:after="0"/>
              <w:jc w:val="center"/>
              <w:rPr>
                <w:noProof/>
              </w:rPr>
            </w:pPr>
            <w:r>
              <w:rPr>
                <w:noProof/>
              </w:rPr>
              <w:t>141</w:t>
            </w:r>
          </w:p>
        </w:tc>
        <w:tc>
          <w:tcPr>
            <w:tcW w:w="3544" w:type="dxa"/>
            <w:tcBorders>
              <w:top w:val="nil"/>
              <w:left w:val="nil"/>
              <w:bottom w:val="single" w:sz="4" w:space="0" w:color="auto"/>
              <w:right w:val="single" w:sz="4" w:space="0" w:color="auto"/>
            </w:tcBorders>
            <w:shd w:val="clear" w:color="auto" w:fill="C6EFCE"/>
            <w:noWrap/>
          </w:tcPr>
          <w:p w14:paraId="0D967DA7" w14:textId="77777777" w:rsidR="003F46B9" w:rsidRDefault="0065662E">
            <w:pPr>
              <w:pStyle w:val="P68B1DB1-Normal35"/>
              <w:spacing w:after="0"/>
              <w:jc w:val="both"/>
              <w:rPr>
                <w:noProof/>
              </w:rPr>
            </w:pPr>
            <w:r>
              <w:rPr>
                <w:noProof/>
              </w:rPr>
              <w:t>C6.I5</w:t>
            </w:r>
          </w:p>
          <w:p w14:paraId="615F161B" w14:textId="77777777" w:rsidR="003F46B9" w:rsidRDefault="0065662E">
            <w:pPr>
              <w:pStyle w:val="P68B1DB1-Normal35"/>
              <w:spacing w:after="0"/>
              <w:jc w:val="both"/>
              <w:rPr>
                <w:noProof/>
              </w:rPr>
            </w:pPr>
            <w:r>
              <w:rPr>
                <w:noProof/>
              </w:rPr>
              <w:t xml:space="preserve">Izrada programa poticaja za energetsku učinkovitost u industriji i povećanje otpornosti industrije </w:t>
            </w:r>
          </w:p>
        </w:tc>
        <w:tc>
          <w:tcPr>
            <w:tcW w:w="1216" w:type="dxa"/>
            <w:tcBorders>
              <w:top w:val="nil"/>
              <w:left w:val="nil"/>
              <w:bottom w:val="single" w:sz="4" w:space="0" w:color="auto"/>
              <w:right w:val="single" w:sz="4" w:space="0" w:color="auto"/>
            </w:tcBorders>
            <w:shd w:val="clear" w:color="auto" w:fill="C6EFCE"/>
            <w:noWrap/>
          </w:tcPr>
          <w:p w14:paraId="17DFEA9E"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4387CF4" w14:textId="77777777" w:rsidR="003F46B9" w:rsidRDefault="0065662E">
            <w:pPr>
              <w:pStyle w:val="P68B1DB1-Normal35"/>
              <w:spacing w:after="0"/>
              <w:jc w:val="both"/>
              <w:rPr>
                <w:noProof/>
              </w:rPr>
            </w:pPr>
            <w:r>
              <w:rPr>
                <w:noProof/>
              </w:rPr>
              <w:t>Dovršeni projekt energetske učinkovitosti</w:t>
            </w:r>
          </w:p>
        </w:tc>
      </w:tr>
      <w:tr w:rsidR="003F46B9" w14:paraId="1442C5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F180B3" w14:textId="77777777" w:rsidR="003F46B9" w:rsidRDefault="0065662E">
            <w:pPr>
              <w:pStyle w:val="P68B1DB1-Normal35"/>
              <w:spacing w:after="0"/>
              <w:jc w:val="center"/>
              <w:rPr>
                <w:noProof/>
              </w:rPr>
            </w:pPr>
            <w:r>
              <w:rPr>
                <w:noProof/>
              </w:rPr>
              <w:t>188</w:t>
            </w:r>
          </w:p>
        </w:tc>
        <w:tc>
          <w:tcPr>
            <w:tcW w:w="3544" w:type="dxa"/>
            <w:tcBorders>
              <w:top w:val="nil"/>
              <w:left w:val="nil"/>
              <w:bottom w:val="single" w:sz="4" w:space="0" w:color="auto"/>
              <w:right w:val="single" w:sz="4" w:space="0" w:color="auto"/>
            </w:tcBorders>
            <w:shd w:val="clear" w:color="auto" w:fill="C6EFCE"/>
            <w:noWrap/>
          </w:tcPr>
          <w:p w14:paraId="72E33089" w14:textId="77777777" w:rsidR="003F46B9" w:rsidRDefault="0065662E">
            <w:pPr>
              <w:pStyle w:val="P68B1DB1-Normal35"/>
              <w:spacing w:after="0"/>
              <w:jc w:val="both"/>
              <w:rPr>
                <w:noProof/>
              </w:rPr>
            </w:pPr>
            <w:r>
              <w:rPr>
                <w:noProof/>
              </w:rPr>
              <w:t>C7.I18</w:t>
            </w:r>
            <w:r>
              <w:rPr>
                <w:noProof/>
              </w:rPr>
              <w:br/>
              <w:t>Digitalna transformacija</w:t>
            </w:r>
            <w:r>
              <w:rPr>
                <w:noProof/>
              </w:rPr>
              <w:t xml:space="preserve"> i automatizacija robotskog procesa u javnoj upravi</w:t>
            </w:r>
          </w:p>
        </w:tc>
        <w:tc>
          <w:tcPr>
            <w:tcW w:w="1216" w:type="dxa"/>
            <w:tcBorders>
              <w:top w:val="nil"/>
              <w:left w:val="nil"/>
              <w:bottom w:val="single" w:sz="4" w:space="0" w:color="auto"/>
              <w:right w:val="single" w:sz="4" w:space="0" w:color="auto"/>
            </w:tcBorders>
            <w:shd w:val="clear" w:color="auto" w:fill="C6EFCE"/>
            <w:noWrap/>
          </w:tcPr>
          <w:p w14:paraId="10C9EBFD"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D6EF1E6" w14:textId="77777777" w:rsidR="003F46B9" w:rsidRDefault="0065662E">
            <w:pPr>
              <w:pStyle w:val="P68B1DB1-Normal35"/>
              <w:spacing w:after="0"/>
              <w:jc w:val="both"/>
              <w:rPr>
                <w:noProof/>
              </w:rPr>
            </w:pPr>
            <w:r>
              <w:rPr>
                <w:noProof/>
              </w:rPr>
              <w:t xml:space="preserve">Automatizacija robotskog procesa (RPA) i promicanje umjetne inteligencije (UI) u javnoj upravi </w:t>
            </w:r>
          </w:p>
        </w:tc>
      </w:tr>
      <w:tr w:rsidR="003F46B9" w14:paraId="53DADD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0A8E4E9" w14:textId="77777777" w:rsidR="003F46B9" w:rsidRDefault="0065662E">
            <w:pPr>
              <w:pStyle w:val="P68B1DB1-Normal35"/>
              <w:spacing w:after="0"/>
              <w:jc w:val="center"/>
              <w:rPr>
                <w:noProof/>
              </w:rPr>
            </w:pPr>
            <w:r>
              <w:rPr>
                <w:noProof/>
              </w:rPr>
              <w:t>190</w:t>
            </w:r>
          </w:p>
        </w:tc>
        <w:tc>
          <w:tcPr>
            <w:tcW w:w="3544" w:type="dxa"/>
            <w:tcBorders>
              <w:top w:val="nil"/>
              <w:left w:val="nil"/>
              <w:bottom w:val="single" w:sz="4" w:space="0" w:color="auto"/>
              <w:right w:val="single" w:sz="4" w:space="0" w:color="auto"/>
            </w:tcBorders>
            <w:shd w:val="clear" w:color="auto" w:fill="C6EFCE"/>
            <w:noWrap/>
          </w:tcPr>
          <w:p w14:paraId="4A62A525" w14:textId="77777777" w:rsidR="003F46B9" w:rsidRDefault="0065662E">
            <w:pPr>
              <w:pStyle w:val="P68B1DB1-Normal35"/>
              <w:spacing w:after="0"/>
              <w:jc w:val="both"/>
              <w:rPr>
                <w:noProof/>
              </w:rPr>
            </w:pPr>
            <w:r>
              <w:rPr>
                <w:noProof/>
              </w:rPr>
              <w:t>C7.I19</w:t>
            </w:r>
          </w:p>
          <w:p w14:paraId="456668DD" w14:textId="77777777" w:rsidR="003F46B9" w:rsidRDefault="0065662E">
            <w:pPr>
              <w:pStyle w:val="P68B1DB1-Normal35"/>
              <w:spacing w:after="0"/>
              <w:jc w:val="both"/>
              <w:rPr>
                <w:noProof/>
              </w:rPr>
            </w:pPr>
            <w:r>
              <w:rPr>
                <w:noProof/>
              </w:rPr>
              <w:t>Programi za usavršavanje/prekvalifikaciju zaposlenika u poduzećima</w:t>
            </w:r>
          </w:p>
        </w:tc>
        <w:tc>
          <w:tcPr>
            <w:tcW w:w="1216" w:type="dxa"/>
            <w:tcBorders>
              <w:top w:val="nil"/>
              <w:left w:val="nil"/>
              <w:bottom w:val="single" w:sz="4" w:space="0" w:color="auto"/>
              <w:right w:val="single" w:sz="4" w:space="0" w:color="auto"/>
            </w:tcBorders>
            <w:shd w:val="clear" w:color="auto" w:fill="C6EFCE"/>
            <w:noWrap/>
          </w:tcPr>
          <w:p w14:paraId="04D1B9C2"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7CD00849" w14:textId="77777777" w:rsidR="003F46B9" w:rsidRDefault="0065662E">
            <w:pPr>
              <w:pStyle w:val="P68B1DB1-Normal35"/>
              <w:spacing w:after="0"/>
              <w:jc w:val="both"/>
              <w:rPr>
                <w:noProof/>
              </w:rPr>
            </w:pPr>
            <w:r>
              <w:rPr>
                <w:noProof/>
              </w:rPr>
              <w:t>MSP-ovi financirani za os</w:t>
            </w:r>
            <w:r>
              <w:rPr>
                <w:noProof/>
              </w:rPr>
              <w:t xml:space="preserve">posobljavanje osoblja u području digitalnih vještina </w:t>
            </w:r>
          </w:p>
        </w:tc>
      </w:tr>
      <w:tr w:rsidR="003F46B9" w14:paraId="04574BB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85AFE" w14:textId="77777777" w:rsidR="003F46B9" w:rsidRDefault="0065662E">
            <w:pPr>
              <w:pStyle w:val="P68B1DB1-Normal35"/>
              <w:spacing w:after="0"/>
              <w:jc w:val="center"/>
              <w:rPr>
                <w:noProof/>
              </w:rPr>
            </w:pPr>
            <w:r>
              <w:rPr>
                <w:noProof/>
              </w:rPr>
              <w:t>244</w:t>
            </w:r>
          </w:p>
        </w:tc>
        <w:tc>
          <w:tcPr>
            <w:tcW w:w="3544" w:type="dxa"/>
            <w:tcBorders>
              <w:top w:val="nil"/>
              <w:left w:val="nil"/>
              <w:bottom w:val="single" w:sz="4" w:space="0" w:color="auto"/>
              <w:right w:val="single" w:sz="4" w:space="0" w:color="auto"/>
            </w:tcBorders>
            <w:shd w:val="clear" w:color="auto" w:fill="C6EFCE"/>
            <w:noWrap/>
          </w:tcPr>
          <w:p w14:paraId="54778675" w14:textId="77777777" w:rsidR="003F46B9" w:rsidRDefault="0065662E">
            <w:pPr>
              <w:pStyle w:val="P68B1DB1-Normal35"/>
              <w:spacing w:after="0"/>
              <w:jc w:val="both"/>
              <w:rPr>
                <w:noProof/>
              </w:rPr>
            </w:pPr>
            <w:r>
              <w:rPr>
                <w:noProof/>
              </w:rPr>
              <w:t>C9.R1</w:t>
            </w:r>
          </w:p>
          <w:p w14:paraId="086E1B96" w14:textId="77777777" w:rsidR="003F46B9" w:rsidRDefault="0065662E">
            <w:pPr>
              <w:pStyle w:val="P68B1DB1-Normal35"/>
              <w:spacing w:after="0"/>
              <w:jc w:val="both"/>
              <w:rPr>
                <w:noProof/>
              </w:rPr>
            </w:pPr>
            <w:r>
              <w:rPr>
                <w:noProof/>
              </w:rPr>
              <w:t xml:space="preserve">Zakonodavna transparentnost, debirokratizacija i pojednostavnjenje postupaka za poduzeća </w:t>
            </w:r>
          </w:p>
        </w:tc>
        <w:tc>
          <w:tcPr>
            <w:tcW w:w="1216" w:type="dxa"/>
            <w:tcBorders>
              <w:top w:val="nil"/>
              <w:left w:val="nil"/>
              <w:bottom w:val="single" w:sz="4" w:space="0" w:color="auto"/>
              <w:right w:val="single" w:sz="4" w:space="0" w:color="auto"/>
            </w:tcBorders>
            <w:shd w:val="clear" w:color="auto" w:fill="C6EFCE"/>
            <w:noWrap/>
          </w:tcPr>
          <w:p w14:paraId="0324FE3F"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D3A6591" w14:textId="77777777" w:rsidR="003F46B9" w:rsidRDefault="0065662E">
            <w:pPr>
              <w:pStyle w:val="P68B1DB1-Normal35"/>
              <w:spacing w:after="0"/>
              <w:jc w:val="both"/>
              <w:rPr>
                <w:noProof/>
              </w:rPr>
            </w:pPr>
            <w:r>
              <w:rPr>
                <w:noProof/>
              </w:rPr>
              <w:t xml:space="preserve">Skraćivanje prosječnog vremena potrebnog za ispunjavanje regulatornih zahtjeva povezanih s poslovnim okruženjem </w:t>
            </w:r>
          </w:p>
        </w:tc>
      </w:tr>
      <w:tr w:rsidR="003F46B9" w14:paraId="08C49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0156E5" w14:textId="77777777" w:rsidR="003F46B9" w:rsidRDefault="0065662E">
            <w:pPr>
              <w:pStyle w:val="P68B1DB1-Normal35"/>
              <w:spacing w:after="0"/>
              <w:jc w:val="center"/>
              <w:rPr>
                <w:noProof/>
              </w:rPr>
            </w:pPr>
            <w:r>
              <w:rPr>
                <w:noProof/>
              </w:rPr>
              <w:t>245</w:t>
            </w:r>
          </w:p>
        </w:tc>
        <w:tc>
          <w:tcPr>
            <w:tcW w:w="3544" w:type="dxa"/>
            <w:tcBorders>
              <w:top w:val="nil"/>
              <w:left w:val="nil"/>
              <w:bottom w:val="single" w:sz="4" w:space="0" w:color="auto"/>
              <w:right w:val="single" w:sz="4" w:space="0" w:color="auto"/>
            </w:tcBorders>
            <w:shd w:val="clear" w:color="auto" w:fill="C6EFCE"/>
            <w:noWrap/>
          </w:tcPr>
          <w:p w14:paraId="626F62BC" w14:textId="77777777" w:rsidR="003F46B9" w:rsidRDefault="0065662E">
            <w:pPr>
              <w:pStyle w:val="P68B1DB1-Normal35"/>
              <w:spacing w:after="0"/>
              <w:jc w:val="both"/>
              <w:rPr>
                <w:noProof/>
              </w:rPr>
            </w:pPr>
            <w:r>
              <w:rPr>
                <w:noProof/>
              </w:rPr>
              <w:t>C9.R1</w:t>
            </w:r>
          </w:p>
          <w:p w14:paraId="662BB471" w14:textId="77777777" w:rsidR="003F46B9" w:rsidRDefault="0065662E">
            <w:pPr>
              <w:pStyle w:val="P68B1DB1-Normal35"/>
              <w:spacing w:after="0"/>
              <w:jc w:val="both"/>
              <w:rPr>
                <w:noProof/>
              </w:rPr>
            </w:pPr>
            <w:r>
              <w:rPr>
                <w:noProof/>
              </w:rPr>
              <w:t xml:space="preserve">Zakonodavna transparentnost, debirokratizacija i pojednostavnjenje postupaka za poduzeća </w:t>
            </w:r>
          </w:p>
        </w:tc>
        <w:tc>
          <w:tcPr>
            <w:tcW w:w="1216" w:type="dxa"/>
            <w:tcBorders>
              <w:top w:val="nil"/>
              <w:left w:val="nil"/>
              <w:bottom w:val="single" w:sz="4" w:space="0" w:color="auto"/>
              <w:right w:val="single" w:sz="4" w:space="0" w:color="auto"/>
            </w:tcBorders>
            <w:shd w:val="clear" w:color="auto" w:fill="C6EFCE"/>
            <w:noWrap/>
          </w:tcPr>
          <w:p w14:paraId="35B62D57"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8F637BA" w14:textId="77777777" w:rsidR="003F46B9" w:rsidRDefault="0065662E">
            <w:pPr>
              <w:pStyle w:val="P68B1DB1-Normal35"/>
              <w:spacing w:after="0"/>
              <w:jc w:val="both"/>
              <w:rPr>
                <w:noProof/>
              </w:rPr>
            </w:pPr>
            <w:r>
              <w:rPr>
                <w:noProof/>
              </w:rPr>
              <w:t xml:space="preserve">Zakonodavni akti/izmjena koja se odnosi </w:t>
            </w:r>
            <w:r>
              <w:rPr>
                <w:noProof/>
              </w:rPr>
              <w:t>na MSP-ove na koje je test primijenjen</w:t>
            </w:r>
          </w:p>
        </w:tc>
      </w:tr>
      <w:tr w:rsidR="003F46B9" w14:paraId="383B12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41D44" w14:textId="77777777" w:rsidR="003F46B9" w:rsidRDefault="0065662E">
            <w:pPr>
              <w:pStyle w:val="P68B1DB1-Normal35"/>
              <w:spacing w:after="0"/>
              <w:jc w:val="center"/>
              <w:rPr>
                <w:noProof/>
              </w:rPr>
            </w:pPr>
            <w:r>
              <w:rPr>
                <w:noProof/>
              </w:rPr>
              <w:t>275</w:t>
            </w:r>
          </w:p>
        </w:tc>
        <w:tc>
          <w:tcPr>
            <w:tcW w:w="3544" w:type="dxa"/>
            <w:tcBorders>
              <w:top w:val="nil"/>
              <w:left w:val="nil"/>
              <w:bottom w:val="single" w:sz="4" w:space="0" w:color="auto"/>
              <w:right w:val="single" w:sz="4" w:space="0" w:color="auto"/>
            </w:tcBorders>
            <w:shd w:val="clear" w:color="auto" w:fill="C6EFCE"/>
            <w:noWrap/>
          </w:tcPr>
          <w:p w14:paraId="5C63BD0D" w14:textId="77777777" w:rsidR="003F46B9" w:rsidRDefault="0065662E">
            <w:pPr>
              <w:pStyle w:val="P68B1DB1-Normal35"/>
              <w:spacing w:after="0"/>
              <w:jc w:val="both"/>
              <w:rPr>
                <w:noProof/>
              </w:rPr>
            </w:pPr>
            <w:r>
              <w:rPr>
                <w:noProof/>
              </w:rPr>
              <w:t xml:space="preserve">C9.R3 </w:t>
            </w:r>
          </w:p>
          <w:p w14:paraId="79588598" w14:textId="77777777" w:rsidR="003F46B9" w:rsidRDefault="0065662E">
            <w:pPr>
              <w:pStyle w:val="P68B1DB1-Normal35"/>
              <w:spacing w:after="0"/>
              <w:jc w:val="both"/>
              <w:rPr>
                <w:noProof/>
              </w:rPr>
            </w:pPr>
            <w:r>
              <w:rPr>
                <w:noProof/>
              </w:rPr>
              <w:t xml:space="preserve">Reforma istraživačke karijere </w:t>
            </w:r>
          </w:p>
        </w:tc>
        <w:tc>
          <w:tcPr>
            <w:tcW w:w="1216" w:type="dxa"/>
            <w:tcBorders>
              <w:top w:val="nil"/>
              <w:left w:val="nil"/>
              <w:bottom w:val="single" w:sz="4" w:space="0" w:color="auto"/>
              <w:right w:val="single" w:sz="4" w:space="0" w:color="auto"/>
            </w:tcBorders>
            <w:shd w:val="clear" w:color="auto" w:fill="C6EFCE"/>
            <w:noWrap/>
          </w:tcPr>
          <w:p w14:paraId="540A0B4F"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060AF8A" w14:textId="77777777" w:rsidR="003F46B9" w:rsidRDefault="0065662E">
            <w:pPr>
              <w:pStyle w:val="P68B1DB1-Normal35"/>
              <w:spacing w:after="0"/>
              <w:jc w:val="both"/>
              <w:rPr>
                <w:noProof/>
              </w:rPr>
            </w:pPr>
            <w:r>
              <w:rPr>
                <w:noProof/>
              </w:rPr>
              <w:t xml:space="preserve">Institucije koje su se pridržavale Europske povelje za istraživače i Kodeksa o zapošljavanju istraživača pokrenule su postupak izrade, provedbe i procjene akcijskih planova </w:t>
            </w:r>
          </w:p>
        </w:tc>
      </w:tr>
      <w:tr w:rsidR="003F46B9" w14:paraId="1BEF9A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D4D423A" w14:textId="77777777" w:rsidR="003F46B9" w:rsidRDefault="0065662E">
            <w:pPr>
              <w:pStyle w:val="P68B1DB1-Normal35"/>
              <w:spacing w:after="0"/>
              <w:jc w:val="center"/>
              <w:rPr>
                <w:noProof/>
              </w:rPr>
            </w:pPr>
            <w:r>
              <w:rPr>
                <w:noProof/>
              </w:rPr>
              <w:t>281</w:t>
            </w:r>
          </w:p>
        </w:tc>
        <w:tc>
          <w:tcPr>
            <w:tcW w:w="3544" w:type="dxa"/>
            <w:tcBorders>
              <w:top w:val="nil"/>
              <w:left w:val="nil"/>
              <w:bottom w:val="single" w:sz="4" w:space="0" w:color="auto"/>
              <w:right w:val="single" w:sz="4" w:space="0" w:color="auto"/>
            </w:tcBorders>
            <w:shd w:val="clear" w:color="auto" w:fill="C6EFCE"/>
            <w:noWrap/>
          </w:tcPr>
          <w:p w14:paraId="27F2794C" w14:textId="77777777" w:rsidR="003F46B9" w:rsidRDefault="0065662E">
            <w:pPr>
              <w:pStyle w:val="P68B1DB1-Normal35"/>
              <w:spacing w:after="0"/>
              <w:jc w:val="both"/>
              <w:rPr>
                <w:noProof/>
              </w:rPr>
            </w:pPr>
            <w:r>
              <w:rPr>
                <w:noProof/>
              </w:rPr>
              <w:t>C9.I5</w:t>
            </w:r>
          </w:p>
          <w:p w14:paraId="1C24245D" w14:textId="77777777" w:rsidR="003F46B9" w:rsidRDefault="0065662E">
            <w:pPr>
              <w:pStyle w:val="P68B1DB1-Normal35"/>
              <w:spacing w:after="0"/>
              <w:jc w:val="both"/>
              <w:rPr>
                <w:noProof/>
              </w:rPr>
            </w:pPr>
            <w:r>
              <w:rPr>
                <w:noProof/>
              </w:rPr>
              <w:t xml:space="preserve">Osnivanje i operacionalizacija centara za stručnost </w:t>
            </w:r>
          </w:p>
        </w:tc>
        <w:tc>
          <w:tcPr>
            <w:tcW w:w="1216" w:type="dxa"/>
            <w:tcBorders>
              <w:top w:val="nil"/>
              <w:left w:val="nil"/>
              <w:bottom w:val="single" w:sz="4" w:space="0" w:color="auto"/>
              <w:right w:val="single" w:sz="4" w:space="0" w:color="auto"/>
            </w:tcBorders>
            <w:shd w:val="clear" w:color="auto" w:fill="C6EFCE"/>
            <w:noWrap/>
          </w:tcPr>
          <w:p w14:paraId="3193CFC3"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0E964CBA" w14:textId="77777777" w:rsidR="003F46B9" w:rsidRDefault="0065662E">
            <w:pPr>
              <w:pStyle w:val="P68B1DB1-Normal35"/>
              <w:spacing w:after="0"/>
              <w:jc w:val="both"/>
              <w:rPr>
                <w:noProof/>
              </w:rPr>
            </w:pPr>
            <w:r>
              <w:rPr>
                <w:noProof/>
              </w:rPr>
              <w:t>Proračun koji pr</w:t>
            </w:r>
            <w:r>
              <w:rPr>
                <w:noProof/>
              </w:rPr>
              <w:t xml:space="preserve">ivuku centri stručnosti iz istraživačkih, razvojnih i inovacijskih projekata u privatnom sektoru </w:t>
            </w:r>
          </w:p>
          <w:p w14:paraId="370A29BA" w14:textId="77777777" w:rsidR="003F46B9" w:rsidRDefault="003F46B9">
            <w:pPr>
              <w:spacing w:after="0"/>
              <w:jc w:val="both"/>
              <w:rPr>
                <w:rFonts w:ascii="Times New Roman" w:hAnsi="Times New Roman" w:cs="Times New Roman"/>
                <w:noProof/>
              </w:rPr>
            </w:pPr>
          </w:p>
        </w:tc>
      </w:tr>
      <w:tr w:rsidR="003F46B9" w14:paraId="22F1C7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1FBFB0F" w14:textId="77777777" w:rsidR="003F46B9" w:rsidRDefault="0065662E">
            <w:pPr>
              <w:pStyle w:val="P68B1DB1-Normal35"/>
              <w:spacing w:after="0"/>
              <w:jc w:val="center"/>
              <w:rPr>
                <w:noProof/>
              </w:rPr>
            </w:pPr>
            <w:r>
              <w:rPr>
                <w:noProof/>
              </w:rPr>
              <w:t>502</w:t>
            </w:r>
          </w:p>
        </w:tc>
        <w:tc>
          <w:tcPr>
            <w:tcW w:w="3544" w:type="dxa"/>
            <w:tcBorders>
              <w:top w:val="nil"/>
              <w:left w:val="nil"/>
              <w:bottom w:val="single" w:sz="4" w:space="0" w:color="auto"/>
              <w:right w:val="single" w:sz="4" w:space="0" w:color="auto"/>
            </w:tcBorders>
            <w:shd w:val="clear" w:color="auto" w:fill="C6EFCE"/>
            <w:noWrap/>
          </w:tcPr>
          <w:p w14:paraId="4ADB4870" w14:textId="77777777" w:rsidR="003F46B9" w:rsidRDefault="0065662E">
            <w:pPr>
              <w:pStyle w:val="P68B1DB1-Normal35"/>
              <w:spacing w:after="0"/>
              <w:jc w:val="both"/>
              <w:rPr>
                <w:noProof/>
              </w:rPr>
            </w:pPr>
            <w:r>
              <w:rPr>
                <w:noProof/>
              </w:rPr>
              <w:t>C15.I16</w:t>
            </w:r>
          </w:p>
          <w:p w14:paraId="5976D04B" w14:textId="77777777" w:rsidR="003F46B9" w:rsidRDefault="0065662E">
            <w:pPr>
              <w:pStyle w:val="P68B1DB1-Normal35"/>
              <w:spacing w:after="0"/>
              <w:jc w:val="both"/>
              <w:rPr>
                <w:noProof/>
              </w:rPr>
            </w:pPr>
            <w:r>
              <w:rPr>
                <w:noProof/>
              </w:rPr>
              <w:t>Digitalizacija sveučilišta i priprema za digitalna zanimanja budućnosti</w:t>
            </w:r>
          </w:p>
        </w:tc>
        <w:tc>
          <w:tcPr>
            <w:tcW w:w="1216" w:type="dxa"/>
            <w:tcBorders>
              <w:top w:val="nil"/>
              <w:left w:val="nil"/>
              <w:bottom w:val="single" w:sz="4" w:space="0" w:color="auto"/>
              <w:right w:val="single" w:sz="4" w:space="0" w:color="auto"/>
            </w:tcBorders>
            <w:shd w:val="clear" w:color="auto" w:fill="C6EFCE"/>
            <w:noWrap/>
          </w:tcPr>
          <w:p w14:paraId="3E21C4C2"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0861574" w14:textId="77777777" w:rsidR="003F46B9" w:rsidRDefault="0065662E">
            <w:pPr>
              <w:pStyle w:val="P68B1DB1-Normal35"/>
              <w:spacing w:after="0"/>
              <w:jc w:val="both"/>
              <w:rPr>
                <w:noProof/>
              </w:rPr>
            </w:pPr>
            <w:r>
              <w:rPr>
                <w:noProof/>
              </w:rPr>
              <w:t xml:space="preserve">Sveučilišta uz potporu novih inovativnih tehnoloških centara za stvaranje novih vještina budućnosti </w:t>
            </w:r>
          </w:p>
        </w:tc>
      </w:tr>
      <w:tr w:rsidR="003F46B9" w14:paraId="5688E1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08CBF54" w14:textId="77777777" w:rsidR="003F46B9" w:rsidRDefault="0065662E">
            <w:pPr>
              <w:pStyle w:val="P68B1DB1-Normal35"/>
              <w:spacing w:after="0"/>
              <w:jc w:val="center"/>
              <w:rPr>
                <w:noProof/>
              </w:rPr>
            </w:pPr>
            <w:r>
              <w:rPr>
                <w:noProof/>
              </w:rPr>
              <w:t>498</w:t>
            </w:r>
          </w:p>
        </w:tc>
        <w:tc>
          <w:tcPr>
            <w:tcW w:w="3544" w:type="dxa"/>
            <w:tcBorders>
              <w:top w:val="nil"/>
              <w:left w:val="nil"/>
              <w:bottom w:val="single" w:sz="4" w:space="0" w:color="auto"/>
              <w:right w:val="single" w:sz="4" w:space="0" w:color="auto"/>
            </w:tcBorders>
            <w:shd w:val="clear" w:color="auto" w:fill="C6EFCE"/>
            <w:noWrap/>
          </w:tcPr>
          <w:p w14:paraId="2294B7C8" w14:textId="77777777" w:rsidR="003F46B9" w:rsidRDefault="0065662E">
            <w:pPr>
              <w:pStyle w:val="P68B1DB1-Normal35"/>
              <w:spacing w:after="0"/>
              <w:jc w:val="both"/>
              <w:rPr>
                <w:noProof/>
              </w:rPr>
            </w:pPr>
            <w:r>
              <w:rPr>
                <w:noProof/>
              </w:rPr>
              <w:t xml:space="preserve">C15.I15. </w:t>
            </w:r>
          </w:p>
          <w:p w14:paraId="3E5B4B53" w14:textId="77777777" w:rsidR="003F46B9" w:rsidRDefault="0065662E">
            <w:pPr>
              <w:pStyle w:val="P68B1DB1-Normal35"/>
              <w:spacing w:after="0"/>
              <w:jc w:val="both"/>
              <w:rPr>
                <w:noProof/>
              </w:rPr>
            </w:pPr>
            <w:r>
              <w:rPr>
                <w:noProof/>
              </w:rPr>
              <w:t>Internetska škola: Platforma za procjenu i razvoj sadržaja</w:t>
            </w:r>
          </w:p>
        </w:tc>
        <w:tc>
          <w:tcPr>
            <w:tcW w:w="1216" w:type="dxa"/>
            <w:tcBorders>
              <w:top w:val="nil"/>
              <w:left w:val="nil"/>
              <w:bottom w:val="single" w:sz="4" w:space="0" w:color="auto"/>
              <w:right w:val="single" w:sz="4" w:space="0" w:color="auto"/>
            </w:tcBorders>
            <w:shd w:val="clear" w:color="auto" w:fill="C6EFCE"/>
            <w:noWrap/>
          </w:tcPr>
          <w:p w14:paraId="4F65768F" w14:textId="77777777" w:rsidR="003F46B9" w:rsidRDefault="0065662E">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028229C3" w14:textId="77777777" w:rsidR="003F46B9" w:rsidRDefault="0065662E">
            <w:pPr>
              <w:pStyle w:val="P68B1DB1-Normal35"/>
              <w:spacing w:after="0"/>
              <w:jc w:val="both"/>
              <w:rPr>
                <w:noProof/>
              </w:rPr>
            </w:pPr>
            <w:r>
              <w:rPr>
                <w:noProof/>
              </w:rPr>
              <w:t>Internetska e-platforma za ocjenjivanje učenika je operativna</w:t>
            </w:r>
          </w:p>
        </w:tc>
      </w:tr>
      <w:tr w:rsidR="003F46B9" w14:paraId="746D6F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3446AE" w14:textId="77777777" w:rsidR="003F46B9" w:rsidRDefault="0065662E">
            <w:pPr>
              <w:pStyle w:val="P68B1DB1-Normal35"/>
              <w:spacing w:after="0"/>
              <w:jc w:val="center"/>
              <w:rPr>
                <w:noProof/>
              </w:rPr>
            </w:pPr>
            <w:r>
              <w:rPr>
                <w:noProof/>
              </w:rPr>
              <w:t>503</w:t>
            </w:r>
          </w:p>
        </w:tc>
        <w:tc>
          <w:tcPr>
            <w:tcW w:w="3544" w:type="dxa"/>
            <w:tcBorders>
              <w:top w:val="nil"/>
              <w:left w:val="nil"/>
              <w:bottom w:val="single" w:sz="4" w:space="0" w:color="auto"/>
              <w:right w:val="single" w:sz="4" w:space="0" w:color="auto"/>
            </w:tcBorders>
            <w:shd w:val="clear" w:color="auto" w:fill="C6EFCE"/>
            <w:noWrap/>
          </w:tcPr>
          <w:p w14:paraId="5C887A4B" w14:textId="77777777" w:rsidR="003F46B9" w:rsidRDefault="0065662E">
            <w:pPr>
              <w:pStyle w:val="P68B1DB1-Normal35"/>
              <w:spacing w:after="0"/>
              <w:jc w:val="both"/>
              <w:rPr>
                <w:noProof/>
              </w:rPr>
            </w:pPr>
            <w:r>
              <w:rPr>
                <w:noProof/>
              </w:rPr>
              <w:t>C15.I17</w:t>
            </w:r>
          </w:p>
          <w:p w14:paraId="7AC87D76" w14:textId="77777777" w:rsidR="003F46B9" w:rsidRDefault="0065662E">
            <w:pPr>
              <w:pStyle w:val="P68B1DB1-Normal35"/>
              <w:spacing w:after="0"/>
              <w:jc w:val="both"/>
              <w:rPr>
                <w:noProof/>
              </w:rPr>
            </w:pPr>
            <w:r>
              <w:rPr>
                <w:noProof/>
              </w:rPr>
              <w:t>Osiguravanje sveučilišne infrastrukture (home, kantine, rekreacijska postrojenja)</w:t>
            </w:r>
          </w:p>
        </w:tc>
        <w:tc>
          <w:tcPr>
            <w:tcW w:w="1216" w:type="dxa"/>
            <w:tcBorders>
              <w:top w:val="nil"/>
              <w:left w:val="nil"/>
              <w:bottom w:val="single" w:sz="4" w:space="0" w:color="auto"/>
              <w:right w:val="single" w:sz="4" w:space="0" w:color="auto"/>
            </w:tcBorders>
            <w:shd w:val="clear" w:color="auto" w:fill="C6EFCE"/>
            <w:noWrap/>
          </w:tcPr>
          <w:p w14:paraId="78821F7C"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2FECF8F" w14:textId="77777777" w:rsidR="003F46B9" w:rsidRDefault="0065662E">
            <w:pPr>
              <w:pStyle w:val="P68B1DB1-Normal35"/>
              <w:spacing w:after="0"/>
              <w:jc w:val="both"/>
              <w:rPr>
                <w:noProof/>
              </w:rPr>
            </w:pPr>
            <w:r>
              <w:rPr>
                <w:noProof/>
              </w:rPr>
              <w:t>Izgrađena ili modernizirana i u uporabi za rekreaciju i čitanje</w:t>
            </w:r>
          </w:p>
        </w:tc>
      </w:tr>
      <w:tr w:rsidR="003F46B9" w14:paraId="12D29E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56E7BAE" w14:textId="77777777" w:rsidR="003F46B9" w:rsidRDefault="0065662E">
            <w:pPr>
              <w:pStyle w:val="P68B1DB1-Normal35"/>
              <w:spacing w:after="0"/>
              <w:jc w:val="center"/>
              <w:rPr>
                <w:noProof/>
              </w:rPr>
            </w:pPr>
            <w:r>
              <w:rPr>
                <w:noProof/>
              </w:rPr>
              <w:t>504</w:t>
            </w:r>
          </w:p>
        </w:tc>
        <w:tc>
          <w:tcPr>
            <w:tcW w:w="3544" w:type="dxa"/>
            <w:tcBorders>
              <w:top w:val="nil"/>
              <w:left w:val="nil"/>
              <w:bottom w:val="single" w:sz="4" w:space="0" w:color="auto"/>
              <w:right w:val="single" w:sz="4" w:space="0" w:color="auto"/>
            </w:tcBorders>
            <w:shd w:val="clear" w:color="auto" w:fill="C6EFCE"/>
            <w:noWrap/>
          </w:tcPr>
          <w:p w14:paraId="1A8B875F" w14:textId="77777777" w:rsidR="003F46B9" w:rsidRDefault="0065662E">
            <w:pPr>
              <w:pStyle w:val="P68B1DB1-Normal35"/>
              <w:spacing w:after="0"/>
              <w:jc w:val="both"/>
              <w:rPr>
                <w:noProof/>
              </w:rPr>
            </w:pPr>
            <w:r>
              <w:rPr>
                <w:noProof/>
              </w:rPr>
              <w:t>C15.I17</w:t>
            </w:r>
          </w:p>
          <w:p w14:paraId="75D51416" w14:textId="77777777" w:rsidR="003F46B9" w:rsidRDefault="0065662E">
            <w:pPr>
              <w:pStyle w:val="P68B1DB1-Normal35"/>
              <w:spacing w:after="0"/>
              <w:jc w:val="both"/>
              <w:rPr>
                <w:noProof/>
              </w:rPr>
            </w:pPr>
            <w:r>
              <w:rPr>
                <w:noProof/>
              </w:rPr>
              <w:t>Osiguravanje sveučilišne infrastrukture (home, kantine i rekreacijska postrojenja)</w:t>
            </w:r>
          </w:p>
        </w:tc>
        <w:tc>
          <w:tcPr>
            <w:tcW w:w="1216" w:type="dxa"/>
            <w:tcBorders>
              <w:top w:val="nil"/>
              <w:left w:val="nil"/>
              <w:bottom w:val="single" w:sz="4" w:space="0" w:color="auto"/>
              <w:right w:val="single" w:sz="4" w:space="0" w:color="auto"/>
            </w:tcBorders>
            <w:shd w:val="clear" w:color="auto" w:fill="C6EFCE"/>
            <w:noWrap/>
          </w:tcPr>
          <w:p w14:paraId="0A708243"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1941F7F8" w14:textId="77777777" w:rsidR="003F46B9" w:rsidRDefault="0065662E">
            <w:pPr>
              <w:pStyle w:val="P68B1DB1-Normal35"/>
              <w:spacing w:after="0"/>
              <w:jc w:val="both"/>
              <w:rPr>
                <w:noProof/>
              </w:rPr>
            </w:pPr>
            <w:r>
              <w:rPr>
                <w:noProof/>
              </w:rPr>
              <w:t>Kantine iz</w:t>
            </w:r>
            <w:r>
              <w:rPr>
                <w:noProof/>
              </w:rPr>
              <w:t>građene ili modernizirane i u uporabi</w:t>
            </w:r>
          </w:p>
        </w:tc>
      </w:tr>
      <w:tr w:rsidR="003F46B9" w14:paraId="2DB8C44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1140C1" w14:textId="77777777" w:rsidR="003F46B9" w:rsidRDefault="0065662E">
            <w:pPr>
              <w:pStyle w:val="P68B1DB1-Normal35"/>
              <w:spacing w:after="0"/>
              <w:jc w:val="center"/>
              <w:rPr>
                <w:noProof/>
              </w:rPr>
            </w:pPr>
            <w:r>
              <w:rPr>
                <w:noProof/>
              </w:rPr>
              <w:t>39</w:t>
            </w:r>
          </w:p>
        </w:tc>
        <w:tc>
          <w:tcPr>
            <w:tcW w:w="3544" w:type="dxa"/>
            <w:tcBorders>
              <w:top w:val="nil"/>
              <w:left w:val="nil"/>
              <w:bottom w:val="single" w:sz="4" w:space="0" w:color="auto"/>
              <w:right w:val="single" w:sz="4" w:space="0" w:color="auto"/>
            </w:tcBorders>
            <w:shd w:val="clear" w:color="auto" w:fill="C6EFCE"/>
            <w:noWrap/>
          </w:tcPr>
          <w:p w14:paraId="71EDFB16" w14:textId="77777777" w:rsidR="003F46B9" w:rsidRDefault="0065662E">
            <w:pPr>
              <w:pStyle w:val="P68B1DB1-Normal35"/>
              <w:spacing w:after="0"/>
              <w:jc w:val="both"/>
              <w:rPr>
                <w:noProof/>
              </w:rPr>
            </w:pPr>
            <w:r>
              <w:rPr>
                <w:noProof/>
              </w:rPr>
              <w:t xml:space="preserve">C2.I4.4. </w:t>
            </w:r>
          </w:p>
          <w:p w14:paraId="51C66610" w14:textId="77777777" w:rsidR="003F46B9" w:rsidRDefault="0065662E">
            <w:pPr>
              <w:pStyle w:val="P68B1DB1-Normal35"/>
              <w:spacing w:after="0"/>
              <w:jc w:val="both"/>
              <w:rPr>
                <w:noProof/>
              </w:rPr>
            </w:pPr>
            <w:r>
              <w:rPr>
                <w:noProof/>
              </w:rPr>
              <w:t>Provedba sustava praćenja divljih jesetre duž donjeg Dunava</w:t>
            </w:r>
          </w:p>
        </w:tc>
        <w:tc>
          <w:tcPr>
            <w:tcW w:w="1216" w:type="dxa"/>
            <w:tcBorders>
              <w:top w:val="nil"/>
              <w:left w:val="nil"/>
              <w:bottom w:val="single" w:sz="4" w:space="0" w:color="auto"/>
              <w:right w:val="single" w:sz="4" w:space="0" w:color="auto"/>
            </w:tcBorders>
            <w:shd w:val="clear" w:color="auto" w:fill="C6EFCE"/>
            <w:noWrap/>
          </w:tcPr>
          <w:p w14:paraId="43466361" w14:textId="77777777" w:rsidR="003F46B9" w:rsidRDefault="0065662E">
            <w:pPr>
              <w:pStyle w:val="P68B1DB1-Normal35"/>
              <w:spacing w:after="0"/>
              <w:jc w:val="center"/>
              <w:rPr>
                <w:noProof/>
              </w:rPr>
            </w:pPr>
            <w:r>
              <w:rPr>
                <w:noProof/>
              </w:rPr>
              <w:t>M</w:t>
            </w:r>
          </w:p>
        </w:tc>
        <w:tc>
          <w:tcPr>
            <w:tcW w:w="3461" w:type="dxa"/>
            <w:tcBorders>
              <w:top w:val="nil"/>
              <w:left w:val="nil"/>
              <w:bottom w:val="single" w:sz="4" w:space="0" w:color="auto"/>
              <w:right w:val="single" w:sz="4" w:space="0" w:color="auto"/>
            </w:tcBorders>
            <w:shd w:val="clear" w:color="auto" w:fill="C6EFCE"/>
            <w:noWrap/>
          </w:tcPr>
          <w:p w14:paraId="7E5F6BD5" w14:textId="77777777" w:rsidR="003F46B9" w:rsidRDefault="0065662E">
            <w:pPr>
              <w:pStyle w:val="P68B1DB1-Normal35"/>
              <w:spacing w:after="0"/>
              <w:jc w:val="both"/>
              <w:rPr>
                <w:noProof/>
              </w:rPr>
            </w:pPr>
            <w:r>
              <w:rPr>
                <w:noProof/>
              </w:rPr>
              <w:t xml:space="preserve">Mreža za praćenje, komunikaciju i prijenos podataka o divljim jesetrima operativna </w:t>
            </w:r>
          </w:p>
        </w:tc>
      </w:tr>
      <w:tr w:rsidR="003F46B9" w14:paraId="287816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44F12BE" w14:textId="77777777" w:rsidR="003F46B9" w:rsidRDefault="0065662E">
            <w:pPr>
              <w:pStyle w:val="P68B1DB1-Normal35"/>
              <w:spacing w:after="0"/>
              <w:jc w:val="center"/>
              <w:rPr>
                <w:noProof/>
              </w:rPr>
            </w:pPr>
            <w:r>
              <w:rPr>
                <w:noProof/>
              </w:rPr>
              <w:t>101</w:t>
            </w:r>
          </w:p>
        </w:tc>
        <w:tc>
          <w:tcPr>
            <w:tcW w:w="3544" w:type="dxa"/>
            <w:tcBorders>
              <w:top w:val="nil"/>
              <w:left w:val="nil"/>
              <w:bottom w:val="single" w:sz="4" w:space="0" w:color="auto"/>
              <w:right w:val="single" w:sz="4" w:space="0" w:color="auto"/>
            </w:tcBorders>
            <w:shd w:val="clear" w:color="auto" w:fill="C6EFCE"/>
            <w:noWrap/>
          </w:tcPr>
          <w:p w14:paraId="088EBDEC" w14:textId="77777777" w:rsidR="003F46B9" w:rsidRDefault="0065662E">
            <w:pPr>
              <w:pStyle w:val="P68B1DB1-Normal35"/>
              <w:spacing w:after="0"/>
              <w:jc w:val="both"/>
              <w:rPr>
                <w:noProof/>
              </w:rPr>
            </w:pPr>
            <w:r>
              <w:rPr>
                <w:noProof/>
              </w:rPr>
              <w:t>C5.I1</w:t>
            </w:r>
          </w:p>
          <w:p w14:paraId="6718B15E" w14:textId="77777777" w:rsidR="003F46B9" w:rsidRDefault="0065662E">
            <w:pPr>
              <w:pStyle w:val="P68B1DB1-Normal35"/>
              <w:spacing w:after="0"/>
              <w:jc w:val="both"/>
              <w:rPr>
                <w:noProof/>
              </w:rPr>
            </w:pPr>
            <w:r>
              <w:rPr>
                <w:noProof/>
              </w:rPr>
              <w:t xml:space="preserve">Uspostava fonda za val obnove za financiranje </w:t>
            </w:r>
            <w:r>
              <w:rPr>
                <w:noProof/>
              </w:rPr>
              <w:t>radova na poboljšanju energetske učinkovitosti postojećeg fonda zgrada</w:t>
            </w:r>
          </w:p>
        </w:tc>
        <w:tc>
          <w:tcPr>
            <w:tcW w:w="1216" w:type="dxa"/>
            <w:tcBorders>
              <w:top w:val="nil"/>
              <w:left w:val="nil"/>
              <w:bottom w:val="single" w:sz="4" w:space="0" w:color="auto"/>
              <w:right w:val="single" w:sz="4" w:space="0" w:color="auto"/>
            </w:tcBorders>
            <w:shd w:val="clear" w:color="auto" w:fill="C6EFCE"/>
            <w:noWrap/>
          </w:tcPr>
          <w:p w14:paraId="39594A8D"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18DD02D" w14:textId="77777777" w:rsidR="003F46B9" w:rsidRDefault="0065662E">
            <w:pPr>
              <w:pStyle w:val="P68B1DB1-Normal35"/>
              <w:spacing w:after="0"/>
              <w:jc w:val="both"/>
              <w:rPr>
                <w:noProof/>
              </w:rPr>
            </w:pPr>
            <w:r>
              <w:rPr>
                <w:noProof/>
              </w:rPr>
              <w:t>Završena energetska obnova višeobiteljskih stambenih zgrada</w:t>
            </w:r>
          </w:p>
        </w:tc>
      </w:tr>
      <w:tr w:rsidR="003F46B9" w14:paraId="5B431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0CC93F" w14:textId="77777777" w:rsidR="003F46B9" w:rsidRDefault="0065662E">
            <w:pPr>
              <w:pStyle w:val="P68B1DB1-Normal35"/>
              <w:spacing w:after="0"/>
              <w:jc w:val="center"/>
              <w:rPr>
                <w:noProof/>
              </w:rPr>
            </w:pPr>
            <w:r>
              <w:rPr>
                <w:noProof/>
              </w:rPr>
              <w:t>104</w:t>
            </w:r>
          </w:p>
        </w:tc>
        <w:tc>
          <w:tcPr>
            <w:tcW w:w="3544" w:type="dxa"/>
            <w:tcBorders>
              <w:top w:val="nil"/>
              <w:left w:val="nil"/>
              <w:bottom w:val="single" w:sz="4" w:space="0" w:color="auto"/>
              <w:right w:val="single" w:sz="4" w:space="0" w:color="auto"/>
            </w:tcBorders>
            <w:shd w:val="clear" w:color="auto" w:fill="C6EFCE"/>
            <w:noWrap/>
          </w:tcPr>
          <w:p w14:paraId="5F912A09" w14:textId="77777777" w:rsidR="003F46B9" w:rsidRDefault="0065662E">
            <w:pPr>
              <w:pStyle w:val="P68B1DB1-Normal35"/>
              <w:spacing w:after="0"/>
              <w:jc w:val="both"/>
              <w:rPr>
                <w:noProof/>
              </w:rPr>
            </w:pPr>
            <w:r>
              <w:rPr>
                <w:noProof/>
              </w:rPr>
              <w:t>C5.I1</w:t>
            </w:r>
          </w:p>
          <w:p w14:paraId="5F06854B" w14:textId="77777777" w:rsidR="003F46B9" w:rsidRDefault="0065662E">
            <w:pPr>
              <w:pStyle w:val="P68B1DB1-Normal35"/>
              <w:spacing w:after="0"/>
              <w:jc w:val="both"/>
              <w:rPr>
                <w:noProof/>
              </w:rPr>
            </w:pPr>
            <w:r>
              <w:rPr>
                <w:noProof/>
              </w:rPr>
              <w:t xml:space="preserve">Uspostava fonda za val obnove za financiranje radova na poboljšanju energetske učinkovitosti postojećeg fonda </w:t>
            </w:r>
            <w:r>
              <w:rPr>
                <w:noProof/>
              </w:rPr>
              <w:t>zgrada</w:t>
            </w:r>
          </w:p>
        </w:tc>
        <w:tc>
          <w:tcPr>
            <w:tcW w:w="1216" w:type="dxa"/>
            <w:tcBorders>
              <w:top w:val="nil"/>
              <w:left w:val="nil"/>
              <w:bottom w:val="single" w:sz="4" w:space="0" w:color="auto"/>
              <w:right w:val="single" w:sz="4" w:space="0" w:color="auto"/>
            </w:tcBorders>
            <w:shd w:val="clear" w:color="auto" w:fill="C6EFCE"/>
            <w:noWrap/>
          </w:tcPr>
          <w:p w14:paraId="183468E9"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2DA9843E" w14:textId="77777777" w:rsidR="003F46B9" w:rsidRDefault="0065662E">
            <w:pPr>
              <w:pStyle w:val="P68B1DB1-Normal35"/>
              <w:spacing w:after="0"/>
              <w:jc w:val="both"/>
              <w:rPr>
                <w:noProof/>
              </w:rPr>
            </w:pPr>
            <w:r>
              <w:rPr>
                <w:noProof/>
              </w:rPr>
              <w:t xml:space="preserve">Završena energetska obnova javnih zgrada </w:t>
            </w:r>
          </w:p>
        </w:tc>
      </w:tr>
      <w:tr w:rsidR="003F46B9" w14:paraId="4476AA0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EDE643" w14:textId="77777777" w:rsidR="003F46B9" w:rsidRDefault="0065662E">
            <w:pPr>
              <w:pStyle w:val="P68B1DB1-Normal35"/>
              <w:spacing w:after="0"/>
              <w:jc w:val="center"/>
              <w:rPr>
                <w:noProof/>
              </w:rPr>
            </w:pPr>
            <w:r>
              <w:rPr>
                <w:noProof/>
              </w:rPr>
              <w:t>505</w:t>
            </w:r>
          </w:p>
        </w:tc>
        <w:tc>
          <w:tcPr>
            <w:tcW w:w="3544" w:type="dxa"/>
            <w:tcBorders>
              <w:top w:val="nil"/>
              <w:left w:val="nil"/>
              <w:bottom w:val="single" w:sz="4" w:space="0" w:color="auto"/>
              <w:right w:val="single" w:sz="4" w:space="0" w:color="auto"/>
            </w:tcBorders>
            <w:shd w:val="clear" w:color="auto" w:fill="C6EFCE"/>
            <w:noWrap/>
          </w:tcPr>
          <w:p w14:paraId="5FA763B7" w14:textId="77777777" w:rsidR="003F46B9" w:rsidRDefault="0065662E">
            <w:pPr>
              <w:pStyle w:val="P68B1DB1-Normal35"/>
              <w:spacing w:after="0"/>
              <w:jc w:val="both"/>
              <w:rPr>
                <w:noProof/>
              </w:rPr>
            </w:pPr>
            <w:r>
              <w:rPr>
                <w:noProof/>
              </w:rPr>
              <w:t>C15.I17</w:t>
            </w:r>
          </w:p>
          <w:p w14:paraId="33A95958" w14:textId="77777777" w:rsidR="003F46B9" w:rsidRDefault="0065662E">
            <w:pPr>
              <w:pStyle w:val="P68B1DB1-Normal35"/>
              <w:spacing w:after="0"/>
              <w:jc w:val="both"/>
              <w:rPr>
                <w:noProof/>
              </w:rPr>
            </w:pPr>
            <w:r>
              <w:rPr>
                <w:noProof/>
              </w:rPr>
              <w:t>Osiguravanje sveučilišne infrastrukture (home, kantine i rekreacijska postrojenja)</w:t>
            </w:r>
          </w:p>
        </w:tc>
        <w:tc>
          <w:tcPr>
            <w:tcW w:w="1216" w:type="dxa"/>
            <w:tcBorders>
              <w:top w:val="nil"/>
              <w:left w:val="nil"/>
              <w:bottom w:val="single" w:sz="4" w:space="0" w:color="auto"/>
              <w:right w:val="single" w:sz="4" w:space="0" w:color="auto"/>
            </w:tcBorders>
            <w:shd w:val="clear" w:color="auto" w:fill="C6EFCE"/>
            <w:noWrap/>
          </w:tcPr>
          <w:p w14:paraId="02D55419"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4D07EF5D" w14:textId="77777777" w:rsidR="003F46B9" w:rsidRDefault="0065662E">
            <w:pPr>
              <w:pStyle w:val="P68B1DB1-Normal35"/>
              <w:spacing w:after="0"/>
              <w:jc w:val="both"/>
              <w:rPr>
                <w:noProof/>
              </w:rPr>
            </w:pPr>
            <w:r>
              <w:rPr>
                <w:noProof/>
              </w:rPr>
              <w:t>Novostvorena ili nadograđena mjesta za smještaj pri uporabi</w:t>
            </w:r>
          </w:p>
        </w:tc>
      </w:tr>
      <w:tr w:rsidR="003F46B9" w14:paraId="015383B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76617A7" w14:textId="77777777" w:rsidR="003F46B9" w:rsidRDefault="0065662E">
            <w:pPr>
              <w:pStyle w:val="P68B1DB1-Normal35"/>
              <w:spacing w:after="0"/>
              <w:jc w:val="center"/>
              <w:rPr>
                <w:noProof/>
              </w:rPr>
            </w:pPr>
            <w:r>
              <w:rPr>
                <w:noProof/>
              </w:rPr>
              <w:t>527</w:t>
            </w:r>
          </w:p>
        </w:tc>
        <w:tc>
          <w:tcPr>
            <w:tcW w:w="3544" w:type="dxa"/>
            <w:tcBorders>
              <w:top w:val="nil"/>
              <w:left w:val="nil"/>
              <w:bottom w:val="single" w:sz="4" w:space="0" w:color="auto"/>
              <w:right w:val="single" w:sz="4" w:space="0" w:color="auto"/>
            </w:tcBorders>
            <w:shd w:val="clear" w:color="auto" w:fill="C6EFCE"/>
            <w:noWrap/>
          </w:tcPr>
          <w:p w14:paraId="42A6293A" w14:textId="77777777" w:rsidR="003F46B9" w:rsidRDefault="0065662E">
            <w:pPr>
              <w:pStyle w:val="P68B1DB1-Normal35"/>
              <w:spacing w:after="0"/>
              <w:jc w:val="both"/>
              <w:rPr>
                <w:noProof/>
              </w:rPr>
            </w:pPr>
            <w:r>
              <w:rPr>
                <w:noProof/>
              </w:rPr>
              <w:t xml:space="preserve">C16.I6. Pilot-projekt za ugradnju 20 MW </w:t>
            </w:r>
            <w:r>
              <w:rPr>
                <w:noProof/>
              </w:rPr>
              <w:t>plutajućih solarnih ploča na kanale navodnjavanja</w:t>
            </w:r>
          </w:p>
        </w:tc>
        <w:tc>
          <w:tcPr>
            <w:tcW w:w="1216" w:type="dxa"/>
            <w:tcBorders>
              <w:top w:val="nil"/>
              <w:left w:val="nil"/>
              <w:bottom w:val="single" w:sz="4" w:space="0" w:color="auto"/>
              <w:right w:val="single" w:sz="4" w:space="0" w:color="auto"/>
            </w:tcBorders>
            <w:shd w:val="clear" w:color="auto" w:fill="C6EFCE"/>
            <w:noWrap/>
          </w:tcPr>
          <w:p w14:paraId="7B885B73" w14:textId="77777777" w:rsidR="003F46B9" w:rsidRDefault="0065662E">
            <w:pPr>
              <w:pStyle w:val="P68B1DB1-Normal35"/>
              <w:spacing w:after="0"/>
              <w:jc w:val="center"/>
              <w:rPr>
                <w:noProof/>
              </w:rPr>
            </w:pPr>
            <w:r>
              <w:rPr>
                <w:noProof/>
              </w:rPr>
              <w:t>T</w:t>
            </w:r>
          </w:p>
        </w:tc>
        <w:tc>
          <w:tcPr>
            <w:tcW w:w="3461" w:type="dxa"/>
            <w:tcBorders>
              <w:top w:val="nil"/>
              <w:left w:val="nil"/>
              <w:bottom w:val="single" w:sz="4" w:space="0" w:color="auto"/>
              <w:right w:val="single" w:sz="4" w:space="0" w:color="auto"/>
            </w:tcBorders>
            <w:shd w:val="clear" w:color="auto" w:fill="C6EFCE"/>
            <w:noWrap/>
          </w:tcPr>
          <w:p w14:paraId="392952A0" w14:textId="77777777" w:rsidR="003F46B9" w:rsidRDefault="0065662E">
            <w:pPr>
              <w:pStyle w:val="P68B1DB1-Normal35"/>
              <w:spacing w:after="0"/>
              <w:jc w:val="both"/>
              <w:rPr>
                <w:noProof/>
              </w:rPr>
            </w:pPr>
            <w:r>
              <w:rPr>
                <w:noProof/>
              </w:rPr>
              <w:t>20 MW instaliranog kapaciteta naručenih plutajućih solarnih ploča</w:t>
            </w:r>
          </w:p>
        </w:tc>
      </w:tr>
      <w:tr w:rsidR="003F46B9" w14:paraId="5D7B3A7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7BF1CBAA" w14:textId="77777777" w:rsidR="003F46B9" w:rsidRDefault="003F46B9">
            <w:pPr>
              <w:spacing w:after="0"/>
              <w:jc w:val="center"/>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061F2915" w14:textId="77777777" w:rsidR="003F46B9" w:rsidRDefault="003F46B9">
            <w:pPr>
              <w:spacing w:after="0"/>
              <w:rPr>
                <w:rFonts w:ascii="Times New Roman" w:eastAsia="Times New Roman" w:hAnsi="Times New Roman" w:cs="Times New Roman"/>
                <w:noProof/>
              </w:rPr>
            </w:pPr>
          </w:p>
        </w:tc>
        <w:tc>
          <w:tcPr>
            <w:tcW w:w="1216" w:type="dxa"/>
            <w:tcBorders>
              <w:top w:val="single" w:sz="4" w:space="0" w:color="auto"/>
              <w:left w:val="nil"/>
              <w:bottom w:val="single" w:sz="4" w:space="0" w:color="auto"/>
              <w:right w:val="single" w:sz="4" w:space="0" w:color="auto"/>
            </w:tcBorders>
            <w:shd w:val="clear" w:color="auto" w:fill="C6EFCE"/>
            <w:noWrap/>
          </w:tcPr>
          <w:p w14:paraId="7477AE11" w14:textId="77777777" w:rsidR="003F46B9" w:rsidRDefault="0065662E">
            <w:pPr>
              <w:pStyle w:val="P68B1DB1-Normal36"/>
              <w:spacing w:after="0"/>
              <w:jc w:val="center"/>
              <w:rPr>
                <w:noProof/>
              </w:rPr>
            </w:pPr>
            <w:r>
              <w:rPr>
                <w:noProof/>
              </w:rPr>
              <w:t>Iznos obroka</w:t>
            </w:r>
          </w:p>
        </w:tc>
        <w:tc>
          <w:tcPr>
            <w:tcW w:w="3461" w:type="dxa"/>
            <w:tcBorders>
              <w:top w:val="single" w:sz="4" w:space="0" w:color="auto"/>
              <w:left w:val="nil"/>
              <w:bottom w:val="single" w:sz="4" w:space="0" w:color="auto"/>
              <w:right w:val="single" w:sz="4" w:space="0" w:color="auto"/>
            </w:tcBorders>
            <w:shd w:val="clear" w:color="auto" w:fill="C6EFCE"/>
            <w:noWrap/>
            <w:vAlign w:val="center"/>
          </w:tcPr>
          <w:p w14:paraId="2E5DBF28" w14:textId="09EE4BF4" w:rsidR="003F46B9" w:rsidRDefault="0065662E">
            <w:pPr>
              <w:pStyle w:val="P68B1DB1-Normal36"/>
              <w:spacing w:after="0"/>
              <w:jc w:val="right"/>
              <w:rPr>
                <w:noProof/>
              </w:rPr>
            </w:pPr>
            <w:r>
              <w:rPr>
                <w:noProof/>
              </w:rPr>
              <w:t xml:space="preserve">1610155862 EURA </w:t>
            </w:r>
          </w:p>
        </w:tc>
      </w:tr>
    </w:tbl>
    <w:p w14:paraId="5B7EFEBC" w14:textId="77777777" w:rsidR="003F46B9" w:rsidRDefault="003F46B9">
      <w:pPr>
        <w:pStyle w:val="NumPar2"/>
        <w:tabs>
          <w:tab w:val="clear" w:pos="850"/>
        </w:tabs>
        <w:ind w:firstLine="0"/>
        <w:rPr>
          <w:noProof/>
        </w:rPr>
      </w:pPr>
    </w:p>
    <w:p w14:paraId="31FF56C7" w14:textId="15E47CAD" w:rsidR="003F46B9" w:rsidRDefault="0065662E">
      <w:pPr>
        <w:pStyle w:val="Heading3"/>
        <w:rPr>
          <w:noProof/>
        </w:rPr>
      </w:pPr>
      <w:r>
        <w:rPr>
          <w:noProof/>
        </w:rPr>
        <w:t xml:space="preserve">Osmi obrok (potpora po kreditima): </w:t>
      </w:r>
    </w:p>
    <w:tbl>
      <w:tblPr>
        <w:tblW w:w="9634" w:type="dxa"/>
        <w:tblInd w:w="113" w:type="dxa"/>
        <w:tblLook w:val="04A0" w:firstRow="1" w:lastRow="0" w:firstColumn="1" w:lastColumn="0" w:noHBand="0" w:noVBand="1"/>
      </w:tblPr>
      <w:tblGrid>
        <w:gridCol w:w="1413"/>
        <w:gridCol w:w="3544"/>
        <w:gridCol w:w="1316"/>
        <w:gridCol w:w="3447"/>
      </w:tblGrid>
      <w:tr w:rsidR="003F46B9" w14:paraId="33525D78" w14:textId="77777777">
        <w:trPr>
          <w:trHeight w:val="906"/>
          <w:tblHeader/>
        </w:trPr>
        <w:tc>
          <w:tcPr>
            <w:tcW w:w="141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2BB0DA06" w14:textId="77777777" w:rsidR="003F46B9" w:rsidRDefault="0065662E">
            <w:pPr>
              <w:pStyle w:val="P68B1DB1-Normal34"/>
              <w:spacing w:after="0"/>
              <w:jc w:val="center"/>
              <w:rPr>
                <w:noProof/>
              </w:rPr>
            </w:pPr>
            <w:r>
              <w:rPr>
                <w:noProof/>
              </w:rPr>
              <w:t>Redni broj</w:t>
            </w:r>
          </w:p>
        </w:tc>
        <w:tc>
          <w:tcPr>
            <w:tcW w:w="354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AA8E7D4" w14:textId="77777777" w:rsidR="003F46B9" w:rsidRDefault="0065662E">
            <w:pPr>
              <w:pStyle w:val="P68B1DB1-Normal34"/>
              <w:spacing w:after="0"/>
              <w:jc w:val="center"/>
              <w:rPr>
                <w:noProof/>
              </w:rPr>
            </w:pPr>
            <w:r>
              <w:rPr>
                <w:noProof/>
              </w:rPr>
              <w:t>Povezana mjera</w:t>
            </w:r>
          </w:p>
          <w:p w14:paraId="7CD28D13" w14:textId="77777777" w:rsidR="003F46B9" w:rsidRDefault="0065662E">
            <w:pPr>
              <w:pStyle w:val="P68B1DB1-Normal34"/>
              <w:spacing w:after="0"/>
              <w:jc w:val="center"/>
              <w:rPr>
                <w:noProof/>
              </w:rPr>
            </w:pPr>
            <w:r>
              <w:rPr>
                <w:noProof/>
              </w:rPr>
              <w:t>(Reforma ili ulaganje)</w:t>
            </w:r>
          </w:p>
        </w:tc>
        <w:tc>
          <w:tcPr>
            <w:tcW w:w="12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14:paraId="347B02AC" w14:textId="77777777" w:rsidR="003F46B9" w:rsidRDefault="0065662E">
            <w:pPr>
              <w:pStyle w:val="P68B1DB1-Normal34"/>
              <w:spacing w:after="0"/>
              <w:jc w:val="center"/>
              <w:rPr>
                <w:noProof/>
              </w:rPr>
            </w:pPr>
            <w:r>
              <w:rPr>
                <w:noProof/>
              </w:rPr>
              <w:t xml:space="preserve">Ključna </w:t>
            </w:r>
            <w:r>
              <w:rPr>
                <w:noProof/>
              </w:rPr>
              <w:t>etapa/ciljna vrijednost</w:t>
            </w:r>
          </w:p>
        </w:tc>
        <w:tc>
          <w:tcPr>
            <w:tcW w:w="3447"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14:paraId="6E224232" w14:textId="77777777" w:rsidR="003F46B9" w:rsidRDefault="0065662E">
            <w:pPr>
              <w:pStyle w:val="P68B1DB1-Normal34"/>
              <w:spacing w:after="0"/>
              <w:jc w:val="center"/>
              <w:rPr>
                <w:noProof/>
              </w:rPr>
            </w:pPr>
            <w:r>
              <w:rPr>
                <w:noProof/>
              </w:rPr>
              <w:t>Ime</w:t>
            </w:r>
          </w:p>
        </w:tc>
      </w:tr>
      <w:tr w:rsidR="003F46B9" w14:paraId="74236C65" w14:textId="77777777">
        <w:trPr>
          <w:trHeight w:val="5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79D88E3F" w14:textId="77777777" w:rsidR="003F46B9" w:rsidRDefault="003F46B9">
            <w:pPr>
              <w:spacing w:after="0"/>
              <w:rPr>
                <w:rFonts w:ascii="Times New Roman" w:eastAsia="Times New Roman" w:hAnsi="Times New Roman" w:cs="Times New Roman"/>
                <w:b/>
                <w:noProof/>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03D5F5EF" w14:textId="77777777" w:rsidR="003F46B9" w:rsidRDefault="003F46B9">
            <w:pPr>
              <w:spacing w:after="0"/>
              <w:jc w:val="both"/>
              <w:rPr>
                <w:rFonts w:ascii="Times New Roman" w:eastAsia="Times New Roman" w:hAnsi="Times New Roman" w:cs="Times New Roman"/>
                <w:b/>
                <w:noProof/>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14:paraId="42488CCB" w14:textId="77777777" w:rsidR="003F46B9" w:rsidRDefault="003F46B9">
            <w:pPr>
              <w:spacing w:after="0"/>
              <w:jc w:val="center"/>
              <w:rPr>
                <w:rFonts w:ascii="Times New Roman" w:eastAsia="Times New Roman" w:hAnsi="Times New Roman" w:cs="Times New Roman"/>
                <w:b/>
                <w:noProof/>
              </w:rPr>
            </w:pPr>
          </w:p>
        </w:tc>
        <w:tc>
          <w:tcPr>
            <w:tcW w:w="3447" w:type="dxa"/>
            <w:vMerge/>
            <w:tcBorders>
              <w:top w:val="single" w:sz="4" w:space="0" w:color="auto"/>
              <w:left w:val="nil"/>
              <w:bottom w:val="single" w:sz="4" w:space="0" w:color="000000"/>
              <w:right w:val="single" w:sz="4" w:space="0" w:color="auto"/>
            </w:tcBorders>
            <w:vAlign w:val="center"/>
            <w:hideMark/>
          </w:tcPr>
          <w:p w14:paraId="744E1FB6" w14:textId="77777777" w:rsidR="003F46B9" w:rsidRDefault="003F46B9">
            <w:pPr>
              <w:spacing w:after="0"/>
              <w:jc w:val="both"/>
              <w:rPr>
                <w:rFonts w:ascii="Times New Roman" w:eastAsia="Times New Roman" w:hAnsi="Times New Roman" w:cs="Times New Roman"/>
                <w:b/>
                <w:noProof/>
              </w:rPr>
            </w:pPr>
          </w:p>
        </w:tc>
      </w:tr>
      <w:tr w:rsidR="003F46B9" w14:paraId="4C356FE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0E025276" w14:textId="77777777" w:rsidR="003F46B9" w:rsidRDefault="0065662E">
            <w:pPr>
              <w:pStyle w:val="P68B1DB1-Normal35"/>
              <w:spacing w:after="0"/>
              <w:jc w:val="center"/>
              <w:rPr>
                <w:rFonts w:eastAsia="Times New Roman"/>
                <w:noProof/>
              </w:rPr>
            </w:pPr>
            <w:r>
              <w:rPr>
                <w:noProof/>
              </w:rPr>
              <w:t>15</w:t>
            </w:r>
          </w:p>
        </w:tc>
        <w:tc>
          <w:tcPr>
            <w:tcW w:w="3544" w:type="dxa"/>
            <w:tcBorders>
              <w:top w:val="nil"/>
              <w:left w:val="nil"/>
              <w:bottom w:val="single" w:sz="4" w:space="0" w:color="auto"/>
              <w:right w:val="single" w:sz="4" w:space="0" w:color="auto"/>
            </w:tcBorders>
            <w:shd w:val="clear" w:color="auto" w:fill="C6EFCE"/>
            <w:noWrap/>
            <w:hideMark/>
          </w:tcPr>
          <w:p w14:paraId="0A221E69" w14:textId="77777777" w:rsidR="003F46B9" w:rsidRDefault="0065662E">
            <w:pPr>
              <w:pStyle w:val="P68B1DB1-Normal35"/>
              <w:spacing w:after="0"/>
              <w:jc w:val="both"/>
              <w:rPr>
                <w:noProof/>
              </w:rPr>
            </w:pPr>
            <w:r>
              <w:rPr>
                <w:noProof/>
              </w:rPr>
              <w:t>C1.I4.1</w:t>
            </w:r>
          </w:p>
          <w:p w14:paraId="59F555B2" w14:textId="77777777" w:rsidR="003F46B9" w:rsidRDefault="0065662E">
            <w:pPr>
              <w:pStyle w:val="P68B1DB1-Normal35"/>
              <w:spacing w:after="0"/>
              <w:jc w:val="both"/>
              <w:rPr>
                <w:rFonts w:eastAsia="Times New Roman"/>
                <w:noProof/>
              </w:rPr>
            </w:pPr>
            <w:r>
              <w:rPr>
                <w:noProof/>
              </w:rPr>
              <w:t xml:space="preserve">Obnova postojećih linija obrane u skladu s Direktivom o poplavama i Nacionalnom strategijom za upravljanje rizicima od poplava </w:t>
            </w:r>
          </w:p>
        </w:tc>
        <w:tc>
          <w:tcPr>
            <w:tcW w:w="1230" w:type="dxa"/>
            <w:tcBorders>
              <w:top w:val="nil"/>
              <w:left w:val="nil"/>
              <w:bottom w:val="single" w:sz="4" w:space="0" w:color="auto"/>
              <w:right w:val="single" w:sz="4" w:space="0" w:color="auto"/>
            </w:tcBorders>
            <w:shd w:val="clear" w:color="auto" w:fill="C6EFCE"/>
            <w:noWrap/>
            <w:hideMark/>
          </w:tcPr>
          <w:p w14:paraId="33E5664E" w14:textId="77777777" w:rsidR="003F46B9" w:rsidRDefault="0065662E">
            <w:pPr>
              <w:pStyle w:val="P68B1DB1-Normal35"/>
              <w:spacing w:after="0"/>
              <w:jc w:val="center"/>
              <w:rPr>
                <w:rFonts w:eastAsia="Times New Roman"/>
                <w:noProof/>
              </w:rPr>
            </w:pPr>
            <w:r>
              <w:rPr>
                <w:noProof/>
              </w:rPr>
              <w:t>T</w:t>
            </w:r>
          </w:p>
        </w:tc>
        <w:tc>
          <w:tcPr>
            <w:tcW w:w="3447" w:type="dxa"/>
            <w:tcBorders>
              <w:top w:val="nil"/>
              <w:left w:val="nil"/>
              <w:bottom w:val="single" w:sz="4" w:space="0" w:color="auto"/>
              <w:right w:val="single" w:sz="4" w:space="0" w:color="auto"/>
            </w:tcBorders>
            <w:shd w:val="clear" w:color="auto" w:fill="C6EFCE"/>
            <w:noWrap/>
            <w:hideMark/>
          </w:tcPr>
          <w:p w14:paraId="0292939C" w14:textId="77777777" w:rsidR="003F46B9" w:rsidRDefault="0065662E">
            <w:pPr>
              <w:pStyle w:val="P68B1DB1-Normal35"/>
              <w:spacing w:after="0"/>
              <w:jc w:val="both"/>
              <w:rPr>
                <w:rFonts w:eastAsia="Times New Roman"/>
                <w:noProof/>
              </w:rPr>
            </w:pPr>
            <w:r>
              <w:rPr>
                <w:noProof/>
              </w:rPr>
              <w:t xml:space="preserve">Obnovljene obrambene linije od poplava u skladu s Direktivom o poplavama i Nacionalnom strategijom za upravljanje poplavnim rizicima </w:t>
            </w:r>
          </w:p>
        </w:tc>
      </w:tr>
      <w:tr w:rsidR="003F46B9" w14:paraId="28929E1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1305E1" w14:textId="77777777" w:rsidR="003F46B9" w:rsidRDefault="0065662E">
            <w:pPr>
              <w:pStyle w:val="P68B1DB1-Normal35"/>
              <w:spacing w:after="0"/>
              <w:jc w:val="center"/>
              <w:rPr>
                <w:noProof/>
              </w:rPr>
            </w:pPr>
            <w:r>
              <w:rPr>
                <w:noProof/>
              </w:rPr>
              <w:t>17</w:t>
            </w:r>
          </w:p>
        </w:tc>
        <w:tc>
          <w:tcPr>
            <w:tcW w:w="3544" w:type="dxa"/>
            <w:tcBorders>
              <w:top w:val="nil"/>
              <w:left w:val="nil"/>
              <w:bottom w:val="single" w:sz="4" w:space="0" w:color="auto"/>
              <w:right w:val="single" w:sz="4" w:space="0" w:color="auto"/>
            </w:tcBorders>
            <w:shd w:val="clear" w:color="auto" w:fill="C6EFCE"/>
            <w:noWrap/>
          </w:tcPr>
          <w:p w14:paraId="29D5571D" w14:textId="77777777" w:rsidR="003F46B9" w:rsidRDefault="0065662E">
            <w:pPr>
              <w:pStyle w:val="P68B1DB1-Normal35"/>
              <w:spacing w:after="0"/>
              <w:jc w:val="both"/>
              <w:rPr>
                <w:noProof/>
              </w:rPr>
            </w:pPr>
            <w:r>
              <w:rPr>
                <w:noProof/>
              </w:rPr>
              <w:t xml:space="preserve">C1.I4.2 </w:t>
            </w:r>
          </w:p>
          <w:p w14:paraId="787BCD39" w14:textId="77777777" w:rsidR="003F46B9" w:rsidRDefault="0065662E">
            <w:pPr>
              <w:pStyle w:val="P68B1DB1-Normal35"/>
              <w:spacing w:after="0"/>
              <w:jc w:val="both"/>
              <w:rPr>
                <w:noProof/>
              </w:rPr>
            </w:pPr>
            <w:r>
              <w:rPr>
                <w:noProof/>
              </w:rPr>
              <w:t xml:space="preserve">Sanacija postojećih akumulacija koje zahtijevaju hitne intervencije za siguran rad </w:t>
            </w:r>
          </w:p>
        </w:tc>
        <w:tc>
          <w:tcPr>
            <w:tcW w:w="1230" w:type="dxa"/>
            <w:tcBorders>
              <w:top w:val="nil"/>
              <w:left w:val="nil"/>
              <w:bottom w:val="single" w:sz="4" w:space="0" w:color="auto"/>
              <w:right w:val="single" w:sz="4" w:space="0" w:color="auto"/>
            </w:tcBorders>
            <w:shd w:val="clear" w:color="auto" w:fill="C6EFCE"/>
            <w:noWrap/>
          </w:tcPr>
          <w:p w14:paraId="407CEDCE"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3BBD978" w14:textId="77777777" w:rsidR="003F46B9" w:rsidRDefault="0065662E">
            <w:pPr>
              <w:pStyle w:val="P68B1DB1-Normal35"/>
              <w:spacing w:after="0"/>
              <w:jc w:val="both"/>
              <w:rPr>
                <w:noProof/>
              </w:rPr>
            </w:pPr>
            <w:r>
              <w:rPr>
                <w:noProof/>
              </w:rPr>
              <w:t xml:space="preserve">Postojeće rehabilitirane brane </w:t>
            </w:r>
          </w:p>
        </w:tc>
      </w:tr>
      <w:tr w:rsidR="003F46B9" w14:paraId="77EB039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BC6EB56" w14:textId="77777777" w:rsidR="003F46B9" w:rsidRDefault="0065662E">
            <w:pPr>
              <w:pStyle w:val="P68B1DB1-Normal35"/>
              <w:spacing w:after="0"/>
              <w:jc w:val="center"/>
              <w:rPr>
                <w:noProof/>
              </w:rPr>
            </w:pPr>
            <w:r>
              <w:rPr>
                <w:noProof/>
              </w:rPr>
              <w:t>45</w:t>
            </w:r>
          </w:p>
        </w:tc>
        <w:tc>
          <w:tcPr>
            <w:tcW w:w="3544" w:type="dxa"/>
            <w:tcBorders>
              <w:top w:val="nil"/>
              <w:left w:val="nil"/>
              <w:bottom w:val="single" w:sz="4" w:space="0" w:color="auto"/>
              <w:right w:val="single" w:sz="4" w:space="0" w:color="auto"/>
            </w:tcBorders>
            <w:shd w:val="clear" w:color="auto" w:fill="C6EFCE"/>
            <w:noWrap/>
          </w:tcPr>
          <w:p w14:paraId="393F1111" w14:textId="77777777" w:rsidR="003F46B9" w:rsidRDefault="0065662E">
            <w:pPr>
              <w:pStyle w:val="P68B1DB1-Normal35"/>
              <w:spacing w:after="0"/>
              <w:jc w:val="both"/>
              <w:rPr>
                <w:noProof/>
              </w:rPr>
            </w:pPr>
            <w:r>
              <w:rPr>
                <w:noProof/>
              </w:rPr>
              <w:t xml:space="preserve">C3.R1 </w:t>
            </w:r>
          </w:p>
          <w:p w14:paraId="437E9650" w14:textId="77777777" w:rsidR="003F46B9" w:rsidRDefault="0065662E">
            <w:pPr>
              <w:pStyle w:val="P68B1DB1-Normal35"/>
              <w:spacing w:after="0"/>
              <w:jc w:val="both"/>
              <w:rPr>
                <w:noProof/>
              </w:rPr>
            </w:pPr>
            <w:r>
              <w:rPr>
                <w:noProof/>
              </w:rPr>
              <w:t xml:space="preserve">Poboljšanje upravljanja gospodarenjem otpadom kako bi se ubrzao prelazak na kružno gospodarstvo </w:t>
            </w:r>
          </w:p>
        </w:tc>
        <w:tc>
          <w:tcPr>
            <w:tcW w:w="1230" w:type="dxa"/>
            <w:tcBorders>
              <w:top w:val="nil"/>
              <w:left w:val="nil"/>
              <w:bottom w:val="single" w:sz="4" w:space="0" w:color="auto"/>
              <w:right w:val="single" w:sz="4" w:space="0" w:color="auto"/>
            </w:tcBorders>
            <w:shd w:val="clear" w:color="auto" w:fill="C6EFCE"/>
            <w:noWrap/>
          </w:tcPr>
          <w:p w14:paraId="6A594C6F"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ED62233" w14:textId="77777777" w:rsidR="003F46B9" w:rsidRDefault="0065662E">
            <w:pPr>
              <w:pStyle w:val="P68B1DB1-Normal35"/>
              <w:spacing w:after="0"/>
              <w:jc w:val="both"/>
              <w:rPr>
                <w:noProof/>
              </w:rPr>
            </w:pPr>
            <w:r>
              <w:rPr>
                <w:noProof/>
              </w:rPr>
              <w:t>Provedba mjera iz nacionalne strategije i akcijskog plana za kružno gospodarstvo dodijeljenih javnim tijelima</w:t>
            </w:r>
          </w:p>
        </w:tc>
      </w:tr>
      <w:tr w:rsidR="003F46B9" w14:paraId="72CA79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DF5F534" w14:textId="77777777" w:rsidR="003F46B9" w:rsidRDefault="0065662E">
            <w:pPr>
              <w:pStyle w:val="P68B1DB1-Normal35"/>
              <w:spacing w:after="0"/>
              <w:jc w:val="center"/>
              <w:rPr>
                <w:noProof/>
              </w:rPr>
            </w:pPr>
            <w:r>
              <w:rPr>
                <w:noProof/>
              </w:rPr>
              <w:t>330</w:t>
            </w:r>
          </w:p>
        </w:tc>
        <w:tc>
          <w:tcPr>
            <w:tcW w:w="3544" w:type="dxa"/>
            <w:tcBorders>
              <w:top w:val="nil"/>
              <w:left w:val="nil"/>
              <w:bottom w:val="single" w:sz="4" w:space="0" w:color="auto"/>
              <w:right w:val="single" w:sz="4" w:space="0" w:color="auto"/>
            </w:tcBorders>
            <w:shd w:val="clear" w:color="auto" w:fill="C6EFCE"/>
            <w:noWrap/>
          </w:tcPr>
          <w:p w14:paraId="2FCC7FAB" w14:textId="77777777" w:rsidR="003F46B9" w:rsidRDefault="0065662E">
            <w:pPr>
              <w:pStyle w:val="P68B1DB1-Normal35"/>
              <w:spacing w:after="0"/>
              <w:jc w:val="both"/>
              <w:rPr>
                <w:noProof/>
              </w:rPr>
            </w:pPr>
            <w:r>
              <w:rPr>
                <w:noProof/>
              </w:rPr>
              <w:t xml:space="preserve">C11.R1 </w:t>
            </w:r>
          </w:p>
          <w:p w14:paraId="534A8A4D" w14:textId="1B21EB08" w:rsidR="003F46B9" w:rsidRDefault="0065662E">
            <w:pPr>
              <w:pStyle w:val="P68B1DB1-Normal35"/>
              <w:spacing w:after="0"/>
              <w:jc w:val="both"/>
              <w:rPr>
                <w:noProof/>
              </w:rPr>
            </w:pPr>
            <w:r>
              <w:rPr>
                <w:noProof/>
              </w:rPr>
              <w:t xml:space="preserve">Operacionalizacija organizacija za upravljanje odredištima </w:t>
            </w:r>
          </w:p>
        </w:tc>
        <w:tc>
          <w:tcPr>
            <w:tcW w:w="1230" w:type="dxa"/>
            <w:tcBorders>
              <w:top w:val="nil"/>
              <w:left w:val="nil"/>
              <w:bottom w:val="single" w:sz="4" w:space="0" w:color="auto"/>
              <w:right w:val="single" w:sz="4" w:space="0" w:color="auto"/>
            </w:tcBorders>
            <w:shd w:val="clear" w:color="auto" w:fill="C6EFCE"/>
            <w:noWrap/>
          </w:tcPr>
          <w:p w14:paraId="6DA89B3D"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858693E" w14:textId="77777777" w:rsidR="003F46B9" w:rsidRDefault="0065662E">
            <w:pPr>
              <w:pStyle w:val="P68B1DB1-Normal35"/>
              <w:spacing w:after="0"/>
              <w:jc w:val="both"/>
              <w:rPr>
                <w:noProof/>
              </w:rPr>
            </w:pPr>
            <w:r>
              <w:rPr>
                <w:noProof/>
              </w:rPr>
              <w:t xml:space="preserve">Povećani udio stranih turista u županijama koje su dio regionalnih AUO-ova </w:t>
            </w:r>
          </w:p>
        </w:tc>
      </w:tr>
      <w:tr w:rsidR="003F46B9" w14:paraId="2E9B14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CB3F2BA" w14:textId="77777777" w:rsidR="003F46B9" w:rsidRDefault="0065662E">
            <w:pPr>
              <w:pStyle w:val="P68B1DB1-Normal35"/>
              <w:spacing w:after="0"/>
              <w:jc w:val="center"/>
              <w:rPr>
                <w:noProof/>
              </w:rPr>
            </w:pPr>
            <w:r>
              <w:rPr>
                <w:noProof/>
              </w:rPr>
              <w:t>507</w:t>
            </w:r>
          </w:p>
        </w:tc>
        <w:tc>
          <w:tcPr>
            <w:tcW w:w="3544" w:type="dxa"/>
            <w:tcBorders>
              <w:top w:val="nil"/>
              <w:left w:val="nil"/>
              <w:bottom w:val="single" w:sz="4" w:space="0" w:color="auto"/>
              <w:right w:val="single" w:sz="4" w:space="0" w:color="auto"/>
            </w:tcBorders>
            <w:shd w:val="clear" w:color="auto" w:fill="C6EFCE"/>
            <w:noWrap/>
          </w:tcPr>
          <w:p w14:paraId="7E73B8FC" w14:textId="77777777" w:rsidR="003F46B9" w:rsidRDefault="0065662E">
            <w:pPr>
              <w:pStyle w:val="P68B1DB1-Normal35"/>
              <w:spacing w:after="0"/>
              <w:jc w:val="both"/>
              <w:rPr>
                <w:noProof/>
              </w:rPr>
            </w:pPr>
            <w:r>
              <w:rPr>
                <w:noProof/>
              </w:rPr>
              <w:t>C15.I18</w:t>
            </w:r>
          </w:p>
          <w:p w14:paraId="388C9F92" w14:textId="77777777" w:rsidR="003F46B9" w:rsidRDefault="0065662E">
            <w:pPr>
              <w:pStyle w:val="P68B1DB1-Normal35"/>
              <w:spacing w:after="0"/>
              <w:jc w:val="both"/>
              <w:rPr>
                <w:noProof/>
              </w:rPr>
            </w:pPr>
            <w:r>
              <w:rPr>
                <w:noProof/>
              </w:rPr>
              <w:t xml:space="preserve">Program osposobljavanja i obuke za ravnatelje škola i inspektore </w:t>
            </w:r>
          </w:p>
        </w:tc>
        <w:tc>
          <w:tcPr>
            <w:tcW w:w="1230" w:type="dxa"/>
            <w:tcBorders>
              <w:top w:val="nil"/>
              <w:left w:val="nil"/>
              <w:bottom w:val="single" w:sz="4" w:space="0" w:color="auto"/>
              <w:right w:val="single" w:sz="4" w:space="0" w:color="auto"/>
            </w:tcBorders>
            <w:shd w:val="clear" w:color="auto" w:fill="C6EFCE"/>
            <w:noWrap/>
          </w:tcPr>
          <w:p w14:paraId="05D27FF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7846EC9" w14:textId="77777777" w:rsidR="003F46B9" w:rsidRDefault="0065662E">
            <w:pPr>
              <w:pStyle w:val="P68B1DB1-Normal35"/>
              <w:spacing w:after="0"/>
              <w:jc w:val="both"/>
              <w:rPr>
                <w:noProof/>
              </w:rPr>
            </w:pPr>
            <w:r>
              <w:rPr>
                <w:noProof/>
              </w:rPr>
              <w:t xml:space="preserve">Ravnatelji, zamjenici </w:t>
            </w:r>
            <w:r>
              <w:rPr>
                <w:noProof/>
              </w:rPr>
              <w:t>direktora i inspektori s završenim programom osposobljavanja i obuke</w:t>
            </w:r>
          </w:p>
        </w:tc>
      </w:tr>
      <w:tr w:rsidR="003F46B9" w14:paraId="523060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E6D3EC0" w14:textId="77777777" w:rsidR="003F46B9" w:rsidRDefault="0065662E">
            <w:pPr>
              <w:pStyle w:val="P68B1DB1-Normal35"/>
              <w:spacing w:after="0"/>
              <w:jc w:val="center"/>
              <w:rPr>
                <w:noProof/>
              </w:rPr>
            </w:pPr>
            <w:r>
              <w:rPr>
                <w:noProof/>
              </w:rPr>
              <w:t>6</w:t>
            </w:r>
          </w:p>
        </w:tc>
        <w:tc>
          <w:tcPr>
            <w:tcW w:w="3544" w:type="dxa"/>
            <w:tcBorders>
              <w:top w:val="nil"/>
              <w:left w:val="nil"/>
              <w:bottom w:val="single" w:sz="4" w:space="0" w:color="auto"/>
              <w:right w:val="single" w:sz="4" w:space="0" w:color="auto"/>
            </w:tcBorders>
            <w:shd w:val="clear" w:color="auto" w:fill="C6EFCE"/>
            <w:noWrap/>
          </w:tcPr>
          <w:p w14:paraId="100D0898" w14:textId="77777777" w:rsidR="003F46B9" w:rsidRDefault="0065662E">
            <w:pPr>
              <w:pStyle w:val="P68B1DB1-Normal35"/>
              <w:spacing w:after="0"/>
              <w:jc w:val="both"/>
              <w:rPr>
                <w:noProof/>
              </w:rPr>
            </w:pPr>
            <w:r>
              <w:rPr>
                <w:noProof/>
              </w:rPr>
              <w:t xml:space="preserve">C1.I1 </w:t>
            </w:r>
          </w:p>
          <w:p w14:paraId="5F0F7593" w14:textId="77777777" w:rsidR="003F46B9" w:rsidRDefault="0065662E">
            <w:pPr>
              <w:pStyle w:val="P68B1DB1-Normal35"/>
              <w:spacing w:after="0"/>
              <w:jc w:val="both"/>
              <w:rPr>
                <w:noProof/>
              </w:rPr>
            </w:pPr>
            <w:r>
              <w:rPr>
                <w:noProof/>
              </w:rPr>
              <w:t>Proširenje vodoopskrbnih i kanalizacijskih sustava u aglomeracijama s više od 2000 ekvivalenata stanovnika, što je prioritet u ubrzanom planu za usklađivanje s europskim direkti</w:t>
            </w:r>
            <w:r>
              <w:rPr>
                <w:noProof/>
              </w:rPr>
              <w:t xml:space="preserve">vama </w:t>
            </w:r>
          </w:p>
          <w:p w14:paraId="6F1E77BE" w14:textId="77777777" w:rsidR="003F46B9" w:rsidRDefault="003F46B9">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7EE4B113"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66A2C40" w14:textId="77777777" w:rsidR="003F46B9" w:rsidRDefault="0065662E">
            <w:pPr>
              <w:pStyle w:val="P68B1DB1-Normal35"/>
              <w:spacing w:after="0"/>
              <w:jc w:val="both"/>
              <w:rPr>
                <w:noProof/>
              </w:rPr>
            </w:pPr>
            <w:r>
              <w:rPr>
                <w:noProof/>
              </w:rPr>
              <w:t xml:space="preserve">Izgrađene i operativne vodoopskrbne mreže </w:t>
            </w:r>
          </w:p>
        </w:tc>
      </w:tr>
      <w:tr w:rsidR="003F46B9" w14:paraId="2901C6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14:paraId="250431FB" w14:textId="77777777" w:rsidR="003F46B9" w:rsidRDefault="0065662E">
            <w:pPr>
              <w:pStyle w:val="P68B1DB1-Normal35"/>
              <w:spacing w:after="0"/>
              <w:jc w:val="center"/>
              <w:rPr>
                <w:rFonts w:eastAsia="Times New Roman"/>
                <w:noProof/>
              </w:rPr>
            </w:pPr>
            <w:r>
              <w:rPr>
                <w:noProof/>
              </w:rPr>
              <w:t>8</w:t>
            </w:r>
          </w:p>
        </w:tc>
        <w:tc>
          <w:tcPr>
            <w:tcW w:w="3544" w:type="dxa"/>
            <w:tcBorders>
              <w:top w:val="nil"/>
              <w:left w:val="nil"/>
              <w:bottom w:val="single" w:sz="4" w:space="0" w:color="auto"/>
              <w:right w:val="single" w:sz="4" w:space="0" w:color="auto"/>
            </w:tcBorders>
            <w:shd w:val="clear" w:color="auto" w:fill="C6EFCE"/>
            <w:noWrap/>
            <w:hideMark/>
          </w:tcPr>
          <w:p w14:paraId="2CFE2CA5" w14:textId="77777777" w:rsidR="003F46B9" w:rsidRDefault="0065662E">
            <w:pPr>
              <w:pStyle w:val="P68B1DB1-Normal35"/>
              <w:spacing w:after="0"/>
              <w:jc w:val="both"/>
              <w:rPr>
                <w:noProof/>
              </w:rPr>
            </w:pPr>
            <w:r>
              <w:rPr>
                <w:noProof/>
              </w:rPr>
              <w:t xml:space="preserve">C1.I1 </w:t>
            </w:r>
          </w:p>
          <w:p w14:paraId="2E039434" w14:textId="77777777" w:rsidR="003F46B9" w:rsidRDefault="0065662E">
            <w:pPr>
              <w:pStyle w:val="P68B1DB1-Normal35"/>
              <w:spacing w:after="0"/>
              <w:jc w:val="both"/>
              <w:rPr>
                <w:rFonts w:eastAsia="Times New Roman"/>
                <w:noProof/>
              </w:rPr>
            </w:pPr>
            <w:r>
              <w:rPr>
                <w:noProof/>
              </w:rPr>
              <w:t xml:space="preserve">Proširenje vodoopskrbnih i kanalizacijskih sustava u aglomeracijama s ekvivalentom stanovnika većim od 2000, što je prioritet u ubrzanom planu za usklađivanje s europskim direktivama </w:t>
            </w:r>
          </w:p>
        </w:tc>
        <w:tc>
          <w:tcPr>
            <w:tcW w:w="1230" w:type="dxa"/>
            <w:tcBorders>
              <w:top w:val="nil"/>
              <w:left w:val="nil"/>
              <w:bottom w:val="single" w:sz="4" w:space="0" w:color="auto"/>
              <w:right w:val="single" w:sz="4" w:space="0" w:color="auto"/>
            </w:tcBorders>
            <w:shd w:val="clear" w:color="auto" w:fill="C6EFCE"/>
            <w:noWrap/>
            <w:hideMark/>
          </w:tcPr>
          <w:p w14:paraId="5A5955B2" w14:textId="77777777" w:rsidR="003F46B9" w:rsidRDefault="0065662E">
            <w:pPr>
              <w:pStyle w:val="P68B1DB1-Normal35"/>
              <w:spacing w:after="0"/>
              <w:jc w:val="center"/>
              <w:rPr>
                <w:rFonts w:eastAsia="Times New Roman"/>
                <w:noProof/>
              </w:rPr>
            </w:pPr>
            <w:r>
              <w:rPr>
                <w:noProof/>
              </w:rPr>
              <w:t>T</w:t>
            </w:r>
          </w:p>
        </w:tc>
        <w:tc>
          <w:tcPr>
            <w:tcW w:w="3447" w:type="dxa"/>
            <w:tcBorders>
              <w:top w:val="nil"/>
              <w:left w:val="nil"/>
              <w:bottom w:val="single" w:sz="4" w:space="0" w:color="auto"/>
              <w:right w:val="single" w:sz="4" w:space="0" w:color="auto"/>
            </w:tcBorders>
            <w:shd w:val="clear" w:color="auto" w:fill="C6EFCE"/>
            <w:noWrap/>
            <w:hideMark/>
          </w:tcPr>
          <w:p w14:paraId="30398075" w14:textId="77777777" w:rsidR="003F46B9" w:rsidRDefault="0065662E">
            <w:pPr>
              <w:pStyle w:val="P68B1DB1-Normal35"/>
              <w:spacing w:after="0"/>
              <w:jc w:val="both"/>
              <w:rPr>
                <w:rFonts w:eastAsia="Times New Roman"/>
                <w:noProof/>
              </w:rPr>
            </w:pPr>
            <w:r>
              <w:rPr>
                <w:noProof/>
              </w:rPr>
              <w:t>Izgrađene i operativne kanalizacijske mreže izgrađene i operativne u aglomeracijama koje su prioritetne u ubrzanom planu za usklađivanje s europskim direktivama.</w:t>
            </w:r>
          </w:p>
        </w:tc>
      </w:tr>
      <w:tr w:rsidR="003F46B9" w14:paraId="127D49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427CBC0" w14:textId="77777777" w:rsidR="003F46B9" w:rsidRDefault="0065662E">
            <w:pPr>
              <w:pStyle w:val="P68B1DB1-Normal35"/>
              <w:spacing w:after="0"/>
              <w:jc w:val="center"/>
              <w:rPr>
                <w:noProof/>
              </w:rPr>
            </w:pPr>
            <w:r>
              <w:rPr>
                <w:noProof/>
              </w:rPr>
              <w:t>10</w:t>
            </w:r>
          </w:p>
        </w:tc>
        <w:tc>
          <w:tcPr>
            <w:tcW w:w="3544" w:type="dxa"/>
            <w:tcBorders>
              <w:top w:val="nil"/>
              <w:left w:val="nil"/>
              <w:bottom w:val="single" w:sz="4" w:space="0" w:color="auto"/>
              <w:right w:val="single" w:sz="4" w:space="0" w:color="auto"/>
            </w:tcBorders>
            <w:shd w:val="clear" w:color="auto" w:fill="C6EFCE"/>
            <w:noWrap/>
          </w:tcPr>
          <w:p w14:paraId="45C05CA4" w14:textId="77777777" w:rsidR="003F46B9" w:rsidRDefault="0065662E">
            <w:pPr>
              <w:pStyle w:val="P68B1DB1-Normal35"/>
              <w:spacing w:after="0"/>
              <w:jc w:val="both"/>
              <w:rPr>
                <w:noProof/>
              </w:rPr>
            </w:pPr>
            <w:r>
              <w:rPr>
                <w:noProof/>
              </w:rPr>
              <w:t xml:space="preserve">C1.I2 </w:t>
            </w:r>
          </w:p>
          <w:p w14:paraId="7FAEDBE3" w14:textId="77777777" w:rsidR="003F46B9" w:rsidRDefault="0065662E">
            <w:pPr>
              <w:pStyle w:val="P68B1DB1-Normal35"/>
              <w:spacing w:after="0"/>
              <w:jc w:val="both"/>
              <w:rPr>
                <w:noProof/>
              </w:rPr>
            </w:pPr>
            <w:r>
              <w:rPr>
                <w:noProof/>
              </w:rPr>
              <w:t xml:space="preserve">Prikupljanje otpadnih voda u aglomeracijama s manje od 2000 stanovnika koje </w:t>
            </w:r>
            <w:r>
              <w:rPr>
                <w:noProof/>
              </w:rPr>
              <w:t>sprečavaju postizanje dobrog stanja vodnih tijela i/ili utječu na zaštićena prirodna područja</w:t>
            </w:r>
          </w:p>
        </w:tc>
        <w:tc>
          <w:tcPr>
            <w:tcW w:w="1230" w:type="dxa"/>
            <w:tcBorders>
              <w:top w:val="nil"/>
              <w:left w:val="nil"/>
              <w:bottom w:val="single" w:sz="4" w:space="0" w:color="auto"/>
              <w:right w:val="single" w:sz="4" w:space="0" w:color="auto"/>
            </w:tcBorders>
            <w:shd w:val="clear" w:color="auto" w:fill="C6EFCE"/>
            <w:noWrap/>
          </w:tcPr>
          <w:p w14:paraId="72368B46"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189E75B" w14:textId="77777777" w:rsidR="003F46B9" w:rsidRDefault="0065662E">
            <w:pPr>
              <w:pStyle w:val="P68B1DB1-Normal35"/>
              <w:spacing w:after="0"/>
              <w:jc w:val="both"/>
              <w:rPr>
                <w:noProof/>
              </w:rPr>
            </w:pPr>
            <w:r>
              <w:rPr>
                <w:noProof/>
              </w:rPr>
              <w:t>Pojedinačni ili drugi odgovarajući sustavi izgrađeni i operativni u aglomeracijama s ekvivalentom stanovnika manjim od 2000</w:t>
            </w:r>
          </w:p>
        </w:tc>
      </w:tr>
      <w:tr w:rsidR="003F46B9" w14:paraId="7B351E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B72E8FD" w14:textId="77777777" w:rsidR="003F46B9" w:rsidRDefault="0065662E">
            <w:pPr>
              <w:pStyle w:val="P68B1DB1-Normal35"/>
              <w:spacing w:after="0"/>
              <w:jc w:val="center"/>
              <w:rPr>
                <w:noProof/>
              </w:rPr>
            </w:pPr>
            <w:r>
              <w:rPr>
                <w:noProof/>
              </w:rPr>
              <w:t>12</w:t>
            </w:r>
          </w:p>
        </w:tc>
        <w:tc>
          <w:tcPr>
            <w:tcW w:w="3544" w:type="dxa"/>
            <w:tcBorders>
              <w:top w:val="nil"/>
              <w:left w:val="nil"/>
              <w:bottom w:val="single" w:sz="4" w:space="0" w:color="auto"/>
              <w:right w:val="single" w:sz="4" w:space="0" w:color="auto"/>
            </w:tcBorders>
            <w:shd w:val="clear" w:color="auto" w:fill="C6EFCE"/>
            <w:noWrap/>
          </w:tcPr>
          <w:p w14:paraId="32612B12" w14:textId="77777777" w:rsidR="003F46B9" w:rsidRDefault="0065662E">
            <w:pPr>
              <w:pStyle w:val="P68B1DB1-Normal35"/>
              <w:spacing w:after="0"/>
              <w:jc w:val="both"/>
              <w:rPr>
                <w:noProof/>
              </w:rPr>
            </w:pPr>
            <w:r>
              <w:rPr>
                <w:noProof/>
              </w:rPr>
              <w:t xml:space="preserve">C1.I2 </w:t>
            </w:r>
          </w:p>
          <w:p w14:paraId="54BE2070" w14:textId="77777777" w:rsidR="003F46B9" w:rsidRDefault="0065662E">
            <w:pPr>
              <w:pStyle w:val="P68B1DB1-Normal35"/>
              <w:spacing w:after="0"/>
              <w:jc w:val="both"/>
              <w:rPr>
                <w:noProof/>
              </w:rPr>
            </w:pPr>
            <w:r>
              <w:rPr>
                <w:noProof/>
              </w:rPr>
              <w:t xml:space="preserve">Prikupljanje otpadnih </w:t>
            </w:r>
            <w:r>
              <w:rPr>
                <w:noProof/>
              </w:rPr>
              <w:t>voda u aglomeracijama s manje od 2000 stanovnika koje sprečavaju postizanje dobrog stanja vodnih tijela i/ili utječu na zaštićena prirodna područja</w:t>
            </w:r>
          </w:p>
        </w:tc>
        <w:tc>
          <w:tcPr>
            <w:tcW w:w="1230" w:type="dxa"/>
            <w:tcBorders>
              <w:top w:val="nil"/>
              <w:left w:val="nil"/>
              <w:bottom w:val="single" w:sz="4" w:space="0" w:color="auto"/>
              <w:right w:val="single" w:sz="4" w:space="0" w:color="auto"/>
            </w:tcBorders>
            <w:shd w:val="clear" w:color="auto" w:fill="C6EFCE"/>
            <w:noWrap/>
          </w:tcPr>
          <w:p w14:paraId="1CEF4CC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361D500" w14:textId="77777777" w:rsidR="003F46B9" w:rsidRDefault="0065662E">
            <w:pPr>
              <w:pStyle w:val="P68B1DB1-Normal35"/>
              <w:spacing w:after="0"/>
              <w:jc w:val="both"/>
              <w:rPr>
                <w:noProof/>
              </w:rPr>
            </w:pPr>
            <w:r>
              <w:rPr>
                <w:noProof/>
              </w:rPr>
              <w:t>Izgrađene i operativne kanalizacijske mreže u aglomeracijama s ekvivalentom stanovnika manjim od 2000</w:t>
            </w:r>
          </w:p>
        </w:tc>
      </w:tr>
      <w:tr w:rsidR="003F46B9" w14:paraId="0AEC550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FEEEC04" w14:textId="77777777" w:rsidR="003F46B9" w:rsidRDefault="0065662E">
            <w:pPr>
              <w:pStyle w:val="P68B1DB1-Normal35"/>
              <w:spacing w:after="0"/>
              <w:jc w:val="center"/>
              <w:rPr>
                <w:noProof/>
              </w:rPr>
            </w:pPr>
            <w:r>
              <w:rPr>
                <w:noProof/>
              </w:rPr>
              <w:t>13</w:t>
            </w:r>
          </w:p>
        </w:tc>
        <w:tc>
          <w:tcPr>
            <w:tcW w:w="3544" w:type="dxa"/>
            <w:tcBorders>
              <w:top w:val="nil"/>
              <w:left w:val="nil"/>
              <w:bottom w:val="single" w:sz="4" w:space="0" w:color="auto"/>
              <w:right w:val="single" w:sz="4" w:space="0" w:color="auto"/>
            </w:tcBorders>
            <w:shd w:val="clear" w:color="auto" w:fill="C6EFCE"/>
            <w:noWrap/>
          </w:tcPr>
          <w:p w14:paraId="4BE1318A" w14:textId="77777777" w:rsidR="003F46B9" w:rsidRDefault="0065662E">
            <w:pPr>
              <w:pStyle w:val="P68B1DB1-Normal35"/>
              <w:spacing w:after="0"/>
              <w:jc w:val="both"/>
              <w:rPr>
                <w:noProof/>
              </w:rPr>
            </w:pPr>
            <w:r>
              <w:rPr>
                <w:noProof/>
              </w:rPr>
              <w:t xml:space="preserve">C1.I3 </w:t>
            </w:r>
          </w:p>
          <w:p w14:paraId="19365E0A" w14:textId="77777777" w:rsidR="003F46B9" w:rsidRDefault="0065662E">
            <w:pPr>
              <w:pStyle w:val="P68B1DB1-Normal35"/>
              <w:spacing w:after="0"/>
              <w:jc w:val="both"/>
              <w:rPr>
                <w:noProof/>
              </w:rPr>
            </w:pPr>
            <w:r>
              <w:rPr>
                <w:noProof/>
              </w:rPr>
              <w:t>Potpora povezivanju stanovništva s niskim prihodima na postojeće vodovodne i kanalizacijske mreže</w:t>
            </w:r>
          </w:p>
        </w:tc>
        <w:tc>
          <w:tcPr>
            <w:tcW w:w="1230" w:type="dxa"/>
            <w:tcBorders>
              <w:top w:val="nil"/>
              <w:left w:val="nil"/>
              <w:bottom w:val="single" w:sz="4" w:space="0" w:color="auto"/>
              <w:right w:val="single" w:sz="4" w:space="0" w:color="auto"/>
            </w:tcBorders>
            <w:shd w:val="clear" w:color="auto" w:fill="C6EFCE"/>
            <w:noWrap/>
          </w:tcPr>
          <w:p w14:paraId="55C2767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0482626" w14:textId="77777777" w:rsidR="003F46B9" w:rsidRDefault="0065662E">
            <w:pPr>
              <w:pStyle w:val="P68B1DB1-Normal35"/>
              <w:spacing w:after="0"/>
              <w:jc w:val="both"/>
              <w:rPr>
                <w:noProof/>
              </w:rPr>
            </w:pPr>
            <w:r>
              <w:rPr>
                <w:noProof/>
              </w:rPr>
              <w:t>Kućanstva priključena na vodoopskrbne i kanalizacijske mreže u okviru nacionalnog programa Prva povezanost s vodom i odvodnjom</w:t>
            </w:r>
          </w:p>
        </w:tc>
      </w:tr>
      <w:tr w:rsidR="003F46B9" w14:paraId="05704F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85A8A2" w14:textId="77777777" w:rsidR="003F46B9" w:rsidRDefault="0065662E">
            <w:pPr>
              <w:pStyle w:val="P68B1DB1-Normal35"/>
              <w:spacing w:after="0"/>
              <w:jc w:val="center"/>
              <w:rPr>
                <w:noProof/>
              </w:rPr>
            </w:pPr>
            <w:r>
              <w:rPr>
                <w:noProof/>
              </w:rPr>
              <w:t>21</w:t>
            </w:r>
          </w:p>
        </w:tc>
        <w:tc>
          <w:tcPr>
            <w:tcW w:w="3544" w:type="dxa"/>
            <w:tcBorders>
              <w:top w:val="nil"/>
              <w:left w:val="nil"/>
              <w:bottom w:val="single" w:sz="4" w:space="0" w:color="auto"/>
              <w:right w:val="single" w:sz="4" w:space="0" w:color="auto"/>
            </w:tcBorders>
            <w:shd w:val="clear" w:color="auto" w:fill="C6EFCE"/>
            <w:noWrap/>
          </w:tcPr>
          <w:p w14:paraId="4DA31B34" w14:textId="77777777" w:rsidR="003F46B9" w:rsidRDefault="0065662E">
            <w:pPr>
              <w:pStyle w:val="P68B1DB1-Normal35"/>
              <w:spacing w:after="0"/>
              <w:jc w:val="both"/>
              <w:rPr>
                <w:noProof/>
              </w:rPr>
            </w:pPr>
            <w:r>
              <w:rPr>
                <w:noProof/>
              </w:rPr>
              <w:t xml:space="preserve">C1.I7 </w:t>
            </w:r>
          </w:p>
          <w:p w14:paraId="05577741" w14:textId="77777777" w:rsidR="003F46B9" w:rsidRDefault="0065662E">
            <w:pPr>
              <w:pStyle w:val="P68B1DB1-Normal35"/>
              <w:spacing w:after="0"/>
              <w:jc w:val="both"/>
              <w:rPr>
                <w:noProof/>
              </w:rPr>
            </w:pPr>
            <w:r>
              <w:rPr>
                <w:noProof/>
              </w:rPr>
              <w:t xml:space="preserve">Proširenje nacionalne promatračke mreže nacionalnog integriranog meteorološkog sustava (SIMIN) </w:t>
            </w:r>
          </w:p>
        </w:tc>
        <w:tc>
          <w:tcPr>
            <w:tcW w:w="1230" w:type="dxa"/>
            <w:tcBorders>
              <w:top w:val="nil"/>
              <w:left w:val="nil"/>
              <w:bottom w:val="single" w:sz="4" w:space="0" w:color="auto"/>
              <w:right w:val="single" w:sz="4" w:space="0" w:color="auto"/>
            </w:tcBorders>
            <w:shd w:val="clear" w:color="auto" w:fill="C6EFCE"/>
            <w:noWrap/>
          </w:tcPr>
          <w:p w14:paraId="0786B888"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661EA8F" w14:textId="77777777" w:rsidR="003F46B9" w:rsidRDefault="0065662E">
            <w:pPr>
              <w:pStyle w:val="P68B1DB1-Normal35"/>
              <w:spacing w:after="0"/>
              <w:jc w:val="both"/>
              <w:rPr>
                <w:noProof/>
              </w:rPr>
            </w:pPr>
            <w:r>
              <w:rPr>
                <w:noProof/>
              </w:rPr>
              <w:t>Operativni informacijski i komunikacijski sustav za integraciju dodatnih meteoroloških i agrometeoroloških postaja u nacionalni integrirani meteorološki susta</w:t>
            </w:r>
            <w:r>
              <w:rPr>
                <w:noProof/>
              </w:rPr>
              <w:t>v (SIMIN)</w:t>
            </w:r>
          </w:p>
        </w:tc>
      </w:tr>
      <w:tr w:rsidR="003F46B9" w14:paraId="342F49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B191B5" w14:textId="77777777" w:rsidR="003F46B9" w:rsidRDefault="0065662E">
            <w:pPr>
              <w:pStyle w:val="P68B1DB1-Normal35"/>
              <w:spacing w:after="0"/>
              <w:jc w:val="center"/>
              <w:rPr>
                <w:noProof/>
              </w:rPr>
            </w:pPr>
            <w:r>
              <w:rPr>
                <w:noProof/>
              </w:rPr>
              <w:t>33</w:t>
            </w:r>
          </w:p>
        </w:tc>
        <w:tc>
          <w:tcPr>
            <w:tcW w:w="3544" w:type="dxa"/>
            <w:tcBorders>
              <w:top w:val="nil"/>
              <w:left w:val="nil"/>
              <w:bottom w:val="single" w:sz="4" w:space="0" w:color="auto"/>
              <w:right w:val="single" w:sz="4" w:space="0" w:color="auto"/>
            </w:tcBorders>
            <w:shd w:val="clear" w:color="auto" w:fill="C6EFCE"/>
            <w:noWrap/>
          </w:tcPr>
          <w:p w14:paraId="772FB5BA" w14:textId="2CBA2EC8" w:rsidR="003F46B9" w:rsidRDefault="0065662E">
            <w:pPr>
              <w:pStyle w:val="P68B1DB1-Normal35"/>
              <w:spacing w:after="0"/>
              <w:jc w:val="both"/>
              <w:rPr>
                <w:noProof/>
              </w:rPr>
            </w:pPr>
            <w:r>
              <w:rPr>
                <w:noProof/>
              </w:rPr>
              <w:t xml:space="preserve">C2.I3.1 </w:t>
            </w:r>
          </w:p>
          <w:p w14:paraId="7C5B8CC3" w14:textId="77777777" w:rsidR="003F46B9" w:rsidRDefault="0065662E">
            <w:pPr>
              <w:pStyle w:val="P68B1DB1-Normal35"/>
              <w:spacing w:after="0"/>
              <w:jc w:val="both"/>
              <w:rPr>
                <w:noProof/>
              </w:rPr>
            </w:pPr>
            <w:r>
              <w:rPr>
                <w:noProof/>
              </w:rPr>
              <w:t>Ažuriranje odobrenih planova upravljanja</w:t>
            </w:r>
          </w:p>
        </w:tc>
        <w:tc>
          <w:tcPr>
            <w:tcW w:w="1230" w:type="dxa"/>
            <w:tcBorders>
              <w:top w:val="nil"/>
              <w:left w:val="nil"/>
              <w:bottom w:val="single" w:sz="4" w:space="0" w:color="auto"/>
              <w:right w:val="single" w:sz="4" w:space="0" w:color="auto"/>
            </w:tcBorders>
            <w:shd w:val="clear" w:color="auto" w:fill="C6EFCE"/>
            <w:noWrap/>
          </w:tcPr>
          <w:p w14:paraId="5F342021"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DC1859A" w14:textId="77777777" w:rsidR="003F46B9" w:rsidRDefault="0065662E">
            <w:pPr>
              <w:pStyle w:val="P68B1DB1-Normal35"/>
              <w:spacing w:after="0"/>
              <w:jc w:val="both"/>
              <w:rPr>
                <w:noProof/>
              </w:rPr>
            </w:pPr>
            <w:r>
              <w:rPr>
                <w:noProof/>
              </w:rPr>
              <w:t xml:space="preserve">Zaštićena prirodna područja s ažuriranim planovima upravljanja stupili su na snagu </w:t>
            </w:r>
          </w:p>
        </w:tc>
      </w:tr>
      <w:tr w:rsidR="003F46B9" w14:paraId="56F155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51804DE" w14:textId="77777777" w:rsidR="003F46B9" w:rsidRDefault="0065662E">
            <w:pPr>
              <w:pStyle w:val="P68B1DB1-Normal35"/>
              <w:spacing w:after="0"/>
              <w:jc w:val="center"/>
              <w:rPr>
                <w:noProof/>
              </w:rPr>
            </w:pPr>
            <w:r>
              <w:rPr>
                <w:noProof/>
              </w:rPr>
              <w:t>36</w:t>
            </w:r>
          </w:p>
        </w:tc>
        <w:tc>
          <w:tcPr>
            <w:tcW w:w="3544" w:type="dxa"/>
            <w:tcBorders>
              <w:top w:val="nil"/>
              <w:left w:val="nil"/>
              <w:bottom w:val="single" w:sz="4" w:space="0" w:color="auto"/>
              <w:right w:val="single" w:sz="4" w:space="0" w:color="auto"/>
            </w:tcBorders>
            <w:shd w:val="clear" w:color="auto" w:fill="C6EFCE"/>
            <w:noWrap/>
          </w:tcPr>
          <w:p w14:paraId="557F7C3C" w14:textId="77777777" w:rsidR="003F46B9" w:rsidRDefault="0065662E">
            <w:pPr>
              <w:pStyle w:val="P68B1DB1-Normal35"/>
              <w:spacing w:after="0"/>
              <w:jc w:val="both"/>
              <w:rPr>
                <w:noProof/>
              </w:rPr>
            </w:pPr>
            <w:r>
              <w:rPr>
                <w:noProof/>
              </w:rPr>
              <w:t xml:space="preserve">C2.I4.1 </w:t>
            </w:r>
          </w:p>
          <w:p w14:paraId="16CDDD7F" w14:textId="77777777" w:rsidR="003F46B9" w:rsidRDefault="0065662E">
            <w:pPr>
              <w:pStyle w:val="P68B1DB1-Normal35"/>
              <w:spacing w:after="0"/>
              <w:jc w:val="both"/>
              <w:rPr>
                <w:noProof/>
              </w:rPr>
            </w:pPr>
            <w:r>
              <w:rPr>
                <w:noProof/>
              </w:rPr>
              <w:t xml:space="preserve">Uklanjanje prepreka u vodotocima kako bi se olakšala obnova povezanosti ovisnih staništa i </w:t>
            </w:r>
            <w:r>
              <w:rPr>
                <w:noProof/>
              </w:rPr>
              <w:t>vrsta</w:t>
            </w:r>
          </w:p>
        </w:tc>
        <w:tc>
          <w:tcPr>
            <w:tcW w:w="1230" w:type="dxa"/>
            <w:tcBorders>
              <w:top w:val="nil"/>
              <w:left w:val="nil"/>
              <w:bottom w:val="single" w:sz="4" w:space="0" w:color="auto"/>
              <w:right w:val="single" w:sz="4" w:space="0" w:color="auto"/>
            </w:tcBorders>
            <w:shd w:val="clear" w:color="auto" w:fill="C6EFCE"/>
            <w:noWrap/>
          </w:tcPr>
          <w:p w14:paraId="72B7007D"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19AB3D1" w14:textId="77777777" w:rsidR="003F46B9" w:rsidRDefault="0065662E">
            <w:pPr>
              <w:pStyle w:val="P68B1DB1-Normal35"/>
              <w:spacing w:after="0"/>
              <w:jc w:val="both"/>
              <w:rPr>
                <w:noProof/>
              </w:rPr>
            </w:pPr>
            <w:r>
              <w:rPr>
                <w:noProof/>
              </w:rPr>
              <w:t>Obalna staništa s obnovljenom povezanošću</w:t>
            </w:r>
          </w:p>
        </w:tc>
      </w:tr>
      <w:tr w:rsidR="003F46B9" w14:paraId="2423C7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35F9F77" w14:textId="77777777" w:rsidR="003F46B9" w:rsidRDefault="0065662E">
            <w:pPr>
              <w:pStyle w:val="P68B1DB1-Normal35"/>
              <w:spacing w:after="0"/>
              <w:jc w:val="center"/>
              <w:rPr>
                <w:noProof/>
              </w:rPr>
            </w:pPr>
            <w:r>
              <w:rPr>
                <w:noProof/>
              </w:rPr>
              <w:t>37</w:t>
            </w:r>
          </w:p>
        </w:tc>
        <w:tc>
          <w:tcPr>
            <w:tcW w:w="3544" w:type="dxa"/>
            <w:tcBorders>
              <w:top w:val="nil"/>
              <w:left w:val="nil"/>
              <w:bottom w:val="single" w:sz="4" w:space="0" w:color="auto"/>
              <w:right w:val="single" w:sz="4" w:space="0" w:color="auto"/>
            </w:tcBorders>
            <w:shd w:val="clear" w:color="auto" w:fill="C6EFCE"/>
            <w:noWrap/>
          </w:tcPr>
          <w:p w14:paraId="06754258" w14:textId="77777777" w:rsidR="003F46B9" w:rsidRDefault="0065662E">
            <w:pPr>
              <w:pStyle w:val="P68B1DB1-Normal35"/>
              <w:spacing w:after="0"/>
              <w:jc w:val="both"/>
              <w:rPr>
                <w:noProof/>
              </w:rPr>
            </w:pPr>
            <w:r>
              <w:rPr>
                <w:noProof/>
              </w:rPr>
              <w:t xml:space="preserve">C2.I4.2 </w:t>
            </w:r>
          </w:p>
          <w:p w14:paraId="5B7EE097" w14:textId="77777777" w:rsidR="003F46B9" w:rsidRDefault="0065662E">
            <w:pPr>
              <w:pStyle w:val="P68B1DB1-Normal35"/>
              <w:spacing w:after="0"/>
              <w:jc w:val="both"/>
              <w:rPr>
                <w:noProof/>
              </w:rPr>
            </w:pPr>
            <w:r>
              <w:rPr>
                <w:noProof/>
              </w:rPr>
              <w:t>Obnova travnjačkih staništa u zaštićenim prirodnim područjima</w:t>
            </w:r>
          </w:p>
        </w:tc>
        <w:tc>
          <w:tcPr>
            <w:tcW w:w="1230" w:type="dxa"/>
            <w:tcBorders>
              <w:top w:val="nil"/>
              <w:left w:val="nil"/>
              <w:bottom w:val="single" w:sz="4" w:space="0" w:color="auto"/>
              <w:right w:val="single" w:sz="4" w:space="0" w:color="auto"/>
            </w:tcBorders>
            <w:shd w:val="clear" w:color="auto" w:fill="C6EFCE"/>
            <w:noWrap/>
          </w:tcPr>
          <w:p w14:paraId="2D7AEAA8"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F88F4CA" w14:textId="77777777" w:rsidR="003F46B9" w:rsidRDefault="0065662E">
            <w:pPr>
              <w:pStyle w:val="P68B1DB1-Normal35"/>
              <w:spacing w:after="0"/>
              <w:jc w:val="both"/>
              <w:rPr>
                <w:noProof/>
              </w:rPr>
            </w:pPr>
            <w:r>
              <w:rPr>
                <w:noProof/>
              </w:rPr>
              <w:t>Ekološki obnovljena staništa travnjaka</w:t>
            </w:r>
          </w:p>
        </w:tc>
      </w:tr>
      <w:tr w:rsidR="003F46B9" w14:paraId="4D8BEC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BA34C45" w14:textId="77777777" w:rsidR="003F46B9" w:rsidRDefault="0065662E">
            <w:pPr>
              <w:pStyle w:val="P68B1DB1-Normal35"/>
              <w:spacing w:after="0"/>
              <w:jc w:val="center"/>
              <w:rPr>
                <w:noProof/>
              </w:rPr>
            </w:pPr>
            <w:r>
              <w:rPr>
                <w:noProof/>
              </w:rPr>
              <w:t>38</w:t>
            </w:r>
          </w:p>
        </w:tc>
        <w:tc>
          <w:tcPr>
            <w:tcW w:w="3544" w:type="dxa"/>
            <w:tcBorders>
              <w:top w:val="nil"/>
              <w:left w:val="nil"/>
              <w:bottom w:val="single" w:sz="4" w:space="0" w:color="auto"/>
              <w:right w:val="single" w:sz="4" w:space="0" w:color="auto"/>
            </w:tcBorders>
            <w:shd w:val="clear" w:color="auto" w:fill="C6EFCE"/>
            <w:noWrap/>
          </w:tcPr>
          <w:p w14:paraId="12B1A99E" w14:textId="77777777" w:rsidR="003F46B9" w:rsidRDefault="0065662E">
            <w:pPr>
              <w:pStyle w:val="P68B1DB1-Normal35"/>
              <w:spacing w:after="0"/>
              <w:jc w:val="both"/>
              <w:rPr>
                <w:noProof/>
              </w:rPr>
            </w:pPr>
            <w:r>
              <w:rPr>
                <w:noProof/>
              </w:rPr>
              <w:t xml:space="preserve">C2.I.4.3. Debojnost jezera delte Dunava u delti Dunava kako bi se smanjila eutrofikacija i održala biološka raznolikost </w:t>
            </w:r>
          </w:p>
        </w:tc>
        <w:tc>
          <w:tcPr>
            <w:tcW w:w="1230" w:type="dxa"/>
            <w:tcBorders>
              <w:top w:val="nil"/>
              <w:left w:val="nil"/>
              <w:bottom w:val="single" w:sz="4" w:space="0" w:color="auto"/>
              <w:right w:val="single" w:sz="4" w:space="0" w:color="auto"/>
            </w:tcBorders>
            <w:shd w:val="clear" w:color="auto" w:fill="C6EFCE"/>
            <w:noWrap/>
          </w:tcPr>
          <w:p w14:paraId="44C4CEDE"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D40E487" w14:textId="77777777" w:rsidR="003F46B9" w:rsidRDefault="0065662E">
            <w:pPr>
              <w:pStyle w:val="P68B1DB1-Normal35"/>
              <w:spacing w:after="0"/>
              <w:jc w:val="both"/>
              <w:rPr>
                <w:noProof/>
              </w:rPr>
            </w:pPr>
            <w:r>
              <w:rPr>
                <w:noProof/>
              </w:rPr>
              <w:t xml:space="preserve">Područja jezera koja su imala koristi od uklanjanja vodenog bilja </w:t>
            </w:r>
          </w:p>
        </w:tc>
      </w:tr>
      <w:tr w:rsidR="003F46B9" w14:paraId="0B2BEE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C01B150" w14:textId="77777777" w:rsidR="003F46B9" w:rsidRDefault="0065662E">
            <w:pPr>
              <w:pStyle w:val="P68B1DB1-Normal35"/>
              <w:spacing w:after="0"/>
              <w:jc w:val="center"/>
              <w:rPr>
                <w:noProof/>
              </w:rPr>
            </w:pPr>
            <w:r>
              <w:rPr>
                <w:noProof/>
              </w:rPr>
              <w:t>40</w:t>
            </w:r>
          </w:p>
        </w:tc>
        <w:tc>
          <w:tcPr>
            <w:tcW w:w="3544" w:type="dxa"/>
            <w:tcBorders>
              <w:top w:val="nil"/>
              <w:left w:val="nil"/>
              <w:bottom w:val="single" w:sz="4" w:space="0" w:color="auto"/>
              <w:right w:val="single" w:sz="4" w:space="0" w:color="auto"/>
            </w:tcBorders>
            <w:shd w:val="clear" w:color="auto" w:fill="C6EFCE"/>
            <w:noWrap/>
          </w:tcPr>
          <w:p w14:paraId="37FBEEDA" w14:textId="77777777" w:rsidR="003F46B9" w:rsidRDefault="0065662E">
            <w:pPr>
              <w:pStyle w:val="P68B1DB1-Normal35"/>
              <w:spacing w:after="0"/>
              <w:jc w:val="both"/>
              <w:rPr>
                <w:noProof/>
              </w:rPr>
            </w:pPr>
            <w:r>
              <w:rPr>
                <w:noProof/>
              </w:rPr>
              <w:t xml:space="preserve">C2.I4.5. </w:t>
            </w:r>
          </w:p>
          <w:p w14:paraId="57070227" w14:textId="77777777" w:rsidR="003F46B9" w:rsidRDefault="0065662E">
            <w:pPr>
              <w:pStyle w:val="P68B1DB1-Normal35"/>
              <w:spacing w:after="0"/>
              <w:jc w:val="both"/>
              <w:rPr>
                <w:noProof/>
              </w:rPr>
            </w:pPr>
            <w:r>
              <w:rPr>
                <w:noProof/>
              </w:rPr>
              <w:t xml:space="preserve">Rekonfiguracija javne infrastrukture za pristup </w:t>
            </w:r>
            <w:r>
              <w:rPr>
                <w:noProof/>
              </w:rPr>
              <w:t>delti Dunava i njezin posjet kako bi se smanjio pritisak turizma na staništa i vrste</w:t>
            </w:r>
          </w:p>
        </w:tc>
        <w:tc>
          <w:tcPr>
            <w:tcW w:w="1230" w:type="dxa"/>
            <w:tcBorders>
              <w:top w:val="nil"/>
              <w:left w:val="nil"/>
              <w:bottom w:val="single" w:sz="4" w:space="0" w:color="auto"/>
              <w:right w:val="single" w:sz="4" w:space="0" w:color="auto"/>
            </w:tcBorders>
            <w:shd w:val="clear" w:color="auto" w:fill="C6EFCE"/>
            <w:noWrap/>
          </w:tcPr>
          <w:p w14:paraId="42EA6DA8"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67D978E" w14:textId="77777777" w:rsidR="003F46B9" w:rsidRDefault="0065662E">
            <w:pPr>
              <w:pStyle w:val="P68B1DB1-Normal35"/>
              <w:spacing w:after="0"/>
              <w:jc w:val="both"/>
              <w:rPr>
                <w:noProof/>
              </w:rPr>
            </w:pPr>
            <w:r>
              <w:rPr>
                <w:noProof/>
              </w:rPr>
              <w:t>Gostujući centri izgrađeni kako bi se ublažio pritisak turizma na staništa</w:t>
            </w:r>
          </w:p>
        </w:tc>
      </w:tr>
      <w:tr w:rsidR="003F46B9" w14:paraId="314821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57CC1A" w14:textId="77777777" w:rsidR="003F46B9" w:rsidRDefault="0065662E">
            <w:pPr>
              <w:pStyle w:val="P68B1DB1-Normal35"/>
              <w:spacing w:after="0"/>
              <w:jc w:val="center"/>
              <w:rPr>
                <w:noProof/>
              </w:rPr>
            </w:pPr>
            <w:r>
              <w:rPr>
                <w:noProof/>
              </w:rPr>
              <w:t>42</w:t>
            </w:r>
          </w:p>
        </w:tc>
        <w:tc>
          <w:tcPr>
            <w:tcW w:w="3544" w:type="dxa"/>
            <w:tcBorders>
              <w:top w:val="nil"/>
              <w:left w:val="nil"/>
              <w:bottom w:val="single" w:sz="4" w:space="0" w:color="auto"/>
              <w:right w:val="single" w:sz="4" w:space="0" w:color="auto"/>
            </w:tcBorders>
            <w:shd w:val="clear" w:color="auto" w:fill="C6EFCE"/>
            <w:noWrap/>
          </w:tcPr>
          <w:p w14:paraId="563DCC73" w14:textId="77777777" w:rsidR="003F46B9" w:rsidRDefault="0065662E">
            <w:pPr>
              <w:pStyle w:val="P68B1DB1-Normal35"/>
              <w:spacing w:after="0"/>
              <w:jc w:val="both"/>
              <w:rPr>
                <w:noProof/>
              </w:rPr>
            </w:pPr>
            <w:r>
              <w:rPr>
                <w:noProof/>
              </w:rPr>
              <w:t xml:space="preserve">C2.I5 </w:t>
            </w:r>
          </w:p>
          <w:p w14:paraId="1BD92ACD" w14:textId="77777777" w:rsidR="003F46B9" w:rsidRDefault="0065662E">
            <w:pPr>
              <w:pStyle w:val="P68B1DB1-Normal35"/>
              <w:spacing w:after="0"/>
              <w:jc w:val="both"/>
              <w:rPr>
                <w:noProof/>
              </w:rPr>
            </w:pPr>
            <w:r>
              <w:rPr>
                <w:noProof/>
              </w:rPr>
              <w:t>Integrirani sustavi za ublažavanje rizika od poplava u šumskim riječnim slivovima</w:t>
            </w:r>
          </w:p>
        </w:tc>
        <w:tc>
          <w:tcPr>
            <w:tcW w:w="1230" w:type="dxa"/>
            <w:tcBorders>
              <w:top w:val="nil"/>
              <w:left w:val="nil"/>
              <w:bottom w:val="single" w:sz="4" w:space="0" w:color="auto"/>
              <w:right w:val="single" w:sz="4" w:space="0" w:color="auto"/>
            </w:tcBorders>
            <w:shd w:val="clear" w:color="auto" w:fill="C6EFCE"/>
            <w:noWrap/>
          </w:tcPr>
          <w:p w14:paraId="754BB7D6"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74D883E0" w14:textId="77777777" w:rsidR="003F46B9" w:rsidRDefault="0065662E">
            <w:pPr>
              <w:pStyle w:val="P68B1DB1-Normal35"/>
              <w:spacing w:after="0"/>
              <w:jc w:val="both"/>
              <w:rPr>
                <w:noProof/>
              </w:rPr>
            </w:pPr>
            <w:r>
              <w:rPr>
                <w:noProof/>
              </w:rPr>
              <w:t>Završetak radova modernizacije zaštite od poplava</w:t>
            </w:r>
          </w:p>
        </w:tc>
      </w:tr>
      <w:tr w:rsidR="003F46B9" w14:paraId="425972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73593EE" w14:textId="77777777" w:rsidR="003F46B9" w:rsidRDefault="0065662E">
            <w:pPr>
              <w:pStyle w:val="P68B1DB1-Normal35"/>
              <w:spacing w:after="0"/>
              <w:jc w:val="center"/>
              <w:rPr>
                <w:noProof/>
              </w:rPr>
            </w:pPr>
            <w:r>
              <w:rPr>
                <w:noProof/>
              </w:rPr>
              <w:t>47</w:t>
            </w:r>
          </w:p>
        </w:tc>
        <w:tc>
          <w:tcPr>
            <w:tcW w:w="3544" w:type="dxa"/>
            <w:tcBorders>
              <w:top w:val="nil"/>
              <w:left w:val="nil"/>
              <w:bottom w:val="single" w:sz="4" w:space="0" w:color="auto"/>
              <w:right w:val="single" w:sz="4" w:space="0" w:color="auto"/>
            </w:tcBorders>
            <w:shd w:val="clear" w:color="auto" w:fill="C6EFCE"/>
            <w:noWrap/>
          </w:tcPr>
          <w:p w14:paraId="1D78D772" w14:textId="77777777" w:rsidR="003F46B9" w:rsidRDefault="0065662E">
            <w:pPr>
              <w:pStyle w:val="P68B1DB1-Normal35"/>
              <w:spacing w:after="0"/>
              <w:jc w:val="both"/>
              <w:rPr>
                <w:noProof/>
              </w:rPr>
            </w:pPr>
            <w:r>
              <w:rPr>
                <w:noProof/>
              </w:rPr>
              <w:t xml:space="preserve">C3.R1 </w:t>
            </w:r>
          </w:p>
          <w:p w14:paraId="3FEDFCEB" w14:textId="77777777" w:rsidR="003F46B9" w:rsidRDefault="0065662E">
            <w:pPr>
              <w:pStyle w:val="P68B1DB1-Normal35"/>
              <w:spacing w:after="0"/>
              <w:jc w:val="both"/>
              <w:rPr>
                <w:noProof/>
              </w:rPr>
            </w:pPr>
            <w:r>
              <w:rPr>
                <w:noProof/>
              </w:rPr>
              <w:t xml:space="preserve">Poboljšanje upravljanja gospodarenjem otpadom kako bi se ubrzao prelazak na kružno gospodarstvo </w:t>
            </w:r>
          </w:p>
        </w:tc>
        <w:tc>
          <w:tcPr>
            <w:tcW w:w="1230" w:type="dxa"/>
            <w:tcBorders>
              <w:top w:val="nil"/>
              <w:left w:val="nil"/>
              <w:bottom w:val="single" w:sz="4" w:space="0" w:color="auto"/>
              <w:right w:val="single" w:sz="4" w:space="0" w:color="auto"/>
            </w:tcBorders>
            <w:shd w:val="clear" w:color="auto" w:fill="C6EFCE"/>
            <w:noWrap/>
          </w:tcPr>
          <w:p w14:paraId="280C884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3D5F660" w14:textId="77777777" w:rsidR="003F46B9" w:rsidRDefault="0065662E">
            <w:pPr>
              <w:pStyle w:val="P68B1DB1-Normal35"/>
              <w:spacing w:after="0"/>
              <w:jc w:val="both"/>
              <w:rPr>
                <w:noProof/>
              </w:rPr>
            </w:pPr>
            <w:r>
              <w:rPr>
                <w:noProof/>
              </w:rPr>
              <w:t xml:space="preserve">Doprinos od 4,5 % nacionalnom cilju recikliranja i pripreme za ponovnu uporabu od 4,5 % do </w:t>
            </w:r>
            <w:r>
              <w:rPr>
                <w:noProof/>
              </w:rPr>
              <w:t>2025.</w:t>
            </w:r>
          </w:p>
        </w:tc>
      </w:tr>
      <w:tr w:rsidR="003F46B9" w14:paraId="556D2B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C951514" w14:textId="77777777" w:rsidR="003F46B9" w:rsidRDefault="0065662E">
            <w:pPr>
              <w:pStyle w:val="P68B1DB1-Normal35"/>
              <w:spacing w:after="0"/>
              <w:jc w:val="center"/>
              <w:rPr>
                <w:noProof/>
              </w:rPr>
            </w:pPr>
            <w:r>
              <w:rPr>
                <w:noProof/>
              </w:rPr>
              <w:t>49</w:t>
            </w:r>
          </w:p>
        </w:tc>
        <w:tc>
          <w:tcPr>
            <w:tcW w:w="3544" w:type="dxa"/>
            <w:tcBorders>
              <w:top w:val="nil"/>
              <w:left w:val="nil"/>
              <w:bottom w:val="single" w:sz="4" w:space="0" w:color="auto"/>
              <w:right w:val="single" w:sz="4" w:space="0" w:color="auto"/>
            </w:tcBorders>
            <w:shd w:val="clear" w:color="auto" w:fill="C6EFCE"/>
            <w:noWrap/>
          </w:tcPr>
          <w:p w14:paraId="7E56A9D5" w14:textId="77777777" w:rsidR="003F46B9" w:rsidRDefault="0065662E">
            <w:pPr>
              <w:pStyle w:val="P68B1DB1-Normal35"/>
              <w:spacing w:after="0"/>
              <w:jc w:val="both"/>
              <w:rPr>
                <w:noProof/>
              </w:rPr>
            </w:pPr>
            <w:r>
              <w:rPr>
                <w:noProof/>
              </w:rPr>
              <w:t>C3.I1a</w:t>
            </w:r>
          </w:p>
          <w:p w14:paraId="5DBE3D19" w14:textId="77777777" w:rsidR="003F46B9" w:rsidRDefault="0065662E">
            <w:pPr>
              <w:pStyle w:val="P68B1DB1-Normal35"/>
              <w:spacing w:after="0"/>
              <w:jc w:val="both"/>
              <w:rPr>
                <w:noProof/>
              </w:rPr>
            </w:pPr>
            <w:r>
              <w:rPr>
                <w:noProof/>
              </w:rPr>
              <w:t>Uspostava dobrovoljnih sabirnih centara</w:t>
            </w:r>
          </w:p>
        </w:tc>
        <w:tc>
          <w:tcPr>
            <w:tcW w:w="1230" w:type="dxa"/>
            <w:tcBorders>
              <w:top w:val="nil"/>
              <w:left w:val="nil"/>
              <w:bottom w:val="single" w:sz="4" w:space="0" w:color="auto"/>
              <w:right w:val="single" w:sz="4" w:space="0" w:color="auto"/>
            </w:tcBorders>
            <w:shd w:val="clear" w:color="auto" w:fill="C6EFCE"/>
            <w:noWrap/>
          </w:tcPr>
          <w:p w14:paraId="663AD780"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A6A2728" w14:textId="77777777" w:rsidR="003F46B9" w:rsidRDefault="0065662E">
            <w:pPr>
              <w:pStyle w:val="P68B1DB1-Normal35"/>
              <w:spacing w:after="0"/>
              <w:jc w:val="both"/>
              <w:rPr>
                <w:noProof/>
              </w:rPr>
            </w:pPr>
            <w:r>
              <w:rPr>
                <w:noProof/>
              </w:rPr>
              <w:t>Uspostavljeni i operativni dobrovoljni sabirni centri</w:t>
            </w:r>
          </w:p>
        </w:tc>
      </w:tr>
      <w:tr w:rsidR="003F46B9" w14:paraId="00051A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8319FAE" w14:textId="77777777" w:rsidR="003F46B9" w:rsidRDefault="0065662E">
            <w:pPr>
              <w:pStyle w:val="P68B1DB1-Normal35"/>
              <w:spacing w:after="0"/>
              <w:jc w:val="center"/>
              <w:rPr>
                <w:noProof/>
              </w:rPr>
            </w:pPr>
            <w:r>
              <w:rPr>
                <w:noProof/>
              </w:rPr>
              <w:t>51</w:t>
            </w:r>
          </w:p>
        </w:tc>
        <w:tc>
          <w:tcPr>
            <w:tcW w:w="3544" w:type="dxa"/>
            <w:tcBorders>
              <w:top w:val="nil"/>
              <w:left w:val="nil"/>
              <w:bottom w:val="single" w:sz="4" w:space="0" w:color="auto"/>
              <w:right w:val="single" w:sz="4" w:space="0" w:color="auto"/>
            </w:tcBorders>
            <w:shd w:val="clear" w:color="auto" w:fill="C6EFCE"/>
            <w:noWrap/>
          </w:tcPr>
          <w:p w14:paraId="02C7BE84" w14:textId="77777777" w:rsidR="003F46B9" w:rsidRDefault="0065662E">
            <w:pPr>
              <w:pStyle w:val="P68B1DB1-Normal35"/>
              <w:spacing w:after="0"/>
              <w:jc w:val="both"/>
              <w:rPr>
                <w:noProof/>
              </w:rPr>
            </w:pPr>
            <w:r>
              <w:rPr>
                <w:noProof/>
              </w:rPr>
              <w:t>C3.I1.b</w:t>
            </w:r>
          </w:p>
          <w:p w14:paraId="43E47B6F" w14:textId="77777777" w:rsidR="003F46B9" w:rsidRDefault="0065662E">
            <w:pPr>
              <w:pStyle w:val="P68B1DB1-Normal35"/>
              <w:spacing w:after="0"/>
              <w:jc w:val="both"/>
              <w:rPr>
                <w:noProof/>
              </w:rPr>
            </w:pPr>
            <w:r>
              <w:rPr>
                <w:noProof/>
              </w:rPr>
              <w:t xml:space="preserve">Izgradnja digitaliziranih ekoloških otoka za odvojeno prikupljanje otpada na lokalnoj razini </w:t>
            </w:r>
          </w:p>
        </w:tc>
        <w:tc>
          <w:tcPr>
            <w:tcW w:w="1230" w:type="dxa"/>
            <w:tcBorders>
              <w:top w:val="nil"/>
              <w:left w:val="nil"/>
              <w:bottom w:val="single" w:sz="4" w:space="0" w:color="auto"/>
              <w:right w:val="single" w:sz="4" w:space="0" w:color="auto"/>
            </w:tcBorders>
            <w:shd w:val="clear" w:color="auto" w:fill="C6EFCE"/>
            <w:noWrap/>
          </w:tcPr>
          <w:p w14:paraId="2F6034FC"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8DD61FE" w14:textId="77777777" w:rsidR="003F46B9" w:rsidRDefault="0065662E">
            <w:pPr>
              <w:pStyle w:val="P68B1DB1-Normal35"/>
              <w:spacing w:after="0"/>
              <w:jc w:val="both"/>
              <w:rPr>
                <w:noProof/>
              </w:rPr>
            </w:pPr>
            <w:r>
              <w:rPr>
                <w:noProof/>
              </w:rPr>
              <w:t>Digitalizirani ekootoci za odvojeno</w:t>
            </w:r>
            <w:r>
              <w:rPr>
                <w:noProof/>
              </w:rPr>
              <w:t xml:space="preserve"> skupljanje otpada, uspostavljeni i operativni</w:t>
            </w:r>
          </w:p>
        </w:tc>
      </w:tr>
      <w:tr w:rsidR="003F46B9" w14:paraId="530746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EE2EA6A" w14:textId="77777777" w:rsidR="003F46B9" w:rsidRDefault="0065662E">
            <w:pPr>
              <w:pStyle w:val="P68B1DB1-Normal35"/>
              <w:spacing w:after="0"/>
              <w:jc w:val="center"/>
              <w:rPr>
                <w:noProof/>
              </w:rPr>
            </w:pPr>
            <w:r>
              <w:rPr>
                <w:noProof/>
              </w:rPr>
              <w:t>53</w:t>
            </w:r>
          </w:p>
        </w:tc>
        <w:tc>
          <w:tcPr>
            <w:tcW w:w="3544" w:type="dxa"/>
            <w:tcBorders>
              <w:top w:val="nil"/>
              <w:left w:val="nil"/>
              <w:bottom w:val="single" w:sz="4" w:space="0" w:color="auto"/>
              <w:right w:val="single" w:sz="4" w:space="0" w:color="auto"/>
            </w:tcBorders>
            <w:shd w:val="clear" w:color="auto" w:fill="C6EFCE"/>
            <w:noWrap/>
          </w:tcPr>
          <w:p w14:paraId="4247D594" w14:textId="77777777" w:rsidR="003F46B9" w:rsidRDefault="0065662E">
            <w:pPr>
              <w:pStyle w:val="P68B1DB1-Normal35"/>
              <w:spacing w:after="0"/>
              <w:jc w:val="both"/>
              <w:rPr>
                <w:noProof/>
              </w:rPr>
            </w:pPr>
            <w:r>
              <w:rPr>
                <w:noProof/>
              </w:rPr>
              <w:t>C3.I1c</w:t>
            </w:r>
          </w:p>
          <w:p w14:paraId="58D953C6" w14:textId="77777777" w:rsidR="003F46B9" w:rsidRDefault="0065662E">
            <w:pPr>
              <w:pStyle w:val="P68B1DB1-Normal35"/>
              <w:spacing w:after="0"/>
              <w:jc w:val="both"/>
              <w:rPr>
                <w:noProof/>
              </w:rPr>
            </w:pPr>
            <w:r>
              <w:rPr>
                <w:noProof/>
              </w:rPr>
              <w:t>Integrirani centri za gradske aglomeracije u vezi s odvojenim skupljanjem</w:t>
            </w:r>
          </w:p>
        </w:tc>
        <w:tc>
          <w:tcPr>
            <w:tcW w:w="1230" w:type="dxa"/>
            <w:tcBorders>
              <w:top w:val="nil"/>
              <w:left w:val="nil"/>
              <w:bottom w:val="single" w:sz="4" w:space="0" w:color="auto"/>
              <w:right w:val="single" w:sz="4" w:space="0" w:color="auto"/>
            </w:tcBorders>
            <w:shd w:val="clear" w:color="auto" w:fill="C6EFCE"/>
            <w:noWrap/>
          </w:tcPr>
          <w:p w14:paraId="246FB7E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CF01FF7" w14:textId="77777777" w:rsidR="003F46B9" w:rsidRDefault="0065662E">
            <w:pPr>
              <w:pStyle w:val="P68B1DB1-Normal35"/>
              <w:spacing w:after="0"/>
              <w:jc w:val="both"/>
              <w:rPr>
                <w:noProof/>
              </w:rPr>
            </w:pPr>
            <w:r>
              <w:rPr>
                <w:noProof/>
              </w:rPr>
              <w:t xml:space="preserve">Integrirani centri za prikupljanje otpada uspostavljeni i u funkciji u gradskim aglomeracijama </w:t>
            </w:r>
          </w:p>
        </w:tc>
      </w:tr>
      <w:tr w:rsidR="003F46B9" w14:paraId="3C67EA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91F31CF" w14:textId="77777777" w:rsidR="003F46B9" w:rsidRDefault="0065662E">
            <w:pPr>
              <w:pStyle w:val="P68B1DB1-Normal35"/>
              <w:spacing w:after="0"/>
              <w:jc w:val="center"/>
              <w:rPr>
                <w:noProof/>
              </w:rPr>
            </w:pPr>
            <w:r>
              <w:rPr>
                <w:noProof/>
              </w:rPr>
              <w:t>54</w:t>
            </w:r>
          </w:p>
        </w:tc>
        <w:tc>
          <w:tcPr>
            <w:tcW w:w="3544" w:type="dxa"/>
            <w:tcBorders>
              <w:top w:val="nil"/>
              <w:left w:val="nil"/>
              <w:bottom w:val="single" w:sz="4" w:space="0" w:color="auto"/>
              <w:right w:val="single" w:sz="4" w:space="0" w:color="auto"/>
            </w:tcBorders>
            <w:shd w:val="clear" w:color="auto" w:fill="C6EFCE"/>
            <w:noWrap/>
          </w:tcPr>
          <w:p w14:paraId="1CC6B841" w14:textId="77777777" w:rsidR="003F46B9" w:rsidRDefault="0065662E">
            <w:pPr>
              <w:pStyle w:val="P68B1DB1-Normal35"/>
              <w:spacing w:after="0"/>
              <w:jc w:val="both"/>
              <w:rPr>
                <w:noProof/>
              </w:rPr>
            </w:pPr>
            <w:r>
              <w:rPr>
                <w:noProof/>
              </w:rPr>
              <w:t>C3.I1d</w:t>
            </w:r>
          </w:p>
          <w:p w14:paraId="0E97583A" w14:textId="77777777" w:rsidR="003F46B9" w:rsidRDefault="0065662E">
            <w:pPr>
              <w:pStyle w:val="P68B1DB1-Normal35"/>
              <w:spacing w:after="0"/>
              <w:jc w:val="both"/>
              <w:rPr>
                <w:noProof/>
              </w:rPr>
            </w:pPr>
            <w:r>
              <w:rPr>
                <w:noProof/>
              </w:rPr>
              <w:t xml:space="preserve">Izgradnja </w:t>
            </w:r>
            <w:r>
              <w:rPr>
                <w:noProof/>
              </w:rPr>
              <w:t>postrojenja za recikliranje otpada kako bi se ispunili ciljevi za recikliranje iz paketa za kružno gospodarstvo</w:t>
            </w:r>
          </w:p>
        </w:tc>
        <w:tc>
          <w:tcPr>
            <w:tcW w:w="1230" w:type="dxa"/>
            <w:tcBorders>
              <w:top w:val="nil"/>
              <w:left w:val="nil"/>
              <w:bottom w:val="single" w:sz="4" w:space="0" w:color="auto"/>
              <w:right w:val="single" w:sz="4" w:space="0" w:color="auto"/>
            </w:tcBorders>
            <w:shd w:val="clear" w:color="auto" w:fill="C6EFCE"/>
            <w:noWrap/>
          </w:tcPr>
          <w:p w14:paraId="5F206EE7"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A4B78D8" w14:textId="77777777" w:rsidR="003F46B9" w:rsidRDefault="0065662E">
            <w:pPr>
              <w:pStyle w:val="P68B1DB1-Normal35"/>
              <w:spacing w:after="0"/>
              <w:jc w:val="both"/>
              <w:rPr>
                <w:noProof/>
              </w:rPr>
            </w:pPr>
            <w:r>
              <w:rPr>
                <w:noProof/>
              </w:rPr>
              <w:t>Izgrađena i u pogonu postrojenja za recikliranje otpada</w:t>
            </w:r>
          </w:p>
        </w:tc>
      </w:tr>
      <w:tr w:rsidR="003F46B9" w14:paraId="18742B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892C29" w14:textId="77777777" w:rsidR="003F46B9" w:rsidRDefault="0065662E">
            <w:pPr>
              <w:pStyle w:val="P68B1DB1-Normal35"/>
              <w:spacing w:after="0"/>
              <w:jc w:val="center"/>
              <w:rPr>
                <w:noProof/>
              </w:rPr>
            </w:pPr>
            <w:r>
              <w:rPr>
                <w:noProof/>
              </w:rPr>
              <w:t>55</w:t>
            </w:r>
          </w:p>
        </w:tc>
        <w:tc>
          <w:tcPr>
            <w:tcW w:w="3544" w:type="dxa"/>
            <w:tcBorders>
              <w:top w:val="nil"/>
              <w:left w:val="nil"/>
              <w:bottom w:val="single" w:sz="4" w:space="0" w:color="auto"/>
              <w:right w:val="single" w:sz="4" w:space="0" w:color="auto"/>
            </w:tcBorders>
            <w:shd w:val="clear" w:color="auto" w:fill="C6EFCE"/>
            <w:noWrap/>
          </w:tcPr>
          <w:p w14:paraId="1E700E24" w14:textId="77777777" w:rsidR="003F46B9" w:rsidRDefault="0065662E">
            <w:pPr>
              <w:pStyle w:val="P68B1DB1-Normal35"/>
              <w:spacing w:after="0"/>
              <w:jc w:val="both"/>
              <w:rPr>
                <w:noProof/>
              </w:rPr>
            </w:pPr>
            <w:r>
              <w:rPr>
                <w:noProof/>
              </w:rPr>
              <w:t>C3.I2</w:t>
            </w:r>
          </w:p>
          <w:p w14:paraId="4BDB4E9F" w14:textId="77777777" w:rsidR="003F46B9" w:rsidRDefault="0065662E">
            <w:pPr>
              <w:pStyle w:val="P68B1DB1-Normal35"/>
              <w:spacing w:after="0"/>
              <w:jc w:val="both"/>
              <w:rPr>
                <w:noProof/>
              </w:rPr>
            </w:pPr>
            <w:r>
              <w:rPr>
                <w:noProof/>
              </w:rPr>
              <w:t>Razvoj infrastrukture za gospodarenje stajskim gnojem i drugim poljoprivredn</w:t>
            </w:r>
            <w:r>
              <w:rPr>
                <w:noProof/>
              </w:rPr>
              <w:t>im otpadom koji se mogu kompostirati</w:t>
            </w:r>
          </w:p>
        </w:tc>
        <w:tc>
          <w:tcPr>
            <w:tcW w:w="1230" w:type="dxa"/>
            <w:tcBorders>
              <w:top w:val="nil"/>
              <w:left w:val="nil"/>
              <w:bottom w:val="single" w:sz="4" w:space="0" w:color="auto"/>
              <w:right w:val="single" w:sz="4" w:space="0" w:color="auto"/>
            </w:tcBorders>
            <w:shd w:val="clear" w:color="auto" w:fill="C6EFCE"/>
            <w:noWrap/>
          </w:tcPr>
          <w:p w14:paraId="376417E8"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5F5F993" w14:textId="77777777" w:rsidR="003F46B9" w:rsidRDefault="0065662E">
            <w:pPr>
              <w:pStyle w:val="P68B1DB1-Normal35"/>
              <w:spacing w:after="0"/>
              <w:jc w:val="both"/>
              <w:rPr>
                <w:noProof/>
              </w:rPr>
            </w:pPr>
            <w:r>
              <w:rPr>
                <w:noProof/>
              </w:rPr>
              <w:t>Uspostavljeni i operativni integrirani sustavi za prikupljanje poljoprivrednog otpada koji se može kompostirati</w:t>
            </w:r>
          </w:p>
        </w:tc>
      </w:tr>
      <w:tr w:rsidR="003F46B9" w14:paraId="36E2FB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BA8848F" w14:textId="77777777" w:rsidR="003F46B9" w:rsidRDefault="0065662E">
            <w:pPr>
              <w:pStyle w:val="P68B1DB1-Normal35"/>
              <w:spacing w:after="0"/>
              <w:jc w:val="center"/>
              <w:rPr>
                <w:noProof/>
              </w:rPr>
            </w:pPr>
            <w:r>
              <w:rPr>
                <w:noProof/>
              </w:rPr>
              <w:t>84</w:t>
            </w:r>
          </w:p>
        </w:tc>
        <w:tc>
          <w:tcPr>
            <w:tcW w:w="3544" w:type="dxa"/>
            <w:tcBorders>
              <w:top w:val="nil"/>
              <w:left w:val="nil"/>
              <w:bottom w:val="single" w:sz="4" w:space="0" w:color="auto"/>
              <w:right w:val="single" w:sz="4" w:space="0" w:color="auto"/>
            </w:tcBorders>
            <w:shd w:val="clear" w:color="auto" w:fill="C6EFCE"/>
            <w:noWrap/>
          </w:tcPr>
          <w:p w14:paraId="4AF2326C" w14:textId="77777777" w:rsidR="003F46B9" w:rsidRDefault="0065662E">
            <w:pPr>
              <w:pStyle w:val="P68B1DB1-Normal35"/>
              <w:spacing w:after="0"/>
              <w:jc w:val="both"/>
              <w:rPr>
                <w:noProof/>
              </w:rPr>
            </w:pPr>
            <w:r>
              <w:rPr>
                <w:noProof/>
              </w:rPr>
              <w:t xml:space="preserve">C4.I3. </w:t>
            </w:r>
          </w:p>
          <w:p w14:paraId="48853638" w14:textId="77777777" w:rsidR="003F46B9" w:rsidRDefault="0065662E">
            <w:pPr>
              <w:pStyle w:val="P68B1DB1-Normal35"/>
              <w:spacing w:after="0"/>
              <w:jc w:val="both"/>
              <w:rPr>
                <w:noProof/>
              </w:rPr>
            </w:pPr>
            <w:r>
              <w:rPr>
                <w:noProof/>
              </w:rPr>
              <w:t xml:space="preserve">Razvoj održive cestovne infrastrukture u mreži TEN-T, naplata cestarina, upravljanje prometom i sigurnost na cestama </w:t>
            </w:r>
          </w:p>
          <w:p w14:paraId="397DEC25" w14:textId="77777777" w:rsidR="003F46B9" w:rsidRDefault="003F46B9">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2ED90D33"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7DC3B7C" w14:textId="77777777" w:rsidR="003F46B9" w:rsidRDefault="0065662E">
            <w:pPr>
              <w:pStyle w:val="P68B1DB1-Normal35"/>
              <w:spacing w:after="0"/>
              <w:jc w:val="both"/>
              <w:rPr>
                <w:noProof/>
              </w:rPr>
            </w:pPr>
            <w:r>
              <w:rPr>
                <w:noProof/>
              </w:rPr>
              <w:t xml:space="preserve">Izgradnja novih cesta, dovršena (s normama TEN-T-a) </w:t>
            </w:r>
          </w:p>
        </w:tc>
      </w:tr>
      <w:tr w:rsidR="003F46B9" w14:paraId="6174E0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F2BAA" w14:textId="77777777" w:rsidR="003F46B9" w:rsidRDefault="0065662E">
            <w:pPr>
              <w:pStyle w:val="P68B1DB1-Normal35"/>
              <w:spacing w:after="0"/>
              <w:jc w:val="center"/>
              <w:rPr>
                <w:noProof/>
              </w:rPr>
            </w:pPr>
            <w:r>
              <w:rPr>
                <w:noProof/>
              </w:rPr>
              <w:t>85</w:t>
            </w:r>
          </w:p>
        </w:tc>
        <w:tc>
          <w:tcPr>
            <w:tcW w:w="3544" w:type="dxa"/>
            <w:tcBorders>
              <w:top w:val="nil"/>
              <w:left w:val="nil"/>
              <w:bottom w:val="single" w:sz="4" w:space="0" w:color="auto"/>
              <w:right w:val="single" w:sz="4" w:space="0" w:color="auto"/>
            </w:tcBorders>
            <w:shd w:val="clear" w:color="auto" w:fill="C6EFCE"/>
            <w:noWrap/>
          </w:tcPr>
          <w:p w14:paraId="589AFB96" w14:textId="77777777" w:rsidR="003F46B9" w:rsidRDefault="0065662E">
            <w:pPr>
              <w:pStyle w:val="P68B1DB1-Normal35"/>
              <w:spacing w:after="0"/>
              <w:jc w:val="both"/>
              <w:rPr>
                <w:noProof/>
              </w:rPr>
            </w:pPr>
            <w:r>
              <w:rPr>
                <w:noProof/>
              </w:rPr>
              <w:t xml:space="preserve">C4.I3 </w:t>
            </w:r>
          </w:p>
          <w:p w14:paraId="4CB299BC" w14:textId="77777777" w:rsidR="003F46B9" w:rsidRDefault="0065662E">
            <w:pPr>
              <w:pStyle w:val="P68B1DB1-Normal35"/>
              <w:spacing w:after="0"/>
              <w:jc w:val="both"/>
              <w:rPr>
                <w:noProof/>
              </w:rPr>
            </w:pPr>
            <w:r>
              <w:rPr>
                <w:noProof/>
              </w:rPr>
              <w:t>Razvoj održive cestovne infrastrukture u mreži TEN-T, naplata cestarina</w:t>
            </w:r>
            <w:r>
              <w:rPr>
                <w:noProof/>
              </w:rPr>
              <w:t xml:space="preserve">, upravljanje prometom i sigurnost na cestama </w:t>
            </w:r>
          </w:p>
        </w:tc>
        <w:tc>
          <w:tcPr>
            <w:tcW w:w="1230" w:type="dxa"/>
            <w:tcBorders>
              <w:top w:val="nil"/>
              <w:left w:val="nil"/>
              <w:bottom w:val="single" w:sz="4" w:space="0" w:color="auto"/>
              <w:right w:val="single" w:sz="4" w:space="0" w:color="auto"/>
            </w:tcBorders>
            <w:shd w:val="clear" w:color="auto" w:fill="C6EFCE"/>
            <w:noWrap/>
          </w:tcPr>
          <w:p w14:paraId="7AC09EE1"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A9C18EC" w14:textId="39827BDC" w:rsidR="003F46B9" w:rsidRDefault="0065662E">
            <w:pPr>
              <w:pStyle w:val="P68B1DB1-Normal35"/>
              <w:spacing w:after="0"/>
              <w:jc w:val="both"/>
              <w:rPr>
                <w:noProof/>
              </w:rPr>
            </w:pPr>
            <w:r>
              <w:rPr>
                <w:noProof/>
              </w:rPr>
              <w:t xml:space="preserve">Uklonjene crne/žarišne točke za sigurnost na cestama </w:t>
            </w:r>
          </w:p>
        </w:tc>
      </w:tr>
      <w:tr w:rsidR="003F46B9" w14:paraId="12649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BE4456C" w14:textId="77777777" w:rsidR="003F46B9" w:rsidRDefault="0065662E">
            <w:pPr>
              <w:pStyle w:val="P68B1DB1-Normal35"/>
              <w:spacing w:after="0"/>
              <w:jc w:val="center"/>
              <w:rPr>
                <w:noProof/>
              </w:rPr>
            </w:pPr>
            <w:r>
              <w:rPr>
                <w:noProof/>
              </w:rPr>
              <w:t>89</w:t>
            </w:r>
          </w:p>
        </w:tc>
        <w:tc>
          <w:tcPr>
            <w:tcW w:w="3544" w:type="dxa"/>
            <w:tcBorders>
              <w:top w:val="nil"/>
              <w:left w:val="nil"/>
              <w:bottom w:val="single" w:sz="4" w:space="0" w:color="auto"/>
              <w:right w:val="single" w:sz="4" w:space="0" w:color="auto"/>
            </w:tcBorders>
            <w:shd w:val="clear" w:color="auto" w:fill="C6EFCE"/>
            <w:noWrap/>
          </w:tcPr>
          <w:p w14:paraId="5F481BB8" w14:textId="77777777" w:rsidR="003F46B9" w:rsidRDefault="0065662E">
            <w:pPr>
              <w:pStyle w:val="P68B1DB1-Normal35"/>
              <w:spacing w:after="0"/>
              <w:jc w:val="both"/>
              <w:rPr>
                <w:noProof/>
              </w:rPr>
            </w:pPr>
            <w:r>
              <w:rPr>
                <w:noProof/>
              </w:rPr>
              <w:t>C4.I4</w:t>
            </w:r>
          </w:p>
          <w:p w14:paraId="6C5C59BA" w14:textId="77777777" w:rsidR="003F46B9" w:rsidRDefault="0065662E">
            <w:pPr>
              <w:pStyle w:val="P68B1DB1-Normal35"/>
              <w:spacing w:after="0"/>
              <w:jc w:val="both"/>
              <w:rPr>
                <w:noProof/>
              </w:rPr>
            </w:pPr>
            <w:r>
              <w:rPr>
                <w:noProof/>
              </w:rPr>
              <w:t xml:space="preserve">Razvoj mreže podzemnog prijevoza u općinama Bukurešt i Cluj-Napoca </w:t>
            </w:r>
          </w:p>
        </w:tc>
        <w:tc>
          <w:tcPr>
            <w:tcW w:w="1230" w:type="dxa"/>
            <w:tcBorders>
              <w:top w:val="nil"/>
              <w:left w:val="nil"/>
              <w:bottom w:val="single" w:sz="4" w:space="0" w:color="auto"/>
              <w:right w:val="single" w:sz="4" w:space="0" w:color="auto"/>
            </w:tcBorders>
            <w:shd w:val="clear" w:color="auto" w:fill="C6EFCE"/>
            <w:noWrap/>
          </w:tcPr>
          <w:p w14:paraId="2DEB2663"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12C7A82" w14:textId="77777777" w:rsidR="003F46B9" w:rsidRDefault="0065662E">
            <w:pPr>
              <w:pStyle w:val="P68B1DB1-Normal35"/>
              <w:spacing w:after="0"/>
              <w:jc w:val="both"/>
              <w:rPr>
                <w:noProof/>
              </w:rPr>
            </w:pPr>
            <w:r>
              <w:rPr>
                <w:noProof/>
              </w:rPr>
              <w:t xml:space="preserve">Prijeđeni kilometri novih linija podzemne željeznice u Bukureštu i </w:t>
            </w:r>
            <w:r>
              <w:rPr>
                <w:noProof/>
              </w:rPr>
              <w:t>Cluj-Napoca</w:t>
            </w:r>
          </w:p>
        </w:tc>
      </w:tr>
      <w:tr w:rsidR="003F46B9" w14:paraId="1BBD18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3C366D" w14:textId="77777777" w:rsidR="003F46B9" w:rsidRDefault="0065662E">
            <w:pPr>
              <w:pStyle w:val="P68B1DB1-Normal35"/>
              <w:spacing w:after="0"/>
              <w:jc w:val="center"/>
              <w:rPr>
                <w:noProof/>
              </w:rPr>
            </w:pPr>
            <w:r>
              <w:rPr>
                <w:noProof/>
              </w:rPr>
              <w:t>103</w:t>
            </w:r>
          </w:p>
        </w:tc>
        <w:tc>
          <w:tcPr>
            <w:tcW w:w="3544" w:type="dxa"/>
            <w:tcBorders>
              <w:top w:val="nil"/>
              <w:left w:val="nil"/>
              <w:bottom w:val="single" w:sz="4" w:space="0" w:color="auto"/>
              <w:right w:val="single" w:sz="4" w:space="0" w:color="auto"/>
            </w:tcBorders>
            <w:shd w:val="clear" w:color="auto" w:fill="C6EFCE"/>
            <w:noWrap/>
          </w:tcPr>
          <w:p w14:paraId="5600D7B3" w14:textId="77777777" w:rsidR="003F46B9" w:rsidRDefault="0065662E">
            <w:pPr>
              <w:pStyle w:val="P68B1DB1-Normal35"/>
              <w:spacing w:after="0"/>
              <w:jc w:val="both"/>
              <w:rPr>
                <w:noProof/>
              </w:rPr>
            </w:pPr>
            <w:r>
              <w:rPr>
                <w:noProof/>
              </w:rPr>
              <w:t>C5.I1</w:t>
            </w:r>
          </w:p>
          <w:p w14:paraId="795FE1A3" w14:textId="77777777" w:rsidR="003F46B9" w:rsidRDefault="0065662E">
            <w:pPr>
              <w:pStyle w:val="P68B1DB1-Normal35"/>
              <w:spacing w:after="0"/>
              <w:jc w:val="both"/>
              <w:rPr>
                <w:noProof/>
              </w:rPr>
            </w:pPr>
            <w:r>
              <w:rPr>
                <w:noProof/>
              </w:rPr>
              <w:t>Uspostava fonda za val obnove za financiranje radova na poboljšanju energetske učinkovitosti postojećeg fonda zgrada</w:t>
            </w:r>
          </w:p>
        </w:tc>
        <w:tc>
          <w:tcPr>
            <w:tcW w:w="1230" w:type="dxa"/>
            <w:tcBorders>
              <w:top w:val="nil"/>
              <w:left w:val="nil"/>
              <w:bottom w:val="single" w:sz="4" w:space="0" w:color="auto"/>
              <w:right w:val="single" w:sz="4" w:space="0" w:color="auto"/>
            </w:tcBorders>
            <w:shd w:val="clear" w:color="auto" w:fill="C6EFCE"/>
            <w:noWrap/>
          </w:tcPr>
          <w:p w14:paraId="6E6034D4"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BD7AAB7" w14:textId="77777777" w:rsidR="003F46B9" w:rsidRDefault="0065662E">
            <w:pPr>
              <w:pStyle w:val="P68B1DB1-Normal35"/>
              <w:spacing w:after="0"/>
              <w:jc w:val="both"/>
              <w:rPr>
                <w:noProof/>
              </w:rPr>
            </w:pPr>
            <w:r>
              <w:rPr>
                <w:noProof/>
              </w:rPr>
              <w:t xml:space="preserve">Završena energetska obnova višeobiteljskih stambenih zgrada </w:t>
            </w:r>
          </w:p>
        </w:tc>
      </w:tr>
      <w:tr w:rsidR="003F46B9" w14:paraId="448DDC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061E79A" w14:textId="77777777" w:rsidR="003F46B9" w:rsidRDefault="0065662E">
            <w:pPr>
              <w:pStyle w:val="P68B1DB1-Normal35"/>
              <w:spacing w:after="0"/>
              <w:jc w:val="center"/>
              <w:rPr>
                <w:noProof/>
              </w:rPr>
            </w:pPr>
            <w:r>
              <w:rPr>
                <w:noProof/>
              </w:rPr>
              <w:t>106</w:t>
            </w:r>
          </w:p>
        </w:tc>
        <w:tc>
          <w:tcPr>
            <w:tcW w:w="3544" w:type="dxa"/>
            <w:tcBorders>
              <w:top w:val="nil"/>
              <w:left w:val="nil"/>
              <w:bottom w:val="single" w:sz="4" w:space="0" w:color="auto"/>
              <w:right w:val="single" w:sz="4" w:space="0" w:color="auto"/>
            </w:tcBorders>
            <w:shd w:val="clear" w:color="auto" w:fill="C6EFCE"/>
            <w:noWrap/>
          </w:tcPr>
          <w:p w14:paraId="06FED784" w14:textId="77777777" w:rsidR="003F46B9" w:rsidRDefault="0065662E">
            <w:pPr>
              <w:pStyle w:val="P68B1DB1-Normal35"/>
              <w:spacing w:after="0"/>
              <w:jc w:val="both"/>
              <w:rPr>
                <w:noProof/>
              </w:rPr>
            </w:pPr>
            <w:r>
              <w:rPr>
                <w:noProof/>
              </w:rPr>
              <w:t>C5.I1</w:t>
            </w:r>
          </w:p>
          <w:p w14:paraId="799E8AE3" w14:textId="77777777" w:rsidR="003F46B9" w:rsidRDefault="0065662E">
            <w:pPr>
              <w:pStyle w:val="P68B1DB1-Normal35"/>
              <w:spacing w:after="0"/>
              <w:jc w:val="both"/>
              <w:rPr>
                <w:noProof/>
              </w:rPr>
            </w:pPr>
            <w:r>
              <w:rPr>
                <w:noProof/>
              </w:rPr>
              <w:t xml:space="preserve">Uspostava fonda za val obnove za </w:t>
            </w:r>
            <w:r>
              <w:rPr>
                <w:noProof/>
              </w:rPr>
              <w:t>financiranje radova na poboljšanju energetske učinkovitosti postojećeg fonda zgrada</w:t>
            </w:r>
          </w:p>
        </w:tc>
        <w:tc>
          <w:tcPr>
            <w:tcW w:w="1230" w:type="dxa"/>
            <w:tcBorders>
              <w:top w:val="nil"/>
              <w:left w:val="nil"/>
              <w:bottom w:val="single" w:sz="4" w:space="0" w:color="auto"/>
              <w:right w:val="single" w:sz="4" w:space="0" w:color="auto"/>
            </w:tcBorders>
            <w:shd w:val="clear" w:color="auto" w:fill="C6EFCE"/>
            <w:noWrap/>
          </w:tcPr>
          <w:p w14:paraId="52431F8C"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41E2C13" w14:textId="77777777" w:rsidR="003F46B9" w:rsidRDefault="0065662E">
            <w:pPr>
              <w:pStyle w:val="P68B1DB1-Normal35"/>
              <w:spacing w:after="0"/>
              <w:jc w:val="both"/>
              <w:rPr>
                <w:noProof/>
              </w:rPr>
            </w:pPr>
            <w:r>
              <w:rPr>
                <w:noProof/>
              </w:rPr>
              <w:t xml:space="preserve">Završena energetska obnova javnih zgrada </w:t>
            </w:r>
          </w:p>
        </w:tc>
      </w:tr>
      <w:tr w:rsidR="003F46B9" w14:paraId="5BBC05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C123D31" w14:textId="77777777" w:rsidR="003F46B9" w:rsidRDefault="0065662E">
            <w:pPr>
              <w:pStyle w:val="P68B1DB1-Normal35"/>
              <w:spacing w:after="0"/>
              <w:jc w:val="center"/>
              <w:rPr>
                <w:noProof/>
              </w:rPr>
            </w:pPr>
            <w:r>
              <w:rPr>
                <w:noProof/>
              </w:rPr>
              <w:t>134</w:t>
            </w:r>
          </w:p>
        </w:tc>
        <w:tc>
          <w:tcPr>
            <w:tcW w:w="3544" w:type="dxa"/>
            <w:tcBorders>
              <w:top w:val="nil"/>
              <w:left w:val="nil"/>
              <w:bottom w:val="single" w:sz="4" w:space="0" w:color="auto"/>
              <w:right w:val="single" w:sz="4" w:space="0" w:color="auto"/>
            </w:tcBorders>
            <w:shd w:val="clear" w:color="auto" w:fill="C6EFCE"/>
            <w:noWrap/>
          </w:tcPr>
          <w:p w14:paraId="02C23448" w14:textId="77777777" w:rsidR="003F46B9" w:rsidRDefault="0065662E">
            <w:pPr>
              <w:pStyle w:val="P68B1DB1-Normal35"/>
              <w:spacing w:after="0"/>
              <w:jc w:val="both"/>
              <w:rPr>
                <w:noProof/>
              </w:rPr>
            </w:pPr>
            <w:r>
              <w:rPr>
                <w:noProof/>
              </w:rPr>
              <w:t>C6.I3</w:t>
            </w:r>
          </w:p>
          <w:p w14:paraId="6F5C5976" w14:textId="77777777" w:rsidR="003F46B9" w:rsidRDefault="0065662E">
            <w:pPr>
              <w:pStyle w:val="P68B1DB1-Normal35"/>
              <w:spacing w:after="0"/>
              <w:jc w:val="both"/>
              <w:rPr>
                <w:noProof/>
              </w:rPr>
            </w:pPr>
            <w:r>
              <w:rPr>
                <w:noProof/>
              </w:rPr>
              <w:t>Razvoj fleksibilne i visokoučinkovite kombinirane proizvodnje toplinske i električne energije na plin (CHP) u central</w:t>
            </w:r>
            <w:r>
              <w:rPr>
                <w:noProof/>
              </w:rPr>
              <w:t xml:space="preserve">iziranom grijanju kako bi se postigla temeljita dekarbonizacija </w:t>
            </w:r>
          </w:p>
        </w:tc>
        <w:tc>
          <w:tcPr>
            <w:tcW w:w="1230" w:type="dxa"/>
            <w:tcBorders>
              <w:top w:val="nil"/>
              <w:left w:val="nil"/>
              <w:bottom w:val="single" w:sz="4" w:space="0" w:color="auto"/>
              <w:right w:val="single" w:sz="4" w:space="0" w:color="auto"/>
            </w:tcBorders>
            <w:shd w:val="clear" w:color="auto" w:fill="C6EFCE"/>
            <w:noWrap/>
          </w:tcPr>
          <w:p w14:paraId="44E1039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754CFFE" w14:textId="77777777" w:rsidR="003F46B9" w:rsidRDefault="0065662E">
            <w:pPr>
              <w:pStyle w:val="P68B1DB1-Normal35"/>
              <w:spacing w:after="0"/>
              <w:jc w:val="both"/>
              <w:rPr>
                <w:noProof/>
              </w:rPr>
            </w:pPr>
            <w:r>
              <w:rPr>
                <w:noProof/>
              </w:rPr>
              <w:t>Visokoučinkovita kogeneracijska postrojenja i centralizirano grijanje</w:t>
            </w:r>
          </w:p>
        </w:tc>
      </w:tr>
      <w:tr w:rsidR="003F46B9" w14:paraId="1327CA1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73D7B2B" w14:textId="77777777" w:rsidR="003F46B9" w:rsidRDefault="0065662E">
            <w:pPr>
              <w:pStyle w:val="P68B1DB1-Normal35"/>
              <w:spacing w:after="0"/>
              <w:jc w:val="center"/>
              <w:rPr>
                <w:noProof/>
              </w:rPr>
            </w:pPr>
            <w:r>
              <w:rPr>
                <w:noProof/>
              </w:rPr>
              <w:t>255</w:t>
            </w:r>
          </w:p>
        </w:tc>
        <w:tc>
          <w:tcPr>
            <w:tcW w:w="3544" w:type="dxa"/>
            <w:tcBorders>
              <w:top w:val="nil"/>
              <w:left w:val="nil"/>
              <w:bottom w:val="single" w:sz="4" w:space="0" w:color="auto"/>
              <w:right w:val="single" w:sz="4" w:space="0" w:color="auto"/>
            </w:tcBorders>
            <w:shd w:val="clear" w:color="auto" w:fill="C6EFCE"/>
            <w:noWrap/>
          </w:tcPr>
          <w:p w14:paraId="6CAB016D" w14:textId="77777777" w:rsidR="003F46B9" w:rsidRDefault="0065662E">
            <w:pPr>
              <w:pStyle w:val="P68B1DB1-Normal35"/>
              <w:spacing w:after="0"/>
              <w:jc w:val="both"/>
              <w:rPr>
                <w:noProof/>
              </w:rPr>
            </w:pPr>
            <w:r>
              <w:rPr>
                <w:noProof/>
              </w:rPr>
              <w:t xml:space="preserve">C9.I2.3 </w:t>
            </w:r>
          </w:p>
          <w:p w14:paraId="7762A682" w14:textId="095B8769" w:rsidR="003F46B9" w:rsidRDefault="0065662E">
            <w:pPr>
              <w:pStyle w:val="P68B1DB1-Normal35"/>
              <w:spacing w:after="0"/>
              <w:jc w:val="both"/>
              <w:rPr>
                <w:noProof/>
              </w:rPr>
            </w:pPr>
            <w:r>
              <w:rPr>
                <w:noProof/>
              </w:rPr>
              <w:t xml:space="preserve">Financijski instrumenti za privatni sektor – Fond poduzetničkog kapitala za oporavak  </w:t>
            </w:r>
          </w:p>
        </w:tc>
        <w:tc>
          <w:tcPr>
            <w:tcW w:w="1230" w:type="dxa"/>
            <w:tcBorders>
              <w:top w:val="nil"/>
              <w:left w:val="nil"/>
              <w:bottom w:val="single" w:sz="4" w:space="0" w:color="auto"/>
              <w:right w:val="single" w:sz="4" w:space="0" w:color="auto"/>
            </w:tcBorders>
            <w:shd w:val="clear" w:color="auto" w:fill="C6EFCE"/>
            <w:noWrap/>
          </w:tcPr>
          <w:p w14:paraId="1E9AC96E"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32E52B5" w14:textId="77777777" w:rsidR="003F46B9" w:rsidRDefault="0065662E">
            <w:pPr>
              <w:pStyle w:val="P68B1DB1-Normal35"/>
              <w:spacing w:after="0"/>
              <w:jc w:val="both"/>
              <w:rPr>
                <w:noProof/>
              </w:rPr>
            </w:pPr>
            <w:r>
              <w:rPr>
                <w:noProof/>
              </w:rPr>
              <w:t xml:space="preserve">Operacije </w:t>
            </w:r>
            <w:r>
              <w:rPr>
                <w:noProof/>
              </w:rPr>
              <w:t>financiranja ili ulaganja u iznosu od 100 % ukupnog ciljanog iznosa financiranja ili ulaganja koje je odobrio Odbor za ulaganja</w:t>
            </w:r>
          </w:p>
        </w:tc>
      </w:tr>
      <w:tr w:rsidR="003F46B9" w14:paraId="57E2FC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88184A3" w14:textId="77777777" w:rsidR="003F46B9" w:rsidRDefault="0065662E">
            <w:pPr>
              <w:pStyle w:val="P68B1DB1-Normal35"/>
              <w:spacing w:after="0"/>
              <w:jc w:val="center"/>
              <w:rPr>
                <w:noProof/>
              </w:rPr>
            </w:pPr>
            <w:r>
              <w:rPr>
                <w:noProof/>
              </w:rPr>
              <w:t>258</w:t>
            </w:r>
          </w:p>
        </w:tc>
        <w:tc>
          <w:tcPr>
            <w:tcW w:w="3544" w:type="dxa"/>
            <w:tcBorders>
              <w:top w:val="nil"/>
              <w:left w:val="nil"/>
              <w:bottom w:val="single" w:sz="4" w:space="0" w:color="auto"/>
              <w:right w:val="single" w:sz="4" w:space="0" w:color="auto"/>
            </w:tcBorders>
            <w:shd w:val="clear" w:color="auto" w:fill="C6EFCE"/>
            <w:noWrap/>
          </w:tcPr>
          <w:p w14:paraId="1BCA53B5" w14:textId="77777777" w:rsidR="003F46B9" w:rsidRDefault="0065662E">
            <w:pPr>
              <w:pStyle w:val="P68B1DB1-Normal35"/>
              <w:spacing w:after="0"/>
              <w:jc w:val="both"/>
              <w:rPr>
                <w:noProof/>
              </w:rPr>
            </w:pPr>
            <w:r>
              <w:rPr>
                <w:noProof/>
              </w:rPr>
              <w:t xml:space="preserve">C9.I2.4. </w:t>
            </w:r>
          </w:p>
          <w:p w14:paraId="3BFA0F36" w14:textId="77777777" w:rsidR="003F46B9" w:rsidRDefault="0065662E">
            <w:pPr>
              <w:pStyle w:val="P68B1DB1-Normal35"/>
              <w:spacing w:after="0"/>
              <w:jc w:val="both"/>
              <w:rPr>
                <w:noProof/>
              </w:rPr>
            </w:pPr>
            <w:r>
              <w:rPr>
                <w:noProof/>
              </w:rPr>
              <w:t>Financijski instrumenti za privatni sektor – Fond za digitalizaciju, klimatsku politiku i druga područja interesa</w:t>
            </w:r>
            <w:r>
              <w:rPr>
                <w:noProof/>
              </w:rPr>
              <w:t xml:space="preserve"> </w:t>
            </w:r>
          </w:p>
          <w:p w14:paraId="032656E6" w14:textId="77777777" w:rsidR="003F46B9" w:rsidRDefault="003F46B9">
            <w:pPr>
              <w:spacing w:after="0"/>
              <w:jc w:val="both"/>
              <w:rPr>
                <w:rFonts w:ascii="Times New Roman" w:hAnsi="Times New Roman" w:cs="Times New Roman"/>
                <w:noProof/>
              </w:rPr>
            </w:pPr>
          </w:p>
        </w:tc>
        <w:tc>
          <w:tcPr>
            <w:tcW w:w="1230" w:type="dxa"/>
            <w:tcBorders>
              <w:top w:val="nil"/>
              <w:left w:val="nil"/>
              <w:bottom w:val="single" w:sz="4" w:space="0" w:color="auto"/>
              <w:right w:val="single" w:sz="4" w:space="0" w:color="auto"/>
            </w:tcBorders>
            <w:shd w:val="clear" w:color="auto" w:fill="C6EFCE"/>
            <w:noWrap/>
          </w:tcPr>
          <w:p w14:paraId="70E06595"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BA5EF87" w14:textId="77777777" w:rsidR="003F46B9" w:rsidRDefault="0065662E">
            <w:pPr>
              <w:pStyle w:val="P68B1DB1-Normal35"/>
              <w:spacing w:after="0"/>
              <w:jc w:val="both"/>
              <w:rPr>
                <w:noProof/>
              </w:rPr>
            </w:pPr>
            <w:r>
              <w:rPr>
                <w:noProof/>
              </w:rPr>
              <w:t>100 % ciljanih korisnika kojima je pružena potpora</w:t>
            </w:r>
          </w:p>
        </w:tc>
      </w:tr>
      <w:tr w:rsidR="003F46B9" w14:paraId="2A8903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9F477AC" w14:textId="77777777" w:rsidR="003F46B9" w:rsidRDefault="0065662E">
            <w:pPr>
              <w:pStyle w:val="P68B1DB1-Normal35"/>
              <w:spacing w:after="0"/>
              <w:jc w:val="center"/>
              <w:rPr>
                <w:noProof/>
              </w:rPr>
            </w:pPr>
            <w:r>
              <w:rPr>
                <w:noProof/>
              </w:rPr>
              <w:t>271</w:t>
            </w:r>
          </w:p>
        </w:tc>
        <w:tc>
          <w:tcPr>
            <w:tcW w:w="3544" w:type="dxa"/>
            <w:tcBorders>
              <w:top w:val="nil"/>
              <w:left w:val="nil"/>
              <w:bottom w:val="single" w:sz="4" w:space="0" w:color="auto"/>
              <w:right w:val="single" w:sz="4" w:space="0" w:color="auto"/>
            </w:tcBorders>
            <w:shd w:val="clear" w:color="auto" w:fill="C6EFCE"/>
            <w:noWrap/>
          </w:tcPr>
          <w:p w14:paraId="729FD973" w14:textId="77777777" w:rsidR="003F46B9" w:rsidRDefault="0065662E">
            <w:pPr>
              <w:pStyle w:val="P68B1DB1-Normal35"/>
              <w:spacing w:after="0"/>
              <w:jc w:val="both"/>
              <w:rPr>
                <w:noProof/>
              </w:rPr>
            </w:pPr>
            <w:r>
              <w:rPr>
                <w:noProof/>
              </w:rPr>
              <w:t>C9.R2</w:t>
            </w:r>
          </w:p>
          <w:p w14:paraId="7965F40E" w14:textId="77777777" w:rsidR="003F46B9" w:rsidRDefault="0065662E">
            <w:pPr>
              <w:pStyle w:val="P68B1DB1-Normal35"/>
              <w:spacing w:after="0"/>
              <w:jc w:val="both"/>
              <w:rPr>
                <w:noProof/>
              </w:rPr>
            </w:pPr>
            <w:r>
              <w:rPr>
                <w:noProof/>
              </w:rPr>
              <w:t xml:space="preserve">Pojednostavnjenje upravljanja istraživanjem, razvojem i inovacijama </w:t>
            </w:r>
          </w:p>
        </w:tc>
        <w:tc>
          <w:tcPr>
            <w:tcW w:w="1230" w:type="dxa"/>
            <w:tcBorders>
              <w:top w:val="nil"/>
              <w:left w:val="nil"/>
              <w:bottom w:val="single" w:sz="4" w:space="0" w:color="auto"/>
              <w:right w:val="single" w:sz="4" w:space="0" w:color="auto"/>
            </w:tcBorders>
            <w:shd w:val="clear" w:color="auto" w:fill="C6EFCE"/>
            <w:noWrap/>
          </w:tcPr>
          <w:p w14:paraId="5750B0D9"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D9D6719" w14:textId="77777777" w:rsidR="003F46B9" w:rsidRDefault="0065662E">
            <w:pPr>
              <w:pStyle w:val="P68B1DB1-Normal35"/>
              <w:spacing w:after="0"/>
              <w:jc w:val="both"/>
              <w:rPr>
                <w:noProof/>
              </w:rPr>
            </w:pPr>
            <w:r>
              <w:rPr>
                <w:noProof/>
              </w:rPr>
              <w:t>Udio preporuka u okviru instrumenta za političku potporu donesenih do kraja 2026.</w:t>
            </w:r>
          </w:p>
        </w:tc>
      </w:tr>
      <w:tr w:rsidR="003F46B9" w14:paraId="3B14EA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56B2646" w14:textId="77777777" w:rsidR="003F46B9" w:rsidRDefault="0065662E">
            <w:pPr>
              <w:pStyle w:val="P68B1DB1-Normal35"/>
              <w:spacing w:after="0"/>
              <w:jc w:val="center"/>
              <w:rPr>
                <w:noProof/>
              </w:rPr>
            </w:pPr>
            <w:r>
              <w:rPr>
                <w:noProof/>
              </w:rPr>
              <w:t>272</w:t>
            </w:r>
          </w:p>
        </w:tc>
        <w:tc>
          <w:tcPr>
            <w:tcW w:w="3544" w:type="dxa"/>
            <w:tcBorders>
              <w:top w:val="nil"/>
              <w:left w:val="nil"/>
              <w:bottom w:val="single" w:sz="4" w:space="0" w:color="auto"/>
              <w:right w:val="single" w:sz="4" w:space="0" w:color="auto"/>
            </w:tcBorders>
            <w:shd w:val="clear" w:color="auto" w:fill="C6EFCE"/>
            <w:noWrap/>
          </w:tcPr>
          <w:p w14:paraId="5AA8470F" w14:textId="77777777" w:rsidR="003F46B9" w:rsidRDefault="0065662E">
            <w:pPr>
              <w:pStyle w:val="P68B1DB1-Normal35"/>
              <w:spacing w:after="0"/>
              <w:jc w:val="both"/>
              <w:rPr>
                <w:noProof/>
              </w:rPr>
            </w:pPr>
            <w:r>
              <w:rPr>
                <w:noProof/>
              </w:rPr>
              <w:t xml:space="preserve">C9.R2 </w:t>
            </w:r>
          </w:p>
          <w:p w14:paraId="04BAFF6B" w14:textId="77777777" w:rsidR="003F46B9" w:rsidRDefault="0065662E">
            <w:pPr>
              <w:pStyle w:val="P68B1DB1-Normal35"/>
              <w:spacing w:after="0"/>
              <w:jc w:val="both"/>
              <w:rPr>
                <w:noProof/>
              </w:rPr>
            </w:pPr>
            <w:r>
              <w:rPr>
                <w:noProof/>
              </w:rPr>
              <w:t xml:space="preserve">Pojednostavnjenje upravljanja istraživanjem, razvojem i inovacijama </w:t>
            </w:r>
          </w:p>
        </w:tc>
        <w:tc>
          <w:tcPr>
            <w:tcW w:w="1230" w:type="dxa"/>
            <w:tcBorders>
              <w:top w:val="nil"/>
              <w:left w:val="nil"/>
              <w:bottom w:val="single" w:sz="4" w:space="0" w:color="auto"/>
              <w:right w:val="single" w:sz="4" w:space="0" w:color="auto"/>
            </w:tcBorders>
            <w:shd w:val="clear" w:color="auto" w:fill="C6EFCE"/>
            <w:noWrap/>
          </w:tcPr>
          <w:p w14:paraId="14E54DBE"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3BE42965" w14:textId="77777777" w:rsidR="003F46B9" w:rsidRDefault="0065662E">
            <w:pPr>
              <w:pStyle w:val="P68B1DB1-Normal35"/>
              <w:spacing w:after="0"/>
              <w:jc w:val="both"/>
              <w:rPr>
                <w:noProof/>
              </w:rPr>
            </w:pPr>
            <w:r>
              <w:rPr>
                <w:noProof/>
              </w:rPr>
              <w:t>Stupanje na snagu trajnog sustava za osmišljavanje, provedbu, praćenje i evaluaciju politike istraživanja, razvoja i inovacija</w:t>
            </w:r>
          </w:p>
        </w:tc>
      </w:tr>
      <w:tr w:rsidR="003F46B9" w14:paraId="2A68E0E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C7300B1" w14:textId="77777777" w:rsidR="003F46B9" w:rsidRDefault="0065662E">
            <w:pPr>
              <w:pStyle w:val="P68B1DB1-Normal35"/>
              <w:spacing w:after="0"/>
              <w:jc w:val="center"/>
              <w:rPr>
                <w:noProof/>
              </w:rPr>
            </w:pPr>
            <w:r>
              <w:rPr>
                <w:noProof/>
              </w:rPr>
              <w:t>277</w:t>
            </w:r>
          </w:p>
        </w:tc>
        <w:tc>
          <w:tcPr>
            <w:tcW w:w="3544" w:type="dxa"/>
            <w:tcBorders>
              <w:top w:val="nil"/>
              <w:left w:val="nil"/>
              <w:bottom w:val="single" w:sz="4" w:space="0" w:color="auto"/>
              <w:right w:val="single" w:sz="4" w:space="0" w:color="auto"/>
            </w:tcBorders>
            <w:shd w:val="clear" w:color="auto" w:fill="C6EFCE"/>
            <w:noWrap/>
          </w:tcPr>
          <w:p w14:paraId="52EE41A5" w14:textId="77777777" w:rsidR="003F46B9" w:rsidRDefault="0065662E">
            <w:pPr>
              <w:pStyle w:val="P68B1DB1-Normal35"/>
              <w:spacing w:after="0"/>
              <w:jc w:val="both"/>
              <w:rPr>
                <w:noProof/>
              </w:rPr>
            </w:pPr>
            <w:r>
              <w:rPr>
                <w:noProof/>
              </w:rPr>
              <w:t>C9.R4</w:t>
            </w:r>
          </w:p>
          <w:p w14:paraId="19592B63" w14:textId="77777777" w:rsidR="003F46B9" w:rsidRDefault="0065662E">
            <w:pPr>
              <w:pStyle w:val="P68B1DB1-Normal35"/>
              <w:spacing w:after="0"/>
              <w:jc w:val="both"/>
              <w:rPr>
                <w:noProof/>
              </w:rPr>
            </w:pPr>
            <w:r>
              <w:rPr>
                <w:noProof/>
              </w:rPr>
              <w:t xml:space="preserve">Pojačana suradnja između poduzeća i istraživanja </w:t>
            </w:r>
          </w:p>
        </w:tc>
        <w:tc>
          <w:tcPr>
            <w:tcW w:w="1230" w:type="dxa"/>
            <w:tcBorders>
              <w:top w:val="nil"/>
              <w:left w:val="nil"/>
              <w:bottom w:val="single" w:sz="4" w:space="0" w:color="auto"/>
              <w:right w:val="single" w:sz="4" w:space="0" w:color="auto"/>
            </w:tcBorders>
            <w:shd w:val="clear" w:color="auto" w:fill="C6EFCE"/>
            <w:noWrap/>
          </w:tcPr>
          <w:p w14:paraId="0CE243A5" w14:textId="77777777" w:rsidR="003F46B9" w:rsidRDefault="0065662E">
            <w:pPr>
              <w:pStyle w:val="P68B1DB1-Normal35"/>
              <w:spacing w:after="0"/>
              <w:jc w:val="center"/>
              <w:rPr>
                <w:noProof/>
              </w:rPr>
            </w:pPr>
            <w:r>
              <w:rPr>
                <w:noProof/>
              </w:rPr>
              <w:t>M</w:t>
            </w:r>
          </w:p>
        </w:tc>
        <w:tc>
          <w:tcPr>
            <w:tcW w:w="3447" w:type="dxa"/>
            <w:tcBorders>
              <w:top w:val="nil"/>
              <w:left w:val="nil"/>
              <w:bottom w:val="single" w:sz="4" w:space="0" w:color="auto"/>
              <w:right w:val="single" w:sz="4" w:space="0" w:color="auto"/>
            </w:tcBorders>
            <w:shd w:val="clear" w:color="auto" w:fill="C6EFCE"/>
            <w:noWrap/>
          </w:tcPr>
          <w:p w14:paraId="5F49B9C7" w14:textId="53D69C46" w:rsidR="003F46B9" w:rsidRDefault="0065662E">
            <w:pPr>
              <w:pStyle w:val="P68B1DB1-Normal35"/>
              <w:spacing w:after="0"/>
              <w:jc w:val="both"/>
              <w:rPr>
                <w:noProof/>
              </w:rPr>
            </w:pPr>
            <w:r>
              <w:rPr>
                <w:noProof/>
              </w:rPr>
              <w:t xml:space="preserve">40 % javno financiranih istraživačkih, razvojnih i inovacijskih projekata ima najmanje jedan poslovni subjekt uključen kao partner </w:t>
            </w:r>
          </w:p>
        </w:tc>
      </w:tr>
      <w:tr w:rsidR="003F46B9" w14:paraId="246864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489076A" w14:textId="77777777" w:rsidR="003F46B9" w:rsidRDefault="0065662E">
            <w:pPr>
              <w:pStyle w:val="P68B1DB1-Normal35"/>
              <w:spacing w:after="0"/>
              <w:jc w:val="center"/>
              <w:rPr>
                <w:noProof/>
              </w:rPr>
            </w:pPr>
            <w:r>
              <w:rPr>
                <w:noProof/>
              </w:rPr>
              <w:t>279</w:t>
            </w:r>
          </w:p>
        </w:tc>
        <w:tc>
          <w:tcPr>
            <w:tcW w:w="3544" w:type="dxa"/>
            <w:tcBorders>
              <w:top w:val="nil"/>
              <w:left w:val="nil"/>
              <w:bottom w:val="single" w:sz="4" w:space="0" w:color="auto"/>
              <w:right w:val="single" w:sz="4" w:space="0" w:color="auto"/>
            </w:tcBorders>
            <w:shd w:val="clear" w:color="auto" w:fill="C6EFCE"/>
            <w:noWrap/>
          </w:tcPr>
          <w:p w14:paraId="67EE2CE5" w14:textId="77777777" w:rsidR="003F46B9" w:rsidRDefault="0065662E">
            <w:pPr>
              <w:pStyle w:val="P68B1DB1-Normal35"/>
              <w:spacing w:after="0"/>
              <w:jc w:val="both"/>
              <w:rPr>
                <w:noProof/>
              </w:rPr>
            </w:pPr>
            <w:r>
              <w:rPr>
                <w:noProof/>
              </w:rPr>
              <w:t>C9.R5</w:t>
            </w:r>
          </w:p>
          <w:p w14:paraId="373D40A8" w14:textId="77777777" w:rsidR="003F46B9" w:rsidRDefault="0065662E">
            <w:pPr>
              <w:pStyle w:val="P68B1DB1-Normal35"/>
              <w:spacing w:after="0"/>
              <w:jc w:val="both"/>
              <w:rPr>
                <w:noProof/>
              </w:rPr>
            </w:pPr>
            <w:r>
              <w:rPr>
                <w:noProof/>
              </w:rPr>
              <w:t>Potpora integraciji organizacija za istraživanje, razvoj i in</w:t>
            </w:r>
            <w:r>
              <w:rPr>
                <w:noProof/>
              </w:rPr>
              <w:t xml:space="preserve">ovacije u Rumunjskoj u </w:t>
            </w:r>
            <w:bookmarkStart w:id="20" w:name="_Hlk81822557"/>
            <w:r>
              <w:rPr>
                <w:noProof/>
              </w:rPr>
              <w:t>europski istraživački prostor</w:t>
            </w:r>
            <w:bookmarkEnd w:id="20"/>
          </w:p>
        </w:tc>
        <w:tc>
          <w:tcPr>
            <w:tcW w:w="1230" w:type="dxa"/>
            <w:tcBorders>
              <w:top w:val="nil"/>
              <w:left w:val="nil"/>
              <w:bottom w:val="single" w:sz="4" w:space="0" w:color="auto"/>
              <w:right w:val="single" w:sz="4" w:space="0" w:color="auto"/>
            </w:tcBorders>
            <w:shd w:val="clear" w:color="auto" w:fill="C6EFCE"/>
            <w:noWrap/>
          </w:tcPr>
          <w:p w14:paraId="43E64359"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3B290C2" w14:textId="77777777" w:rsidR="003F46B9" w:rsidRDefault="0065662E">
            <w:pPr>
              <w:pStyle w:val="P68B1DB1-Normal35"/>
              <w:spacing w:after="0"/>
              <w:jc w:val="both"/>
              <w:rPr>
                <w:noProof/>
              </w:rPr>
            </w:pPr>
            <w:r>
              <w:rPr>
                <w:noProof/>
              </w:rPr>
              <w:t>Postotak istraživačkih organizacija koje dijele istraživačku infrastrukturu i objekte</w:t>
            </w:r>
          </w:p>
        </w:tc>
      </w:tr>
      <w:tr w:rsidR="003F46B9" w14:paraId="29EED3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3D51C93" w14:textId="77777777" w:rsidR="003F46B9" w:rsidRDefault="0065662E">
            <w:pPr>
              <w:pStyle w:val="P68B1DB1-Normal35"/>
              <w:spacing w:after="0"/>
              <w:jc w:val="center"/>
              <w:rPr>
                <w:noProof/>
              </w:rPr>
            </w:pPr>
            <w:r>
              <w:rPr>
                <w:noProof/>
              </w:rPr>
              <w:t>282</w:t>
            </w:r>
          </w:p>
        </w:tc>
        <w:tc>
          <w:tcPr>
            <w:tcW w:w="3544" w:type="dxa"/>
            <w:tcBorders>
              <w:top w:val="nil"/>
              <w:left w:val="nil"/>
              <w:bottom w:val="single" w:sz="4" w:space="0" w:color="auto"/>
              <w:right w:val="single" w:sz="4" w:space="0" w:color="auto"/>
            </w:tcBorders>
            <w:shd w:val="clear" w:color="auto" w:fill="C6EFCE"/>
            <w:noWrap/>
          </w:tcPr>
          <w:p w14:paraId="31B61928" w14:textId="77777777" w:rsidR="003F46B9" w:rsidRDefault="0065662E">
            <w:pPr>
              <w:pStyle w:val="P68B1DB1-Normal35"/>
              <w:spacing w:after="0"/>
              <w:jc w:val="both"/>
              <w:rPr>
                <w:noProof/>
              </w:rPr>
            </w:pPr>
            <w:r>
              <w:rPr>
                <w:noProof/>
              </w:rPr>
              <w:t>C9.I6</w:t>
            </w:r>
          </w:p>
          <w:p w14:paraId="31EFE0A2" w14:textId="77777777" w:rsidR="003F46B9" w:rsidRDefault="0065662E">
            <w:pPr>
              <w:pStyle w:val="P68B1DB1-Normal35"/>
              <w:spacing w:after="0"/>
              <w:jc w:val="both"/>
              <w:rPr>
                <w:noProof/>
              </w:rPr>
            </w:pPr>
            <w:r>
              <w:rPr>
                <w:noProof/>
              </w:rPr>
              <w:t xml:space="preserve">Programi mentorstva Obzor Europa </w:t>
            </w:r>
          </w:p>
        </w:tc>
        <w:tc>
          <w:tcPr>
            <w:tcW w:w="1230" w:type="dxa"/>
            <w:tcBorders>
              <w:top w:val="nil"/>
              <w:left w:val="nil"/>
              <w:bottom w:val="single" w:sz="4" w:space="0" w:color="auto"/>
              <w:right w:val="single" w:sz="4" w:space="0" w:color="auto"/>
            </w:tcBorders>
            <w:shd w:val="clear" w:color="auto" w:fill="C6EFCE"/>
            <w:noWrap/>
          </w:tcPr>
          <w:p w14:paraId="5A897D2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793BE0D" w14:textId="77777777" w:rsidR="003F46B9" w:rsidRDefault="0065662E">
            <w:pPr>
              <w:pStyle w:val="P68B1DB1-Normal35"/>
              <w:spacing w:after="0"/>
              <w:jc w:val="both"/>
              <w:rPr>
                <w:noProof/>
              </w:rPr>
            </w:pPr>
            <w:r>
              <w:rPr>
                <w:noProof/>
              </w:rPr>
              <w:t xml:space="preserve">Vaučeri dodijeljeni u okviru programa mentorstva u okviru programa Obzor Europa </w:t>
            </w:r>
          </w:p>
        </w:tc>
      </w:tr>
      <w:tr w:rsidR="003F46B9" w14:paraId="1694DB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A474D87" w14:textId="77777777" w:rsidR="003F46B9" w:rsidRDefault="0065662E">
            <w:pPr>
              <w:pStyle w:val="P68B1DB1-Normal35"/>
              <w:spacing w:after="0"/>
              <w:jc w:val="center"/>
              <w:rPr>
                <w:noProof/>
              </w:rPr>
            </w:pPr>
            <w:r>
              <w:rPr>
                <w:noProof/>
              </w:rPr>
              <w:t>287</w:t>
            </w:r>
          </w:p>
        </w:tc>
        <w:tc>
          <w:tcPr>
            <w:tcW w:w="3544" w:type="dxa"/>
            <w:tcBorders>
              <w:top w:val="nil"/>
              <w:left w:val="nil"/>
              <w:bottom w:val="single" w:sz="4" w:space="0" w:color="auto"/>
              <w:right w:val="single" w:sz="4" w:space="0" w:color="auto"/>
            </w:tcBorders>
            <w:shd w:val="clear" w:color="auto" w:fill="C6EFCE"/>
            <w:noWrap/>
          </w:tcPr>
          <w:p w14:paraId="2C760BDC" w14:textId="77777777" w:rsidR="003F46B9" w:rsidRDefault="0065662E">
            <w:pPr>
              <w:pStyle w:val="P68B1DB1-Normal35"/>
              <w:spacing w:after="0"/>
              <w:jc w:val="both"/>
              <w:rPr>
                <w:noProof/>
              </w:rPr>
            </w:pPr>
            <w:r>
              <w:rPr>
                <w:noProof/>
              </w:rPr>
              <w:t>C9.I10</w:t>
            </w:r>
          </w:p>
          <w:p w14:paraId="47B1CC44" w14:textId="77777777" w:rsidR="003F46B9" w:rsidRDefault="0065662E">
            <w:pPr>
              <w:pStyle w:val="P68B1DB1-Normal35"/>
              <w:spacing w:after="0"/>
              <w:jc w:val="both"/>
              <w:rPr>
                <w:noProof/>
              </w:rPr>
            </w:pPr>
            <w:r>
              <w:rPr>
                <w:noProof/>
              </w:rPr>
              <w:t>Uspostava i financijska potpora nacionalne mreže osam regionalnih centara za profesionalno usmjeravanje u okviru Platforme europskog istraživačkog prostora za tale</w:t>
            </w:r>
            <w:r>
              <w:rPr>
                <w:noProof/>
              </w:rPr>
              <w:t>nte</w:t>
            </w:r>
          </w:p>
        </w:tc>
        <w:tc>
          <w:tcPr>
            <w:tcW w:w="1230" w:type="dxa"/>
            <w:tcBorders>
              <w:top w:val="nil"/>
              <w:left w:val="nil"/>
              <w:bottom w:val="single" w:sz="4" w:space="0" w:color="auto"/>
              <w:right w:val="single" w:sz="4" w:space="0" w:color="auto"/>
            </w:tcBorders>
            <w:shd w:val="clear" w:color="auto" w:fill="C6EFCE"/>
            <w:noWrap/>
          </w:tcPr>
          <w:p w14:paraId="0AF62246"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F8D9B8B" w14:textId="77777777" w:rsidR="003F46B9" w:rsidRDefault="0065662E">
            <w:pPr>
              <w:pStyle w:val="P68B1DB1-Normal35"/>
              <w:spacing w:after="0"/>
              <w:jc w:val="both"/>
              <w:rPr>
                <w:noProof/>
              </w:rPr>
            </w:pPr>
            <w:r>
              <w:rPr>
                <w:noProof/>
              </w:rPr>
              <w:t>Istraživači koji su se koristili uslugama centara za profesionalno usmjeravanje</w:t>
            </w:r>
          </w:p>
        </w:tc>
      </w:tr>
      <w:tr w:rsidR="003F46B9" w14:paraId="52021F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67ABB8C1" w14:textId="77777777" w:rsidR="003F46B9" w:rsidRDefault="0065662E">
            <w:pPr>
              <w:pStyle w:val="P68B1DB1-Normal35"/>
              <w:spacing w:after="0"/>
              <w:jc w:val="center"/>
              <w:rPr>
                <w:noProof/>
              </w:rPr>
            </w:pPr>
            <w:r>
              <w:rPr>
                <w:noProof/>
              </w:rPr>
              <w:t>309</w:t>
            </w:r>
          </w:p>
        </w:tc>
        <w:tc>
          <w:tcPr>
            <w:tcW w:w="3544" w:type="dxa"/>
            <w:tcBorders>
              <w:top w:val="nil"/>
              <w:left w:val="nil"/>
              <w:bottom w:val="single" w:sz="4" w:space="0" w:color="auto"/>
              <w:right w:val="single" w:sz="4" w:space="0" w:color="auto"/>
            </w:tcBorders>
            <w:shd w:val="clear" w:color="auto" w:fill="C6EFCE"/>
            <w:noWrap/>
          </w:tcPr>
          <w:p w14:paraId="41DBBF25" w14:textId="77777777" w:rsidR="003F46B9" w:rsidRDefault="0065662E">
            <w:pPr>
              <w:pStyle w:val="P68B1DB1-Normal35"/>
              <w:spacing w:after="0"/>
              <w:jc w:val="both"/>
              <w:rPr>
                <w:noProof/>
              </w:rPr>
            </w:pPr>
            <w:r>
              <w:rPr>
                <w:noProof/>
              </w:rPr>
              <w:t>C10.R2</w:t>
            </w:r>
          </w:p>
          <w:p w14:paraId="2640D206" w14:textId="14A0A34A" w:rsidR="003F46B9" w:rsidRDefault="0065662E">
            <w:pPr>
              <w:pStyle w:val="P68B1DB1-Normal35"/>
              <w:spacing w:after="0"/>
              <w:jc w:val="both"/>
              <w:rPr>
                <w:noProof/>
              </w:rPr>
            </w:pPr>
            <w:r>
              <w:rPr>
                <w:noProof/>
              </w:rPr>
              <w:t xml:space="preserve">Stvaranje političkog okvira za održivu preobrazbu gradova </w:t>
            </w:r>
          </w:p>
        </w:tc>
        <w:tc>
          <w:tcPr>
            <w:tcW w:w="1230" w:type="dxa"/>
            <w:tcBorders>
              <w:top w:val="nil"/>
              <w:left w:val="nil"/>
              <w:bottom w:val="single" w:sz="4" w:space="0" w:color="auto"/>
              <w:right w:val="single" w:sz="4" w:space="0" w:color="auto"/>
            </w:tcBorders>
            <w:shd w:val="clear" w:color="auto" w:fill="C6EFCE"/>
            <w:noWrap/>
          </w:tcPr>
          <w:p w14:paraId="1FC5F305"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808BB32" w14:textId="77777777" w:rsidR="003F46B9" w:rsidRDefault="0065662E">
            <w:pPr>
              <w:pStyle w:val="P68B1DB1-Normal35"/>
              <w:spacing w:after="0"/>
              <w:jc w:val="both"/>
              <w:rPr>
                <w:noProof/>
              </w:rPr>
            </w:pPr>
            <w:r>
              <w:rPr>
                <w:noProof/>
              </w:rPr>
              <w:t>Povećanje kvalitete života u urbanim područjima</w:t>
            </w:r>
          </w:p>
        </w:tc>
      </w:tr>
      <w:tr w:rsidR="003F46B9" w14:paraId="616675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67A2773" w14:textId="77777777" w:rsidR="003F46B9" w:rsidRDefault="0065662E">
            <w:pPr>
              <w:pStyle w:val="P68B1DB1-Normal35"/>
              <w:spacing w:after="0"/>
              <w:jc w:val="center"/>
              <w:rPr>
                <w:noProof/>
              </w:rPr>
            </w:pPr>
            <w:r>
              <w:rPr>
                <w:noProof/>
              </w:rPr>
              <w:t>311</w:t>
            </w:r>
          </w:p>
        </w:tc>
        <w:tc>
          <w:tcPr>
            <w:tcW w:w="3544" w:type="dxa"/>
            <w:tcBorders>
              <w:top w:val="nil"/>
              <w:left w:val="nil"/>
              <w:bottom w:val="single" w:sz="4" w:space="0" w:color="auto"/>
              <w:right w:val="single" w:sz="4" w:space="0" w:color="auto"/>
            </w:tcBorders>
            <w:shd w:val="clear" w:color="auto" w:fill="C6EFCE"/>
            <w:noWrap/>
          </w:tcPr>
          <w:p w14:paraId="07483981" w14:textId="77777777" w:rsidR="003F46B9" w:rsidRDefault="0065662E">
            <w:pPr>
              <w:pStyle w:val="P68B1DB1-Normal35"/>
              <w:spacing w:after="0"/>
              <w:jc w:val="both"/>
              <w:rPr>
                <w:noProof/>
              </w:rPr>
            </w:pPr>
            <w:r>
              <w:rPr>
                <w:noProof/>
              </w:rPr>
              <w:t>C10.R2</w:t>
            </w:r>
          </w:p>
          <w:p w14:paraId="78D2AB5A" w14:textId="6442E04C" w:rsidR="003F46B9" w:rsidRDefault="0065662E">
            <w:pPr>
              <w:pStyle w:val="P68B1DB1-Normal35"/>
              <w:spacing w:after="0"/>
              <w:jc w:val="both"/>
              <w:rPr>
                <w:noProof/>
              </w:rPr>
            </w:pPr>
            <w:r>
              <w:rPr>
                <w:noProof/>
              </w:rPr>
              <w:t xml:space="preserve">Stvaranje političkog okvira za održivu preobrazbu ruralnih područja: uspostava administrativnih konzorcija u funkcionalnim ruralnim područjima </w:t>
            </w:r>
          </w:p>
        </w:tc>
        <w:tc>
          <w:tcPr>
            <w:tcW w:w="1230" w:type="dxa"/>
            <w:tcBorders>
              <w:top w:val="nil"/>
              <w:left w:val="nil"/>
              <w:bottom w:val="single" w:sz="4" w:space="0" w:color="auto"/>
              <w:right w:val="single" w:sz="4" w:space="0" w:color="auto"/>
            </w:tcBorders>
            <w:shd w:val="clear" w:color="auto" w:fill="C6EFCE"/>
            <w:noWrap/>
          </w:tcPr>
          <w:p w14:paraId="4504A351"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DFA2B92" w14:textId="77777777" w:rsidR="003F46B9" w:rsidRDefault="0065662E">
            <w:pPr>
              <w:pStyle w:val="P68B1DB1-Normal35"/>
              <w:spacing w:after="0"/>
              <w:jc w:val="both"/>
              <w:rPr>
                <w:noProof/>
              </w:rPr>
            </w:pPr>
            <w:r>
              <w:rPr>
                <w:noProof/>
              </w:rPr>
              <w:t>Smanjenje siromaštva i socijalne isključenosti u ruralnim područjima</w:t>
            </w:r>
          </w:p>
        </w:tc>
      </w:tr>
      <w:tr w:rsidR="003F46B9" w14:paraId="487D17E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2B1CEF3" w14:textId="77777777" w:rsidR="003F46B9" w:rsidRDefault="0065662E">
            <w:pPr>
              <w:pStyle w:val="P68B1DB1-Normal35"/>
              <w:spacing w:after="0"/>
              <w:jc w:val="center"/>
              <w:rPr>
                <w:noProof/>
              </w:rPr>
            </w:pPr>
            <w:r>
              <w:rPr>
                <w:noProof/>
              </w:rPr>
              <w:t>313</w:t>
            </w:r>
          </w:p>
        </w:tc>
        <w:tc>
          <w:tcPr>
            <w:tcW w:w="3544" w:type="dxa"/>
            <w:tcBorders>
              <w:top w:val="nil"/>
              <w:left w:val="nil"/>
              <w:bottom w:val="single" w:sz="4" w:space="0" w:color="auto"/>
              <w:right w:val="single" w:sz="4" w:space="0" w:color="auto"/>
            </w:tcBorders>
            <w:shd w:val="clear" w:color="auto" w:fill="C6EFCE"/>
            <w:noWrap/>
          </w:tcPr>
          <w:p w14:paraId="6A5D0968" w14:textId="77777777" w:rsidR="003F46B9" w:rsidRDefault="0065662E">
            <w:pPr>
              <w:pStyle w:val="P68B1DB1-Normal35"/>
              <w:spacing w:after="0"/>
              <w:jc w:val="both"/>
              <w:rPr>
                <w:noProof/>
              </w:rPr>
            </w:pPr>
            <w:r>
              <w:rPr>
                <w:noProof/>
              </w:rPr>
              <w:t>C10.R3</w:t>
            </w:r>
          </w:p>
          <w:p w14:paraId="0E3EBF6A" w14:textId="77777777" w:rsidR="003F46B9" w:rsidRDefault="0065662E">
            <w:pPr>
              <w:pStyle w:val="P68B1DB1-Normal35"/>
              <w:spacing w:after="0"/>
              <w:jc w:val="both"/>
              <w:rPr>
                <w:noProof/>
              </w:rPr>
            </w:pPr>
            <w:r>
              <w:rPr>
                <w:noProof/>
              </w:rPr>
              <w:t>Poboljšanje kvalitete stanova</w:t>
            </w:r>
            <w:r>
              <w:rPr>
                <w:noProof/>
              </w:rPr>
              <w:t xml:space="preserve">nja radi bolje dobrobiti </w:t>
            </w:r>
          </w:p>
        </w:tc>
        <w:tc>
          <w:tcPr>
            <w:tcW w:w="1230" w:type="dxa"/>
            <w:tcBorders>
              <w:top w:val="nil"/>
              <w:left w:val="nil"/>
              <w:bottom w:val="single" w:sz="4" w:space="0" w:color="auto"/>
              <w:right w:val="single" w:sz="4" w:space="0" w:color="auto"/>
            </w:tcBorders>
            <w:shd w:val="clear" w:color="auto" w:fill="C6EFCE"/>
            <w:noWrap/>
          </w:tcPr>
          <w:p w14:paraId="1841F6D0"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5A650F8" w14:textId="77777777" w:rsidR="003F46B9" w:rsidRDefault="0065662E">
            <w:pPr>
              <w:pStyle w:val="P68B1DB1-Normal35"/>
              <w:spacing w:after="0"/>
              <w:jc w:val="both"/>
              <w:rPr>
                <w:noProof/>
              </w:rPr>
            </w:pPr>
            <w:r>
              <w:rPr>
                <w:noProof/>
              </w:rPr>
              <w:t xml:space="preserve">Smanjeni postotak prenapučenosti stambenih prostora </w:t>
            </w:r>
          </w:p>
        </w:tc>
      </w:tr>
      <w:tr w:rsidR="003F46B9" w14:paraId="6923EF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20AE2A5" w14:textId="77777777" w:rsidR="003F46B9" w:rsidRDefault="0065662E">
            <w:pPr>
              <w:pStyle w:val="P68B1DB1-Normal35"/>
              <w:spacing w:after="0"/>
              <w:jc w:val="center"/>
              <w:rPr>
                <w:noProof/>
              </w:rPr>
            </w:pPr>
            <w:r>
              <w:rPr>
                <w:noProof/>
              </w:rPr>
              <w:t>314</w:t>
            </w:r>
          </w:p>
        </w:tc>
        <w:tc>
          <w:tcPr>
            <w:tcW w:w="3544" w:type="dxa"/>
            <w:tcBorders>
              <w:top w:val="nil"/>
              <w:left w:val="nil"/>
              <w:bottom w:val="single" w:sz="4" w:space="0" w:color="auto"/>
              <w:right w:val="single" w:sz="4" w:space="0" w:color="auto"/>
            </w:tcBorders>
            <w:shd w:val="clear" w:color="auto" w:fill="C6EFCE"/>
            <w:noWrap/>
          </w:tcPr>
          <w:p w14:paraId="76A592BA" w14:textId="77777777" w:rsidR="003F46B9" w:rsidRDefault="0065662E">
            <w:pPr>
              <w:pStyle w:val="P68B1DB1-Normal35"/>
              <w:spacing w:after="0"/>
              <w:jc w:val="both"/>
              <w:rPr>
                <w:noProof/>
              </w:rPr>
            </w:pPr>
            <w:r>
              <w:rPr>
                <w:noProof/>
              </w:rPr>
              <w:t>C10.R3</w:t>
            </w:r>
          </w:p>
          <w:p w14:paraId="48FAF204" w14:textId="77777777" w:rsidR="003F46B9" w:rsidRDefault="0065662E">
            <w:pPr>
              <w:pStyle w:val="P68B1DB1-Normal35"/>
              <w:spacing w:after="0"/>
              <w:jc w:val="both"/>
              <w:rPr>
                <w:noProof/>
              </w:rPr>
            </w:pPr>
            <w:r>
              <w:rPr>
                <w:noProof/>
              </w:rPr>
              <w:t xml:space="preserve">Poboljšanje kvalitete stanovanja radi bolje dobrobiti </w:t>
            </w:r>
          </w:p>
        </w:tc>
        <w:tc>
          <w:tcPr>
            <w:tcW w:w="1230" w:type="dxa"/>
            <w:tcBorders>
              <w:top w:val="nil"/>
              <w:left w:val="nil"/>
              <w:bottom w:val="single" w:sz="4" w:space="0" w:color="auto"/>
              <w:right w:val="single" w:sz="4" w:space="0" w:color="auto"/>
            </w:tcBorders>
            <w:shd w:val="clear" w:color="auto" w:fill="C6EFCE"/>
            <w:noWrap/>
          </w:tcPr>
          <w:p w14:paraId="5E236B61"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FDB3F9C" w14:textId="77777777" w:rsidR="003F46B9" w:rsidRDefault="0065662E">
            <w:pPr>
              <w:pStyle w:val="P68B1DB1-Normal35"/>
              <w:spacing w:after="0"/>
              <w:jc w:val="both"/>
              <w:rPr>
                <w:noProof/>
              </w:rPr>
            </w:pPr>
            <w:r>
              <w:rPr>
                <w:noProof/>
              </w:rPr>
              <w:t xml:space="preserve">Smanjeni postotak stanovništva koje živi u neformalnim naseljima </w:t>
            </w:r>
          </w:p>
        </w:tc>
      </w:tr>
      <w:tr w:rsidR="003F46B9" w14:paraId="614B7A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29C8C30" w14:textId="77777777" w:rsidR="003F46B9" w:rsidRDefault="0065662E">
            <w:pPr>
              <w:pStyle w:val="P68B1DB1-Normal35"/>
              <w:spacing w:after="0"/>
              <w:jc w:val="center"/>
              <w:rPr>
                <w:noProof/>
              </w:rPr>
            </w:pPr>
            <w:r>
              <w:rPr>
                <w:noProof/>
              </w:rPr>
              <w:t>318</w:t>
            </w:r>
          </w:p>
        </w:tc>
        <w:tc>
          <w:tcPr>
            <w:tcW w:w="3544" w:type="dxa"/>
            <w:tcBorders>
              <w:top w:val="nil"/>
              <w:left w:val="nil"/>
              <w:bottom w:val="single" w:sz="4" w:space="0" w:color="auto"/>
              <w:right w:val="single" w:sz="4" w:space="0" w:color="auto"/>
            </w:tcBorders>
            <w:shd w:val="clear" w:color="auto" w:fill="C6EFCE"/>
            <w:noWrap/>
          </w:tcPr>
          <w:p w14:paraId="6ABACF4C" w14:textId="77777777" w:rsidR="003F46B9" w:rsidRDefault="0065662E">
            <w:pPr>
              <w:pStyle w:val="P68B1DB1-Normal35"/>
              <w:spacing w:after="0"/>
              <w:jc w:val="both"/>
              <w:rPr>
                <w:noProof/>
              </w:rPr>
            </w:pPr>
            <w:r>
              <w:rPr>
                <w:noProof/>
              </w:rPr>
              <w:t>C10.I1</w:t>
            </w:r>
          </w:p>
          <w:p w14:paraId="1BAF89DA" w14:textId="77777777" w:rsidR="003F46B9" w:rsidRDefault="0065662E">
            <w:pPr>
              <w:pStyle w:val="P68B1DB1-Normal35"/>
              <w:spacing w:after="0"/>
              <w:jc w:val="both"/>
              <w:rPr>
                <w:noProof/>
              </w:rPr>
            </w:pPr>
            <w:r>
              <w:rPr>
                <w:noProof/>
              </w:rPr>
              <w:t xml:space="preserve">Izgradnja smještajnih jedinica za mlade i odgojno-obrazovne djelatnike </w:t>
            </w:r>
          </w:p>
        </w:tc>
        <w:tc>
          <w:tcPr>
            <w:tcW w:w="1230" w:type="dxa"/>
            <w:tcBorders>
              <w:top w:val="nil"/>
              <w:left w:val="nil"/>
              <w:bottom w:val="single" w:sz="4" w:space="0" w:color="auto"/>
              <w:right w:val="single" w:sz="4" w:space="0" w:color="auto"/>
            </w:tcBorders>
            <w:shd w:val="clear" w:color="auto" w:fill="C6EFCE"/>
            <w:noWrap/>
          </w:tcPr>
          <w:p w14:paraId="3848319C"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4A3F71A" w14:textId="77777777" w:rsidR="003F46B9" w:rsidRDefault="0065662E">
            <w:pPr>
              <w:pStyle w:val="P68B1DB1-Normal35"/>
              <w:spacing w:after="0"/>
              <w:jc w:val="both"/>
              <w:rPr>
                <w:noProof/>
              </w:rPr>
            </w:pPr>
            <w:r>
              <w:rPr>
                <w:noProof/>
              </w:rPr>
              <w:t xml:space="preserve">Stambene jedinice izgrađene za mlade koji dolaze iz ranjivih zajednica/skupina </w:t>
            </w:r>
          </w:p>
        </w:tc>
      </w:tr>
      <w:tr w:rsidR="003F46B9" w14:paraId="1FD029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7AA93AD" w14:textId="77777777" w:rsidR="003F46B9" w:rsidRDefault="0065662E">
            <w:pPr>
              <w:pStyle w:val="P68B1DB1-Normal35"/>
              <w:spacing w:after="0"/>
              <w:jc w:val="center"/>
              <w:rPr>
                <w:noProof/>
              </w:rPr>
            </w:pPr>
            <w:r>
              <w:rPr>
                <w:noProof/>
              </w:rPr>
              <w:t>319</w:t>
            </w:r>
          </w:p>
        </w:tc>
        <w:tc>
          <w:tcPr>
            <w:tcW w:w="3544" w:type="dxa"/>
            <w:tcBorders>
              <w:top w:val="nil"/>
              <w:left w:val="nil"/>
              <w:bottom w:val="single" w:sz="4" w:space="0" w:color="auto"/>
              <w:right w:val="single" w:sz="4" w:space="0" w:color="auto"/>
            </w:tcBorders>
            <w:shd w:val="clear" w:color="auto" w:fill="C6EFCE"/>
            <w:noWrap/>
          </w:tcPr>
          <w:p w14:paraId="55F01CC0" w14:textId="77777777" w:rsidR="003F46B9" w:rsidRDefault="0065662E">
            <w:pPr>
              <w:pStyle w:val="P68B1DB1-Normal35"/>
              <w:spacing w:after="0"/>
              <w:jc w:val="both"/>
              <w:rPr>
                <w:noProof/>
              </w:rPr>
            </w:pPr>
            <w:r>
              <w:rPr>
                <w:noProof/>
              </w:rPr>
              <w:t>C10.I1</w:t>
            </w:r>
          </w:p>
          <w:p w14:paraId="778BE7D5" w14:textId="77777777" w:rsidR="003F46B9" w:rsidRDefault="0065662E">
            <w:pPr>
              <w:pStyle w:val="P68B1DB1-Normal35"/>
              <w:spacing w:after="0"/>
              <w:jc w:val="both"/>
              <w:rPr>
                <w:noProof/>
              </w:rPr>
            </w:pPr>
            <w:r>
              <w:rPr>
                <w:noProof/>
              </w:rPr>
              <w:t xml:space="preserve">Izgradnja smještajnih jedinica za mlade i odgojno-obrazovne djelatnike </w:t>
            </w:r>
          </w:p>
        </w:tc>
        <w:tc>
          <w:tcPr>
            <w:tcW w:w="1230" w:type="dxa"/>
            <w:tcBorders>
              <w:top w:val="nil"/>
              <w:left w:val="nil"/>
              <w:bottom w:val="single" w:sz="4" w:space="0" w:color="auto"/>
              <w:right w:val="single" w:sz="4" w:space="0" w:color="auto"/>
            </w:tcBorders>
            <w:shd w:val="clear" w:color="auto" w:fill="C6EFCE"/>
            <w:noWrap/>
          </w:tcPr>
          <w:p w14:paraId="4D49E0C5"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2640D24A" w14:textId="77777777" w:rsidR="003F46B9" w:rsidRDefault="0065662E">
            <w:pPr>
              <w:pStyle w:val="P68B1DB1-Normal35"/>
              <w:spacing w:after="0"/>
              <w:jc w:val="both"/>
              <w:rPr>
                <w:noProof/>
              </w:rPr>
            </w:pPr>
            <w:r>
              <w:rPr>
                <w:noProof/>
              </w:rPr>
              <w:t xml:space="preserve">Stambene jedinice izgrađene za stručnjake u području zdravstva i obrazovanja </w:t>
            </w:r>
          </w:p>
        </w:tc>
      </w:tr>
      <w:tr w:rsidR="003F46B9" w14:paraId="37BF31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FE2D9FB" w14:textId="77777777" w:rsidR="003F46B9" w:rsidRDefault="0065662E">
            <w:pPr>
              <w:pStyle w:val="P68B1DB1-Normal35"/>
              <w:spacing w:after="0"/>
              <w:jc w:val="center"/>
              <w:rPr>
                <w:noProof/>
              </w:rPr>
            </w:pPr>
            <w:r>
              <w:rPr>
                <w:noProof/>
              </w:rPr>
              <w:t>322</w:t>
            </w:r>
          </w:p>
        </w:tc>
        <w:tc>
          <w:tcPr>
            <w:tcW w:w="3544" w:type="dxa"/>
            <w:tcBorders>
              <w:top w:val="nil"/>
              <w:left w:val="nil"/>
              <w:bottom w:val="single" w:sz="4" w:space="0" w:color="auto"/>
              <w:right w:val="single" w:sz="4" w:space="0" w:color="auto"/>
            </w:tcBorders>
            <w:shd w:val="clear" w:color="auto" w:fill="C6EFCE"/>
            <w:noWrap/>
          </w:tcPr>
          <w:p w14:paraId="0CD12BBB" w14:textId="77777777" w:rsidR="003F46B9" w:rsidRDefault="0065662E">
            <w:pPr>
              <w:pStyle w:val="P68B1DB1-Normal35"/>
              <w:spacing w:after="0"/>
              <w:jc w:val="both"/>
              <w:rPr>
                <w:noProof/>
              </w:rPr>
            </w:pPr>
            <w:r>
              <w:rPr>
                <w:noProof/>
              </w:rPr>
              <w:t>C10.I3</w:t>
            </w:r>
          </w:p>
          <w:p w14:paraId="4F876B97" w14:textId="77777777" w:rsidR="003F46B9" w:rsidRDefault="0065662E">
            <w:pPr>
              <w:pStyle w:val="P68B1DB1-Normal35"/>
              <w:spacing w:after="0"/>
              <w:jc w:val="both"/>
              <w:rPr>
                <w:noProof/>
              </w:rPr>
            </w:pPr>
            <w:r>
              <w:rPr>
                <w:noProof/>
              </w:rPr>
              <w:t xml:space="preserve">Umjerena obnova javnih zgrada kako bi se poboljšalo pružanje javnih usluga upravnih teritorijalnih jedinica </w:t>
            </w:r>
          </w:p>
        </w:tc>
        <w:tc>
          <w:tcPr>
            <w:tcW w:w="1230" w:type="dxa"/>
            <w:tcBorders>
              <w:top w:val="nil"/>
              <w:left w:val="nil"/>
              <w:bottom w:val="single" w:sz="4" w:space="0" w:color="auto"/>
              <w:right w:val="single" w:sz="4" w:space="0" w:color="auto"/>
            </w:tcBorders>
            <w:shd w:val="clear" w:color="auto" w:fill="C6EFCE"/>
            <w:noWrap/>
          </w:tcPr>
          <w:p w14:paraId="193764B6"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D1F6052" w14:textId="77777777" w:rsidR="003F46B9" w:rsidRDefault="0065662E">
            <w:pPr>
              <w:pStyle w:val="P68B1DB1-Normal35"/>
              <w:spacing w:after="0"/>
              <w:jc w:val="both"/>
              <w:rPr>
                <w:noProof/>
              </w:rPr>
            </w:pPr>
            <w:r>
              <w:rPr>
                <w:noProof/>
              </w:rPr>
              <w:t>Površina obnovljenih javnih zgrada u kvadratnim metrima</w:t>
            </w:r>
            <w:r>
              <w:rPr>
                <w:noProof/>
              </w:rPr>
              <w:t xml:space="preserve"> </w:t>
            </w:r>
          </w:p>
        </w:tc>
      </w:tr>
      <w:tr w:rsidR="003F46B9" w14:paraId="37C25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CDD19E2" w14:textId="77777777" w:rsidR="003F46B9" w:rsidRDefault="0065662E">
            <w:pPr>
              <w:pStyle w:val="P68B1DB1-Normal35"/>
              <w:spacing w:after="0"/>
              <w:jc w:val="center"/>
              <w:rPr>
                <w:noProof/>
              </w:rPr>
            </w:pPr>
            <w:r>
              <w:rPr>
                <w:noProof/>
              </w:rPr>
              <w:t>325</w:t>
            </w:r>
          </w:p>
        </w:tc>
        <w:tc>
          <w:tcPr>
            <w:tcW w:w="3544" w:type="dxa"/>
            <w:tcBorders>
              <w:top w:val="nil"/>
              <w:left w:val="nil"/>
              <w:bottom w:val="single" w:sz="4" w:space="0" w:color="auto"/>
              <w:right w:val="single" w:sz="4" w:space="0" w:color="auto"/>
            </w:tcBorders>
            <w:shd w:val="clear" w:color="auto" w:fill="C6EFCE"/>
            <w:noWrap/>
          </w:tcPr>
          <w:p w14:paraId="0936D244" w14:textId="77777777" w:rsidR="003F46B9" w:rsidRDefault="0065662E">
            <w:pPr>
              <w:pStyle w:val="P68B1DB1-Normal35"/>
              <w:spacing w:after="0"/>
              <w:jc w:val="both"/>
              <w:rPr>
                <w:noProof/>
              </w:rPr>
            </w:pPr>
            <w:r>
              <w:rPr>
                <w:noProof/>
              </w:rPr>
              <w:t>C10.I4</w:t>
            </w:r>
          </w:p>
          <w:p w14:paraId="172D220B" w14:textId="77777777" w:rsidR="003F46B9" w:rsidRDefault="0065662E">
            <w:pPr>
              <w:pStyle w:val="P68B1DB1-Normal35"/>
              <w:spacing w:after="0"/>
              <w:jc w:val="both"/>
              <w:rPr>
                <w:noProof/>
              </w:rPr>
            </w:pPr>
            <w:r>
              <w:rPr>
                <w:noProof/>
              </w:rPr>
              <w:t xml:space="preserve">Razvoj/ažuriranje dokumenata prostornog planiranja i urbanističkog planiranja u GIS formatu </w:t>
            </w:r>
          </w:p>
        </w:tc>
        <w:tc>
          <w:tcPr>
            <w:tcW w:w="1230" w:type="dxa"/>
            <w:tcBorders>
              <w:top w:val="nil"/>
              <w:left w:val="nil"/>
              <w:bottom w:val="single" w:sz="4" w:space="0" w:color="auto"/>
              <w:right w:val="single" w:sz="4" w:space="0" w:color="auto"/>
            </w:tcBorders>
            <w:shd w:val="clear" w:color="auto" w:fill="C6EFCE"/>
            <w:noWrap/>
          </w:tcPr>
          <w:p w14:paraId="397FC156"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7528C2B3" w14:textId="77777777" w:rsidR="003F46B9" w:rsidRDefault="0065662E">
            <w:pPr>
              <w:pStyle w:val="P68B1DB1-Normal35"/>
              <w:spacing w:after="0"/>
              <w:jc w:val="both"/>
              <w:rPr>
                <w:noProof/>
              </w:rPr>
            </w:pPr>
            <w:r>
              <w:rPr>
                <w:noProof/>
              </w:rPr>
              <w:t>Prostorno planiranje, urbanističko planiranje i planovi održive gradske mobilnosti dovršeni su i preuzeti na platformi Teritorijalnog opservatorija</w:t>
            </w:r>
          </w:p>
        </w:tc>
      </w:tr>
      <w:tr w:rsidR="003F46B9" w14:paraId="0EC851F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4C33AA0" w14:textId="77777777" w:rsidR="003F46B9" w:rsidRDefault="0065662E">
            <w:pPr>
              <w:pStyle w:val="P68B1DB1-Normal35"/>
              <w:spacing w:after="0"/>
              <w:jc w:val="center"/>
              <w:rPr>
                <w:noProof/>
              </w:rPr>
            </w:pPr>
            <w:r>
              <w:rPr>
                <w:noProof/>
              </w:rPr>
              <w:t>335</w:t>
            </w:r>
          </w:p>
        </w:tc>
        <w:tc>
          <w:tcPr>
            <w:tcW w:w="3544" w:type="dxa"/>
            <w:tcBorders>
              <w:top w:val="nil"/>
              <w:left w:val="nil"/>
              <w:bottom w:val="single" w:sz="4" w:space="0" w:color="auto"/>
              <w:right w:val="single" w:sz="4" w:space="0" w:color="auto"/>
            </w:tcBorders>
            <w:shd w:val="clear" w:color="auto" w:fill="C6EFCE"/>
            <w:noWrap/>
          </w:tcPr>
          <w:p w14:paraId="40ACE67D" w14:textId="77777777" w:rsidR="003F46B9" w:rsidRDefault="0065662E">
            <w:pPr>
              <w:pStyle w:val="P68B1DB1-Normal35"/>
              <w:spacing w:after="0"/>
              <w:jc w:val="both"/>
              <w:rPr>
                <w:noProof/>
              </w:rPr>
            </w:pPr>
            <w:r>
              <w:rPr>
                <w:noProof/>
              </w:rPr>
              <w:t>C11.I1</w:t>
            </w:r>
          </w:p>
          <w:p w14:paraId="4413257F" w14:textId="45298773" w:rsidR="003F46B9" w:rsidRDefault="0065662E">
            <w:pPr>
              <w:pStyle w:val="P68B1DB1-Normal35"/>
              <w:spacing w:after="0"/>
              <w:jc w:val="both"/>
              <w:rPr>
                <w:noProof/>
              </w:rPr>
            </w:pPr>
            <w:r>
              <w:rPr>
                <w:noProof/>
              </w:rPr>
              <w:t xml:space="preserve">Promicanje 12 turističkih/kulturnih ruta </w:t>
            </w:r>
          </w:p>
        </w:tc>
        <w:tc>
          <w:tcPr>
            <w:tcW w:w="1230" w:type="dxa"/>
            <w:tcBorders>
              <w:top w:val="nil"/>
              <w:left w:val="nil"/>
              <w:bottom w:val="single" w:sz="4" w:space="0" w:color="auto"/>
              <w:right w:val="single" w:sz="4" w:space="0" w:color="auto"/>
            </w:tcBorders>
            <w:shd w:val="clear" w:color="auto" w:fill="C6EFCE"/>
            <w:noWrap/>
          </w:tcPr>
          <w:p w14:paraId="2D925C0B"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62E1E2D8" w14:textId="77777777" w:rsidR="003F46B9" w:rsidRDefault="0065662E">
            <w:pPr>
              <w:pStyle w:val="P68B1DB1-Normal35"/>
              <w:spacing w:after="0"/>
              <w:jc w:val="both"/>
              <w:rPr>
                <w:noProof/>
              </w:rPr>
            </w:pPr>
            <w:r>
              <w:rPr>
                <w:noProof/>
              </w:rPr>
              <w:t>Otvorene novoobnovljene lokacije</w:t>
            </w:r>
          </w:p>
        </w:tc>
      </w:tr>
      <w:tr w:rsidR="003F46B9" w14:paraId="3FF4DD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35FC1305" w14:textId="77777777" w:rsidR="003F46B9" w:rsidRDefault="0065662E">
            <w:pPr>
              <w:pStyle w:val="P68B1DB1-Normal35"/>
              <w:spacing w:after="0"/>
              <w:jc w:val="center"/>
              <w:rPr>
                <w:noProof/>
              </w:rPr>
            </w:pPr>
            <w:r>
              <w:rPr>
                <w:noProof/>
              </w:rPr>
              <w:t>337</w:t>
            </w:r>
          </w:p>
        </w:tc>
        <w:tc>
          <w:tcPr>
            <w:tcW w:w="3544" w:type="dxa"/>
            <w:tcBorders>
              <w:top w:val="nil"/>
              <w:left w:val="nil"/>
              <w:bottom w:val="single" w:sz="4" w:space="0" w:color="auto"/>
              <w:right w:val="single" w:sz="4" w:space="0" w:color="auto"/>
            </w:tcBorders>
            <w:shd w:val="clear" w:color="auto" w:fill="C6EFCE"/>
            <w:noWrap/>
          </w:tcPr>
          <w:p w14:paraId="22726E73" w14:textId="77777777" w:rsidR="003F46B9" w:rsidRDefault="0065662E">
            <w:pPr>
              <w:pStyle w:val="P68B1DB1-Normal35"/>
              <w:spacing w:after="0"/>
              <w:jc w:val="both"/>
              <w:rPr>
                <w:noProof/>
              </w:rPr>
            </w:pPr>
            <w:r>
              <w:rPr>
                <w:noProof/>
              </w:rPr>
              <w:t xml:space="preserve">C11.I2. Modernizacija/stvaranje muzeja i spomenika </w:t>
            </w:r>
          </w:p>
        </w:tc>
        <w:tc>
          <w:tcPr>
            <w:tcW w:w="1230" w:type="dxa"/>
            <w:tcBorders>
              <w:top w:val="nil"/>
              <w:left w:val="nil"/>
              <w:bottom w:val="single" w:sz="4" w:space="0" w:color="auto"/>
              <w:right w:val="single" w:sz="4" w:space="0" w:color="auto"/>
            </w:tcBorders>
            <w:shd w:val="clear" w:color="auto" w:fill="C6EFCE"/>
            <w:noWrap/>
          </w:tcPr>
          <w:p w14:paraId="1B03FE22"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339155A" w14:textId="77777777" w:rsidR="003F46B9" w:rsidRDefault="0065662E">
            <w:pPr>
              <w:pStyle w:val="P68B1DB1-Normal35"/>
              <w:spacing w:after="0"/>
              <w:jc w:val="both"/>
              <w:rPr>
                <w:noProof/>
              </w:rPr>
            </w:pPr>
            <w:r>
              <w:rPr>
                <w:noProof/>
              </w:rPr>
              <w:t>Otvoreni su novoizgrađeni i obnovljeni muzeji</w:t>
            </w:r>
          </w:p>
        </w:tc>
      </w:tr>
      <w:tr w:rsidR="003F46B9" w14:paraId="1B597B7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E68131" w14:textId="77777777" w:rsidR="003F46B9" w:rsidRDefault="0065662E">
            <w:pPr>
              <w:pStyle w:val="P68B1DB1-Normal35"/>
              <w:spacing w:after="0"/>
              <w:jc w:val="center"/>
              <w:rPr>
                <w:noProof/>
              </w:rPr>
            </w:pPr>
            <w:r>
              <w:rPr>
                <w:noProof/>
              </w:rPr>
              <w:t>343</w:t>
            </w:r>
          </w:p>
        </w:tc>
        <w:tc>
          <w:tcPr>
            <w:tcW w:w="3544" w:type="dxa"/>
            <w:tcBorders>
              <w:top w:val="nil"/>
              <w:left w:val="nil"/>
              <w:bottom w:val="single" w:sz="4" w:space="0" w:color="auto"/>
              <w:right w:val="single" w:sz="4" w:space="0" w:color="auto"/>
            </w:tcBorders>
            <w:shd w:val="clear" w:color="auto" w:fill="C6EFCE"/>
            <w:noWrap/>
          </w:tcPr>
          <w:p w14:paraId="38F70546" w14:textId="77777777" w:rsidR="003F46B9" w:rsidRDefault="0065662E">
            <w:pPr>
              <w:pStyle w:val="P68B1DB1-Normal35"/>
              <w:spacing w:after="0"/>
              <w:jc w:val="both"/>
              <w:rPr>
                <w:noProof/>
              </w:rPr>
            </w:pPr>
            <w:r>
              <w:rPr>
                <w:noProof/>
              </w:rPr>
              <w:t>C11.I4</w:t>
            </w:r>
            <w:r>
              <w:rPr>
                <w:noProof/>
              </w:rPr>
              <w:br/>
              <w:t>Provedba 3 000 km biciklističkih staza</w:t>
            </w:r>
          </w:p>
        </w:tc>
        <w:tc>
          <w:tcPr>
            <w:tcW w:w="1230" w:type="dxa"/>
            <w:tcBorders>
              <w:top w:val="nil"/>
              <w:left w:val="nil"/>
              <w:bottom w:val="single" w:sz="4" w:space="0" w:color="auto"/>
              <w:right w:val="single" w:sz="4" w:space="0" w:color="auto"/>
            </w:tcBorders>
            <w:shd w:val="clear" w:color="auto" w:fill="C6EFCE"/>
            <w:noWrap/>
          </w:tcPr>
          <w:p w14:paraId="77922B6A"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D986B4F" w14:textId="77777777" w:rsidR="003F46B9" w:rsidRDefault="0065662E">
            <w:pPr>
              <w:pStyle w:val="P68B1DB1-Normal35"/>
              <w:spacing w:after="0"/>
              <w:jc w:val="both"/>
              <w:rPr>
                <w:noProof/>
              </w:rPr>
            </w:pPr>
            <w:r>
              <w:rPr>
                <w:noProof/>
              </w:rPr>
              <w:t>Kilometri m biciklističkih staza izgrađenih i dostupnih za biciklizam</w:t>
            </w:r>
          </w:p>
        </w:tc>
      </w:tr>
      <w:tr w:rsidR="003F46B9" w14:paraId="4D2B03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52E21577" w14:textId="77777777" w:rsidR="003F46B9" w:rsidRDefault="0065662E">
            <w:pPr>
              <w:pStyle w:val="P68B1DB1-Normal35"/>
              <w:spacing w:after="0"/>
              <w:jc w:val="center"/>
              <w:rPr>
                <w:noProof/>
              </w:rPr>
            </w:pPr>
            <w:r>
              <w:rPr>
                <w:noProof/>
              </w:rPr>
              <w:t>400</w:t>
            </w:r>
          </w:p>
        </w:tc>
        <w:tc>
          <w:tcPr>
            <w:tcW w:w="3544" w:type="dxa"/>
            <w:tcBorders>
              <w:top w:val="nil"/>
              <w:left w:val="nil"/>
              <w:bottom w:val="single" w:sz="4" w:space="0" w:color="auto"/>
              <w:right w:val="single" w:sz="4" w:space="0" w:color="auto"/>
            </w:tcBorders>
            <w:shd w:val="clear" w:color="auto" w:fill="C6EFCE"/>
            <w:noWrap/>
          </w:tcPr>
          <w:p w14:paraId="465E4787" w14:textId="77777777" w:rsidR="003F46B9" w:rsidRDefault="0065662E">
            <w:pPr>
              <w:pStyle w:val="P68B1DB1-Normal35"/>
              <w:spacing w:after="0"/>
              <w:jc w:val="both"/>
              <w:rPr>
                <w:noProof/>
              </w:rPr>
            </w:pPr>
            <w:r>
              <w:rPr>
                <w:noProof/>
              </w:rPr>
              <w:t xml:space="preserve">C13.I4 </w:t>
            </w:r>
          </w:p>
          <w:p w14:paraId="29EAE2F5" w14:textId="77777777" w:rsidR="003F46B9" w:rsidRDefault="0065662E">
            <w:pPr>
              <w:pStyle w:val="P68B1DB1-Normal35"/>
              <w:spacing w:after="0"/>
              <w:jc w:val="both"/>
              <w:rPr>
                <w:noProof/>
              </w:rPr>
            </w:pPr>
            <w:r>
              <w:rPr>
                <w:noProof/>
              </w:rPr>
              <w:t xml:space="preserve">Stvaranje mreže centara za dnevnu skrb i rehabilitaciju za starije osobe (bez rezidencijalnih sastavnica) </w:t>
            </w:r>
          </w:p>
        </w:tc>
        <w:tc>
          <w:tcPr>
            <w:tcW w:w="1230" w:type="dxa"/>
            <w:tcBorders>
              <w:top w:val="nil"/>
              <w:left w:val="nil"/>
              <w:bottom w:val="single" w:sz="4" w:space="0" w:color="auto"/>
              <w:right w:val="single" w:sz="4" w:space="0" w:color="auto"/>
            </w:tcBorders>
            <w:shd w:val="clear" w:color="auto" w:fill="C6EFCE"/>
            <w:noWrap/>
          </w:tcPr>
          <w:p w14:paraId="33118D79"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36D24D6" w14:textId="77777777" w:rsidR="003F46B9" w:rsidRDefault="0065662E">
            <w:pPr>
              <w:pStyle w:val="P68B1DB1-Normal35"/>
              <w:spacing w:after="0"/>
              <w:jc w:val="both"/>
              <w:rPr>
                <w:noProof/>
              </w:rPr>
            </w:pPr>
            <w:r>
              <w:rPr>
                <w:noProof/>
              </w:rPr>
              <w:t xml:space="preserve">Operacionalizacija dnevnih i rehabilitacijskih centara za </w:t>
            </w:r>
            <w:r>
              <w:rPr>
                <w:noProof/>
              </w:rPr>
              <w:t>starije osobe</w:t>
            </w:r>
          </w:p>
        </w:tc>
      </w:tr>
      <w:tr w:rsidR="003F46B9" w14:paraId="332595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062B8257" w14:textId="77777777" w:rsidR="003F46B9" w:rsidRDefault="0065662E">
            <w:pPr>
              <w:pStyle w:val="P68B1DB1-Normal35"/>
              <w:spacing w:after="0"/>
              <w:jc w:val="center"/>
              <w:rPr>
                <w:noProof/>
              </w:rPr>
            </w:pPr>
            <w:r>
              <w:rPr>
                <w:noProof/>
              </w:rPr>
              <w:t>137</w:t>
            </w:r>
          </w:p>
        </w:tc>
        <w:tc>
          <w:tcPr>
            <w:tcW w:w="3544" w:type="dxa"/>
            <w:tcBorders>
              <w:top w:val="nil"/>
              <w:left w:val="nil"/>
              <w:bottom w:val="single" w:sz="4" w:space="0" w:color="auto"/>
              <w:right w:val="single" w:sz="4" w:space="0" w:color="auto"/>
            </w:tcBorders>
            <w:shd w:val="clear" w:color="auto" w:fill="C6EFCE"/>
            <w:noWrap/>
          </w:tcPr>
          <w:p w14:paraId="4E33E865" w14:textId="77777777" w:rsidR="003F46B9" w:rsidRDefault="0065662E">
            <w:pPr>
              <w:pStyle w:val="P68B1DB1-Normal35"/>
              <w:spacing w:after="0"/>
              <w:jc w:val="both"/>
              <w:rPr>
                <w:noProof/>
              </w:rPr>
            </w:pPr>
            <w:r>
              <w:rPr>
                <w:noProof/>
              </w:rPr>
              <w:t>C6.I4</w:t>
            </w:r>
          </w:p>
          <w:p w14:paraId="38674BA6" w14:textId="77777777" w:rsidR="003F46B9" w:rsidRDefault="0065662E">
            <w:pPr>
              <w:pStyle w:val="P68B1DB1-Normal35"/>
              <w:spacing w:after="0"/>
              <w:jc w:val="both"/>
              <w:rPr>
                <w:noProof/>
              </w:rPr>
            </w:pPr>
            <w:r>
              <w:rPr>
                <w:noProof/>
              </w:rPr>
              <w:t>Industrijski lanac proizvodnje i/ili sastavljanja i/ili recikliranja baterija, ćelija i fotonaponskih ploča (uključujući pomoćnu opremu), proizvodnja sirovina koje se upotrebljavaju u povezanoj industriji i novi kapaciteti za sklad</w:t>
            </w:r>
            <w:r>
              <w:rPr>
                <w:noProof/>
              </w:rPr>
              <w:t xml:space="preserve">ištenje električne energije </w:t>
            </w:r>
          </w:p>
        </w:tc>
        <w:tc>
          <w:tcPr>
            <w:tcW w:w="1230" w:type="dxa"/>
            <w:tcBorders>
              <w:top w:val="nil"/>
              <w:left w:val="nil"/>
              <w:bottom w:val="single" w:sz="4" w:space="0" w:color="auto"/>
              <w:right w:val="single" w:sz="4" w:space="0" w:color="auto"/>
            </w:tcBorders>
            <w:shd w:val="clear" w:color="auto" w:fill="C6EFCE"/>
            <w:noWrap/>
          </w:tcPr>
          <w:p w14:paraId="6DCDFACA"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121B0F45" w14:textId="77777777" w:rsidR="003F46B9" w:rsidRDefault="0065662E">
            <w:pPr>
              <w:pStyle w:val="P68B1DB1-Normal35"/>
              <w:spacing w:after="0"/>
              <w:jc w:val="both"/>
              <w:rPr>
                <w:noProof/>
              </w:rPr>
            </w:pPr>
            <w:r>
              <w:rPr>
                <w:noProof/>
              </w:rPr>
              <w:t>Postrojenja za proizvodnju i/ili sastavljanje i/ili recikliranje baterija</w:t>
            </w:r>
          </w:p>
        </w:tc>
      </w:tr>
      <w:tr w:rsidR="003F46B9" w14:paraId="77A46C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43E5E5C9" w14:textId="77777777" w:rsidR="003F46B9" w:rsidRDefault="0065662E">
            <w:pPr>
              <w:pStyle w:val="P68B1DB1-Normal35"/>
              <w:spacing w:after="0"/>
              <w:jc w:val="center"/>
              <w:rPr>
                <w:noProof/>
              </w:rPr>
            </w:pPr>
            <w:r>
              <w:rPr>
                <w:noProof/>
              </w:rPr>
              <w:t>138</w:t>
            </w:r>
          </w:p>
        </w:tc>
        <w:tc>
          <w:tcPr>
            <w:tcW w:w="3544" w:type="dxa"/>
            <w:tcBorders>
              <w:top w:val="nil"/>
              <w:left w:val="nil"/>
              <w:bottom w:val="single" w:sz="4" w:space="0" w:color="auto"/>
              <w:right w:val="single" w:sz="4" w:space="0" w:color="auto"/>
            </w:tcBorders>
            <w:shd w:val="clear" w:color="auto" w:fill="C6EFCE"/>
            <w:noWrap/>
          </w:tcPr>
          <w:p w14:paraId="65AD1B05" w14:textId="77777777" w:rsidR="003F46B9" w:rsidRDefault="0065662E">
            <w:pPr>
              <w:pStyle w:val="P68B1DB1-Normal35"/>
              <w:spacing w:after="0"/>
              <w:jc w:val="both"/>
              <w:rPr>
                <w:noProof/>
              </w:rPr>
            </w:pPr>
            <w:r>
              <w:rPr>
                <w:noProof/>
              </w:rPr>
              <w:t>C6.I4</w:t>
            </w:r>
          </w:p>
          <w:p w14:paraId="3CF28833" w14:textId="77777777" w:rsidR="003F46B9" w:rsidRDefault="0065662E">
            <w:pPr>
              <w:pStyle w:val="P68B1DB1-Normal35"/>
              <w:spacing w:after="0"/>
              <w:jc w:val="both"/>
              <w:rPr>
                <w:noProof/>
              </w:rPr>
            </w:pPr>
            <w:r>
              <w:rPr>
                <w:noProof/>
              </w:rPr>
              <w:t>Industrijski lanac proizvodnje i/ili sastavljanja i/ili recikliranja baterija, ćelija i fotonaponskih ploča (uključujući pomoćnu opremu), pr</w:t>
            </w:r>
            <w:r>
              <w:rPr>
                <w:noProof/>
              </w:rPr>
              <w:t xml:space="preserve">oizvodnja sirovina koje se upotrebljavaju u povezanoj industriji i novi kapaciteti za skladištenje električne energije </w:t>
            </w:r>
          </w:p>
        </w:tc>
        <w:tc>
          <w:tcPr>
            <w:tcW w:w="1230" w:type="dxa"/>
            <w:tcBorders>
              <w:top w:val="nil"/>
              <w:left w:val="nil"/>
              <w:bottom w:val="single" w:sz="4" w:space="0" w:color="auto"/>
              <w:right w:val="single" w:sz="4" w:space="0" w:color="auto"/>
            </w:tcBorders>
            <w:shd w:val="clear" w:color="auto" w:fill="C6EFCE"/>
            <w:noWrap/>
          </w:tcPr>
          <w:p w14:paraId="3F5FF042"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5E90E4BF" w14:textId="77777777" w:rsidR="003F46B9" w:rsidRDefault="0065662E">
            <w:pPr>
              <w:pStyle w:val="P68B1DB1-Normal35"/>
              <w:spacing w:after="0"/>
              <w:jc w:val="both"/>
              <w:rPr>
                <w:noProof/>
              </w:rPr>
            </w:pPr>
            <w:r>
              <w:rPr>
                <w:noProof/>
              </w:rPr>
              <w:t xml:space="preserve">Naručeni kapacitet fotonaponskih ćelija i ploča </w:t>
            </w:r>
          </w:p>
        </w:tc>
      </w:tr>
      <w:tr w:rsidR="003F46B9" w14:paraId="3F9AC30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79D98633" w14:textId="77777777" w:rsidR="003F46B9" w:rsidRDefault="0065662E">
            <w:pPr>
              <w:pStyle w:val="P68B1DB1-Normal35"/>
              <w:spacing w:after="0"/>
              <w:jc w:val="center"/>
              <w:rPr>
                <w:noProof/>
              </w:rPr>
            </w:pPr>
            <w:r>
              <w:rPr>
                <w:noProof/>
              </w:rPr>
              <w:t>139</w:t>
            </w:r>
          </w:p>
        </w:tc>
        <w:tc>
          <w:tcPr>
            <w:tcW w:w="3544" w:type="dxa"/>
            <w:tcBorders>
              <w:top w:val="nil"/>
              <w:left w:val="nil"/>
              <w:bottom w:val="single" w:sz="4" w:space="0" w:color="auto"/>
              <w:right w:val="single" w:sz="4" w:space="0" w:color="auto"/>
            </w:tcBorders>
            <w:shd w:val="clear" w:color="auto" w:fill="C6EFCE"/>
            <w:noWrap/>
          </w:tcPr>
          <w:p w14:paraId="28FE4026" w14:textId="77777777" w:rsidR="003F46B9" w:rsidRDefault="0065662E">
            <w:pPr>
              <w:pStyle w:val="P68B1DB1-Normal35"/>
              <w:spacing w:after="0"/>
              <w:jc w:val="both"/>
              <w:rPr>
                <w:noProof/>
              </w:rPr>
            </w:pPr>
            <w:r>
              <w:rPr>
                <w:noProof/>
              </w:rPr>
              <w:t>C6.I4</w:t>
            </w:r>
          </w:p>
          <w:p w14:paraId="3CEFC1C1" w14:textId="77777777" w:rsidR="003F46B9" w:rsidRDefault="0065662E">
            <w:pPr>
              <w:pStyle w:val="P68B1DB1-Normal35"/>
              <w:spacing w:after="0"/>
              <w:jc w:val="both"/>
              <w:rPr>
                <w:noProof/>
              </w:rPr>
            </w:pPr>
            <w:r>
              <w:rPr>
                <w:noProof/>
              </w:rPr>
              <w:t>Industrijski lanac proizvodnje i/ili sastavljanja i/ili recikliranja baterija, ćelija i fotonaponskih ploča (uključujući pomoćnu opremu), proizvodnja sirovina koje se upotrebljavaju u povezanoj industriji i novi kapaciteti za skladištenje električne energi</w:t>
            </w:r>
            <w:r>
              <w:rPr>
                <w:noProof/>
              </w:rPr>
              <w:t xml:space="preserve">je </w:t>
            </w:r>
          </w:p>
        </w:tc>
        <w:tc>
          <w:tcPr>
            <w:tcW w:w="1230" w:type="dxa"/>
            <w:tcBorders>
              <w:top w:val="nil"/>
              <w:left w:val="nil"/>
              <w:bottom w:val="single" w:sz="4" w:space="0" w:color="auto"/>
              <w:right w:val="single" w:sz="4" w:space="0" w:color="auto"/>
            </w:tcBorders>
            <w:shd w:val="clear" w:color="auto" w:fill="C6EFCE"/>
            <w:noWrap/>
          </w:tcPr>
          <w:p w14:paraId="54E8DBAF"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0440A8DC" w14:textId="77777777" w:rsidR="003F46B9" w:rsidRDefault="0065662E">
            <w:pPr>
              <w:pStyle w:val="P68B1DB1-Normal35"/>
              <w:spacing w:after="0"/>
              <w:jc w:val="both"/>
              <w:rPr>
                <w:noProof/>
              </w:rPr>
            </w:pPr>
            <w:r>
              <w:rPr>
                <w:noProof/>
              </w:rPr>
              <w:t>Instalirani kapacitet skladištenja električne energije</w:t>
            </w:r>
          </w:p>
        </w:tc>
      </w:tr>
      <w:tr w:rsidR="003F46B9" w14:paraId="0BA04D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2F39E6B3" w14:textId="77777777" w:rsidR="003F46B9" w:rsidRDefault="0065662E">
            <w:pPr>
              <w:pStyle w:val="P68B1DB1-Normal35"/>
              <w:spacing w:after="0"/>
              <w:jc w:val="center"/>
              <w:rPr>
                <w:noProof/>
              </w:rPr>
            </w:pPr>
            <w:r>
              <w:rPr>
                <w:noProof/>
              </w:rPr>
              <w:t>506</w:t>
            </w:r>
          </w:p>
        </w:tc>
        <w:tc>
          <w:tcPr>
            <w:tcW w:w="3544" w:type="dxa"/>
            <w:tcBorders>
              <w:top w:val="nil"/>
              <w:left w:val="nil"/>
              <w:bottom w:val="single" w:sz="4" w:space="0" w:color="auto"/>
              <w:right w:val="single" w:sz="4" w:space="0" w:color="auto"/>
            </w:tcBorders>
            <w:shd w:val="clear" w:color="auto" w:fill="C6EFCE"/>
            <w:noWrap/>
          </w:tcPr>
          <w:p w14:paraId="5B54291B" w14:textId="77777777" w:rsidR="003F46B9" w:rsidRDefault="0065662E">
            <w:pPr>
              <w:pStyle w:val="P68B1DB1-Normal35"/>
              <w:spacing w:after="0"/>
              <w:jc w:val="both"/>
              <w:rPr>
                <w:noProof/>
              </w:rPr>
            </w:pPr>
            <w:r>
              <w:rPr>
                <w:noProof/>
              </w:rPr>
              <w:t>C15.I17</w:t>
            </w:r>
          </w:p>
          <w:p w14:paraId="46B9E6F8" w14:textId="77777777" w:rsidR="003F46B9" w:rsidRDefault="0065662E">
            <w:pPr>
              <w:pStyle w:val="P68B1DB1-Normal35"/>
              <w:spacing w:after="0"/>
              <w:jc w:val="both"/>
              <w:rPr>
                <w:noProof/>
              </w:rPr>
            </w:pPr>
            <w:r>
              <w:rPr>
                <w:noProof/>
              </w:rPr>
              <w:t>Osiguravanje sveučilišne infrastrukture (home, kantine i rekreacijska postrojenja)</w:t>
            </w:r>
          </w:p>
        </w:tc>
        <w:tc>
          <w:tcPr>
            <w:tcW w:w="1230" w:type="dxa"/>
            <w:tcBorders>
              <w:top w:val="nil"/>
              <w:left w:val="nil"/>
              <w:bottom w:val="single" w:sz="4" w:space="0" w:color="auto"/>
              <w:right w:val="single" w:sz="4" w:space="0" w:color="auto"/>
            </w:tcBorders>
            <w:shd w:val="clear" w:color="auto" w:fill="C6EFCE"/>
            <w:noWrap/>
          </w:tcPr>
          <w:p w14:paraId="64DEA317"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4C2391E1" w14:textId="77777777" w:rsidR="003F46B9" w:rsidRDefault="0065662E">
            <w:pPr>
              <w:pStyle w:val="P68B1DB1-Normal35"/>
              <w:spacing w:after="0"/>
              <w:jc w:val="both"/>
              <w:rPr>
                <w:noProof/>
              </w:rPr>
            </w:pPr>
            <w:r>
              <w:rPr>
                <w:noProof/>
              </w:rPr>
              <w:t>Najmanje 40 % novih i moderniziranih objekata namijenjenih studentima u nepovoljnom položaju</w:t>
            </w:r>
          </w:p>
        </w:tc>
      </w:tr>
      <w:tr w:rsidR="003F46B9" w14:paraId="32C096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tcPr>
          <w:p w14:paraId="1FC98BB4" w14:textId="77777777" w:rsidR="003F46B9" w:rsidRDefault="0065662E">
            <w:pPr>
              <w:pStyle w:val="P68B1DB1-Normal35"/>
              <w:spacing w:after="0"/>
              <w:jc w:val="center"/>
              <w:rPr>
                <w:noProof/>
              </w:rPr>
            </w:pPr>
            <w:r>
              <w:rPr>
                <w:noProof/>
              </w:rPr>
              <w:t>529</w:t>
            </w:r>
          </w:p>
        </w:tc>
        <w:tc>
          <w:tcPr>
            <w:tcW w:w="3544" w:type="dxa"/>
            <w:tcBorders>
              <w:top w:val="nil"/>
              <w:left w:val="nil"/>
              <w:bottom w:val="single" w:sz="4" w:space="0" w:color="auto"/>
              <w:right w:val="single" w:sz="4" w:space="0" w:color="auto"/>
            </w:tcBorders>
            <w:shd w:val="clear" w:color="auto" w:fill="C6EFCE"/>
            <w:noWrap/>
          </w:tcPr>
          <w:p w14:paraId="12014352" w14:textId="77777777" w:rsidR="003F46B9" w:rsidRDefault="0065662E">
            <w:pPr>
              <w:pStyle w:val="P68B1DB1-Normal35"/>
              <w:spacing w:after="0"/>
              <w:jc w:val="both"/>
              <w:rPr>
                <w:noProof/>
              </w:rPr>
            </w:pPr>
            <w:r>
              <w:rPr>
                <w:noProof/>
              </w:rPr>
              <w:t>C16. I7 Ulaganja 7. Program dodjele kupona za poboljšanje energetske učinkovitosti u kućanstvima</w:t>
            </w:r>
          </w:p>
        </w:tc>
        <w:tc>
          <w:tcPr>
            <w:tcW w:w="1230" w:type="dxa"/>
            <w:tcBorders>
              <w:top w:val="nil"/>
              <w:left w:val="nil"/>
              <w:bottom w:val="single" w:sz="4" w:space="0" w:color="auto"/>
              <w:right w:val="single" w:sz="4" w:space="0" w:color="auto"/>
            </w:tcBorders>
            <w:shd w:val="clear" w:color="auto" w:fill="C6EFCE"/>
            <w:noWrap/>
          </w:tcPr>
          <w:p w14:paraId="55806CD7" w14:textId="77777777" w:rsidR="003F46B9" w:rsidRDefault="0065662E">
            <w:pPr>
              <w:pStyle w:val="P68B1DB1-Normal35"/>
              <w:spacing w:after="0"/>
              <w:jc w:val="center"/>
              <w:rPr>
                <w:noProof/>
              </w:rPr>
            </w:pPr>
            <w:r>
              <w:rPr>
                <w:noProof/>
              </w:rPr>
              <w:t>T</w:t>
            </w:r>
          </w:p>
        </w:tc>
        <w:tc>
          <w:tcPr>
            <w:tcW w:w="3447" w:type="dxa"/>
            <w:tcBorders>
              <w:top w:val="nil"/>
              <w:left w:val="nil"/>
              <w:bottom w:val="single" w:sz="4" w:space="0" w:color="auto"/>
              <w:right w:val="single" w:sz="4" w:space="0" w:color="auto"/>
            </w:tcBorders>
            <w:shd w:val="clear" w:color="auto" w:fill="C6EFCE"/>
            <w:noWrap/>
          </w:tcPr>
          <w:p w14:paraId="3ADC5BF5" w14:textId="77777777" w:rsidR="003F46B9" w:rsidRDefault="0065662E">
            <w:pPr>
              <w:pStyle w:val="P68B1DB1-Normal35"/>
              <w:spacing w:after="0"/>
              <w:jc w:val="both"/>
              <w:rPr>
                <w:noProof/>
              </w:rPr>
            </w:pPr>
            <w:r>
              <w:rPr>
                <w:noProof/>
              </w:rPr>
              <w:t>Dovršena energetska obnova jednoobiteljskih stambenih zgrada</w:t>
            </w:r>
          </w:p>
        </w:tc>
      </w:tr>
      <w:tr w:rsidR="003F46B9" w14:paraId="298DA1C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14:paraId="2156C370" w14:textId="77777777" w:rsidR="003F46B9" w:rsidRDefault="003F46B9">
            <w:pPr>
              <w:spacing w:after="0"/>
              <w:rPr>
                <w:rFonts w:ascii="Times New Roman" w:eastAsia="Times New Roman" w:hAnsi="Times New Roman" w:cs="Times New Roman"/>
                <w:noProof/>
              </w:rPr>
            </w:pPr>
          </w:p>
        </w:tc>
        <w:tc>
          <w:tcPr>
            <w:tcW w:w="3544" w:type="dxa"/>
            <w:tcBorders>
              <w:top w:val="single" w:sz="4" w:space="0" w:color="auto"/>
              <w:left w:val="nil"/>
              <w:bottom w:val="single" w:sz="4" w:space="0" w:color="auto"/>
              <w:right w:val="single" w:sz="4" w:space="0" w:color="auto"/>
            </w:tcBorders>
            <w:shd w:val="clear" w:color="auto" w:fill="C6EFCE"/>
            <w:noWrap/>
          </w:tcPr>
          <w:p w14:paraId="1894673F" w14:textId="77777777" w:rsidR="003F46B9" w:rsidRDefault="003F46B9">
            <w:pPr>
              <w:spacing w:after="0"/>
              <w:jc w:val="both"/>
              <w:rPr>
                <w:rFonts w:ascii="Times New Roman" w:eastAsia="Times New Roman" w:hAnsi="Times New Roman" w:cs="Times New Roman"/>
                <w:noProof/>
              </w:rPr>
            </w:pPr>
          </w:p>
        </w:tc>
        <w:tc>
          <w:tcPr>
            <w:tcW w:w="1230" w:type="dxa"/>
            <w:tcBorders>
              <w:top w:val="single" w:sz="4" w:space="0" w:color="auto"/>
              <w:left w:val="nil"/>
              <w:bottom w:val="single" w:sz="4" w:space="0" w:color="auto"/>
              <w:right w:val="single" w:sz="4" w:space="0" w:color="auto"/>
            </w:tcBorders>
            <w:shd w:val="clear" w:color="auto" w:fill="C6EFCE"/>
            <w:noWrap/>
          </w:tcPr>
          <w:p w14:paraId="1049A146" w14:textId="77777777" w:rsidR="003F46B9" w:rsidRDefault="0065662E">
            <w:pPr>
              <w:pStyle w:val="P68B1DB1-Normal36"/>
              <w:spacing w:after="0"/>
              <w:jc w:val="center"/>
              <w:rPr>
                <w:noProof/>
              </w:rPr>
            </w:pPr>
            <w:r>
              <w:rPr>
                <w:noProof/>
              </w:rPr>
              <w:t>Iznos obroka</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14:paraId="73BCB58C" w14:textId="5D1C26C1" w:rsidR="003F46B9" w:rsidRDefault="0065662E">
            <w:pPr>
              <w:pStyle w:val="P68B1DB1-Normal36"/>
              <w:spacing w:after="0"/>
              <w:jc w:val="right"/>
              <w:rPr>
                <w:noProof/>
              </w:rPr>
            </w:pPr>
            <w:r>
              <w:rPr>
                <w:noProof/>
              </w:rPr>
              <w:t>3824120173 EURA </w:t>
            </w:r>
          </w:p>
        </w:tc>
      </w:tr>
    </w:tbl>
    <w:p w14:paraId="398390E1" w14:textId="77777777" w:rsidR="003F46B9" w:rsidRDefault="003F46B9">
      <w:pPr>
        <w:pStyle w:val="Heading1"/>
        <w:rPr>
          <w:noProof/>
        </w:rPr>
        <w:sectPr w:rsidR="003F46B9">
          <w:headerReference w:type="even" r:id="rId373"/>
          <w:headerReference w:type="default" r:id="rId374"/>
          <w:footerReference w:type="even" r:id="rId375"/>
          <w:footerReference w:type="default" r:id="rId376"/>
          <w:headerReference w:type="first" r:id="rId377"/>
          <w:footerReference w:type="first" r:id="rId378"/>
          <w:pgSz w:w="11907" w:h="16839"/>
          <w:pgMar w:top="1134" w:right="1134" w:bottom="1134" w:left="1134" w:header="567" w:footer="567" w:gutter="0"/>
          <w:cols w:space="720"/>
          <w:docGrid w:linePitch="360"/>
        </w:sectPr>
      </w:pPr>
    </w:p>
    <w:p w14:paraId="0759D5D1" w14:textId="77777777" w:rsidR="003F46B9" w:rsidRDefault="0065662E">
      <w:pPr>
        <w:pStyle w:val="Heading1"/>
        <w:rPr>
          <w:noProof/>
        </w:rPr>
      </w:pPr>
      <w:r>
        <w:rPr>
          <w:noProof/>
        </w:rPr>
        <w:t xml:space="preserve">ODJELJAK 3.: DODATNI ARANŽMANI </w:t>
      </w:r>
    </w:p>
    <w:p w14:paraId="1C6C70BE" w14:textId="77777777" w:rsidR="003F46B9" w:rsidRDefault="0065662E">
      <w:pPr>
        <w:pStyle w:val="Heading2"/>
        <w:rPr>
          <w:b w:val="0"/>
          <w:noProof/>
        </w:rPr>
      </w:pPr>
      <w:r>
        <w:rPr>
          <w:noProof/>
        </w:rPr>
        <w:t>Aranžmani za praćenje i provedbu plana za oporavak i otpornost</w:t>
      </w:r>
    </w:p>
    <w:p w14:paraId="072DFD3F" w14:textId="77777777" w:rsidR="003F46B9" w:rsidRDefault="0065662E">
      <w:pPr>
        <w:pStyle w:val="P68B1DB1-Normal21"/>
        <w:spacing w:before="120" w:after="120" w:line="240" w:lineRule="auto"/>
        <w:ind w:left="970"/>
        <w:jc w:val="both"/>
        <w:rPr>
          <w:noProof/>
        </w:rPr>
      </w:pPr>
      <w:r>
        <w:rPr>
          <w:noProof/>
        </w:rPr>
        <w:t xml:space="preserve">Praćenje i provedba plana za oporavak i otpornost Rumunjske provode se u skladu sa sljedećim aranžmanima: </w:t>
      </w:r>
    </w:p>
    <w:p w14:paraId="0A5913A9" w14:textId="77777777" w:rsidR="003F46B9" w:rsidRDefault="0065662E">
      <w:pPr>
        <w:pStyle w:val="P68B1DB1-Normal21"/>
        <w:numPr>
          <w:ilvl w:val="0"/>
          <w:numId w:val="183"/>
        </w:numPr>
        <w:spacing w:before="120" w:after="120" w:line="240" w:lineRule="auto"/>
        <w:jc w:val="both"/>
        <w:rPr>
          <w:noProof/>
        </w:rPr>
      </w:pPr>
      <w:r>
        <w:rPr>
          <w:noProof/>
        </w:rPr>
        <w:t>Koordinaciju na središnjoj razini osigurava Međuministarski odbor za koordinaciju plana, odgovoran za ispitivanje napretka u provedbi Plana, u bliskoj suradnji s Ministarstvom ulaganja i europskih projekata (MIPE). MIPE je imenovan nacionalnim koordinatoro</w:t>
      </w:r>
      <w:r>
        <w:rPr>
          <w:noProof/>
        </w:rPr>
        <w:t xml:space="preserve">m za pripremu, pregovaranje i odobravanje Plana, uz pomoć Ministarstva financija (za zadaće povezane s potpisivanjem ugovora o zajmu i sporazuma o financiranju), uz uspostavu specijalizirane strukture. </w:t>
      </w:r>
    </w:p>
    <w:p w14:paraId="1653EF99" w14:textId="77777777" w:rsidR="003F46B9" w:rsidRDefault="0065662E">
      <w:pPr>
        <w:pStyle w:val="P68B1DB1-Normal21"/>
        <w:numPr>
          <w:ilvl w:val="0"/>
          <w:numId w:val="183"/>
        </w:numPr>
        <w:spacing w:before="120" w:after="120" w:line="240" w:lineRule="auto"/>
        <w:jc w:val="both"/>
        <w:rPr>
          <w:noProof/>
        </w:rPr>
      </w:pPr>
      <w:r>
        <w:rPr>
          <w:noProof/>
        </w:rPr>
        <w:t>MIPE je zadužen i za kontrolu i praćenje plana, uklju</w:t>
      </w:r>
      <w:r>
        <w:rPr>
          <w:noProof/>
        </w:rPr>
        <w:t>čujući praćenje ostvarenja ključnih etapa i ciljnih vrijednosti, kao i za sprečavanje, otkrivanje i ispravljanje ozbiljnih nepravilnosti. Naposljetku, isto Ministarstvo zaduženo je i za sastavljanje i potpisivanje zahtjeva za plaćanje i izjava o upravljanj</w:t>
      </w:r>
      <w:r>
        <w:rPr>
          <w:noProof/>
        </w:rPr>
        <w:t xml:space="preserve">u. </w:t>
      </w:r>
    </w:p>
    <w:p w14:paraId="2D1B72B6" w14:textId="77777777" w:rsidR="003F46B9" w:rsidRDefault="0065662E">
      <w:pPr>
        <w:pStyle w:val="P68B1DB1-Normal21"/>
        <w:numPr>
          <w:ilvl w:val="0"/>
          <w:numId w:val="183"/>
        </w:numPr>
        <w:spacing w:before="120" w:after="120" w:line="240" w:lineRule="auto"/>
        <w:jc w:val="both"/>
        <w:rPr>
          <w:noProof/>
        </w:rPr>
      </w:pPr>
      <w:r>
        <w:rPr>
          <w:noProof/>
        </w:rPr>
        <w:t xml:space="preserve">Provedbu plana osiguravaju resorna ministarstva i njihove podređene strukture sklapanjem sporazuma o financiranju s MIPE-om. </w:t>
      </w:r>
    </w:p>
    <w:p w14:paraId="110C7774" w14:textId="77777777" w:rsidR="003F46B9" w:rsidRDefault="0065662E">
      <w:pPr>
        <w:pStyle w:val="Heading2"/>
        <w:rPr>
          <w:b w:val="0"/>
          <w:noProof/>
        </w:rPr>
      </w:pPr>
      <w:r>
        <w:rPr>
          <w:noProof/>
        </w:rPr>
        <w:t>Mehanizmi za osiguravanje potpunog pristupa Komisije osnovnim podacima</w:t>
      </w:r>
    </w:p>
    <w:p w14:paraId="264F4D9F" w14:textId="77777777" w:rsidR="003F46B9" w:rsidRDefault="0065662E">
      <w:pPr>
        <w:pStyle w:val="P68B1DB1-Normal21"/>
        <w:spacing w:before="120" w:after="120" w:line="240" w:lineRule="auto"/>
        <w:ind w:left="970"/>
        <w:jc w:val="both"/>
        <w:rPr>
          <w:noProof/>
        </w:rPr>
      </w:pPr>
      <w:r>
        <w:rPr>
          <w:noProof/>
        </w:rPr>
        <w:t>Kako bi se Komisiji omogućio potpun pristup osnovnim re</w:t>
      </w:r>
      <w:r>
        <w:rPr>
          <w:noProof/>
        </w:rPr>
        <w:t xml:space="preserve">levantnim podacima, Rumunjska mora imati sljedeće mehanizme: </w:t>
      </w:r>
    </w:p>
    <w:p w14:paraId="4B61943E" w14:textId="77777777" w:rsidR="003F46B9" w:rsidRDefault="0065662E">
      <w:pPr>
        <w:pStyle w:val="P68B1DB1-Normal21"/>
        <w:spacing w:before="120" w:after="120" w:line="240" w:lineRule="auto"/>
        <w:ind w:left="970"/>
        <w:jc w:val="both"/>
        <w:rPr>
          <w:noProof/>
        </w:rPr>
      </w:pPr>
      <w:r>
        <w:rPr>
          <w:noProof/>
        </w:rPr>
        <w:t>MIPE, kao nacionalni koordinator plana, odgovoran je za cjelokupnu koordinaciju, kontrolu i praćenje plana. Konkretno, djeluje kao koordinacijsko tijelo za praćenje napretka u pogledu ključnih e</w:t>
      </w:r>
      <w:r>
        <w:rPr>
          <w:noProof/>
        </w:rPr>
        <w:t>tapa i ciljnih vrijednosti, dok je za revizije odgovorno revizorsko tijelo. MIPE koordinira izvješćivanje o ključnim etapama i ciljnim vrijednostima, svim relevantnim pokazateljima, ali i kvalitativnim financijskim informacijama i drugim podacima, primjeri</w:t>
      </w:r>
      <w:r>
        <w:rPr>
          <w:noProof/>
        </w:rPr>
        <w:t>ce o krajnjim primateljima. Kodiranje podataka provodi se u IT sustavu MIPE-a.</w:t>
      </w:r>
    </w:p>
    <w:p w14:paraId="7980F34C" w14:textId="77777777" w:rsidR="003F46B9" w:rsidRDefault="0065662E">
      <w:pPr>
        <w:pStyle w:val="P68B1DB1-Normal21"/>
        <w:spacing w:before="120" w:after="120" w:line="240" w:lineRule="auto"/>
        <w:ind w:left="970"/>
        <w:jc w:val="both"/>
        <w:rPr>
          <w:i/>
          <w:noProof/>
        </w:rPr>
      </w:pPr>
      <w:r>
        <w:rPr>
          <w:noProof/>
        </w:rPr>
        <w:t>U skladu s člankom 24. stavkom 2. Uredbe (EU) 2021/241, nakon što ispuni relevantne dogovorene ključne etape i ciljne vrijednosti iz odjeljka 2.1. ovog Priloga, Rumunjska Komisi</w:t>
      </w:r>
      <w:r>
        <w:rPr>
          <w:noProof/>
        </w:rPr>
        <w:t>ji podnosi propisno obrazložen zahtjev za plaćanje financijskog doprinosa i, prema potrebi, zajma. Rumunjska osigurava da Komisija na zahtjev ima puni pristup osnovnim relevantnim podacima kojima se potkrepljuje valjano obrazloženje zahtjeva za plaćanje, k</w:t>
      </w:r>
      <w:r>
        <w:rPr>
          <w:noProof/>
        </w:rPr>
        <w:t>ako za ocjenu zahtjeva za plaćanje u skladu s člankom 24. stavkom 3. Uredbe (EU) 2021/241 tako i za potrebe revizije i kontrole.</w:t>
      </w:r>
    </w:p>
    <w:p w14:paraId="3FE9F23F" w14:textId="77777777" w:rsidR="003F46B9" w:rsidRDefault="003F46B9">
      <w:pPr>
        <w:rPr>
          <w:noProof/>
        </w:rPr>
      </w:pPr>
    </w:p>
    <w:sectPr w:rsidR="003F46B9">
      <w:headerReference w:type="even" r:id="rId379"/>
      <w:headerReference w:type="default" r:id="rId380"/>
      <w:footerReference w:type="even" r:id="rId381"/>
      <w:footerReference w:type="default" r:id="rId382"/>
      <w:headerReference w:type="first" r:id="rId383"/>
      <w:footerReference w:type="first" r:id="rId384"/>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4E90E" w14:textId="77777777" w:rsidR="00AA66D9" w:rsidRDefault="00AA66D9">
      <w:pPr>
        <w:spacing w:after="0" w:line="240" w:lineRule="auto"/>
      </w:pPr>
      <w:r>
        <w:separator/>
      </w:r>
    </w:p>
  </w:endnote>
  <w:endnote w:type="continuationSeparator" w:id="0">
    <w:p w14:paraId="19BDEA32" w14:textId="77777777" w:rsidR="00AA66D9" w:rsidRDefault="00AA66D9">
      <w:pPr>
        <w:spacing w:after="0" w:line="240" w:lineRule="auto"/>
      </w:pPr>
      <w:r>
        <w:continuationSeparator/>
      </w:r>
    </w:p>
  </w:endnote>
  <w:endnote w:type="continuationNotice" w:id="1">
    <w:p w14:paraId="7440B97F" w14:textId="77777777" w:rsidR="00AA66D9" w:rsidRDefault="00AA6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font>
  <w:font w:name="&quot;Calibri&quot;,sans-serif">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2DE0" w14:textId="7F0D58E6" w:rsidR="00451C1E" w:rsidRPr="0065662E" w:rsidRDefault="00451C1E" w:rsidP="006566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3F46B9" w:rsidRDefault="003F46B9">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A173" w14:textId="77777777" w:rsidR="003F46B9" w:rsidRDefault="003F46B9">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706218"/>
      <w:docPartObj>
        <w:docPartGallery w:val="Page Numbers (Bottom of Page)"/>
        <w:docPartUnique/>
      </w:docPartObj>
    </w:sdtPr>
    <w:sdtEndPr>
      <w:rPr>
        <w:noProof/>
      </w:rPr>
    </w:sdtEndPr>
    <w:sdtContent>
      <w:p w14:paraId="2A414739" w14:textId="4EC1953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CEC9" w14:textId="77777777" w:rsidR="003F46B9" w:rsidRDefault="003F46B9">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C691" w14:textId="77777777" w:rsidR="003F46B9" w:rsidRDefault="003F46B9">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780333"/>
      <w:docPartObj>
        <w:docPartGallery w:val="Page Numbers (Bottom of Page)"/>
        <w:docPartUnique/>
      </w:docPartObj>
    </w:sdtPr>
    <w:sdtEndPr>
      <w:rPr>
        <w:noProof/>
      </w:rPr>
    </w:sdtEndPr>
    <w:sdtContent>
      <w:p w14:paraId="5A7EDD10" w14:textId="6D954941"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8AF18" w14:textId="77777777" w:rsidR="003F46B9" w:rsidRDefault="003F46B9">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CA2B" w14:textId="77777777" w:rsidR="003F46B9" w:rsidRDefault="003F46B9">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136983"/>
      <w:docPartObj>
        <w:docPartGallery w:val="Page Numbers (Bottom of Page)"/>
        <w:docPartUnique/>
      </w:docPartObj>
    </w:sdtPr>
    <w:sdtEndPr>
      <w:rPr>
        <w:noProof/>
      </w:rPr>
    </w:sdtEndPr>
    <w:sdtContent>
      <w:p w14:paraId="6D9449F3" w14:textId="46DE5C07"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5AD8" w14:textId="77777777" w:rsidR="003F46B9" w:rsidRDefault="003F46B9">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C90F" w14:textId="77777777" w:rsidR="003F46B9" w:rsidRDefault="003F46B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0977"/>
      <w:docPartObj>
        <w:docPartGallery w:val="Page Numbers (Bottom of Page)"/>
        <w:docPartUnique/>
      </w:docPartObj>
    </w:sdtPr>
    <w:sdtEndPr>
      <w:rPr>
        <w:noProof/>
      </w:rPr>
    </w:sdtEndPr>
    <w:sdtContent>
      <w:p w14:paraId="4E842DF5" w14:textId="55335468" w:rsidR="003F46B9" w:rsidRDefault="0065662E">
        <w:pPr>
          <w:pStyle w:val="Footer"/>
          <w:jc w:val="center"/>
        </w:pPr>
        <w:r>
          <w:fldChar w:fldCharType="begin"/>
        </w:r>
        <w:r>
          <w:instrText xml:space="preserve"> PAGE   \* MERGEFORMAT </w:instrText>
        </w:r>
        <w:r>
          <w:fldChar w:fldCharType="separate"/>
        </w:r>
        <w:r>
          <w:rPr>
            <w:noProof/>
          </w:rPr>
          <w:t>13</w:t>
        </w:r>
        <w:r>
          <w:fldChar w:fldCharType="end"/>
        </w:r>
      </w:p>
    </w:sdtContent>
  </w:sdt>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071469"/>
      <w:docPartObj>
        <w:docPartGallery w:val="Page Numbers (Bottom of Page)"/>
        <w:docPartUnique/>
      </w:docPartObj>
    </w:sdtPr>
    <w:sdtEndPr>
      <w:rPr>
        <w:noProof/>
      </w:rPr>
    </w:sdtEndPr>
    <w:sdtContent>
      <w:p w14:paraId="547267D0" w14:textId="4A9141D9"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96193" w14:textId="77777777" w:rsidR="003F46B9" w:rsidRDefault="003F46B9">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A33D" w14:textId="77777777" w:rsidR="003F46B9" w:rsidRDefault="003F46B9">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268731"/>
      <w:docPartObj>
        <w:docPartGallery w:val="Page Numbers (Bottom of Page)"/>
        <w:docPartUnique/>
      </w:docPartObj>
    </w:sdtPr>
    <w:sdtEndPr>
      <w:rPr>
        <w:noProof/>
      </w:rPr>
    </w:sdtEndPr>
    <w:sdtContent>
      <w:p w14:paraId="12CF66FD" w14:textId="39C3867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025" w14:textId="77777777" w:rsidR="003F46B9" w:rsidRDefault="003F46B9">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5FB6" w14:textId="77777777" w:rsidR="003F46B9" w:rsidRDefault="003F46B9">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5C8E" w14:textId="77777777" w:rsidR="003F46B9" w:rsidRDefault="0065662E">
    <w:pPr>
      <w:pStyle w:val="Footer"/>
      <w:jc w:val="center"/>
      <w:rPr>
        <w:rFonts w:ascii="Arial" w:hAnsi="Arial" w:cs="Arial"/>
        <w:b/>
      </w:rPr>
    </w:pPr>
    <w:r>
      <w:fldChar w:fldCharType="begin"/>
    </w:r>
    <w:r>
      <w:instrText xml:space="preserve"> PAGE  \* MERGEFORMAT </w:instrText>
    </w:r>
    <w:r>
      <w:fldChar w:fldCharType="separate"/>
    </w:r>
    <w:r>
      <w:t>393</w:t>
    </w:r>
    <w: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8008E" w14:textId="77777777" w:rsidR="003F46B9" w:rsidRDefault="003F46B9">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A4D9" w14:textId="77777777" w:rsidR="003F46B9" w:rsidRDefault="003F46B9">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4B45" w14:textId="77777777" w:rsidR="003F46B9" w:rsidRDefault="0065662E">
    <w:pPr>
      <w:pStyle w:val="FooterLandscape"/>
      <w:jc w:val="center"/>
      <w:rPr>
        <w:rFonts w:ascii="Arial" w:hAnsi="Arial" w:cs="Arial"/>
        <w:b/>
      </w:rPr>
    </w:pPr>
    <w:r>
      <w:fldChar w:fldCharType="begin"/>
    </w:r>
    <w:r>
      <w:instrText xml:space="preserve"> PAGE  \* MERGEFORMAT </w:instrText>
    </w:r>
    <w:r>
      <w:fldChar w:fldCharType="separate"/>
    </w:r>
    <w:r>
      <w:t>414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3F46B9" w:rsidRDefault="003F46B9">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30AD" w14:textId="77777777" w:rsidR="003F46B9" w:rsidRDefault="003F46B9">
    <w:pPr>
      <w:pStyle w:val="FooterLandscape"/>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2311"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002387"/>
      <w:docPartObj>
        <w:docPartGallery w:val="Page Numbers (Bottom of Page)"/>
        <w:docPartUnique/>
      </w:docPartObj>
    </w:sdtPr>
    <w:sdtEndPr>
      <w:rPr>
        <w:noProof/>
      </w:rPr>
    </w:sdtEndPr>
    <w:sdtContent>
      <w:p w14:paraId="24480359" w14:textId="3D0FE834"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37A7" w14:textId="77777777" w:rsidR="003F46B9" w:rsidRDefault="003F46B9">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C6B4C"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730490"/>
      <w:docPartObj>
        <w:docPartGallery w:val="Page Numbers (Bottom of Page)"/>
        <w:docPartUnique/>
      </w:docPartObj>
    </w:sdtPr>
    <w:sdtEndPr>
      <w:rPr>
        <w:noProof/>
      </w:rPr>
    </w:sdtEndPr>
    <w:sdtContent>
      <w:p w14:paraId="57A3FA13" w14:textId="519A00DE"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DFBD" w14:textId="77777777" w:rsidR="003F46B9" w:rsidRDefault="003F46B9">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0B483" w14:textId="77777777" w:rsidR="003F46B9" w:rsidRDefault="003F46B9">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337363"/>
      <w:docPartObj>
        <w:docPartGallery w:val="Page Numbers (Bottom of Page)"/>
        <w:docPartUnique/>
      </w:docPartObj>
    </w:sdtPr>
    <w:sdtEndPr>
      <w:rPr>
        <w:noProof/>
      </w:rPr>
    </w:sdtEndPr>
    <w:sdtContent>
      <w:p w14:paraId="41740C36" w14:textId="6B452BB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A5B3" w14:textId="77777777" w:rsidR="003F46B9" w:rsidRDefault="003F46B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EF03B" w14:textId="77777777" w:rsidR="003F46B9" w:rsidRDefault="003F46B9">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1774B"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54368"/>
      <w:docPartObj>
        <w:docPartGallery w:val="Page Numbers (Bottom of Page)"/>
        <w:docPartUnique/>
      </w:docPartObj>
    </w:sdtPr>
    <w:sdtEndPr>
      <w:rPr>
        <w:noProof/>
      </w:rPr>
    </w:sdtEndPr>
    <w:sdtContent>
      <w:p w14:paraId="055BBCB8" w14:textId="717E407F"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ED3D" w14:textId="77777777" w:rsidR="003F46B9" w:rsidRDefault="003F46B9">
    <w:pPr>
      <w:pStyle w:val="FooterLandscape"/>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B2310"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409733"/>
      <w:docPartObj>
        <w:docPartGallery w:val="Page Numbers (Bottom of Page)"/>
        <w:docPartUnique/>
      </w:docPartObj>
    </w:sdtPr>
    <w:sdtEndPr>
      <w:rPr>
        <w:noProof/>
      </w:rPr>
    </w:sdtEndPr>
    <w:sdtContent>
      <w:p w14:paraId="4EA8E547" w14:textId="5CEAA12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FDAB" w14:textId="77777777" w:rsidR="003F46B9" w:rsidRDefault="003F46B9">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1CDF"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938693"/>
      <w:docPartObj>
        <w:docPartGallery w:val="Page Numbers (Bottom of Page)"/>
        <w:docPartUnique/>
      </w:docPartObj>
    </w:sdtPr>
    <w:sdtEndPr>
      <w:rPr>
        <w:noProof/>
      </w:rPr>
    </w:sdtEndPr>
    <w:sdtContent>
      <w:p w14:paraId="370DC44E" w14:textId="5B4B35E6"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2B74" w14:textId="77777777" w:rsidR="003F46B9" w:rsidRDefault="003F46B9">
    <w:pPr>
      <w:pStyle w:val="FooterLandscape"/>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6040"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578309"/>
      <w:docPartObj>
        <w:docPartGallery w:val="Page Numbers (Bottom of Page)"/>
        <w:docPartUnique/>
      </w:docPartObj>
    </w:sdtPr>
    <w:sdtEndPr>
      <w:rPr>
        <w:noProof/>
      </w:rPr>
    </w:sdtEndPr>
    <w:sdtContent>
      <w:p w14:paraId="25DF3319" w14:textId="79F8A724"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3378"/>
      <w:docPartObj>
        <w:docPartGallery w:val="Page Numbers (Bottom of Page)"/>
        <w:docPartUnique/>
      </w:docPartObj>
    </w:sdtPr>
    <w:sdtEndPr>
      <w:rPr>
        <w:noProof/>
      </w:rPr>
    </w:sdtEndPr>
    <w:sdtContent>
      <w:p w14:paraId="55E247E8" w14:textId="7A9D434D"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D34D" w14:textId="77777777" w:rsidR="003F46B9" w:rsidRDefault="003F46B9">
    <w:pPr>
      <w:pStyle w:val="FooterLandscape"/>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F28E"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98179"/>
      <w:docPartObj>
        <w:docPartGallery w:val="Page Numbers (Bottom of Page)"/>
        <w:docPartUnique/>
      </w:docPartObj>
    </w:sdtPr>
    <w:sdtEndPr>
      <w:rPr>
        <w:noProof/>
      </w:rPr>
    </w:sdtEndPr>
    <w:sdtContent>
      <w:p w14:paraId="58174F61" w14:textId="1950309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8888" w14:textId="77777777" w:rsidR="003F46B9" w:rsidRDefault="003F46B9">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DE074"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867993"/>
      <w:docPartObj>
        <w:docPartGallery w:val="Page Numbers (Bottom of Page)"/>
        <w:docPartUnique/>
      </w:docPartObj>
    </w:sdtPr>
    <w:sdtEndPr>
      <w:rPr>
        <w:noProof/>
      </w:rPr>
    </w:sdtEndPr>
    <w:sdtContent>
      <w:p w14:paraId="097BBE27" w14:textId="62654E8F"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C6DE" w14:textId="77777777" w:rsidR="003F46B9" w:rsidRDefault="003F46B9">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BD2D"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68994"/>
      <w:docPartObj>
        <w:docPartGallery w:val="Page Numbers (Bottom of Page)"/>
        <w:docPartUnique/>
      </w:docPartObj>
    </w:sdtPr>
    <w:sdtEndPr>
      <w:rPr>
        <w:noProof/>
      </w:rPr>
    </w:sdtEndPr>
    <w:sdtContent>
      <w:p w14:paraId="1218A1C9" w14:textId="13116A1A"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CC2D" w14:textId="77777777" w:rsidR="003F46B9" w:rsidRDefault="003F46B9">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1504D" w14:textId="77777777" w:rsidR="003F46B9" w:rsidRDefault="003F46B9">
    <w:pPr>
      <w:pStyle w:val="FooterLandscape"/>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62A3E"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083653"/>
      <w:docPartObj>
        <w:docPartGallery w:val="Page Numbers (Bottom of Page)"/>
        <w:docPartUnique/>
      </w:docPartObj>
    </w:sdtPr>
    <w:sdtEndPr>
      <w:rPr>
        <w:noProof/>
      </w:rPr>
    </w:sdtEndPr>
    <w:sdtContent>
      <w:p w14:paraId="43786E4D" w14:textId="748D90E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8D4B" w14:textId="77777777" w:rsidR="003F46B9" w:rsidRDefault="003F46B9">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CD81"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664046"/>
      <w:docPartObj>
        <w:docPartGallery w:val="Page Numbers (Bottom of Page)"/>
        <w:docPartUnique/>
      </w:docPartObj>
    </w:sdtPr>
    <w:sdtEndPr>
      <w:rPr>
        <w:noProof/>
      </w:rPr>
    </w:sdtEndPr>
    <w:sdtContent>
      <w:p w14:paraId="5358684F" w14:textId="532BDFD7"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3824" w14:textId="77777777" w:rsidR="003F46B9" w:rsidRDefault="003F46B9">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E465"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857762"/>
      <w:docPartObj>
        <w:docPartGallery w:val="Page Numbers (Bottom of Page)"/>
        <w:docPartUnique/>
      </w:docPartObj>
    </w:sdtPr>
    <w:sdtEndPr>
      <w:rPr>
        <w:noProof/>
      </w:rPr>
    </w:sdtEndPr>
    <w:sdtContent>
      <w:p w14:paraId="64E51881" w14:textId="78829BC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46483" w14:textId="77777777" w:rsidR="003F46B9" w:rsidRDefault="003F46B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6F50" w14:textId="77777777" w:rsidR="003F46B9" w:rsidRDefault="003F46B9">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C83E6"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13114"/>
      <w:docPartObj>
        <w:docPartGallery w:val="Page Numbers (Bottom of Page)"/>
        <w:docPartUnique/>
      </w:docPartObj>
    </w:sdtPr>
    <w:sdtEndPr>
      <w:rPr>
        <w:noProof/>
      </w:rPr>
    </w:sdtEndPr>
    <w:sdtContent>
      <w:p w14:paraId="0ED98E2E" w14:textId="72177B4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1E40" w14:textId="77777777" w:rsidR="003F46B9" w:rsidRDefault="003F46B9">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F98B6"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309171"/>
      <w:docPartObj>
        <w:docPartGallery w:val="Page Numbers (Bottom of Page)"/>
        <w:docPartUnique/>
      </w:docPartObj>
    </w:sdtPr>
    <w:sdtEndPr>
      <w:rPr>
        <w:noProof/>
      </w:rPr>
    </w:sdtEndPr>
    <w:sdtContent>
      <w:p w14:paraId="3E81570C" w14:textId="30F3F7B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FDAE" w14:textId="77777777" w:rsidR="003F46B9" w:rsidRDefault="003F46B9">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964F"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452548"/>
      <w:docPartObj>
        <w:docPartGallery w:val="Page Numbers (Bottom of Page)"/>
        <w:docPartUnique/>
      </w:docPartObj>
    </w:sdtPr>
    <w:sdtEndPr>
      <w:rPr>
        <w:noProof/>
      </w:rPr>
    </w:sdtEndPr>
    <w:sdtContent>
      <w:p w14:paraId="3F54A358" w14:textId="038D57C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D7AB" w14:textId="77777777" w:rsidR="003F46B9" w:rsidRDefault="003F46B9">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72F" w14:textId="77777777" w:rsidR="003F46B9" w:rsidRDefault="003F46B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82872"/>
      <w:docPartObj>
        <w:docPartGallery w:val="Page Numbers (Bottom of Page)"/>
        <w:docPartUnique/>
      </w:docPartObj>
    </w:sdtPr>
    <w:sdtEndPr>
      <w:rPr>
        <w:noProof/>
      </w:rPr>
    </w:sdtEndPr>
    <w:sdtContent>
      <w:p w14:paraId="64424C38" w14:textId="75458DE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F46B9" w14:paraId="19BD1C23" w14:textId="77777777">
      <w:trPr>
        <w:jc w:val="center"/>
      </w:trPr>
      <w:tc>
        <w:tcPr>
          <w:tcW w:w="5000" w:type="pct"/>
          <w:gridSpan w:val="7"/>
          <w:shd w:val="clear" w:color="auto" w:fill="auto"/>
          <w:tcMar>
            <w:top w:w="57" w:type="dxa"/>
          </w:tcMar>
        </w:tcPr>
        <w:p w14:paraId="02412F38" w14:textId="77777777" w:rsidR="003F46B9" w:rsidRDefault="003F46B9">
          <w:pPr>
            <w:pStyle w:val="FooterText"/>
            <w:pBdr>
              <w:top w:val="single" w:sz="4" w:space="1" w:color="auto"/>
            </w:pBdr>
            <w:spacing w:before="200"/>
            <w:rPr>
              <w:sz w:val="2"/>
            </w:rPr>
          </w:pPr>
        </w:p>
      </w:tc>
    </w:tr>
    <w:tr w:rsidR="003F46B9" w14:paraId="0FE3C602" w14:textId="77777777">
      <w:trPr>
        <w:jc w:val="center"/>
      </w:trPr>
      <w:tc>
        <w:tcPr>
          <w:tcW w:w="2500" w:type="pct"/>
          <w:gridSpan w:val="2"/>
          <w:shd w:val="clear" w:color="auto" w:fill="auto"/>
          <w:tcMar>
            <w:top w:w="0" w:type="dxa"/>
          </w:tcMar>
        </w:tcPr>
        <w:p w14:paraId="06ED2551" w14:textId="77777777" w:rsidR="003F46B9" w:rsidRDefault="0065662E">
          <w:pPr>
            <w:pStyle w:val="FooterText"/>
          </w:pPr>
          <w:r>
            <w:t>12319/21 DODAJ 1</w:t>
          </w:r>
        </w:p>
      </w:tc>
      <w:tc>
        <w:tcPr>
          <w:tcW w:w="625" w:type="pct"/>
          <w:shd w:val="clear" w:color="auto" w:fill="auto"/>
          <w:tcMar>
            <w:top w:w="0" w:type="dxa"/>
          </w:tcMar>
        </w:tcPr>
        <w:p w14:paraId="52BD3A30" w14:textId="77777777" w:rsidR="003F46B9" w:rsidRDefault="003F46B9">
          <w:pPr>
            <w:pStyle w:val="FooterText"/>
            <w:jc w:val="center"/>
          </w:pPr>
        </w:p>
      </w:tc>
      <w:tc>
        <w:tcPr>
          <w:tcW w:w="1286" w:type="pct"/>
          <w:gridSpan w:val="3"/>
          <w:shd w:val="clear" w:color="auto" w:fill="auto"/>
          <w:tcMar>
            <w:top w:w="0" w:type="dxa"/>
          </w:tcMar>
        </w:tcPr>
        <w:p w14:paraId="406E3242" w14:textId="77777777" w:rsidR="003F46B9" w:rsidRDefault="0065662E">
          <w:pPr>
            <w:pStyle w:val="FooterText"/>
            <w:jc w:val="center"/>
          </w:pPr>
          <w:r>
            <w:t>JGR/sr</w:t>
          </w:r>
        </w:p>
      </w:tc>
      <w:tc>
        <w:tcPr>
          <w:tcW w:w="589" w:type="pct"/>
          <w:shd w:val="clear" w:color="auto" w:fill="auto"/>
          <w:tcMar>
            <w:top w:w="0" w:type="dxa"/>
          </w:tcMar>
        </w:tcPr>
        <w:p w14:paraId="5E8ADA41"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39A69FC6" w14:textId="77777777">
      <w:trPr>
        <w:jc w:val="center"/>
      </w:trPr>
      <w:tc>
        <w:tcPr>
          <w:tcW w:w="1774" w:type="pct"/>
          <w:shd w:val="clear" w:color="auto" w:fill="auto"/>
        </w:tcPr>
        <w:p w14:paraId="302FFEC3" w14:textId="77777777" w:rsidR="003F46B9" w:rsidRDefault="003F46B9">
          <w:pPr>
            <w:pStyle w:val="FooterText"/>
            <w:spacing w:before="40"/>
          </w:pPr>
        </w:p>
      </w:tc>
      <w:tc>
        <w:tcPr>
          <w:tcW w:w="1455" w:type="pct"/>
          <w:gridSpan w:val="3"/>
          <w:shd w:val="clear" w:color="auto" w:fill="auto"/>
        </w:tcPr>
        <w:p w14:paraId="3C4D55FB" w14:textId="77777777" w:rsidR="003F46B9" w:rsidRDefault="0065662E">
          <w:pPr>
            <w:pStyle w:val="FooterText"/>
            <w:spacing w:before="40"/>
            <w:jc w:val="center"/>
          </w:pPr>
          <w:r>
            <w:t>ECOMP 1A</w:t>
          </w:r>
        </w:p>
      </w:tc>
      <w:tc>
        <w:tcPr>
          <w:tcW w:w="742" w:type="pct"/>
          <w:shd w:val="clear" w:color="auto" w:fill="auto"/>
        </w:tcPr>
        <w:p w14:paraId="7DE86189" w14:textId="77777777" w:rsidR="003F46B9" w:rsidRDefault="003F46B9">
          <w:pPr>
            <w:pStyle w:val="FooterText"/>
            <w:jc w:val="center"/>
            <w:rPr>
              <w:b/>
              <w:position w:val="-4"/>
              <w:sz w:val="36"/>
            </w:rPr>
          </w:pPr>
        </w:p>
      </w:tc>
      <w:tc>
        <w:tcPr>
          <w:tcW w:w="1029" w:type="pct"/>
          <w:gridSpan w:val="2"/>
          <w:shd w:val="clear" w:color="auto" w:fill="auto"/>
        </w:tcPr>
        <w:p w14:paraId="56F2BF6D" w14:textId="77777777" w:rsidR="003F46B9" w:rsidRDefault="0065662E">
          <w:pPr>
            <w:pStyle w:val="P68B1DB1-FooterText39"/>
            <w:jc w:val="right"/>
            <w:rPr>
              <w:sz w:val="16"/>
            </w:rPr>
          </w:pPr>
          <w:r>
            <w:t>HR</w:t>
          </w:r>
        </w:p>
      </w:tc>
    </w:tr>
  </w:tbl>
  <w:p w14:paraId="484C4D57" w14:textId="77777777" w:rsidR="003F46B9" w:rsidRDefault="003F46B9">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4C09" w14:textId="77777777" w:rsidR="003F46B9" w:rsidRDefault="003F46B9">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649D" w14:textId="77777777" w:rsidR="003F46B9" w:rsidRDefault="003F46B9">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F46B9" w14:paraId="7F5EF848" w14:textId="77777777">
      <w:trPr>
        <w:jc w:val="center"/>
      </w:trPr>
      <w:tc>
        <w:tcPr>
          <w:tcW w:w="5000" w:type="pct"/>
          <w:gridSpan w:val="7"/>
          <w:shd w:val="clear" w:color="auto" w:fill="auto"/>
          <w:tcMar>
            <w:top w:w="57" w:type="dxa"/>
          </w:tcMar>
        </w:tcPr>
        <w:p w14:paraId="74F1E805" w14:textId="77777777" w:rsidR="003F46B9" w:rsidRDefault="003F46B9">
          <w:pPr>
            <w:pStyle w:val="FooterText"/>
            <w:pBdr>
              <w:top w:val="single" w:sz="4" w:space="1" w:color="auto"/>
            </w:pBdr>
            <w:spacing w:before="200"/>
            <w:rPr>
              <w:sz w:val="2"/>
            </w:rPr>
          </w:pPr>
        </w:p>
      </w:tc>
    </w:tr>
    <w:tr w:rsidR="003F46B9" w14:paraId="5EF0BCBE" w14:textId="77777777">
      <w:trPr>
        <w:jc w:val="center"/>
      </w:trPr>
      <w:tc>
        <w:tcPr>
          <w:tcW w:w="2500" w:type="pct"/>
          <w:gridSpan w:val="2"/>
          <w:shd w:val="clear" w:color="auto" w:fill="auto"/>
          <w:tcMar>
            <w:top w:w="0" w:type="dxa"/>
          </w:tcMar>
        </w:tcPr>
        <w:p w14:paraId="7967D4B8" w14:textId="77777777" w:rsidR="003F46B9" w:rsidRDefault="0065662E">
          <w:pPr>
            <w:pStyle w:val="FooterText"/>
          </w:pPr>
          <w:r>
            <w:t>12319/21 DODAJ 1</w:t>
          </w:r>
        </w:p>
      </w:tc>
      <w:tc>
        <w:tcPr>
          <w:tcW w:w="625" w:type="pct"/>
          <w:shd w:val="clear" w:color="auto" w:fill="auto"/>
          <w:tcMar>
            <w:top w:w="0" w:type="dxa"/>
          </w:tcMar>
        </w:tcPr>
        <w:p w14:paraId="1F588CB5" w14:textId="77777777" w:rsidR="003F46B9" w:rsidRDefault="003F46B9">
          <w:pPr>
            <w:pStyle w:val="FooterText"/>
            <w:jc w:val="center"/>
          </w:pPr>
        </w:p>
      </w:tc>
      <w:tc>
        <w:tcPr>
          <w:tcW w:w="1286" w:type="pct"/>
          <w:gridSpan w:val="3"/>
          <w:shd w:val="clear" w:color="auto" w:fill="auto"/>
          <w:tcMar>
            <w:top w:w="0" w:type="dxa"/>
          </w:tcMar>
        </w:tcPr>
        <w:p w14:paraId="231ACAF5" w14:textId="77777777" w:rsidR="003F46B9" w:rsidRDefault="0065662E">
          <w:pPr>
            <w:pStyle w:val="FooterText"/>
            <w:jc w:val="center"/>
          </w:pPr>
          <w:r>
            <w:t>JGR/sr</w:t>
          </w:r>
        </w:p>
      </w:tc>
      <w:tc>
        <w:tcPr>
          <w:tcW w:w="589" w:type="pct"/>
          <w:shd w:val="clear" w:color="auto" w:fill="auto"/>
          <w:tcMar>
            <w:top w:w="0" w:type="dxa"/>
          </w:tcMar>
        </w:tcPr>
        <w:p w14:paraId="55E8CC41"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045BAFCC" w14:textId="77777777">
      <w:trPr>
        <w:jc w:val="center"/>
      </w:trPr>
      <w:tc>
        <w:tcPr>
          <w:tcW w:w="1774" w:type="pct"/>
          <w:shd w:val="clear" w:color="auto" w:fill="auto"/>
        </w:tcPr>
        <w:p w14:paraId="5485AAC6" w14:textId="77777777" w:rsidR="003F46B9" w:rsidRDefault="003F46B9">
          <w:pPr>
            <w:pStyle w:val="FooterText"/>
            <w:spacing w:before="40"/>
          </w:pPr>
        </w:p>
      </w:tc>
      <w:tc>
        <w:tcPr>
          <w:tcW w:w="1455" w:type="pct"/>
          <w:gridSpan w:val="3"/>
          <w:shd w:val="clear" w:color="auto" w:fill="auto"/>
        </w:tcPr>
        <w:p w14:paraId="26F56165" w14:textId="77777777" w:rsidR="003F46B9" w:rsidRDefault="0065662E">
          <w:pPr>
            <w:pStyle w:val="FooterText"/>
            <w:spacing w:before="40"/>
            <w:jc w:val="center"/>
          </w:pPr>
          <w:r>
            <w:t>ECOMP 1A</w:t>
          </w:r>
        </w:p>
      </w:tc>
      <w:tc>
        <w:tcPr>
          <w:tcW w:w="742" w:type="pct"/>
          <w:shd w:val="clear" w:color="auto" w:fill="auto"/>
        </w:tcPr>
        <w:p w14:paraId="2EA63603" w14:textId="77777777" w:rsidR="003F46B9" w:rsidRDefault="003F46B9">
          <w:pPr>
            <w:pStyle w:val="FooterText"/>
            <w:jc w:val="center"/>
            <w:rPr>
              <w:b/>
              <w:position w:val="-4"/>
              <w:sz w:val="36"/>
            </w:rPr>
          </w:pPr>
        </w:p>
      </w:tc>
      <w:tc>
        <w:tcPr>
          <w:tcW w:w="1029" w:type="pct"/>
          <w:gridSpan w:val="2"/>
          <w:shd w:val="clear" w:color="auto" w:fill="auto"/>
        </w:tcPr>
        <w:p w14:paraId="3972CE28" w14:textId="77777777" w:rsidR="003F46B9" w:rsidRDefault="0065662E">
          <w:pPr>
            <w:pStyle w:val="P68B1DB1-FooterText39"/>
            <w:jc w:val="right"/>
            <w:rPr>
              <w:sz w:val="16"/>
            </w:rPr>
          </w:pPr>
          <w:r>
            <w:t>HR</w:t>
          </w:r>
        </w:p>
      </w:tc>
    </w:tr>
  </w:tbl>
  <w:p w14:paraId="4C73E1BA" w14:textId="77777777" w:rsidR="003F46B9" w:rsidRDefault="003F46B9">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1A85" w14:textId="77777777" w:rsidR="003F46B9" w:rsidRDefault="003F46B9">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86D9" w14:textId="77777777" w:rsidR="003F46B9" w:rsidRDefault="003F46B9">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F46B9" w14:paraId="550085DF" w14:textId="77777777">
      <w:trPr>
        <w:jc w:val="center"/>
      </w:trPr>
      <w:tc>
        <w:tcPr>
          <w:tcW w:w="5000" w:type="pct"/>
          <w:gridSpan w:val="7"/>
          <w:shd w:val="clear" w:color="auto" w:fill="auto"/>
          <w:tcMar>
            <w:top w:w="57" w:type="dxa"/>
          </w:tcMar>
        </w:tcPr>
        <w:p w14:paraId="62E3B76C" w14:textId="77777777" w:rsidR="003F46B9" w:rsidRDefault="003F46B9">
          <w:pPr>
            <w:pStyle w:val="FooterText"/>
            <w:pBdr>
              <w:top w:val="single" w:sz="4" w:space="1" w:color="auto"/>
            </w:pBdr>
            <w:spacing w:before="200"/>
            <w:rPr>
              <w:sz w:val="2"/>
            </w:rPr>
          </w:pPr>
        </w:p>
      </w:tc>
    </w:tr>
    <w:tr w:rsidR="003F46B9" w14:paraId="5154746C" w14:textId="77777777">
      <w:trPr>
        <w:jc w:val="center"/>
      </w:trPr>
      <w:tc>
        <w:tcPr>
          <w:tcW w:w="2500" w:type="pct"/>
          <w:gridSpan w:val="2"/>
          <w:shd w:val="clear" w:color="auto" w:fill="auto"/>
          <w:tcMar>
            <w:top w:w="0" w:type="dxa"/>
          </w:tcMar>
        </w:tcPr>
        <w:p w14:paraId="101C9B79" w14:textId="77777777" w:rsidR="003F46B9" w:rsidRDefault="0065662E">
          <w:pPr>
            <w:pStyle w:val="FooterText"/>
          </w:pPr>
          <w:r>
            <w:t>12319/21 DODAJ 1</w:t>
          </w:r>
        </w:p>
      </w:tc>
      <w:tc>
        <w:tcPr>
          <w:tcW w:w="625" w:type="pct"/>
          <w:shd w:val="clear" w:color="auto" w:fill="auto"/>
          <w:tcMar>
            <w:top w:w="0" w:type="dxa"/>
          </w:tcMar>
        </w:tcPr>
        <w:p w14:paraId="3485342B" w14:textId="77777777" w:rsidR="003F46B9" w:rsidRDefault="003F46B9">
          <w:pPr>
            <w:pStyle w:val="FooterText"/>
            <w:jc w:val="center"/>
          </w:pPr>
        </w:p>
      </w:tc>
      <w:tc>
        <w:tcPr>
          <w:tcW w:w="1286" w:type="pct"/>
          <w:gridSpan w:val="3"/>
          <w:shd w:val="clear" w:color="auto" w:fill="auto"/>
          <w:tcMar>
            <w:top w:w="0" w:type="dxa"/>
          </w:tcMar>
        </w:tcPr>
        <w:p w14:paraId="752F2CD6" w14:textId="77777777" w:rsidR="003F46B9" w:rsidRDefault="0065662E">
          <w:pPr>
            <w:pStyle w:val="FooterText"/>
            <w:jc w:val="center"/>
          </w:pPr>
          <w:r>
            <w:t>JGR/sr</w:t>
          </w:r>
        </w:p>
      </w:tc>
      <w:tc>
        <w:tcPr>
          <w:tcW w:w="589" w:type="pct"/>
          <w:shd w:val="clear" w:color="auto" w:fill="auto"/>
          <w:tcMar>
            <w:top w:w="0" w:type="dxa"/>
          </w:tcMar>
        </w:tcPr>
        <w:p w14:paraId="2DD7F811"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2CB61AAF" w14:textId="77777777">
      <w:trPr>
        <w:jc w:val="center"/>
      </w:trPr>
      <w:tc>
        <w:tcPr>
          <w:tcW w:w="1774" w:type="pct"/>
          <w:shd w:val="clear" w:color="auto" w:fill="auto"/>
        </w:tcPr>
        <w:p w14:paraId="300341AE" w14:textId="77777777" w:rsidR="003F46B9" w:rsidRDefault="003F46B9">
          <w:pPr>
            <w:pStyle w:val="FooterText"/>
            <w:spacing w:before="40"/>
          </w:pPr>
        </w:p>
      </w:tc>
      <w:tc>
        <w:tcPr>
          <w:tcW w:w="1455" w:type="pct"/>
          <w:gridSpan w:val="3"/>
          <w:shd w:val="clear" w:color="auto" w:fill="auto"/>
        </w:tcPr>
        <w:p w14:paraId="07FB8003" w14:textId="77777777" w:rsidR="003F46B9" w:rsidRDefault="0065662E">
          <w:pPr>
            <w:pStyle w:val="FooterText"/>
            <w:spacing w:before="40"/>
            <w:jc w:val="center"/>
          </w:pPr>
          <w:r>
            <w:t>ECOMP 1A</w:t>
          </w:r>
        </w:p>
      </w:tc>
      <w:tc>
        <w:tcPr>
          <w:tcW w:w="742" w:type="pct"/>
          <w:shd w:val="clear" w:color="auto" w:fill="auto"/>
        </w:tcPr>
        <w:p w14:paraId="566AB7B9" w14:textId="77777777" w:rsidR="003F46B9" w:rsidRDefault="003F46B9">
          <w:pPr>
            <w:pStyle w:val="FooterText"/>
            <w:jc w:val="center"/>
            <w:rPr>
              <w:b/>
              <w:position w:val="-4"/>
              <w:sz w:val="36"/>
            </w:rPr>
          </w:pPr>
        </w:p>
      </w:tc>
      <w:tc>
        <w:tcPr>
          <w:tcW w:w="1029" w:type="pct"/>
          <w:gridSpan w:val="2"/>
          <w:shd w:val="clear" w:color="auto" w:fill="auto"/>
        </w:tcPr>
        <w:p w14:paraId="57171CBB" w14:textId="77777777" w:rsidR="003F46B9" w:rsidRDefault="0065662E">
          <w:pPr>
            <w:pStyle w:val="P68B1DB1-FooterText39"/>
            <w:jc w:val="right"/>
            <w:rPr>
              <w:sz w:val="16"/>
            </w:rPr>
          </w:pPr>
          <w:r>
            <w:t>HR</w:t>
          </w:r>
        </w:p>
      </w:tc>
    </w:tr>
  </w:tbl>
  <w:p w14:paraId="612A82DD" w14:textId="77777777" w:rsidR="003F46B9" w:rsidRDefault="003F46B9">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5B2E" w14:textId="77777777" w:rsidR="003F46B9" w:rsidRDefault="003F46B9">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EB77" w14:textId="77777777" w:rsidR="003F46B9" w:rsidRDefault="003F46B9">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F46B9" w14:paraId="5BCC686F" w14:textId="77777777">
      <w:trPr>
        <w:jc w:val="center"/>
      </w:trPr>
      <w:tc>
        <w:tcPr>
          <w:tcW w:w="5000" w:type="pct"/>
          <w:gridSpan w:val="7"/>
          <w:shd w:val="clear" w:color="auto" w:fill="auto"/>
          <w:tcMar>
            <w:top w:w="57" w:type="dxa"/>
          </w:tcMar>
        </w:tcPr>
        <w:p w14:paraId="77FA639D" w14:textId="77777777" w:rsidR="003F46B9" w:rsidRDefault="003F46B9">
          <w:pPr>
            <w:pStyle w:val="FooterText"/>
            <w:pBdr>
              <w:top w:val="single" w:sz="4" w:space="1" w:color="auto"/>
            </w:pBdr>
            <w:spacing w:before="200"/>
            <w:rPr>
              <w:sz w:val="2"/>
            </w:rPr>
          </w:pPr>
        </w:p>
      </w:tc>
    </w:tr>
    <w:tr w:rsidR="003F46B9" w14:paraId="049991B5" w14:textId="77777777">
      <w:trPr>
        <w:jc w:val="center"/>
      </w:trPr>
      <w:tc>
        <w:tcPr>
          <w:tcW w:w="2500" w:type="pct"/>
          <w:gridSpan w:val="2"/>
          <w:shd w:val="clear" w:color="auto" w:fill="auto"/>
          <w:tcMar>
            <w:top w:w="0" w:type="dxa"/>
          </w:tcMar>
        </w:tcPr>
        <w:p w14:paraId="4BCF4177" w14:textId="77777777" w:rsidR="003F46B9" w:rsidRDefault="0065662E">
          <w:pPr>
            <w:pStyle w:val="FooterText"/>
          </w:pPr>
          <w:r>
            <w:t>12319/21 DODAJ 1</w:t>
          </w:r>
        </w:p>
      </w:tc>
      <w:tc>
        <w:tcPr>
          <w:tcW w:w="625" w:type="pct"/>
          <w:shd w:val="clear" w:color="auto" w:fill="auto"/>
          <w:tcMar>
            <w:top w:w="0" w:type="dxa"/>
          </w:tcMar>
        </w:tcPr>
        <w:p w14:paraId="690F5595" w14:textId="77777777" w:rsidR="003F46B9" w:rsidRDefault="003F46B9">
          <w:pPr>
            <w:pStyle w:val="FooterText"/>
            <w:jc w:val="center"/>
          </w:pPr>
        </w:p>
      </w:tc>
      <w:tc>
        <w:tcPr>
          <w:tcW w:w="1286" w:type="pct"/>
          <w:gridSpan w:val="3"/>
          <w:shd w:val="clear" w:color="auto" w:fill="auto"/>
          <w:tcMar>
            <w:top w:w="0" w:type="dxa"/>
          </w:tcMar>
        </w:tcPr>
        <w:p w14:paraId="0C532FCA" w14:textId="77777777" w:rsidR="003F46B9" w:rsidRDefault="0065662E">
          <w:pPr>
            <w:pStyle w:val="FooterText"/>
            <w:jc w:val="center"/>
          </w:pPr>
          <w:r>
            <w:t>JGR/sr</w:t>
          </w:r>
        </w:p>
      </w:tc>
      <w:tc>
        <w:tcPr>
          <w:tcW w:w="589" w:type="pct"/>
          <w:shd w:val="clear" w:color="auto" w:fill="auto"/>
          <w:tcMar>
            <w:top w:w="0" w:type="dxa"/>
          </w:tcMar>
        </w:tcPr>
        <w:p w14:paraId="6E5D191E"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25D1A371" w14:textId="77777777">
      <w:trPr>
        <w:jc w:val="center"/>
      </w:trPr>
      <w:tc>
        <w:tcPr>
          <w:tcW w:w="1774" w:type="pct"/>
          <w:shd w:val="clear" w:color="auto" w:fill="auto"/>
        </w:tcPr>
        <w:p w14:paraId="12777F55" w14:textId="77777777" w:rsidR="003F46B9" w:rsidRDefault="003F46B9">
          <w:pPr>
            <w:pStyle w:val="FooterText"/>
            <w:spacing w:before="40"/>
          </w:pPr>
        </w:p>
      </w:tc>
      <w:tc>
        <w:tcPr>
          <w:tcW w:w="1455" w:type="pct"/>
          <w:gridSpan w:val="3"/>
          <w:shd w:val="clear" w:color="auto" w:fill="auto"/>
        </w:tcPr>
        <w:p w14:paraId="0D5CAAA9" w14:textId="77777777" w:rsidR="003F46B9" w:rsidRDefault="0065662E">
          <w:pPr>
            <w:pStyle w:val="FooterText"/>
            <w:spacing w:before="40"/>
            <w:jc w:val="center"/>
          </w:pPr>
          <w:r>
            <w:t>ECOMP 1A</w:t>
          </w:r>
        </w:p>
      </w:tc>
      <w:tc>
        <w:tcPr>
          <w:tcW w:w="742" w:type="pct"/>
          <w:shd w:val="clear" w:color="auto" w:fill="auto"/>
        </w:tcPr>
        <w:p w14:paraId="370BD383" w14:textId="77777777" w:rsidR="003F46B9" w:rsidRDefault="003F46B9">
          <w:pPr>
            <w:pStyle w:val="FooterText"/>
            <w:jc w:val="center"/>
            <w:rPr>
              <w:b/>
              <w:position w:val="-4"/>
              <w:sz w:val="36"/>
            </w:rPr>
          </w:pPr>
        </w:p>
      </w:tc>
      <w:tc>
        <w:tcPr>
          <w:tcW w:w="1029" w:type="pct"/>
          <w:gridSpan w:val="2"/>
          <w:shd w:val="clear" w:color="auto" w:fill="auto"/>
        </w:tcPr>
        <w:p w14:paraId="5BBE1251" w14:textId="77777777" w:rsidR="003F46B9" w:rsidRDefault="0065662E">
          <w:pPr>
            <w:pStyle w:val="P68B1DB1-FooterText39"/>
            <w:jc w:val="right"/>
            <w:rPr>
              <w:sz w:val="16"/>
            </w:rPr>
          </w:pPr>
          <w:r>
            <w:t>HR</w:t>
          </w:r>
        </w:p>
      </w:tc>
    </w:tr>
  </w:tbl>
  <w:p w14:paraId="7677DCBF" w14:textId="77777777" w:rsidR="003F46B9" w:rsidRDefault="003F46B9">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2B4FE" w14:textId="77777777" w:rsidR="003F46B9" w:rsidRDefault="003F46B9">
    <w:pPr>
      <w:pStyle w:val="FooterLandscape"/>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0614" w14:textId="77777777" w:rsidR="003F46B9" w:rsidRDefault="003F46B9">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EEF" w14:textId="77777777" w:rsidR="003F46B9" w:rsidRDefault="003F46B9">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220"/>
      <w:gridCol w:w="1317"/>
      <w:gridCol w:w="1134"/>
      <w:gridCol w:w="189"/>
      <w:gridCol w:w="1346"/>
      <w:gridCol w:w="798"/>
      <w:gridCol w:w="1069"/>
    </w:tblGrid>
    <w:tr w:rsidR="003F46B9" w14:paraId="33C0CF22" w14:textId="77777777">
      <w:trPr>
        <w:jc w:val="center"/>
      </w:trPr>
      <w:tc>
        <w:tcPr>
          <w:tcW w:w="5000" w:type="pct"/>
          <w:gridSpan w:val="7"/>
          <w:shd w:val="clear" w:color="auto" w:fill="auto"/>
          <w:tcMar>
            <w:top w:w="57" w:type="dxa"/>
          </w:tcMar>
        </w:tcPr>
        <w:p w14:paraId="3E509069" w14:textId="77777777" w:rsidR="003F46B9" w:rsidRDefault="003F46B9">
          <w:pPr>
            <w:pStyle w:val="FooterText"/>
            <w:pBdr>
              <w:top w:val="single" w:sz="4" w:space="1" w:color="auto"/>
            </w:pBdr>
            <w:spacing w:before="200"/>
            <w:rPr>
              <w:sz w:val="2"/>
            </w:rPr>
          </w:pPr>
        </w:p>
      </w:tc>
    </w:tr>
    <w:tr w:rsidR="003F46B9" w14:paraId="7B484FE9" w14:textId="77777777">
      <w:trPr>
        <w:jc w:val="center"/>
      </w:trPr>
      <w:tc>
        <w:tcPr>
          <w:tcW w:w="2500" w:type="pct"/>
          <w:gridSpan w:val="2"/>
          <w:shd w:val="clear" w:color="auto" w:fill="auto"/>
          <w:tcMar>
            <w:top w:w="0" w:type="dxa"/>
          </w:tcMar>
        </w:tcPr>
        <w:p w14:paraId="06D70DAB" w14:textId="77777777" w:rsidR="003F46B9" w:rsidRDefault="0065662E">
          <w:pPr>
            <w:pStyle w:val="FooterText"/>
          </w:pPr>
          <w:r>
            <w:t>12319/21 DODAJ 1</w:t>
          </w:r>
        </w:p>
      </w:tc>
      <w:tc>
        <w:tcPr>
          <w:tcW w:w="625" w:type="pct"/>
          <w:shd w:val="clear" w:color="auto" w:fill="auto"/>
          <w:tcMar>
            <w:top w:w="0" w:type="dxa"/>
          </w:tcMar>
        </w:tcPr>
        <w:p w14:paraId="03340316" w14:textId="77777777" w:rsidR="003F46B9" w:rsidRDefault="003F46B9">
          <w:pPr>
            <w:pStyle w:val="FooterText"/>
            <w:jc w:val="center"/>
          </w:pPr>
        </w:p>
      </w:tc>
      <w:tc>
        <w:tcPr>
          <w:tcW w:w="1286" w:type="pct"/>
          <w:gridSpan w:val="3"/>
          <w:shd w:val="clear" w:color="auto" w:fill="auto"/>
          <w:tcMar>
            <w:top w:w="0" w:type="dxa"/>
          </w:tcMar>
        </w:tcPr>
        <w:p w14:paraId="7D670BAD" w14:textId="77777777" w:rsidR="003F46B9" w:rsidRDefault="0065662E">
          <w:pPr>
            <w:pStyle w:val="FooterText"/>
            <w:jc w:val="center"/>
          </w:pPr>
          <w:r>
            <w:t>JGR/sr</w:t>
          </w:r>
        </w:p>
      </w:tc>
      <w:tc>
        <w:tcPr>
          <w:tcW w:w="589" w:type="pct"/>
          <w:shd w:val="clear" w:color="auto" w:fill="auto"/>
          <w:tcMar>
            <w:top w:w="0" w:type="dxa"/>
          </w:tcMar>
        </w:tcPr>
        <w:p w14:paraId="7537DDE3"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53786F14" w14:textId="77777777">
      <w:trPr>
        <w:jc w:val="center"/>
      </w:trPr>
      <w:tc>
        <w:tcPr>
          <w:tcW w:w="1774" w:type="pct"/>
          <w:shd w:val="clear" w:color="auto" w:fill="auto"/>
        </w:tcPr>
        <w:p w14:paraId="202EA6FE" w14:textId="77777777" w:rsidR="003F46B9" w:rsidRDefault="003F46B9">
          <w:pPr>
            <w:pStyle w:val="FooterText"/>
            <w:spacing w:before="40"/>
          </w:pPr>
        </w:p>
      </w:tc>
      <w:tc>
        <w:tcPr>
          <w:tcW w:w="1455" w:type="pct"/>
          <w:gridSpan w:val="3"/>
          <w:shd w:val="clear" w:color="auto" w:fill="auto"/>
        </w:tcPr>
        <w:p w14:paraId="38C90FCD" w14:textId="77777777" w:rsidR="003F46B9" w:rsidRDefault="0065662E">
          <w:pPr>
            <w:pStyle w:val="FooterText"/>
            <w:spacing w:before="40"/>
            <w:jc w:val="center"/>
          </w:pPr>
          <w:r>
            <w:t>ECOMP 1A</w:t>
          </w:r>
        </w:p>
      </w:tc>
      <w:tc>
        <w:tcPr>
          <w:tcW w:w="742" w:type="pct"/>
          <w:shd w:val="clear" w:color="auto" w:fill="auto"/>
        </w:tcPr>
        <w:p w14:paraId="147007CA" w14:textId="77777777" w:rsidR="003F46B9" w:rsidRDefault="003F46B9">
          <w:pPr>
            <w:pStyle w:val="FooterText"/>
            <w:jc w:val="center"/>
            <w:rPr>
              <w:b/>
              <w:position w:val="-4"/>
              <w:sz w:val="36"/>
            </w:rPr>
          </w:pPr>
        </w:p>
      </w:tc>
      <w:tc>
        <w:tcPr>
          <w:tcW w:w="1029" w:type="pct"/>
          <w:gridSpan w:val="2"/>
          <w:shd w:val="clear" w:color="auto" w:fill="auto"/>
        </w:tcPr>
        <w:p w14:paraId="28E77B78" w14:textId="77777777" w:rsidR="003F46B9" w:rsidRDefault="0065662E">
          <w:pPr>
            <w:pStyle w:val="P68B1DB1-FooterText39"/>
            <w:jc w:val="right"/>
            <w:rPr>
              <w:sz w:val="16"/>
            </w:rPr>
          </w:pPr>
          <w:r>
            <w:t>HR</w:t>
          </w:r>
        </w:p>
      </w:tc>
    </w:tr>
  </w:tbl>
  <w:p w14:paraId="4E4A2CDA" w14:textId="77777777" w:rsidR="003F46B9" w:rsidRDefault="003F46B9">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370B" w14:textId="77777777" w:rsidR="003F46B9" w:rsidRDefault="003F46B9">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C3F9" w14:textId="77777777" w:rsidR="003F46B9" w:rsidRDefault="003F46B9">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3F46B9" w14:paraId="7DDA8C77" w14:textId="77777777">
      <w:trPr>
        <w:jc w:val="center"/>
      </w:trPr>
      <w:tc>
        <w:tcPr>
          <w:tcW w:w="5000" w:type="pct"/>
          <w:gridSpan w:val="7"/>
          <w:shd w:val="clear" w:color="auto" w:fill="auto"/>
          <w:tcMar>
            <w:top w:w="57" w:type="dxa"/>
          </w:tcMar>
        </w:tcPr>
        <w:p w14:paraId="1A9FC1CD" w14:textId="77777777" w:rsidR="003F46B9" w:rsidRDefault="003F46B9">
          <w:pPr>
            <w:pStyle w:val="FooterText"/>
            <w:pBdr>
              <w:top w:val="single" w:sz="4" w:space="1" w:color="auto"/>
            </w:pBdr>
            <w:spacing w:before="200"/>
            <w:rPr>
              <w:sz w:val="2"/>
            </w:rPr>
          </w:pPr>
        </w:p>
      </w:tc>
    </w:tr>
    <w:tr w:rsidR="003F46B9" w14:paraId="737BCAC6" w14:textId="77777777">
      <w:trPr>
        <w:jc w:val="center"/>
      </w:trPr>
      <w:tc>
        <w:tcPr>
          <w:tcW w:w="2500" w:type="pct"/>
          <w:gridSpan w:val="2"/>
          <w:shd w:val="clear" w:color="auto" w:fill="auto"/>
          <w:tcMar>
            <w:top w:w="0" w:type="dxa"/>
          </w:tcMar>
        </w:tcPr>
        <w:p w14:paraId="444BBDDF" w14:textId="77777777" w:rsidR="003F46B9" w:rsidRDefault="0065662E">
          <w:pPr>
            <w:pStyle w:val="FooterText"/>
          </w:pPr>
          <w:r>
            <w:t>12319/21 DODAJ 1</w:t>
          </w:r>
        </w:p>
      </w:tc>
      <w:tc>
        <w:tcPr>
          <w:tcW w:w="625" w:type="pct"/>
          <w:shd w:val="clear" w:color="auto" w:fill="auto"/>
          <w:tcMar>
            <w:top w:w="0" w:type="dxa"/>
          </w:tcMar>
        </w:tcPr>
        <w:p w14:paraId="28BFEB9B" w14:textId="77777777" w:rsidR="003F46B9" w:rsidRDefault="003F46B9">
          <w:pPr>
            <w:pStyle w:val="FooterText"/>
            <w:jc w:val="center"/>
          </w:pPr>
        </w:p>
      </w:tc>
      <w:tc>
        <w:tcPr>
          <w:tcW w:w="1286" w:type="pct"/>
          <w:gridSpan w:val="3"/>
          <w:shd w:val="clear" w:color="auto" w:fill="auto"/>
          <w:tcMar>
            <w:top w:w="0" w:type="dxa"/>
          </w:tcMar>
        </w:tcPr>
        <w:p w14:paraId="65BE59BF" w14:textId="77777777" w:rsidR="003F46B9" w:rsidRDefault="0065662E">
          <w:pPr>
            <w:pStyle w:val="FooterText"/>
            <w:jc w:val="center"/>
          </w:pPr>
          <w:r>
            <w:t>JGR/sr</w:t>
          </w:r>
        </w:p>
      </w:tc>
      <w:tc>
        <w:tcPr>
          <w:tcW w:w="589" w:type="pct"/>
          <w:shd w:val="clear" w:color="auto" w:fill="auto"/>
          <w:tcMar>
            <w:top w:w="0" w:type="dxa"/>
          </w:tcMar>
        </w:tcPr>
        <w:p w14:paraId="5285D651" w14:textId="77777777" w:rsidR="003F46B9" w:rsidRDefault="0065662E">
          <w:pPr>
            <w:pStyle w:val="FooterText"/>
            <w:jc w:val="right"/>
          </w:pPr>
          <w:r>
            <w:fldChar w:fldCharType="begin"/>
          </w:r>
          <w:r>
            <w:instrText xml:space="preserve"> PAGE  \* MERGEFORMAT </w:instrText>
          </w:r>
          <w:r>
            <w:fldChar w:fldCharType="separate"/>
          </w:r>
          <w:r>
            <w:t>128</w:t>
          </w:r>
          <w:r>
            <w:fldChar w:fldCharType="end"/>
          </w:r>
        </w:p>
      </w:tc>
    </w:tr>
    <w:tr w:rsidR="003F46B9" w14:paraId="2CE916B0" w14:textId="77777777">
      <w:trPr>
        <w:jc w:val="center"/>
      </w:trPr>
      <w:tc>
        <w:tcPr>
          <w:tcW w:w="1774" w:type="pct"/>
          <w:shd w:val="clear" w:color="auto" w:fill="auto"/>
        </w:tcPr>
        <w:p w14:paraId="6F1EF69A" w14:textId="77777777" w:rsidR="003F46B9" w:rsidRDefault="003F46B9">
          <w:pPr>
            <w:pStyle w:val="FooterText"/>
            <w:spacing w:before="40"/>
          </w:pPr>
        </w:p>
      </w:tc>
      <w:tc>
        <w:tcPr>
          <w:tcW w:w="1455" w:type="pct"/>
          <w:gridSpan w:val="3"/>
          <w:shd w:val="clear" w:color="auto" w:fill="auto"/>
        </w:tcPr>
        <w:p w14:paraId="11E768B6" w14:textId="77777777" w:rsidR="003F46B9" w:rsidRDefault="0065662E">
          <w:pPr>
            <w:pStyle w:val="FooterText"/>
            <w:spacing w:before="40"/>
            <w:jc w:val="center"/>
          </w:pPr>
          <w:r>
            <w:t>ECOMP 1A</w:t>
          </w:r>
        </w:p>
      </w:tc>
      <w:tc>
        <w:tcPr>
          <w:tcW w:w="742" w:type="pct"/>
          <w:shd w:val="clear" w:color="auto" w:fill="auto"/>
        </w:tcPr>
        <w:p w14:paraId="75A8BDD8" w14:textId="77777777" w:rsidR="003F46B9" w:rsidRDefault="003F46B9">
          <w:pPr>
            <w:pStyle w:val="FooterText"/>
            <w:jc w:val="center"/>
            <w:rPr>
              <w:b/>
              <w:position w:val="-4"/>
              <w:sz w:val="36"/>
            </w:rPr>
          </w:pPr>
        </w:p>
      </w:tc>
      <w:tc>
        <w:tcPr>
          <w:tcW w:w="1029" w:type="pct"/>
          <w:gridSpan w:val="2"/>
          <w:shd w:val="clear" w:color="auto" w:fill="auto"/>
        </w:tcPr>
        <w:p w14:paraId="6587FC5B" w14:textId="77777777" w:rsidR="003F46B9" w:rsidRDefault="0065662E">
          <w:pPr>
            <w:pStyle w:val="P68B1DB1-FooterText39"/>
            <w:jc w:val="right"/>
            <w:rPr>
              <w:sz w:val="16"/>
            </w:rPr>
          </w:pPr>
          <w:r>
            <w:t>HR</w:t>
          </w:r>
        </w:p>
      </w:tc>
    </w:tr>
  </w:tbl>
  <w:p w14:paraId="0518196F" w14:textId="77777777" w:rsidR="003F46B9" w:rsidRDefault="003F46B9">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FF43" w14:textId="77777777" w:rsidR="003F46B9" w:rsidRDefault="003F46B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4D2C" w14:textId="77777777" w:rsidR="003F46B9" w:rsidRDefault="003F4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7D5C2" w14:textId="599B8023" w:rsidR="00451C1E" w:rsidRPr="0065662E" w:rsidRDefault="0065662E" w:rsidP="0065662E">
    <w:pPr>
      <w:pStyle w:val="FooterCoverPage"/>
      <w:rPr>
        <w:rFonts w:ascii="Arial" w:hAnsi="Arial" w:cs="Arial"/>
        <w:b/>
        <w:sz w:val="48"/>
      </w:rPr>
    </w:pPr>
    <w:r w:rsidRPr="0065662E">
      <w:rPr>
        <w:rFonts w:ascii="Arial" w:hAnsi="Arial" w:cs="Arial"/>
        <w:b/>
        <w:sz w:val="48"/>
      </w:rPr>
      <w:t>HR</w:t>
    </w:r>
    <w:r w:rsidRPr="0065662E">
      <w:rPr>
        <w:rFonts w:ascii="Arial" w:hAnsi="Arial" w:cs="Arial"/>
        <w:b/>
        <w:sz w:val="48"/>
      </w:rPr>
      <w:tab/>
    </w:r>
    <w:r w:rsidRPr="0065662E">
      <w:rPr>
        <w:rFonts w:ascii="Arial" w:hAnsi="Arial" w:cs="Arial"/>
        <w:b/>
        <w:sz w:val="48"/>
      </w:rPr>
      <w:tab/>
    </w:r>
    <w:r w:rsidRPr="0065662E">
      <w:tab/>
    </w:r>
    <w:r w:rsidRPr="0065662E">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66157"/>
      <w:docPartObj>
        <w:docPartGallery w:val="Page Numbers (Bottom of Page)"/>
        <w:docPartUnique/>
      </w:docPartObj>
    </w:sdtPr>
    <w:sdtEndPr>
      <w:rPr>
        <w:noProof/>
      </w:rPr>
    </w:sdtEndPr>
    <w:sdtContent>
      <w:p w14:paraId="047F5C07" w14:textId="2E6F7C19"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D937" w14:textId="77777777" w:rsidR="003F46B9" w:rsidRDefault="003F46B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F711" w14:textId="77777777" w:rsidR="003F46B9" w:rsidRDefault="003F46B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61620"/>
      <w:docPartObj>
        <w:docPartGallery w:val="Page Numbers (Bottom of Page)"/>
        <w:docPartUnique/>
      </w:docPartObj>
    </w:sdtPr>
    <w:sdtEndPr>
      <w:rPr>
        <w:noProof/>
      </w:rPr>
    </w:sdtEndPr>
    <w:sdtContent>
      <w:p w14:paraId="3FB41878" w14:textId="15616F7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6B98C" w14:textId="77777777" w:rsidR="003F46B9" w:rsidRDefault="003F46B9">
    <w:pPr>
      <w:pStyle w:val="FooterLandscape"/>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2B0E" w14:textId="77777777" w:rsidR="003F46B9" w:rsidRDefault="003F46B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450052"/>
      <w:docPartObj>
        <w:docPartGallery w:val="Page Numbers (Bottom of Page)"/>
        <w:docPartUnique/>
      </w:docPartObj>
    </w:sdtPr>
    <w:sdtEndPr>
      <w:rPr>
        <w:noProof/>
      </w:rPr>
    </w:sdtEndPr>
    <w:sdtContent>
      <w:p w14:paraId="34263EF8" w14:textId="176EA20E"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C0D" w14:textId="77777777" w:rsidR="003F46B9" w:rsidRDefault="003F46B9">
    <w:pPr>
      <w:pStyle w:val="FooterLandscape"/>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276B" w14:textId="77777777" w:rsidR="003F46B9" w:rsidRDefault="003F46B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61853"/>
      <w:docPartObj>
        <w:docPartGallery w:val="Page Numbers (Bottom of Page)"/>
        <w:docPartUnique/>
      </w:docPartObj>
    </w:sdtPr>
    <w:sdtEndPr>
      <w:rPr>
        <w:noProof/>
      </w:rPr>
    </w:sdtEndPr>
    <w:sdtContent>
      <w:p w14:paraId="01C824CB" w14:textId="2F7D2627"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435F0" w14:textId="77777777" w:rsidR="0065662E" w:rsidRPr="0065662E" w:rsidRDefault="0065662E" w:rsidP="0065662E">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6431B" w14:textId="77777777" w:rsidR="003F46B9" w:rsidRDefault="003F46B9">
    <w:pPr>
      <w:pStyle w:val="FooterLandscape"/>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3D47" w14:textId="77777777" w:rsidR="003F46B9" w:rsidRDefault="003F46B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41551"/>
      <w:docPartObj>
        <w:docPartGallery w:val="Page Numbers (Bottom of Page)"/>
        <w:docPartUnique/>
      </w:docPartObj>
    </w:sdtPr>
    <w:sdtEndPr>
      <w:rPr>
        <w:noProof/>
      </w:rPr>
    </w:sdtEndPr>
    <w:sdtContent>
      <w:p w14:paraId="2B00590B" w14:textId="0D27009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D338" w14:textId="77777777" w:rsidR="003F46B9" w:rsidRDefault="003F46B9">
    <w:pPr>
      <w:pStyle w:val="Footer"/>
    </w:pPr>
  </w:p>
  <w:p w14:paraId="7859DDC3" w14:textId="77777777" w:rsidR="003F46B9" w:rsidRDefault="003F46B9"/>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D625C" w14:textId="77777777" w:rsidR="003F46B9" w:rsidRDefault="003F46B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692940"/>
      <w:docPartObj>
        <w:docPartGallery w:val="Page Numbers (Bottom of Page)"/>
        <w:docPartUnique/>
      </w:docPartObj>
    </w:sdtPr>
    <w:sdtEndPr>
      <w:rPr>
        <w:noProof/>
      </w:rPr>
    </w:sdtEndPr>
    <w:sdtContent>
      <w:p w14:paraId="013F4691" w14:textId="5DF97B31"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7267" w14:textId="77777777" w:rsidR="003F46B9" w:rsidRDefault="003F46B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A0F43" w14:textId="77777777" w:rsidR="003F46B9" w:rsidRDefault="003F46B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440865"/>
      <w:docPartObj>
        <w:docPartGallery w:val="Page Numbers (Bottom of Page)"/>
        <w:docPartUnique/>
      </w:docPartObj>
    </w:sdtPr>
    <w:sdtEndPr>
      <w:rPr>
        <w:noProof/>
      </w:rPr>
    </w:sdtEndPr>
    <w:sdtContent>
      <w:p w14:paraId="19DC4DC1" w14:textId="06359DC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714F5" w14:textId="77777777" w:rsidR="003F46B9" w:rsidRDefault="003F46B9">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B9E0" w14:textId="77777777" w:rsidR="003F46B9" w:rsidRDefault="003F46B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6D79" w14:textId="77777777" w:rsidR="003F46B9" w:rsidRDefault="003F46B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711902"/>
      <w:docPartObj>
        <w:docPartGallery w:val="Page Numbers (Bottom of Page)"/>
        <w:docPartUnique/>
      </w:docPartObj>
    </w:sdtPr>
    <w:sdtEndPr>
      <w:rPr>
        <w:noProof/>
      </w:rPr>
    </w:sdtEndPr>
    <w:sdtContent>
      <w:p w14:paraId="195157CF" w14:textId="4C2FF3B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4D54" w14:textId="77777777" w:rsidR="003F46B9" w:rsidRDefault="003F46B9">
    <w:pPr>
      <w:pStyle w:val="FooterLandscape"/>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57BD5" w14:textId="77777777" w:rsidR="003F46B9" w:rsidRDefault="003F46B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571440"/>
      <w:docPartObj>
        <w:docPartGallery w:val="Page Numbers (Bottom of Page)"/>
        <w:docPartUnique/>
      </w:docPartObj>
    </w:sdtPr>
    <w:sdtEndPr>
      <w:rPr>
        <w:noProof/>
      </w:rPr>
    </w:sdtEndPr>
    <w:sdtContent>
      <w:p w14:paraId="75AFB196" w14:textId="04CA46AD"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FB61" w14:textId="77777777" w:rsidR="003F46B9" w:rsidRDefault="003F46B9">
    <w:pPr>
      <w:pStyle w:val="FooterLandscape"/>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F0F4A" w14:textId="77777777" w:rsidR="003F46B9" w:rsidRDefault="003F46B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060416"/>
      <w:docPartObj>
        <w:docPartGallery w:val="Page Numbers (Bottom of Page)"/>
        <w:docPartUnique/>
      </w:docPartObj>
    </w:sdtPr>
    <w:sdtEndPr>
      <w:rPr>
        <w:noProof/>
      </w:rPr>
    </w:sdtEndPr>
    <w:sdtContent>
      <w:p w14:paraId="7441F4E4" w14:textId="05BD869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FA3B" w14:textId="77777777" w:rsidR="003F46B9" w:rsidRDefault="003F46B9">
    <w:pPr>
      <w:pStyle w:val="FooterLandscape"/>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A3AE5" w14:textId="77777777" w:rsidR="003F46B9" w:rsidRDefault="003F46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70722"/>
      <w:docPartObj>
        <w:docPartGallery w:val="Page Numbers (Bottom of Page)"/>
        <w:docPartUnique/>
      </w:docPartObj>
    </w:sdtPr>
    <w:sdtEndPr>
      <w:rPr>
        <w:noProof/>
      </w:rPr>
    </w:sdtEndPr>
    <w:sdtContent>
      <w:p w14:paraId="6F23EEF8" w14:textId="6F3C52F6" w:rsidR="003F46B9" w:rsidRDefault="0065662E">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300825"/>
      <w:docPartObj>
        <w:docPartGallery w:val="Page Numbers (Bottom of Page)"/>
        <w:docPartUnique/>
      </w:docPartObj>
    </w:sdtPr>
    <w:sdtEndPr>
      <w:rPr>
        <w:noProof/>
      </w:rPr>
    </w:sdtEndPr>
    <w:sdtContent>
      <w:p w14:paraId="7DEFFEF9" w14:textId="56D6204B"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94FA" w14:textId="77777777" w:rsidR="003F46B9" w:rsidRDefault="003F46B9">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FFF2" w14:textId="77777777" w:rsidR="003F46B9" w:rsidRDefault="003F46B9">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811822"/>
      <w:docPartObj>
        <w:docPartGallery w:val="Page Numbers (Bottom of Page)"/>
        <w:docPartUnique/>
      </w:docPartObj>
    </w:sdtPr>
    <w:sdtEndPr>
      <w:rPr>
        <w:noProof/>
      </w:rPr>
    </w:sdtEndPr>
    <w:sdtContent>
      <w:p w14:paraId="51415AFD" w14:textId="04A3F11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F6DF" w14:textId="77777777" w:rsidR="003F46B9" w:rsidRDefault="003F46B9">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05B8" w14:textId="77777777" w:rsidR="003F46B9" w:rsidRDefault="003F46B9">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682394"/>
      <w:docPartObj>
        <w:docPartGallery w:val="Page Numbers (Bottom of Page)"/>
        <w:docPartUnique/>
      </w:docPartObj>
    </w:sdtPr>
    <w:sdtEndPr>
      <w:rPr>
        <w:noProof/>
      </w:rPr>
    </w:sdtEndPr>
    <w:sdtContent>
      <w:p w14:paraId="0C9368F4" w14:textId="2586CFE9"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1823" w14:textId="77777777" w:rsidR="003F46B9" w:rsidRDefault="003F46B9">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DE45" w14:textId="77777777" w:rsidR="003F46B9" w:rsidRDefault="003F46B9">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53157"/>
      <w:docPartObj>
        <w:docPartGallery w:val="Page Numbers (Bottom of Page)"/>
        <w:docPartUnique/>
      </w:docPartObj>
    </w:sdtPr>
    <w:sdtEndPr>
      <w:rPr>
        <w:noProof/>
      </w:rPr>
    </w:sdtEndPr>
    <w:sdtContent>
      <w:p w14:paraId="2CC3C195" w14:textId="7120D15A"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5CD46" w14:textId="77777777" w:rsidR="003F46B9" w:rsidRDefault="003F46B9">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4B77" w14:textId="77777777" w:rsidR="003F46B9" w:rsidRDefault="003F46B9">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40B5" w14:textId="77777777" w:rsidR="003F46B9" w:rsidRDefault="003F46B9">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51864"/>
      <w:docPartObj>
        <w:docPartGallery w:val="Page Numbers (Bottom of Page)"/>
        <w:docPartUnique/>
      </w:docPartObj>
    </w:sdtPr>
    <w:sdtEndPr>
      <w:rPr>
        <w:noProof/>
      </w:rPr>
    </w:sdtEndPr>
    <w:sdtContent>
      <w:p w14:paraId="11CC6531" w14:textId="3C3F8D7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BD9F" w14:textId="77777777" w:rsidR="003F46B9" w:rsidRDefault="003F46B9">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7864" w14:textId="77777777" w:rsidR="003F46B9" w:rsidRDefault="003F46B9">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936866"/>
      <w:docPartObj>
        <w:docPartGallery w:val="Page Numbers (Bottom of Page)"/>
        <w:docPartUnique/>
      </w:docPartObj>
    </w:sdtPr>
    <w:sdtEndPr>
      <w:rPr>
        <w:noProof/>
      </w:rPr>
    </w:sdtEndPr>
    <w:sdtContent>
      <w:p w14:paraId="53A01261" w14:textId="7AD6F287"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C779" w14:textId="77777777" w:rsidR="003F46B9" w:rsidRDefault="003F46B9">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952B2" w14:textId="77777777" w:rsidR="003F46B9" w:rsidRDefault="003F46B9">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19504"/>
      <w:docPartObj>
        <w:docPartGallery w:val="Page Numbers (Bottom of Page)"/>
        <w:docPartUnique/>
      </w:docPartObj>
    </w:sdtPr>
    <w:sdtEndPr>
      <w:rPr>
        <w:noProof/>
      </w:rPr>
    </w:sdtEndPr>
    <w:sdtContent>
      <w:p w14:paraId="5655A018" w14:textId="04CB06A1"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479B" w14:textId="77777777" w:rsidR="003F46B9" w:rsidRDefault="003F46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D26B" w14:textId="77777777" w:rsidR="003F46B9" w:rsidRDefault="003F46B9">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80C0" w14:textId="77777777" w:rsidR="003F46B9" w:rsidRDefault="003F46B9">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038205"/>
      <w:docPartObj>
        <w:docPartGallery w:val="Page Numbers (Bottom of Page)"/>
        <w:docPartUnique/>
      </w:docPartObj>
    </w:sdtPr>
    <w:sdtEndPr>
      <w:rPr>
        <w:noProof/>
      </w:rPr>
    </w:sdtEndPr>
    <w:sdtContent>
      <w:p w14:paraId="38FED6D7" w14:textId="0909BBAA"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B61A" w14:textId="77777777" w:rsidR="003F46B9" w:rsidRDefault="003F46B9">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D2E7" w14:textId="77777777" w:rsidR="003F46B9" w:rsidRDefault="003F46B9">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499852"/>
      <w:docPartObj>
        <w:docPartGallery w:val="Page Numbers (Bottom of Page)"/>
        <w:docPartUnique/>
      </w:docPartObj>
    </w:sdtPr>
    <w:sdtEndPr>
      <w:rPr>
        <w:noProof/>
      </w:rPr>
    </w:sdtEndPr>
    <w:sdtContent>
      <w:p w14:paraId="071F6DD8" w14:textId="069B80D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0F36" w14:textId="77777777" w:rsidR="003F46B9" w:rsidRDefault="003F46B9">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60A7" w14:textId="77777777" w:rsidR="003F46B9" w:rsidRDefault="003F46B9">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801212"/>
      <w:docPartObj>
        <w:docPartGallery w:val="Page Numbers (Bottom of Page)"/>
        <w:docPartUnique/>
      </w:docPartObj>
    </w:sdtPr>
    <w:sdtEndPr>
      <w:rPr>
        <w:noProof/>
      </w:rPr>
    </w:sdtEndPr>
    <w:sdtContent>
      <w:p w14:paraId="344FC122" w14:textId="5BC32696"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18A0" w14:textId="77777777" w:rsidR="003F46B9" w:rsidRDefault="003F46B9">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FF5EC" w14:textId="77777777" w:rsidR="003F46B9" w:rsidRDefault="003F46B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835591"/>
      <w:docPartObj>
        <w:docPartGallery w:val="Page Numbers (Bottom of Page)"/>
        <w:docPartUnique/>
      </w:docPartObj>
    </w:sdtPr>
    <w:sdtEndPr>
      <w:rPr>
        <w:noProof/>
      </w:rPr>
    </w:sdtEndPr>
    <w:sdtContent>
      <w:p w14:paraId="7484E3B9" w14:textId="58004473" w:rsidR="003F46B9" w:rsidRDefault="0065662E">
        <w:pPr>
          <w:pStyle w:val="Footer"/>
          <w:jc w:val="center"/>
        </w:pPr>
        <w:r>
          <w:fldChar w:fldCharType="begin"/>
        </w:r>
        <w:r>
          <w:instrText xml:space="preserve"> PAGE   \* MERGEFORMAT </w:instrText>
        </w:r>
        <w:r>
          <w:fldChar w:fldCharType="separate"/>
        </w:r>
        <w:r>
          <w:rPr>
            <w:noProof/>
          </w:rPr>
          <w:t>3</w:t>
        </w:r>
        <w:r>
          <w:fldChar w:fldCharType="end"/>
        </w:r>
      </w:p>
    </w:sdtContent>
  </w:sdt>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452052"/>
      <w:docPartObj>
        <w:docPartGallery w:val="Page Numbers (Bottom of Page)"/>
        <w:docPartUnique/>
      </w:docPartObj>
    </w:sdtPr>
    <w:sdtEndPr>
      <w:rPr>
        <w:noProof/>
      </w:rPr>
    </w:sdtEndPr>
    <w:sdtContent>
      <w:p w14:paraId="3B328F9A" w14:textId="46F7A8F8"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422E" w14:textId="77777777" w:rsidR="003F46B9" w:rsidRDefault="003F46B9">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4E46" w14:textId="77777777" w:rsidR="003F46B9" w:rsidRDefault="003F46B9">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6751"/>
      <w:docPartObj>
        <w:docPartGallery w:val="Page Numbers (Bottom of Page)"/>
        <w:docPartUnique/>
      </w:docPartObj>
    </w:sdtPr>
    <w:sdtEndPr>
      <w:rPr>
        <w:noProof/>
      </w:rPr>
    </w:sdtEndPr>
    <w:sdtContent>
      <w:p w14:paraId="70148179" w14:textId="78B97BD4" w:rsidR="003F46B9" w:rsidRDefault="0065662E">
        <w:pPr>
          <w:pStyle w:val="Footer"/>
          <w:jc w:val="center"/>
        </w:pPr>
        <w:r>
          <w:fldChar w:fldCharType="begin"/>
        </w:r>
        <w:r>
          <w:instrText xml:space="preserve"> P</w:instrText>
        </w:r>
        <w:r>
          <w:instrText xml:space="preserve">AGE   \* MERGEFORMAT </w:instrText>
        </w:r>
        <w:r>
          <w:fldChar w:fldCharType="separate"/>
        </w:r>
        <w:r>
          <w:t>2</w:t>
        </w:r>
        <w:r>
          <w:fldChar w:fldCharType="end"/>
        </w:r>
      </w:p>
    </w:sdtContent>
  </w:sdt>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C36F" w14:textId="77777777" w:rsidR="003F46B9" w:rsidRDefault="003F46B9">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6E98B" w14:textId="77777777" w:rsidR="003F46B9" w:rsidRDefault="003F46B9">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93047"/>
      <w:docPartObj>
        <w:docPartGallery w:val="Page Numbers (Bottom of Page)"/>
        <w:docPartUnique/>
      </w:docPartObj>
    </w:sdtPr>
    <w:sdtEndPr>
      <w:rPr>
        <w:noProof/>
      </w:rPr>
    </w:sdtEndPr>
    <w:sdtContent>
      <w:p w14:paraId="7E15F621" w14:textId="5630721C"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6279" w14:textId="77777777" w:rsidR="003F46B9" w:rsidRDefault="003F46B9">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46ED" w14:textId="77777777" w:rsidR="003F46B9" w:rsidRDefault="003F46B9">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1497877"/>
      <w:docPartObj>
        <w:docPartGallery w:val="Page Numbers (Bottom of Page)"/>
        <w:docPartUnique/>
      </w:docPartObj>
    </w:sdtPr>
    <w:sdtEndPr>
      <w:rPr>
        <w:noProof/>
      </w:rPr>
    </w:sdtEndPr>
    <w:sdtContent>
      <w:p w14:paraId="4BC1F876" w14:textId="7D9A3EE9"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9771" w14:textId="77777777" w:rsidR="003F46B9" w:rsidRDefault="003F46B9">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91AF" w14:textId="77777777" w:rsidR="003F46B9" w:rsidRDefault="003F46B9">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3775" w14:textId="77777777" w:rsidR="003F46B9" w:rsidRDefault="003F46B9">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22436"/>
      <w:docPartObj>
        <w:docPartGallery w:val="Page Numbers (Bottom of Page)"/>
        <w:docPartUnique/>
      </w:docPartObj>
    </w:sdtPr>
    <w:sdtEndPr>
      <w:rPr>
        <w:noProof/>
      </w:rPr>
    </w:sdtEndPr>
    <w:sdtContent>
      <w:p w14:paraId="064217B5" w14:textId="32D8224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F062" w14:textId="77777777" w:rsidR="003F46B9" w:rsidRDefault="003F46B9">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6825D" w14:textId="77777777" w:rsidR="003F46B9" w:rsidRDefault="003F46B9">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818058"/>
      <w:docPartObj>
        <w:docPartGallery w:val="Page Numbers (Bottom of Page)"/>
        <w:docPartUnique/>
      </w:docPartObj>
    </w:sdtPr>
    <w:sdtEndPr>
      <w:rPr>
        <w:noProof/>
      </w:rPr>
    </w:sdtEndPr>
    <w:sdtContent>
      <w:p w14:paraId="733BA8AA" w14:textId="357E2AB2"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4631" w14:textId="77777777" w:rsidR="003F46B9" w:rsidRDefault="003F46B9">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CEF8" w14:textId="77777777" w:rsidR="003F46B9" w:rsidRDefault="003F46B9">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3248"/>
      <w:docPartObj>
        <w:docPartGallery w:val="Page Numbers (Bottom of Page)"/>
        <w:docPartUnique/>
      </w:docPartObj>
    </w:sdtPr>
    <w:sdtEndPr>
      <w:rPr>
        <w:noProof/>
      </w:rPr>
    </w:sdtEndPr>
    <w:sdtContent>
      <w:p w14:paraId="698FC6A9" w14:textId="48B5AF50" w:rsidR="003F46B9" w:rsidRDefault="0065662E">
        <w:pPr>
          <w:pStyle w:val="Footer"/>
          <w:jc w:val="center"/>
        </w:pPr>
        <w:r>
          <w:fldChar w:fldCharType="begin"/>
        </w:r>
        <w:r>
          <w:instrText xml:space="preserve"> PAGE   \* MERGEFORMAT </w:instrText>
        </w:r>
        <w:r>
          <w:fldChar w:fldCharType="separate"/>
        </w:r>
        <w:r>
          <w:t>2</w:t>
        </w:r>
        <w:r>
          <w:fldChar w:fldCharType="end"/>
        </w:r>
      </w:p>
    </w:sdtContent>
  </w:sdt>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C151" w14:textId="77777777" w:rsidR="003F46B9" w:rsidRDefault="003F4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AF362" w14:textId="77777777" w:rsidR="00AA66D9" w:rsidRDefault="00AA66D9">
      <w:pPr>
        <w:spacing w:after="0" w:line="240" w:lineRule="auto"/>
      </w:pPr>
      <w:r>
        <w:separator/>
      </w:r>
    </w:p>
  </w:footnote>
  <w:footnote w:type="continuationSeparator" w:id="0">
    <w:p w14:paraId="261E9B63" w14:textId="77777777" w:rsidR="00AA66D9" w:rsidRDefault="00AA66D9">
      <w:pPr>
        <w:spacing w:after="0" w:line="240" w:lineRule="auto"/>
      </w:pPr>
      <w:r>
        <w:continuationSeparator/>
      </w:r>
    </w:p>
  </w:footnote>
  <w:footnote w:type="continuationNotice" w:id="1">
    <w:p w14:paraId="376F4744" w14:textId="77777777" w:rsidR="00AA66D9" w:rsidRDefault="00AA66D9">
      <w:pPr>
        <w:spacing w:after="0" w:line="240" w:lineRule="auto"/>
      </w:pPr>
    </w:p>
  </w:footnote>
  <w:footnote w:id="2">
    <w:p w14:paraId="4DE4C5A2" w14:textId="77777777" w:rsidR="003F46B9" w:rsidRDefault="0065662E">
      <w:pPr>
        <w:pStyle w:val="FootnoteText"/>
        <w:ind w:left="0" w:firstLine="0"/>
      </w:pPr>
      <w:r>
        <w:rPr>
          <w:rStyle w:val="FootnoteReference"/>
        </w:rPr>
        <w:footnoteRef/>
      </w:r>
      <w:r>
        <w:t xml:space="preserve"> Rumunjska još nije ispunila tu pravnu obvezu, a povreda je u tijeku. Priznavanje datuma podnošenja NAPCP-a u okviru plana ne znači odobrenje Komisije. Time se doista ne dovodi u pitanje povreda koja je u tijeku zbog nepodnošenja NAPCP-a.</w:t>
      </w:r>
    </w:p>
  </w:footnote>
  <w:footnote w:id="3">
    <w:p w14:paraId="7363E75D"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w:t>
      </w:r>
      <w:r>
        <w:rPr>
          <w:rFonts w:ascii="Times New Roman" w:hAnsi="Times New Roman"/>
          <w:sz w:val="20"/>
        </w:rPr>
        <w:t>e primjenjuje na mjere u okviru ove mjere u postrojenjima koja su namijenjena isključivo obradi opasnog otpada koji se ne može reciklirati i postojećim postrojenjima, u kojima su mjere u okviru ove mjere namijenjene povećanju energetske učinkovitosti, hvat</w:t>
      </w:r>
      <w:r>
        <w:rPr>
          <w:rFonts w:ascii="Times New Roman" w:hAnsi="Times New Roman"/>
          <w:sz w:val="20"/>
        </w:rPr>
        <w:t>anju ispušnih plinova za skladištenje ili uporabu ili oporabi materijala iz pepela za spaljivanje, pod uvjetom da takve radnje u okviru ove mjere ne dovode do povećanja kapaciteta postrojenja za obradu otpada ili produljenja životnog vijeka postrojenja; za</w:t>
      </w:r>
      <w:r>
        <w:rPr>
          <w:rFonts w:ascii="Times New Roman" w:hAnsi="Times New Roman"/>
          <w:sz w:val="20"/>
        </w:rPr>
        <w:t xml:space="preserve"> koje postoje dokazi na razini postrojenja.</w:t>
      </w:r>
    </w:p>
  </w:footnote>
  <w:footnote w:id="4">
    <w:p w14:paraId="5AAFDAC3"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postojećim postrojenjima za mehaničko-biološku obradu, ako su mjere u okviru ove mjere namijenjene povećanju energetske učinkovitosti ili naknadnoj ugr</w:t>
      </w:r>
      <w:r>
        <w:rPr>
          <w:rFonts w:ascii="Times New Roman" w:hAnsi="Times New Roman"/>
          <w:sz w:val="20"/>
        </w:rPr>
        <w:t>adnji u postupke recikliranja odvojenog otpada radi kompostiranja biootpada i anaerobne razgradnje biološkog otpada, pod uvjetom da takve mjere u okviru ove mjere ne dovode do povećanja kapaciteta postrojenja za obradu otpada ili produljenja životnog vijek</w:t>
      </w:r>
      <w:r>
        <w:rPr>
          <w:rFonts w:ascii="Times New Roman" w:hAnsi="Times New Roman"/>
          <w:sz w:val="20"/>
        </w:rPr>
        <w:t>a postrojenja; za koje postoje dokazi na razini postrojenja.</w:t>
      </w:r>
    </w:p>
  </w:footnote>
  <w:footnote w:id="5">
    <w:p w14:paraId="27684DF9"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isključivo obradi opasnog otpada koji se ne može reciklirati i postojećim postrojenjima, u kojima su</w:t>
      </w:r>
      <w:r>
        <w:rPr>
          <w:rFonts w:ascii="Times New Roman" w:hAnsi="Times New Roman"/>
          <w:sz w:val="20"/>
        </w:rPr>
        <w:t xml:space="preserve"> mjere u okviru ove mjere namijenjene povećanju energetske učinkovitosti, hvatanju ispušnih plinova za skladištenje ili uporabu ili oporabi materijala iz pepela za spaljivanje, pod uvjetom da takve radnje u okviru ove mjere ne dovode do povećanja kapacitet</w:t>
      </w:r>
      <w:r>
        <w:rPr>
          <w:rFonts w:ascii="Times New Roman" w:hAnsi="Times New Roman"/>
          <w:sz w:val="20"/>
        </w:rPr>
        <w:t>a postrojenja za obradu otpada ili produljenja životnog vijeka postrojenja; za koje postoje dokazi na razini postrojenja.</w:t>
      </w:r>
    </w:p>
  </w:footnote>
  <w:footnote w:id="6">
    <w:p w14:paraId="678408D8"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postojećim postrojenjima za mehaničko-biološku obradu, ako su mjere u okv</w:t>
      </w:r>
      <w:r>
        <w:rPr>
          <w:rFonts w:ascii="Times New Roman" w:hAnsi="Times New Roman"/>
          <w:sz w:val="20"/>
        </w:rPr>
        <w:t>iru ove mjere namijenjene povećanju energetske učinkovitosti ili naknadnoj ugradnji u postupke recikliranja odvojenog otpada radi kompostiranja biootpada i anaerobne razgradnje biološkog otpada, pod uvjetom da takve mjere u okviru ove mjere ne dovode do po</w:t>
      </w:r>
      <w:r>
        <w:rPr>
          <w:rFonts w:ascii="Times New Roman" w:hAnsi="Times New Roman"/>
          <w:sz w:val="20"/>
        </w:rPr>
        <w:t>većanja kapaciteta postrojenja za obradu otpada ili produljenja životnog vijeka postrojenja; za koje postoje dokazi na razini postrojenja.</w:t>
      </w:r>
    </w:p>
  </w:footnote>
  <w:footnote w:id="7">
    <w:p w14:paraId="4F5439EF"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Osim projekata u okviru ove mjere u području proizvodnje električne energije i/ili topline te povezane infrastruktu</w:t>
      </w:r>
      <w:r>
        <w:rPr>
          <w:rFonts w:ascii="Times New Roman" w:hAnsi="Times New Roman"/>
          <w:sz w:val="20"/>
        </w:rPr>
        <w:t>re za prijenos i distribuciju, u kojima se upotrebljava prirodni plin, koji su u skladu s uvjetima iz Priloga III. Tehničkim smjernicama o nenanošenju bitne štete (2021/C58/01).</w:t>
      </w:r>
    </w:p>
  </w:footnote>
  <w:footnote w:id="8">
    <w:p w14:paraId="6D3F5C24"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Ako se aktivnostima koje se podupiru postižu predviđene emisije stakleničkih</w:t>
      </w:r>
      <w:r>
        <w:rPr>
          <w:rFonts w:ascii="Times New Roman" w:hAnsi="Times New Roman"/>
          <w:sz w:val="20"/>
        </w:rPr>
        <w:t xml:space="preserve"> plinova koje nisu znatno niže od relevantnih referentnih vrijednosti, potrebno je objasniti razloge zašto to nije moguće. Referentne vrijednosti za besplatnu dodjelu emisijskih jedinica za aktivnosti obuhvaćene područjem primjene sustava trgovanja emisija</w:t>
      </w:r>
      <w:r>
        <w:rPr>
          <w:rFonts w:ascii="Times New Roman" w:hAnsi="Times New Roman"/>
          <w:sz w:val="20"/>
        </w:rPr>
        <w:t>ma, kako je utvrđeno u Provedbenoj uredbi Komisije (EU) 2021/447.</w:t>
      </w:r>
    </w:p>
  </w:footnote>
  <w:footnote w:id="9">
    <w:p w14:paraId="32BEB482"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isključivo obradi opasnog otpada koji se ne može reciklirati i postojećim postrojenjima, u koji</w:t>
      </w:r>
      <w:r>
        <w:rPr>
          <w:rFonts w:ascii="Times New Roman" w:hAnsi="Times New Roman"/>
          <w:sz w:val="20"/>
        </w:rPr>
        <w:t>ma su mjere u okviru ove mjere namijenjene povećanju energetske učinkovitosti, hvatanju ispušnih plinova za skladištenje ili uporabu ili oporabi materijala iz pepela za spaljivanje, pod uvjetom da takve radnje u okviru ove mjere ne dovode do povećanja kapa</w:t>
      </w:r>
      <w:r>
        <w:rPr>
          <w:rFonts w:ascii="Times New Roman" w:hAnsi="Times New Roman"/>
          <w:sz w:val="20"/>
        </w:rPr>
        <w:t>citeta postrojenja za obradu otpada ili produljenja životnog vijeka postrojenja; za koje postoje dokazi na razini postrojenja.</w:t>
      </w:r>
    </w:p>
  </w:footnote>
  <w:footnote w:id="10">
    <w:p w14:paraId="591FBA90" w14:textId="77777777" w:rsidR="003F46B9" w:rsidRDefault="0065662E">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postojećim postrojenjima za mehaničko-biološku obradu, ako su mjere </w:t>
      </w:r>
      <w:r>
        <w:rPr>
          <w:rFonts w:ascii="Times New Roman" w:hAnsi="Times New Roman"/>
          <w:sz w:val="20"/>
        </w:rPr>
        <w:t xml:space="preserve">u okviru ove mjere namijenjene povećanju energetske učinkovitosti ili naknadnoj ugradnji u postupke recikliranja odvojenog otpada radi kompostiranja biootpada i anaerobne razgradnje biološkog otpada, pod uvjetom da takve mjere u okviru ove mjere ne dovode </w:t>
      </w:r>
      <w:r>
        <w:rPr>
          <w:rFonts w:ascii="Times New Roman" w:hAnsi="Times New Roman"/>
          <w:sz w:val="20"/>
        </w:rPr>
        <w:t>do povećanja kapaciteta postrojenja za obradu otpada ili produljenja životnog vijeka postrojenja; za koje postoje dokazi na razini postrojenja.</w:t>
      </w:r>
    </w:p>
  </w:footnote>
  <w:footnote w:id="11">
    <w:p w14:paraId="4155DF5E" w14:textId="77777777" w:rsidR="003F46B9" w:rsidRDefault="0065662E">
      <w:pPr>
        <w:pStyle w:val="FootnoteText"/>
      </w:pPr>
      <w:r>
        <w:rPr>
          <w:rStyle w:val="FootnoteReference"/>
        </w:rPr>
        <w:footnoteRef/>
      </w:r>
      <w:r>
        <w:t xml:space="preserve"> https://ec.europa.eu/newsroom/dae/document.cfm?doc_id=75185</w:t>
      </w:r>
    </w:p>
  </w:footnote>
  <w:footnote w:id="12">
    <w:p w14:paraId="1666ECEC" w14:textId="77777777" w:rsidR="003F46B9" w:rsidRDefault="0065662E">
      <w:pPr>
        <w:pStyle w:val="FootnoteText"/>
        <w:ind w:left="0" w:firstLine="0"/>
      </w:pPr>
      <w:r>
        <w:rPr>
          <w:rStyle w:val="FootnoteReference"/>
        </w:rPr>
        <w:footnoteRef/>
      </w:r>
      <w:r>
        <w:t xml:space="preserve"> Dostupno na https://e3p.jrc.ec.europa.eu/publica</w:t>
      </w:r>
      <w:r>
        <w:t>tions/2021-best-practice-guidelines-eu-code-conduct-data-centre-energy-efficiency</w:t>
      </w:r>
    </w:p>
  </w:footnote>
  <w:footnote w:id="13">
    <w:p w14:paraId="059BD010" w14:textId="77777777" w:rsidR="003F46B9" w:rsidRDefault="0065662E">
      <w:pPr>
        <w:pStyle w:val="FootnoteText"/>
      </w:pPr>
      <w:r>
        <w:rPr>
          <w:rStyle w:val="FootnoteReference"/>
        </w:rPr>
        <w:footnoteRef/>
      </w:r>
      <w:r>
        <w:t xml:space="preserve"> https://ec.europa.eu/isa2/sites/default/files/eif_brochure_final.pdf</w:t>
      </w:r>
    </w:p>
  </w:footnote>
  <w:footnote w:id="14">
    <w:p w14:paraId="45899D60" w14:textId="77777777" w:rsidR="003F46B9" w:rsidRDefault="0065662E">
      <w:pPr>
        <w:pStyle w:val="FootnoteText"/>
      </w:pPr>
      <w:r>
        <w:rPr>
          <w:rStyle w:val="FootnoteReference"/>
        </w:rPr>
        <w:footnoteRef/>
      </w:r>
      <w:r>
        <w:t xml:space="preserve"> https://ec.europa.eu/newsroom/dae/document.cfm?doc_id=75185</w:t>
      </w:r>
    </w:p>
  </w:footnote>
  <w:footnote w:id="15">
    <w:p w14:paraId="7ECD4A62" w14:textId="77777777" w:rsidR="003F46B9" w:rsidRDefault="0065662E">
      <w:pPr>
        <w:pStyle w:val="FootnoteText"/>
        <w:ind w:left="0" w:firstLine="0"/>
      </w:pPr>
      <w:r>
        <w:rPr>
          <w:rStyle w:val="FootnoteReference"/>
        </w:rPr>
        <w:footnoteRef/>
      </w:r>
      <w:r>
        <w:t xml:space="preserve"> Osim projekata u području proizvodnje e</w:t>
      </w:r>
      <w:r>
        <w:t>lektrične i/ili toplinske energije te povezane infrastrukture za prijenos i distribuciju prirodnog plina koji su u skladu s uvjetima utvrđenima u Prilogu III. Tehničkim smjernicama o nenanošenju bitne štete (2021/C58/01).</w:t>
      </w:r>
    </w:p>
  </w:footnote>
  <w:footnote w:id="16">
    <w:p w14:paraId="24AB8F09" w14:textId="77777777" w:rsidR="003F46B9" w:rsidRDefault="0065662E">
      <w:pPr>
        <w:pStyle w:val="FootnoteText"/>
        <w:ind w:left="0" w:firstLine="0"/>
      </w:pPr>
      <w:r>
        <w:rPr>
          <w:rStyle w:val="FootnoteReference"/>
        </w:rPr>
        <w:footnoteRef/>
      </w:r>
      <w:r>
        <w:t xml:space="preserve"> Ako se aktivnostima koje se podu</w:t>
      </w:r>
      <w:r>
        <w:t xml:space="preserve">piru postižu predviđene emisije stakleničkih plinova koje nisu znatno niže od relevantnih referentnih vrijednosti, potrebno je objasniti razloge zašto to nije moguće. Referentne vrijednosti za besplatnu dodjelu emisijskih jedinica za aktivnosti obuhvaćene </w:t>
      </w:r>
      <w:r>
        <w:t>područjem primjene sustava trgovanja emisijama, kako je utvrđeno u Provedbenoj uredbi Komisije (EU) 2021/447.</w:t>
      </w:r>
    </w:p>
  </w:footnote>
  <w:footnote w:id="17">
    <w:p w14:paraId="649B0271" w14:textId="77777777" w:rsidR="003F46B9" w:rsidRDefault="0065662E">
      <w:pPr>
        <w:pStyle w:val="FootnoteText"/>
        <w:ind w:left="0" w:firstLine="0"/>
      </w:pPr>
      <w:r>
        <w:rPr>
          <w:rStyle w:val="FootnoteReference"/>
        </w:rPr>
        <w:footnoteRef/>
      </w:r>
      <w:r>
        <w:t xml:space="preserve"> To se izuzeće ne primjenjuje na radnje u postrojenjima koja su namijenjena isključivo obradi opasnog otpada koji se ne može reciklirati ni na po</w:t>
      </w:r>
      <w:r>
        <w:t>stojeća postrojenja u kojima je svrha povećati energetsku učinkovitost, hvatati ispušne plinove za skladištenje ili uporabu ili oporabu materijala iz pepela za spaljivanje, pod uvjetom da takve radnje ne dovode do povećanja kapaciteta postrojenja za obradu</w:t>
      </w:r>
      <w:r>
        <w:t xml:space="preserve"> otpada ili produljenja životnog vijeka postrojenja; za koje postoje dokazi na razini postrojenja.</w:t>
      </w:r>
    </w:p>
  </w:footnote>
  <w:footnote w:id="18">
    <w:p w14:paraId="29B98F68" w14:textId="77777777" w:rsidR="003F46B9" w:rsidRDefault="0065662E">
      <w:pPr>
        <w:pStyle w:val="FootnoteText"/>
        <w:ind w:left="0" w:firstLine="0"/>
      </w:pPr>
      <w:r>
        <w:rPr>
          <w:rStyle w:val="FootnoteReference"/>
        </w:rPr>
        <w:footnoteRef/>
      </w:r>
      <w:r>
        <w:t xml:space="preserve"> To se izuzeće ne primjenjuje na radnje u postojećim postrojenjima za mehaničko-biološku obradu, u kojima su mjere namijenjene povećanju energetske učinkovi</w:t>
      </w:r>
      <w:r>
        <w:t xml:space="preserve">tosti ili naknadnoj prilagodbi postupaka recikliranja odvojenog otpada radi kompostiranja biootpada i anaerobne razgradnje biološkog otpada, pod uvjetom da takve mjere ne dovode do povećanja kapaciteta postrojenja za obradu otpada ili produljenja životnog </w:t>
      </w:r>
      <w:r>
        <w:t>vijeka postrojenja; za koje postoje dokazi na razini postrojenja.</w:t>
      </w:r>
    </w:p>
  </w:footnote>
  <w:footnote w:id="19">
    <w:p w14:paraId="21BECF46" w14:textId="77777777" w:rsidR="003F46B9" w:rsidRDefault="0065662E">
      <w:pPr>
        <w:pStyle w:val="FootnoteText"/>
        <w:ind w:left="0" w:firstLine="0"/>
      </w:pPr>
      <w:r>
        <w:rPr>
          <w:rStyle w:val="FootnoteReference"/>
        </w:rPr>
        <w:footnoteRef/>
      </w:r>
      <w:r>
        <w:t xml:space="preserve"> Osim projekata u području proizvodnje električne i/ili toplinske energije te povezane infrastrukture za prijenos i distribuciju prirodnog plina koji su u skladu s uvjetima utvrđenima u Pri</w:t>
      </w:r>
      <w:r>
        <w:t>logu III. Tehničkim smjernicama o nenanošenju bitne štete (2021/C58/01).</w:t>
      </w:r>
    </w:p>
  </w:footnote>
  <w:footnote w:id="20">
    <w:p w14:paraId="30226B2D" w14:textId="77777777" w:rsidR="003F46B9" w:rsidRDefault="0065662E">
      <w:pPr>
        <w:pStyle w:val="FootnoteText"/>
        <w:ind w:left="0" w:firstLine="0"/>
      </w:pPr>
      <w:r>
        <w:rPr>
          <w:rStyle w:val="FootnoteReference"/>
        </w:rPr>
        <w:footnoteRef/>
      </w:r>
      <w:r>
        <w:t xml:space="preserve"> Ako se aktivnostima koje se podupiru postižu predviđene emisije stakleničkih plinova koje nisu znatno niže od relevantnih referentnih vrijednosti, potrebno je objasniti razloge zašt</w:t>
      </w:r>
      <w:r>
        <w:t>o to nije moguće. Referentne vrijednosti za besplatnu dodjelu emisijskih jedinica za aktivnosti obuhvaćene područjem primjene sustava trgovanja emisijama, kako je utvrđeno u Provedbenoj uredbi Komisije (EU) 2021/447.</w:t>
      </w:r>
    </w:p>
  </w:footnote>
  <w:footnote w:id="21">
    <w:p w14:paraId="33766069" w14:textId="77777777" w:rsidR="003F46B9" w:rsidRDefault="0065662E">
      <w:pPr>
        <w:pStyle w:val="FootnoteText"/>
        <w:ind w:left="0" w:firstLine="0"/>
      </w:pPr>
      <w:r>
        <w:rPr>
          <w:rStyle w:val="FootnoteReference"/>
        </w:rPr>
        <w:footnoteRef/>
      </w:r>
      <w:r>
        <w:t xml:space="preserve"> Osim projekata u području proizvodnje</w:t>
      </w:r>
      <w:r>
        <w:t xml:space="preserve"> električne i/ili toplinske energije te povezane infrastrukture za prijenos i distribuciju prirodnog plina koji su u skladu s uvjetima utvrđenima u Prilogu III. Tehničkim smjernicama o nenanošenju bitne štete (2021/C58/01).</w:t>
      </w:r>
    </w:p>
  </w:footnote>
  <w:footnote w:id="22">
    <w:p w14:paraId="5F5D656C" w14:textId="77777777" w:rsidR="003F46B9" w:rsidRDefault="0065662E">
      <w:pPr>
        <w:pStyle w:val="FootnoteText"/>
        <w:ind w:left="0" w:firstLine="0"/>
      </w:pPr>
      <w:r>
        <w:rPr>
          <w:rStyle w:val="FootnoteReference"/>
        </w:rPr>
        <w:footnoteRef/>
      </w:r>
      <w:r>
        <w:t xml:space="preserve"> Ako se aktivnostima koje se po</w:t>
      </w:r>
      <w:r>
        <w:t>dupiru postižu predviđene emisije stakleničkih plinova koje nisu znatno niže od relevantnih referentnih vrijednosti, potrebno je objasniti razloge zašto to nije moguće. Referentne vrijednosti za besplatnu dodjelu emisijskih jedinica za aktivnosti obuhvaćen</w:t>
      </w:r>
      <w:r>
        <w:t>e područjem primjene sustava trgovanja emisijama, kako je utvrđeno u Provedbenoj uredbi Komisije (EU) 2021/447.</w:t>
      </w:r>
    </w:p>
  </w:footnote>
  <w:footnote w:id="23">
    <w:p w14:paraId="1D08D2CD" w14:textId="77777777" w:rsidR="003F46B9" w:rsidRDefault="0065662E">
      <w:pPr>
        <w:pStyle w:val="FootnoteText"/>
        <w:ind w:left="0" w:hanging="11"/>
      </w:pPr>
      <w:r>
        <w:rPr>
          <w:rStyle w:val="FootnoteReference"/>
        </w:rPr>
        <w:footnoteRef/>
      </w:r>
      <w:r>
        <w:t xml:space="preserve"> Osim projekata u okviru ove mjere u području proizvodnje električne energije i/ili topline te povezane infrastrukture za prijenos i distribuci</w:t>
      </w:r>
      <w:r>
        <w:t>ju, u kojima se upotrebljava prirodni plin, koji su u skladu s uvjetima iz Priloga III. Tehničkim smjernicama o nenanošenju bitne štete (2021/C58/01).</w:t>
      </w:r>
    </w:p>
  </w:footnote>
  <w:footnote w:id="24">
    <w:p w14:paraId="768BD1E5" w14:textId="77777777" w:rsidR="003F46B9" w:rsidRDefault="0065662E">
      <w:pPr>
        <w:pStyle w:val="FootnoteText"/>
        <w:ind w:left="0" w:hanging="11"/>
      </w:pPr>
      <w:r>
        <w:rPr>
          <w:rStyle w:val="FootnoteReference"/>
        </w:rPr>
        <w:footnoteRef/>
      </w:r>
      <w:r>
        <w:t xml:space="preserve"> Ako se aktivnostima koje se podupiru postižu predviđene emisije stakleničkih plinova koje nisu znatno n</w:t>
      </w:r>
      <w:r>
        <w:t>iže od relevantnih referentnih vrijednosti, potrebno je objasniti razloge zašto to nije moguće. Referentne vrijednosti za besplatnu dodjelu emisijskih jedinica za aktivnosti obuhvaćene područjem primjene sustava trgovanja emisijama, kako je utvrđeno u Prov</w:t>
      </w:r>
      <w:r>
        <w:t>edbenoj uredbi Komisije (EU) 2021/447.</w:t>
      </w:r>
    </w:p>
  </w:footnote>
  <w:footnote w:id="25">
    <w:p w14:paraId="6D002CB5" w14:textId="77777777" w:rsidR="003F46B9" w:rsidRDefault="0065662E">
      <w:pPr>
        <w:spacing w:after="0" w:line="240" w:lineRule="auto"/>
        <w:ind w:hanging="11"/>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isključivo obradi opasnog otpada koji se ne može reciklirati i postojećim postrojenjima, u kojima su mjere u okviru ove mj</w:t>
      </w:r>
      <w:r>
        <w:rPr>
          <w:rFonts w:ascii="Times New Roman" w:hAnsi="Times New Roman"/>
          <w:sz w:val="20"/>
        </w:rPr>
        <w:t>ere namijenjene povećanju energetske učinkovitosti, hvatanju ispušnih plinova za skladištenje ili uporabu ili oporabi materijala iz pepela za spaljivanje, pod uvjetom da takve radnje u okviru ove mjere ne dovode do povećanja kapaciteta postrojenja za obrad</w:t>
      </w:r>
      <w:r>
        <w:rPr>
          <w:rFonts w:ascii="Times New Roman" w:hAnsi="Times New Roman"/>
          <w:sz w:val="20"/>
        </w:rPr>
        <w:t>u otpada ili produljenja životnog vijeka postrojenja; za koje postoje dokazi na razini postrojenja.</w:t>
      </w:r>
    </w:p>
  </w:footnote>
  <w:footnote w:id="26">
    <w:p w14:paraId="3AC018F6" w14:textId="77777777" w:rsidR="003F46B9" w:rsidRDefault="0065662E">
      <w:pPr>
        <w:pStyle w:val="FootnoteText"/>
        <w:ind w:left="0" w:hanging="11"/>
      </w:pPr>
      <w:r>
        <w:rPr>
          <w:rStyle w:val="FootnoteReference"/>
        </w:rPr>
        <w:footnoteRef/>
      </w:r>
      <w:r>
        <w:t xml:space="preserve"> To se izuzeće ne primjenjuje na mjere u okviru ove mjere u postojećim postrojenjima za mehaničko-biološku obradu, ako su mjere u okviru ove mjere namijenjene povećanju energetske učinkovitosti ili naknadnoj ugradnji u postupke recikliranja odvojenog otpad</w:t>
      </w:r>
      <w:r>
        <w:t>a radi kompostiranja biootpada i anaerobne razgradnje biološkog otpada, pod uvjetom da takve mjere u okviru ove mjere ne dovode do povećanja kapaciteta postrojenja za obradu otpada ili produljenja životnog vijeka postrojenja; za koje postoje dokazi na razi</w:t>
      </w:r>
      <w:r>
        <w:t>ni postrojenja.</w:t>
      </w:r>
    </w:p>
  </w:footnote>
  <w:footnote w:id="27">
    <w:p w14:paraId="768A5CEC" w14:textId="77777777" w:rsidR="003F46B9" w:rsidRDefault="0065662E">
      <w:pPr>
        <w:pStyle w:val="FootnoteText"/>
        <w:ind w:left="0" w:firstLine="0"/>
      </w:pPr>
      <w:r>
        <w:rPr>
          <w:rStyle w:val="FootnoteReference"/>
        </w:rPr>
        <w:footnoteRef/>
      </w:r>
      <w:r>
        <w:t xml:space="preserve"> Osim projekata u okviru ove mjere u području proizvodnje električne energije i/ili topline te povezane infrastrukture za prijenos i distribuciju, u kojima se upotrebljava prirodni plin, koji su u skladu s uvjetima iz Priloga III. Tehnički</w:t>
      </w:r>
      <w:r>
        <w:t>m smjernicama o nenanošenju bitne štete (2021/C58/01).</w:t>
      </w:r>
    </w:p>
  </w:footnote>
  <w:footnote w:id="28">
    <w:p w14:paraId="351BB57B" w14:textId="77777777" w:rsidR="003F46B9" w:rsidRDefault="0065662E">
      <w:pPr>
        <w:pStyle w:val="FootnoteText"/>
        <w:ind w:left="0" w:firstLine="0"/>
      </w:pPr>
      <w:r>
        <w:rPr>
          <w:rStyle w:val="FootnoteReference"/>
        </w:rPr>
        <w:footnoteRef/>
      </w:r>
      <w:r>
        <w:t xml:space="preserve"> Ako se aktivnostima koje se podupiru postižu predviđene emisije stakleničkih plinova koje nisu znatno niže od relevantnih referentnih vrijednosti, potrebno je objasniti razloge zašto to nije moguće. </w:t>
      </w:r>
      <w:r>
        <w:t>Referentne vrijednosti za besplatnu dodjelu emisijskih jedinica za aktivnosti obuhvaćene područjem primjene sustava trgovanja emisijama, kako je utvrđeno u Provedbenoj uredbi Komisije (EU) 2021/447.</w:t>
      </w:r>
    </w:p>
  </w:footnote>
  <w:footnote w:id="29">
    <w:p w14:paraId="030E1152"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isključivo obradi opasnog otpada koji se ne može reciklirati i postojećim postrojenjima, u kojima su mjere u okviru ove mjere namijenjene povećanju energetske uči</w:t>
      </w:r>
      <w:r>
        <w:rPr>
          <w:rFonts w:ascii="Times New Roman" w:hAnsi="Times New Roman"/>
          <w:sz w:val="20"/>
        </w:rPr>
        <w:t>nkovitosti, hvatanju ispušnih plinova za skladištenje ili uporabu ili oporabi materijala iz pepela za spaljivanje, pod uvjetom da takve radnje u okviru ove mjere ne dovode do povećanja kapaciteta postrojenja za obradu otpada ili produljenja životnog vijeka</w:t>
      </w:r>
      <w:r>
        <w:rPr>
          <w:rFonts w:ascii="Times New Roman" w:hAnsi="Times New Roman"/>
          <w:sz w:val="20"/>
        </w:rPr>
        <w:t xml:space="preserve"> postrojenja; za koje postoje dokazi na razini postrojenja.</w:t>
      </w:r>
    </w:p>
  </w:footnote>
  <w:footnote w:id="30">
    <w:p w14:paraId="4DBB1DE7" w14:textId="77777777" w:rsidR="003F46B9" w:rsidRDefault="0065662E">
      <w:pPr>
        <w:pStyle w:val="FootnoteText"/>
        <w:ind w:left="0" w:firstLine="0"/>
      </w:pPr>
      <w:r>
        <w:rPr>
          <w:rStyle w:val="FootnoteReference"/>
        </w:rPr>
        <w:footnoteRef/>
      </w:r>
      <w:r>
        <w:t xml:space="preserve"> To se izuzeće ne primjenjuje na mjere u okviru ove mjere u postojećim postrojenjima za mehaničko-biološku obradu, ako su mjere u okviru ove mjere namijenjene povećanju energetske učinkovitosti i</w:t>
      </w:r>
      <w:r>
        <w:t>li naknadnoj ugradnji u postupke recikliranja odvojenog otpada radi kompostiranja biootpada i anaerobne razgradnje biološkog otpada, pod uvjetom da takve mjere u okviru ove mjere ne dovode do povećanja kapaciteta postrojenja za obradu otpada ili produljenj</w:t>
      </w:r>
      <w:r>
        <w:t>a životnog vijeka postrojenja; za koje postoje dokazi na razini postrojenja.</w:t>
      </w:r>
    </w:p>
  </w:footnote>
  <w:footnote w:id="31">
    <w:p w14:paraId="1E76F9B8" w14:textId="77777777" w:rsidR="003F46B9" w:rsidRDefault="0065662E">
      <w:pPr>
        <w:pStyle w:val="FootnoteText"/>
        <w:ind w:left="0" w:firstLine="0"/>
      </w:pPr>
      <w:r>
        <w:rPr>
          <w:rStyle w:val="FootnoteReference"/>
        </w:rPr>
        <w:footnoteRef/>
      </w:r>
      <w:r>
        <w:t xml:space="preserve"> Osim projekata u području proizvodnje električne i/ili toplinske energije te povezane infrastrukture za prijenos i distribuciju prirodnog plina koji su u skladu s uvjetima utvrđ</w:t>
      </w:r>
      <w:r>
        <w:t>enima u Prilogu III. Tehničkim smjernicama o nenanošenju bitne štete (2021/C58/01).</w:t>
      </w:r>
    </w:p>
  </w:footnote>
  <w:footnote w:id="32">
    <w:p w14:paraId="5556C74F" w14:textId="77777777" w:rsidR="003F46B9" w:rsidRDefault="0065662E">
      <w:pPr>
        <w:pStyle w:val="FootnoteText"/>
        <w:ind w:left="0" w:firstLine="0"/>
      </w:pPr>
      <w:r>
        <w:rPr>
          <w:rStyle w:val="FootnoteReference"/>
        </w:rPr>
        <w:footnoteRef/>
      </w:r>
      <w:r>
        <w:t xml:space="preserve"> Ako se aktivnostima koje se podupiru postižu predviđene emisije stakleničkih plinova koje nisu znatno niže od relevantnih referentnih vrijednosti, potrebno je objasniti r</w:t>
      </w:r>
      <w:r>
        <w:t>azloge zašto to nije moguće. Referentne vrijednosti za besplatnu dodjelu emisijskih jedinica za aktivnosti obuhvaćene područjem primjene sustava trgovanja emisijama, kako je utvrđeno u Provedbenoj uredbi Komisije (EU) 2021/447.</w:t>
      </w:r>
    </w:p>
  </w:footnote>
  <w:footnote w:id="33">
    <w:p w14:paraId="7D28F5C4" w14:textId="77777777" w:rsidR="003F46B9" w:rsidRDefault="0065662E">
      <w:pPr>
        <w:pStyle w:val="FootnoteText"/>
        <w:ind w:left="0" w:firstLine="0"/>
      </w:pPr>
      <w:r>
        <w:rPr>
          <w:rStyle w:val="FootnoteReference"/>
        </w:rPr>
        <w:footnoteRef/>
      </w:r>
      <w:r>
        <w:t xml:space="preserve"> Osim projekata u okviru ov</w:t>
      </w:r>
      <w:r>
        <w:t>e mjere u području proizvodnje električne energije i/ili topline te povezane infrastrukture za prijenos i distribuciju, u kojima se upotrebljava prirodni plin, koji su u skladu s uvjetima iz Priloga III. Tehničkim smjernicama o nenanošenju bitne štete (202</w:t>
      </w:r>
      <w:r>
        <w:t>1/C58/01).</w:t>
      </w:r>
    </w:p>
  </w:footnote>
  <w:footnote w:id="34">
    <w:p w14:paraId="276958C4" w14:textId="77777777" w:rsidR="003F46B9" w:rsidRDefault="0065662E">
      <w:pPr>
        <w:pStyle w:val="FootnoteText"/>
        <w:ind w:left="0" w:firstLine="0"/>
      </w:pPr>
      <w:r>
        <w:rPr>
          <w:rStyle w:val="FootnoteReference"/>
        </w:rPr>
        <w:footnoteRef/>
      </w:r>
      <w:r>
        <w:t xml:space="preserve"> Ako se aktivnostima koje se podupiru postižu predviđene emisije stakleničkih plinova koje nisu znatno niže od relevantnih referentnih vrijednosti, potrebno je objasniti razloge zašto to nije moguće. Referentne vrijednosti za besplatnu dodjelu </w:t>
      </w:r>
      <w:r>
        <w:t>emisijskih jedinica za aktivnosti obuhvaćene područjem primjene sustava trgovanja emisijama, kako je utvrđeno u Provedbenoj uredbi Komisije (EU) 2021/447.</w:t>
      </w:r>
    </w:p>
  </w:footnote>
  <w:footnote w:id="35">
    <w:p w14:paraId="0F7F14B9"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w:t>
      </w:r>
      <w:r>
        <w:rPr>
          <w:rFonts w:ascii="Times New Roman" w:hAnsi="Times New Roman"/>
          <w:sz w:val="20"/>
        </w:rPr>
        <w:t>čivo obradi opasnog otpada koji se ne može reciklirati i postojećim postrojenjima, u kojima su mjere u okviru ove mjere namijenjene povećanju energetske učinkovitosti, hvatanju ispušnih plinova za skladištenje ili uporabu ili oporabi materijala iz pepela z</w:t>
      </w:r>
      <w:r>
        <w:rPr>
          <w:rFonts w:ascii="Times New Roman" w:hAnsi="Times New Roman"/>
          <w:sz w:val="20"/>
        </w:rPr>
        <w:t>a spaljivanje, pod uvjetom da takve radnje u okviru ove mjere ne dovode do povećanja kapaciteta postrojenja za obradu otpada ili produljenja životnog vijeka postrojenja; za koje postoje dokazi na razini postrojenja.</w:t>
      </w:r>
    </w:p>
  </w:footnote>
  <w:footnote w:id="36">
    <w:p w14:paraId="194AB58E" w14:textId="77777777" w:rsidR="003F46B9" w:rsidRDefault="0065662E">
      <w:pPr>
        <w:pStyle w:val="FootnoteText"/>
        <w:ind w:left="0" w:firstLine="0"/>
      </w:pPr>
      <w:r>
        <w:rPr>
          <w:rStyle w:val="FootnoteReference"/>
        </w:rPr>
        <w:footnoteRef/>
      </w:r>
      <w:r>
        <w:t xml:space="preserve"> To se izuzeće ne primjenjuje na mjere </w:t>
      </w:r>
      <w:r>
        <w:t>u okviru ove mjere u postojećim postrojenjima za mehaničko-biološku obradu, ako su mjere u okviru ove mjere namijenjene povećanju energetske učinkovitosti ili naknadnoj ugradnji u postupke recikliranja odvojenog otpada radi kompostiranja biootpada i anaero</w:t>
      </w:r>
      <w:r>
        <w:t>bne razgradnje biološkog otpada, pod uvjetom da takve mjere u okviru ove mjere ne dovode do povećanja kapaciteta postrojenja za obradu otpada ili produljenja životnog vijeka postrojenja; za koje postoje dokazi na razini postrojenja.</w:t>
      </w:r>
    </w:p>
  </w:footnote>
  <w:footnote w:id="37">
    <w:p w14:paraId="6223D2D7" w14:textId="77777777" w:rsidR="003F46B9" w:rsidRDefault="0065662E">
      <w:pPr>
        <w:pStyle w:val="FootnoteText"/>
        <w:ind w:left="0" w:firstLine="0"/>
      </w:pPr>
      <w:r>
        <w:rPr>
          <w:rStyle w:val="FootnoteReference"/>
        </w:rPr>
        <w:footnoteRef/>
      </w:r>
      <w:r>
        <w:t xml:space="preserve"> Osim projekata poveza</w:t>
      </w:r>
      <w:r>
        <w:t>nih s proizvodnjom električne i/ili toplinske energije te povezane infrastrukture za prijenos i distribuciju prirodnog plina koji su u skladu s uvjetima utvrđenima u Prilogu III. Tehničkim smjernicama o nenanošenju bitne štete (2021/C58/01).</w:t>
      </w:r>
    </w:p>
  </w:footnote>
  <w:footnote w:id="38">
    <w:p w14:paraId="135C5C2C" w14:textId="77777777" w:rsidR="003F46B9" w:rsidRDefault="0065662E">
      <w:pPr>
        <w:pStyle w:val="FootnoteText"/>
        <w:ind w:left="0" w:firstLine="0"/>
      </w:pPr>
      <w:r>
        <w:rPr>
          <w:rStyle w:val="FootnoteReference"/>
        </w:rPr>
        <w:footnoteRef/>
      </w:r>
      <w:r>
        <w:t xml:space="preserve"> Ako se aktiv</w:t>
      </w:r>
      <w:r>
        <w:t>nostima koje se podupiru postižu predviđene emisije stakleničkih plinova koje nisu znatno niže od relevantnih referentnih vrijednosti, potrebno je objasniti razloge zašto to nije moguće. Referentne vrijednosti za besplatnu dodjelu emisijskih jedinica za ak</w:t>
      </w:r>
      <w:r>
        <w:t>tivnosti obuhvaćene područjem primjene sustava trgovanja emisijama, kako je utvrđeno u Provedbenoj uredbi Komisije (EU) 2021/447.</w:t>
      </w:r>
    </w:p>
  </w:footnote>
  <w:footnote w:id="39">
    <w:p w14:paraId="5948C432"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djelovanja u okviru ove mjere koja se odnose na postrojenja koja su isključivo namijenjena o</w:t>
      </w:r>
      <w:r>
        <w:rPr>
          <w:rFonts w:ascii="Times New Roman" w:hAnsi="Times New Roman"/>
          <w:sz w:val="20"/>
        </w:rPr>
        <w:t>bradi opasnog otpada koji se ne može reciklirati i na postojeća postrojenja u kojima su mjere u okviru ove mjere namijenjene povećanju energetske učinkovitosti, hvatanju ispušnih plinova za skladištenje ili uporabu ili oporabi materijala iz pepela za spalj</w:t>
      </w:r>
      <w:r>
        <w:rPr>
          <w:rFonts w:ascii="Times New Roman" w:hAnsi="Times New Roman"/>
          <w:sz w:val="20"/>
        </w:rPr>
        <w:t>ivanje, pod uvjetom da takve mjere u okviru ove mjere ne dovode do povećanja kapaciteta postrojenja za obradu otpada ili produljenja životnog vijeka postrojenja; za koje postoje dokazi na razini postrojenja.</w:t>
      </w:r>
    </w:p>
  </w:footnote>
  <w:footnote w:id="40">
    <w:p w14:paraId="579BA58D" w14:textId="77777777" w:rsidR="003F46B9" w:rsidRDefault="0065662E">
      <w:pPr>
        <w:pStyle w:val="FootnoteText"/>
        <w:ind w:left="0" w:firstLine="0"/>
      </w:pPr>
      <w:r>
        <w:rPr>
          <w:rStyle w:val="FootnoteReference"/>
        </w:rPr>
        <w:footnoteRef/>
      </w:r>
      <w:r>
        <w:t xml:space="preserve"> To se izuzeće ne primjenjuje na mjere u okviru</w:t>
      </w:r>
      <w:r>
        <w:t xml:space="preserve"> ove mjere u postojećim postrojenjima za mehaničko-biološku obradu, ako su mjere u okviru ove mjere namijenjene povećanju energetske učinkovitosti ili naknadnoj ugradnji u postupke recikliranja odvojenog otpada radi kompostiranja biootpada i anaerobne razg</w:t>
      </w:r>
      <w:r>
        <w:t>radnje biološkog otpada, pod uvjetom da takve mjere u okviru ove mjere ne dovode do povećanja kapaciteta postrojenja za obradu otpada ili produljenja životnog vijeka postrojenja; za koje postoje dokazi na razini postrojenja.</w:t>
      </w:r>
    </w:p>
  </w:footnote>
  <w:footnote w:id="41">
    <w:p w14:paraId="092B07F0" w14:textId="77777777" w:rsidR="003F46B9" w:rsidRDefault="0065662E">
      <w:pPr>
        <w:pStyle w:val="FootnoteText"/>
        <w:ind w:left="0" w:firstLine="0"/>
      </w:pPr>
      <w:r>
        <w:rPr>
          <w:rStyle w:val="FootnoteReference"/>
        </w:rPr>
        <w:footnoteRef/>
      </w:r>
      <w:r>
        <w:t xml:space="preserve"> Osim projekata povezanih s pr</w:t>
      </w:r>
      <w:r>
        <w:t>oizvodnjom električne i/ili toplinske energije te povezane infrastrukture za prijenos i distribuciju prirodnog plina koji su u skladu s uvjetima utvrđenima u Prilogu III. Tehničkim smjernicama o nenanošenju bitne štete (2021/C58/01).</w:t>
      </w:r>
    </w:p>
  </w:footnote>
  <w:footnote w:id="42">
    <w:p w14:paraId="52DC4360" w14:textId="77777777" w:rsidR="003F46B9" w:rsidRDefault="0065662E">
      <w:pPr>
        <w:pStyle w:val="FootnoteText"/>
        <w:ind w:left="0" w:firstLine="0"/>
      </w:pPr>
      <w:r>
        <w:rPr>
          <w:rStyle w:val="FootnoteReference"/>
        </w:rPr>
        <w:footnoteRef/>
      </w:r>
      <w:r>
        <w:t xml:space="preserve"> Ako se aktivnostima </w:t>
      </w:r>
      <w:r>
        <w:t>koje se podupiru postižu predviđene emisije stakleničkih plinova koje nisu znatno niže od relevantnih referentnih vrijednosti, potrebno je objasniti razloge zašto to nije moguće. Referentne vrijednosti za besplatnu dodjelu emisijskih jedinica za aktivnosti</w:t>
      </w:r>
      <w:r>
        <w:t xml:space="preserve"> obuhvaćene područjem primjene sustava trgovanja emisijama, kako je utvrđeno u Provedbenoj uredbi Komisije (EU) 2021/447.</w:t>
      </w:r>
    </w:p>
  </w:footnote>
  <w:footnote w:id="43">
    <w:p w14:paraId="671194C3"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djelovanja u okviru ove mjere koja se odnose na postrojenja koja su isključivo namijenjena obradi op</w:t>
      </w:r>
      <w:r>
        <w:rPr>
          <w:rFonts w:ascii="Times New Roman" w:hAnsi="Times New Roman"/>
          <w:sz w:val="20"/>
        </w:rPr>
        <w:t xml:space="preserve">asnog otpada koji se ne može reciklirati i na postojeća postrojenja u kojima su mjere u okviru ove mjere namijenjene povećanju energetske učinkovitosti, hvatanju ispušnih plinova za skladištenje ili uporabu ili oporabi materijala iz pepela za spaljivanje, </w:t>
      </w:r>
      <w:r>
        <w:rPr>
          <w:rFonts w:ascii="Times New Roman" w:hAnsi="Times New Roman"/>
          <w:sz w:val="20"/>
        </w:rPr>
        <w:t>pod uvjetom da takve mjere u okviru ove mjere ne dovode do povećanja kapaciteta postrojenja za obradu otpada ili produljenja životnog vijeka postrojenja; za koje postoje dokazi na razini postrojenja.</w:t>
      </w:r>
    </w:p>
  </w:footnote>
  <w:footnote w:id="44">
    <w:p w14:paraId="2884E358" w14:textId="77777777" w:rsidR="003F46B9" w:rsidRDefault="0065662E">
      <w:pPr>
        <w:pStyle w:val="FootnoteText"/>
        <w:ind w:left="0" w:firstLine="0"/>
      </w:pPr>
      <w:r>
        <w:rPr>
          <w:rStyle w:val="FootnoteReference"/>
        </w:rPr>
        <w:footnoteRef/>
      </w:r>
      <w:r>
        <w:t xml:space="preserve"> To se izuzeće ne primjenjuje na mjere u okviru ove mje</w:t>
      </w:r>
      <w:r>
        <w:t>re u postojećim postrojenjima za mehaničko-biološku obradu, ako su mjere u okviru ove mjere namijenjene povećanju energetske učinkovitosti ili naknadnoj ugradnji u postupke recikliranja odvojenog otpada radi kompostiranja biootpada i anaerobne razgradnje b</w:t>
      </w:r>
      <w:r>
        <w:t>iološkog otpada, pod uvjetom da takve mjere u okviru ove mjere ne dovode do povećanja kapaciteta postrojenja za obradu otpada ili produljenja životnog vijeka postrojenja; za koje postoje dokazi na razini postrojenja.</w:t>
      </w:r>
    </w:p>
  </w:footnote>
  <w:footnote w:id="45">
    <w:p w14:paraId="0D126D08" w14:textId="77777777" w:rsidR="003F46B9" w:rsidRDefault="0065662E">
      <w:pPr>
        <w:pStyle w:val="FootnoteText"/>
        <w:ind w:left="0" w:firstLine="0"/>
      </w:pPr>
      <w:r>
        <w:rPr>
          <w:rStyle w:val="FootnoteReference"/>
        </w:rPr>
        <w:footnoteRef/>
      </w:r>
      <w:r>
        <w:t xml:space="preserve"> Osim projekata povezanih s proizvodnj</w:t>
      </w:r>
      <w:r>
        <w:t>om električne i/ili toplinske energije te povezane infrastrukture za prijenos i distribuciju prirodnog plina koji su u skladu s uvjetima utvrđenima u Prilogu III. Tehničkim smjernicama o nenanošenju bitne štete (2021/C58/01).</w:t>
      </w:r>
    </w:p>
  </w:footnote>
  <w:footnote w:id="46">
    <w:p w14:paraId="16ED7904" w14:textId="77777777" w:rsidR="003F46B9" w:rsidRDefault="0065662E">
      <w:pPr>
        <w:pStyle w:val="FootnoteText"/>
        <w:ind w:left="0" w:firstLine="0"/>
      </w:pPr>
      <w:r>
        <w:rPr>
          <w:rStyle w:val="FootnoteReference"/>
        </w:rPr>
        <w:footnoteRef/>
      </w:r>
      <w:r>
        <w:t xml:space="preserve"> Ako se aktivnostima koje se </w:t>
      </w:r>
      <w:r>
        <w:t>podupiru postižu predviđene emisije stakleničkih plinova koje nisu znatno niže od relevantnih referentnih vrijednosti, potrebno je objasniti razloge zašto to nije moguće. Referentne vrijednosti za besplatnu dodjelu emisijskih jedinica za aktivnosti obuhvać</w:t>
      </w:r>
      <w:r>
        <w:t>ene područjem primjene sustava trgovanja emisijama, kako je utvrđeno u Provedbenoj uredbi Komisije (EU) 2021/447.</w:t>
      </w:r>
    </w:p>
  </w:footnote>
  <w:footnote w:id="47">
    <w:p w14:paraId="2F484F44"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djelovanja u okviru ove mjere koja se odnose na postrojenja koja su isključivo namijenjena obradi opasnog ot</w:t>
      </w:r>
      <w:r>
        <w:rPr>
          <w:rFonts w:ascii="Times New Roman" w:hAnsi="Times New Roman"/>
          <w:sz w:val="20"/>
        </w:rPr>
        <w:t>pada koji se ne može reciklirati i na postojeća postrojenja u kojima su mjere u okviru ove mjere namijenjene povećanju energetske učinkovitosti, hvatanju ispušnih plinova za skladištenje ili uporabu ili oporabi materijala iz pepela za spaljivanje, pod uvje</w:t>
      </w:r>
      <w:r>
        <w:rPr>
          <w:rFonts w:ascii="Times New Roman" w:hAnsi="Times New Roman"/>
          <w:sz w:val="20"/>
        </w:rPr>
        <w:t>tom da takve mjere u okviru ove mjere ne dovode do povećanja kapaciteta postrojenja za obradu otpada ili produljenja životnog vijeka postrojenja; za koje postoje dokazi na razini postrojenja.</w:t>
      </w:r>
    </w:p>
  </w:footnote>
  <w:footnote w:id="48">
    <w:p w14:paraId="0415C21E" w14:textId="77777777" w:rsidR="003F46B9" w:rsidRDefault="0065662E">
      <w:pPr>
        <w:pStyle w:val="FootnoteText"/>
        <w:ind w:left="0" w:firstLine="0"/>
      </w:pPr>
      <w:r>
        <w:rPr>
          <w:rStyle w:val="FootnoteReference"/>
        </w:rPr>
        <w:footnoteRef/>
      </w:r>
      <w:r>
        <w:t xml:space="preserve"> To se izuzeće ne primjenjuje na mjere u okviru ove mjere u pos</w:t>
      </w:r>
      <w:r>
        <w:t>tojećim postrojenjima za mehaničko-biološku obradu, ako su mjere u okviru ove mjere namijenjene povećanju energetske učinkovitosti ili naknadnoj ugradnji u postupke recikliranja odvojenog otpada radi kompostiranja biootpada i anaerobne razgradnje biološkog</w:t>
      </w:r>
      <w:r>
        <w:t xml:space="preserve"> otpada, pod uvjetom da takve mjere u okviru ove mjere ne dovode do povećanja kapaciteta postrojenja za obradu otpada ili produljenja životnog vijeka postrojenja; za koje postoje dokazi na razini postrojenja.</w:t>
      </w:r>
    </w:p>
  </w:footnote>
  <w:footnote w:id="49">
    <w:p w14:paraId="30D62F31" w14:textId="77777777" w:rsidR="003F46B9" w:rsidRDefault="0065662E">
      <w:pPr>
        <w:spacing w:after="0" w:line="240" w:lineRule="auto"/>
        <w:jc w:val="both"/>
        <w:rPr>
          <w:rFonts w:ascii="Times New Roman" w:hAnsi="Times New Roman" w:cs="Times New Roman"/>
          <w:sz w:val="20"/>
        </w:rPr>
      </w:pPr>
      <w:r>
        <w:rPr>
          <w:rStyle w:val="FootnoteReference"/>
          <w:sz w:val="20"/>
        </w:rPr>
        <w:footnoteRef/>
      </w:r>
      <w:r>
        <w:rPr>
          <w:rFonts w:ascii="Times New Roman" w:hAnsi="Times New Roman"/>
          <w:sz w:val="20"/>
        </w:rPr>
        <w:t>Teritorijalne upravne jedinice definirane su k</w:t>
      </w:r>
      <w:r>
        <w:rPr>
          <w:rFonts w:ascii="Times New Roman" w:hAnsi="Times New Roman"/>
          <w:sz w:val="20"/>
        </w:rPr>
        <w:t>ao „ruralne” prema „Metodološkom priručniku o prostornim tipologijama – izdanje iz 2018.” (poznato i kao metodologija DEGURBA) ili prema poboljšanoj klasifikaciji malih regija OECD-a (Fadic, M., et al. (2019.), „Classifying small (TL3) regions based on met</w:t>
      </w:r>
      <w:r>
        <w:rPr>
          <w:rFonts w:ascii="Times New Roman" w:hAnsi="Times New Roman"/>
          <w:sz w:val="20"/>
        </w:rPr>
        <w:t>ropolitan population, low density and distanceness”, OECD Regional Development Working Papers, br. 2019/06, OECD Publishing, Pariz</w:t>
      </w:r>
      <w:hyperlink r:id="rId1" w:history="1">
        <w:r>
          <w:rPr>
            <w:rStyle w:val="Hyperlink"/>
            <w:rFonts w:ascii="Times New Roman" w:hAnsi="Times New Roman"/>
            <w:sz w:val="20"/>
          </w:rPr>
          <w:t>,</w:t>
        </w:r>
      </w:hyperlink>
      <w:r>
        <w:rPr>
          <w:rFonts w:ascii="Times New Roman" w:hAnsi="Times New Roman"/>
          <w:sz w:val="20"/>
        </w:rPr>
        <w:t>https://doi.org/10.1787/b902cc00-en.</w:t>
      </w:r>
    </w:p>
  </w:footnote>
  <w:footnote w:id="50">
    <w:p w14:paraId="0FF87870" w14:textId="77777777" w:rsidR="003F46B9" w:rsidRDefault="0065662E">
      <w:pPr>
        <w:pStyle w:val="FootnoteText"/>
      </w:pPr>
      <w:r>
        <w:rPr>
          <w:rStyle w:val="FootnoteReference"/>
        </w:rPr>
        <w:footnoteRef/>
      </w:r>
      <w:r>
        <w:t xml:space="preserve"> Ulaganja 13 i 14 uključena su u od</w:t>
      </w:r>
      <w:r>
        <w:t>jeljak O.3.</w:t>
      </w:r>
    </w:p>
  </w:footnote>
  <w:footnote w:id="51">
    <w:p w14:paraId="4A310819" w14:textId="77777777" w:rsidR="003F46B9" w:rsidRDefault="0065662E">
      <w:pPr>
        <w:pStyle w:val="FootnoteText"/>
        <w:ind w:left="0" w:firstLine="0"/>
      </w:pPr>
      <w:r>
        <w:rPr>
          <w:rStyle w:val="FootnoteReference"/>
        </w:rPr>
        <w:footnoteRef/>
      </w:r>
      <w:r>
        <w:t xml:space="preserve"> Osim projekata u okviru ove mjere u području proizvodnje električne energije i/ili topline te povezane infrastrukture za prijenos i distribuciju, u kojima se upotrebljava prirodni plin, koji su u skladu s uvjetima iz Priloga III. Tehničkim sm</w:t>
      </w:r>
      <w:r>
        <w:t>jernicama o nenanošenju bitne štete (2021/C58/01).</w:t>
      </w:r>
    </w:p>
  </w:footnote>
  <w:footnote w:id="52">
    <w:p w14:paraId="561095C0" w14:textId="77777777" w:rsidR="003F46B9" w:rsidRDefault="0065662E">
      <w:pPr>
        <w:pStyle w:val="FootnoteText"/>
        <w:ind w:left="0" w:hanging="11"/>
      </w:pPr>
      <w:r>
        <w:rPr>
          <w:rStyle w:val="FootnoteReference"/>
        </w:rPr>
        <w:footnoteRef/>
      </w:r>
      <w:r>
        <w:t xml:space="preserve"> Ako se aktivnostima koje se podupiru postižu predviđene emisije stakleničkih plinova koje nisu znatno niže od relevantnih referentnih vrijednosti, potrebno je objasniti razloge zašto to nije moguće. Referentne vrijednosti za besplatnu dodjelu emisijskih j</w:t>
      </w:r>
      <w:r>
        <w:t>edinica za aktivnosti obuhvaćene područjem primjene sustava trgovanja emisijama, kako je utvrđeno u Provedbenoj uredbi Komisije (EU) 2021/447.</w:t>
      </w:r>
    </w:p>
  </w:footnote>
  <w:footnote w:id="53">
    <w:p w14:paraId="554DCB74" w14:textId="77777777" w:rsidR="003F46B9" w:rsidRDefault="0065662E">
      <w:pPr>
        <w:spacing w:after="0" w:line="240" w:lineRule="auto"/>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To se izuzeće ne primjenjuje na mjere u okviru ove mjere u postrojenjima koja su namijenjena isključivo obradi opasnog otpada koji se ne može reciklirati i postojećim postrojenjima, u kojima su mjere u okviru ove mjere namijenjene povećanju energetske uči</w:t>
      </w:r>
      <w:r>
        <w:rPr>
          <w:rFonts w:ascii="Times New Roman" w:hAnsi="Times New Roman"/>
          <w:sz w:val="20"/>
        </w:rPr>
        <w:t>nkovitosti, hvatanju ispušnih plinova za skladištenje ili uporabu ili oporabi materijala iz pepela za spaljivanje, pod uvjetom da takve radnje u okviru ove mjere ne dovode do povećanja kapaciteta postrojenja za obradu otpada ili produljenja životnog vijeka</w:t>
      </w:r>
      <w:r>
        <w:rPr>
          <w:rFonts w:ascii="Times New Roman" w:hAnsi="Times New Roman"/>
          <w:sz w:val="20"/>
        </w:rPr>
        <w:t xml:space="preserve"> postrojenja; za koje postoje dokazi na razini postrojenja.</w:t>
      </w:r>
    </w:p>
  </w:footnote>
  <w:footnote w:id="54">
    <w:p w14:paraId="2482FFC7" w14:textId="77777777" w:rsidR="003F46B9" w:rsidRDefault="0065662E">
      <w:pPr>
        <w:pStyle w:val="FootnoteText"/>
        <w:ind w:left="0" w:hanging="11"/>
      </w:pPr>
      <w:r>
        <w:rPr>
          <w:rStyle w:val="FootnoteReference"/>
        </w:rPr>
        <w:footnoteRef/>
      </w:r>
      <w:r>
        <w:t xml:space="preserve"> To se izuzeće ne primjenjuje na mjere u okviru ove mjere u postojećim postrojenjima za mehaničko-biološku obradu, ako su mjere u okviru ove mjere namijenjene povećanju energetske učinkovitosti i</w:t>
      </w:r>
      <w:r>
        <w:t>li naknadnoj ugradnji u postupke recikliranja odvojenog otpada radi kompostiranja biootpada i anaerobne razgradnje biološkog otpada, pod uvjetom da takve mjere u okviru ove mjere ne dovode do povećanja kapaciteta postrojenja za obradu otpada ili produljenj</w:t>
      </w:r>
      <w:r>
        <w:t>a životnog vijeka postrojenja; za koje postoje dokazi na razini postrojenja.</w:t>
      </w:r>
    </w:p>
  </w:footnote>
  <w:footnote w:id="55">
    <w:p w14:paraId="509B3894" w14:textId="77777777" w:rsidR="003F46B9" w:rsidRDefault="0065662E">
      <w:pPr>
        <w:pStyle w:val="FootnoteText"/>
      </w:pPr>
      <w:r>
        <w:rPr>
          <w:rStyle w:val="FootnoteReference"/>
        </w:rPr>
        <w:footnoteRef/>
      </w:r>
      <w:r>
        <w:t xml:space="preserve"> Ulaganja 12 i 13 uključena su u odjeljak O.3.</w:t>
      </w:r>
    </w:p>
  </w:footnote>
  <w:footnote w:id="56">
    <w:p w14:paraId="6DD663F3" w14:textId="77777777" w:rsidR="003F46B9" w:rsidRDefault="0065662E">
      <w:pPr>
        <w:pStyle w:val="FootnoteText"/>
      </w:pPr>
      <w:r>
        <w:rPr>
          <w:rStyle w:val="FootnoteReference"/>
        </w:rPr>
        <w:footnoteRef/>
      </w:r>
      <w:r>
        <w:t xml:space="preserve"> Ulaganje 17 uključeno je u odjeljak O.3.</w:t>
      </w:r>
    </w:p>
  </w:footnote>
  <w:footnote w:id="57">
    <w:p w14:paraId="54C5477B" w14:textId="77777777" w:rsidR="003F46B9" w:rsidRDefault="0065662E">
      <w:pPr>
        <w:pStyle w:val="FootnoteText"/>
      </w:pPr>
      <w:r>
        <w:rPr>
          <w:rStyle w:val="FootnoteReference"/>
        </w:rPr>
        <w:footnoteRef/>
      </w:r>
      <w:r>
        <w:t xml:space="preserve"> Ulaganje 18 uključeno je u odjeljak O.3.</w:t>
      </w:r>
    </w:p>
  </w:footnote>
  <w:footnote w:id="58">
    <w:p w14:paraId="2F540A3C" w14:textId="77777777" w:rsidR="003F46B9" w:rsidRDefault="0065662E">
      <w:pPr>
        <w:pStyle w:val="FootnoteText"/>
      </w:pPr>
      <w:r>
        <w:rPr>
          <w:rStyle w:val="FootnoteReference"/>
        </w:rPr>
        <w:footnoteRef/>
      </w:r>
      <w:r>
        <w:t xml:space="preserve"> https://publications.jrc.ec.europa.eu/repos</w:t>
      </w:r>
      <w:r>
        <w:t>itory/handle/JRC107466</w:t>
      </w:r>
    </w:p>
  </w:footnote>
  <w:footnote w:id="59">
    <w:p w14:paraId="46195D63" w14:textId="77777777" w:rsidR="003F46B9" w:rsidRDefault="0065662E">
      <w:pPr>
        <w:pStyle w:val="FootnoteText"/>
      </w:pPr>
      <w:r>
        <w:rPr>
          <w:rStyle w:val="FootnoteReference"/>
        </w:rPr>
        <w:footnoteRef/>
      </w:r>
      <w:r>
        <w:t xml:space="preserve"> https://publications.jrc.ec.europa.eu/repository/handle/JRC106281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7C76" w14:textId="77777777" w:rsidR="0065662E" w:rsidRPr="0065662E" w:rsidRDefault="0065662E" w:rsidP="006566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3F46B9" w:rsidRDefault="003F46B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ED77" w14:textId="77777777" w:rsidR="003F46B9" w:rsidRDefault="003F46B9">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98CF" w14:textId="77777777" w:rsidR="003F46B9" w:rsidRDefault="003F46B9">
    <w:pPr>
      <w:pStyle w:val="Header"/>
      <w:spacing w:after="0"/>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08E9" w14:textId="77777777" w:rsidR="003F46B9" w:rsidRDefault="003F46B9">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D39ED" w14:textId="77777777" w:rsidR="003F46B9" w:rsidRDefault="003F46B9">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35F47" w14:textId="77777777" w:rsidR="003F46B9" w:rsidRDefault="003F46B9">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4480" w14:textId="77777777" w:rsidR="003F46B9" w:rsidRDefault="003F46B9">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7738" w14:textId="77777777" w:rsidR="003F46B9" w:rsidRDefault="003F46B9">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150E" w14:textId="77777777" w:rsidR="003F46B9" w:rsidRDefault="003F46B9">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3741" w14:textId="77777777" w:rsidR="003F46B9" w:rsidRDefault="003F46B9">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BCC66" w14:textId="77777777" w:rsidR="003F46B9" w:rsidRDefault="003F46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3F46B9" w:rsidRDefault="003F46B9">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40D72" w14:textId="77777777" w:rsidR="003F46B9" w:rsidRDefault="003F46B9">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F4B5" w14:textId="77777777" w:rsidR="003F46B9" w:rsidRDefault="003F46B9">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81646" w14:textId="77777777" w:rsidR="003F46B9" w:rsidRDefault="003F46B9">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C1A5B" w14:textId="77777777" w:rsidR="003F46B9" w:rsidRDefault="003F46B9">
    <w:pPr>
      <w:pStyle w:val="Heade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2366" w14:textId="77777777" w:rsidR="003F46B9" w:rsidRDefault="003F46B9">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FC8FB" w14:textId="77777777" w:rsidR="003F46B9" w:rsidRDefault="003F46B9">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4BC8C" w14:textId="77777777" w:rsidR="003F46B9" w:rsidRDefault="003F46B9">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B73B" w14:textId="77777777" w:rsidR="003F46B9" w:rsidRDefault="003F46B9">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DBAD" w14:textId="77777777" w:rsidR="003F46B9" w:rsidRDefault="003F46B9">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5608" w14:textId="77777777" w:rsidR="003F46B9" w:rsidRDefault="003F46B9">
    <w:pPr>
      <w:pStyle w:val="HeaderLandscap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3F46B9" w:rsidRDefault="003F46B9">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CCDA" w14:textId="77777777" w:rsidR="003F46B9" w:rsidRDefault="003F46B9">
    <w:pPr>
      <w:pStyle w:val="HeaderLandscape"/>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B836" w14:textId="77777777" w:rsidR="003F46B9" w:rsidRDefault="003F46B9">
    <w:pPr>
      <w:pBdr>
        <w:top w:val="nil"/>
        <w:left w:val="nil"/>
        <w:bottom w:val="nil"/>
        <w:right w:val="nil"/>
        <w:between w:val="nil"/>
      </w:pBdr>
      <w:tabs>
        <w:tab w:val="center" w:pos="4535"/>
        <w:tab w:val="right" w:pos="9071"/>
      </w:tabs>
      <w:rPr>
        <w:color w:val="000000"/>
      </w:rP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D220" w14:textId="77777777" w:rsidR="003F46B9" w:rsidRDefault="003F46B9">
    <w:pPr>
      <w:pBdr>
        <w:top w:val="nil"/>
        <w:left w:val="nil"/>
        <w:bottom w:val="nil"/>
        <w:right w:val="nil"/>
        <w:between w:val="nil"/>
      </w:pBdr>
      <w:tabs>
        <w:tab w:val="center" w:pos="7285"/>
        <w:tab w:val="right" w:pos="14003"/>
      </w:tabs>
      <w:rPr>
        <w:color w:val="000000"/>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82AC" w14:textId="77777777" w:rsidR="003F46B9" w:rsidRDefault="003F46B9">
    <w:pPr>
      <w:pBdr>
        <w:top w:val="nil"/>
        <w:left w:val="nil"/>
        <w:bottom w:val="nil"/>
        <w:right w:val="nil"/>
        <w:between w:val="nil"/>
      </w:pBdr>
      <w:tabs>
        <w:tab w:val="center" w:pos="7285"/>
        <w:tab w:val="right" w:pos="14003"/>
      </w:tabs>
      <w:rPr>
        <w:color w:val="000000"/>
      </w:rP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C8F0D" w14:textId="77777777" w:rsidR="003F46B9" w:rsidRDefault="003F46B9">
    <w:pPr>
      <w:pBdr>
        <w:top w:val="nil"/>
        <w:left w:val="nil"/>
        <w:bottom w:val="nil"/>
        <w:right w:val="nil"/>
        <w:between w:val="nil"/>
      </w:pBdr>
      <w:tabs>
        <w:tab w:val="center" w:pos="4535"/>
        <w:tab w:val="right" w:pos="9071"/>
      </w:tabs>
      <w:rPr>
        <w:color w:val="000000"/>
      </w:rP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A2E9" w14:textId="77777777" w:rsidR="003F46B9" w:rsidRDefault="003F46B9">
    <w:pPr>
      <w:pBdr>
        <w:top w:val="nil"/>
        <w:left w:val="nil"/>
        <w:bottom w:val="nil"/>
        <w:right w:val="nil"/>
        <w:between w:val="nil"/>
      </w:pBdr>
      <w:tabs>
        <w:tab w:val="center" w:pos="7285"/>
        <w:tab w:val="right" w:pos="14003"/>
      </w:tabs>
      <w:rPr>
        <w:color w:val="000000"/>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9DC7" w14:textId="77777777" w:rsidR="003F46B9" w:rsidRDefault="003F46B9">
    <w:pPr>
      <w:pBdr>
        <w:top w:val="nil"/>
        <w:left w:val="nil"/>
        <w:bottom w:val="nil"/>
        <w:right w:val="nil"/>
        <w:between w:val="nil"/>
      </w:pBdr>
      <w:tabs>
        <w:tab w:val="center" w:pos="7285"/>
        <w:tab w:val="right" w:pos="14003"/>
      </w:tabs>
      <w:rPr>
        <w:color w:val="000000"/>
      </w:rP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CF2E" w14:textId="77777777" w:rsidR="003F46B9" w:rsidRDefault="003F46B9">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505A3" w14:textId="77777777" w:rsidR="003F46B9" w:rsidRDefault="003F46B9">
    <w:pPr>
      <w:pStyle w:val="Heade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744B" w14:textId="77777777" w:rsidR="003F46B9" w:rsidRDefault="003F46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B9F7" w14:textId="77777777" w:rsidR="003F46B9" w:rsidRDefault="003F46B9">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A1F8" w14:textId="77777777" w:rsidR="003F46B9" w:rsidRDefault="003F46B9">
    <w:pPr>
      <w:pBdr>
        <w:top w:val="nil"/>
        <w:left w:val="nil"/>
        <w:bottom w:val="nil"/>
        <w:right w:val="nil"/>
        <w:between w:val="nil"/>
      </w:pBdr>
      <w:tabs>
        <w:tab w:val="center" w:pos="4535"/>
        <w:tab w:val="right" w:pos="9071"/>
      </w:tabs>
      <w:rPr>
        <w:color w:val="000000"/>
      </w:rP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DEF6" w14:textId="77777777" w:rsidR="003F46B9" w:rsidRDefault="003F46B9">
    <w:pPr>
      <w:pStyle w:val="HeaderLandscape"/>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A8A25" w14:textId="77777777" w:rsidR="003F46B9" w:rsidRDefault="003F46B9">
    <w:pPr>
      <w:pStyle w:val="HeaderLandscape"/>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F3A8" w14:textId="77777777" w:rsidR="003F46B9" w:rsidRDefault="003F46B9">
    <w:pPr>
      <w:pBdr>
        <w:top w:val="nil"/>
        <w:left w:val="nil"/>
        <w:bottom w:val="nil"/>
        <w:right w:val="nil"/>
        <w:between w:val="nil"/>
      </w:pBdr>
      <w:tabs>
        <w:tab w:val="center" w:pos="4535"/>
        <w:tab w:val="right" w:pos="9071"/>
      </w:tabs>
      <w:rPr>
        <w:color w:val="000000"/>
      </w:rP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C3A6" w14:textId="77777777" w:rsidR="003F46B9" w:rsidRDefault="003F46B9">
    <w:pPr>
      <w:pStyle w:val="Heade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C62C" w14:textId="77777777" w:rsidR="003F46B9" w:rsidRDefault="003F46B9">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E280" w14:textId="77777777" w:rsidR="003F46B9" w:rsidRDefault="003F46B9">
    <w:pPr>
      <w:pBdr>
        <w:top w:val="nil"/>
        <w:left w:val="nil"/>
        <w:bottom w:val="nil"/>
        <w:right w:val="nil"/>
        <w:between w:val="nil"/>
      </w:pBdr>
      <w:tabs>
        <w:tab w:val="center" w:pos="4535"/>
        <w:tab w:val="right" w:pos="9071"/>
      </w:tabs>
      <w:rPr>
        <w:color w:val="000000"/>
      </w:rP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B6D5" w14:textId="77777777" w:rsidR="003F46B9" w:rsidRDefault="003F46B9">
    <w:pPr>
      <w:pStyle w:val="HeaderLandscape"/>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BC78" w14:textId="77777777" w:rsidR="003F46B9" w:rsidRDefault="003F46B9">
    <w:pPr>
      <w:pStyle w:val="HeaderLandscape"/>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D9D3" w14:textId="77777777" w:rsidR="003F46B9" w:rsidRDefault="003F46B9">
    <w:pPr>
      <w:pBdr>
        <w:top w:val="nil"/>
        <w:left w:val="nil"/>
        <w:bottom w:val="nil"/>
        <w:right w:val="nil"/>
        <w:between w:val="nil"/>
      </w:pBdr>
      <w:tabs>
        <w:tab w:val="center" w:pos="4535"/>
        <w:tab w:val="right" w:pos="9071"/>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E068" w14:textId="77777777" w:rsidR="003F46B9" w:rsidRDefault="003F46B9">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91E5" w14:textId="77777777" w:rsidR="003F46B9" w:rsidRDefault="003F46B9">
    <w:pPr>
      <w:pStyle w:val="HeaderLandscape"/>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C4F1" w14:textId="77777777" w:rsidR="003F46B9" w:rsidRDefault="003F46B9">
    <w:pPr>
      <w:pStyle w:val="HeaderLandscape"/>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F796" w14:textId="77777777" w:rsidR="003F46B9" w:rsidRDefault="003F46B9">
    <w:pPr>
      <w:pBdr>
        <w:top w:val="nil"/>
        <w:left w:val="nil"/>
        <w:bottom w:val="nil"/>
        <w:right w:val="nil"/>
        <w:between w:val="nil"/>
      </w:pBdr>
      <w:tabs>
        <w:tab w:val="center" w:pos="4535"/>
        <w:tab w:val="right" w:pos="9071"/>
      </w:tabs>
      <w:rPr>
        <w:color w:val="000000"/>
      </w:rP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493E" w14:textId="77777777" w:rsidR="003F46B9" w:rsidRDefault="003F46B9">
    <w:pPr>
      <w:pStyle w:val="HeaderLandscape"/>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A71A" w14:textId="77777777" w:rsidR="003F46B9" w:rsidRDefault="003F46B9">
    <w:pPr>
      <w:pStyle w:val="HeaderLandscape"/>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00C24" w14:textId="77777777" w:rsidR="003F46B9" w:rsidRDefault="003F46B9">
    <w:pPr>
      <w:pBdr>
        <w:top w:val="nil"/>
        <w:left w:val="nil"/>
        <w:bottom w:val="nil"/>
        <w:right w:val="nil"/>
        <w:between w:val="nil"/>
      </w:pBdr>
      <w:tabs>
        <w:tab w:val="center" w:pos="4535"/>
        <w:tab w:val="right" w:pos="9071"/>
      </w:tabs>
      <w:rPr>
        <w:color w:val="000000"/>
      </w:rP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FC64" w14:textId="77777777" w:rsidR="003F46B9" w:rsidRDefault="003F46B9">
    <w:pPr>
      <w:pStyle w:val="HeaderLandscape"/>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47D8" w14:textId="77777777" w:rsidR="003F46B9" w:rsidRDefault="003F46B9">
    <w:pPr>
      <w:pStyle w:val="HeaderLandscape"/>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84A4" w14:textId="77777777" w:rsidR="003F46B9" w:rsidRDefault="003F46B9">
    <w:pPr>
      <w:pBdr>
        <w:top w:val="nil"/>
        <w:left w:val="nil"/>
        <w:bottom w:val="nil"/>
        <w:right w:val="nil"/>
        <w:between w:val="nil"/>
      </w:pBdr>
      <w:tabs>
        <w:tab w:val="center" w:pos="4535"/>
        <w:tab w:val="right" w:pos="9071"/>
      </w:tabs>
      <w:rPr>
        <w:color w:val="000000"/>
      </w:rP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AD758" w14:textId="77777777" w:rsidR="003F46B9" w:rsidRDefault="003F46B9">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78E7" w14:textId="77777777" w:rsidR="003F46B9" w:rsidRDefault="003F46B9">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6208" w14:textId="77777777" w:rsidR="003F46B9" w:rsidRDefault="003F46B9">
    <w:pPr>
      <w:pStyle w:val="HeaderLandscape"/>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80D2" w14:textId="77777777" w:rsidR="003F46B9" w:rsidRDefault="003F46B9">
    <w:pPr>
      <w:pBdr>
        <w:top w:val="nil"/>
        <w:left w:val="nil"/>
        <w:bottom w:val="nil"/>
        <w:right w:val="nil"/>
        <w:between w:val="nil"/>
      </w:pBdr>
      <w:tabs>
        <w:tab w:val="center" w:pos="4535"/>
        <w:tab w:val="right" w:pos="9071"/>
      </w:tabs>
      <w:rPr>
        <w:color w:val="000000"/>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C1DA" w14:textId="77777777" w:rsidR="003F46B9" w:rsidRDefault="003F46B9">
    <w:pPr>
      <w:pStyle w:val="Heade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DC2B" w14:textId="77777777" w:rsidR="003F46B9" w:rsidRDefault="003F46B9">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90BBB" w14:textId="77777777" w:rsidR="003F46B9" w:rsidRDefault="003F46B9">
    <w:pPr>
      <w:pBdr>
        <w:top w:val="nil"/>
        <w:left w:val="nil"/>
        <w:bottom w:val="nil"/>
        <w:right w:val="nil"/>
        <w:between w:val="nil"/>
      </w:pBdr>
      <w:tabs>
        <w:tab w:val="center" w:pos="4535"/>
        <w:tab w:val="right" w:pos="9071"/>
      </w:tabs>
      <w:rPr>
        <w:color w:val="000000"/>
      </w:rP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C74C" w14:textId="77777777" w:rsidR="003F46B9" w:rsidRDefault="003F46B9">
    <w:pPr>
      <w:pStyle w:val="Heade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1EDF" w14:textId="77777777" w:rsidR="003F46B9" w:rsidRDefault="003F46B9">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6490" w14:textId="77777777" w:rsidR="003F46B9" w:rsidRDefault="003F46B9">
    <w:pPr>
      <w:pBdr>
        <w:top w:val="nil"/>
        <w:left w:val="nil"/>
        <w:bottom w:val="nil"/>
        <w:right w:val="nil"/>
        <w:between w:val="nil"/>
      </w:pBdr>
      <w:tabs>
        <w:tab w:val="center" w:pos="4535"/>
        <w:tab w:val="right" w:pos="9071"/>
      </w:tabs>
      <w:rPr>
        <w:color w:val="000000"/>
      </w:rP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C898D" w14:textId="77777777" w:rsidR="003F46B9" w:rsidRDefault="003F46B9">
    <w:pPr>
      <w:pStyle w:val="Heade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44E9" w14:textId="77777777" w:rsidR="003F46B9" w:rsidRDefault="003F46B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A742" w14:textId="77777777" w:rsidR="003F46B9" w:rsidRDefault="003F46B9">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FE2A" w14:textId="77777777" w:rsidR="003F46B9" w:rsidRDefault="003F46B9">
    <w:pPr>
      <w:pBdr>
        <w:top w:val="nil"/>
        <w:left w:val="nil"/>
        <w:bottom w:val="nil"/>
        <w:right w:val="nil"/>
        <w:between w:val="nil"/>
      </w:pBdr>
      <w:tabs>
        <w:tab w:val="center" w:pos="4535"/>
        <w:tab w:val="right" w:pos="9071"/>
      </w:tabs>
      <w:rPr>
        <w:color w:val="000000"/>
      </w:rP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71877" w14:textId="77777777" w:rsidR="003F46B9" w:rsidRDefault="003F46B9">
    <w:pPr>
      <w:pStyle w:val="Heade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4F5" w14:textId="77777777" w:rsidR="003F46B9" w:rsidRDefault="003F46B9">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B3F8A" w14:textId="77777777" w:rsidR="003F46B9" w:rsidRDefault="003F46B9">
    <w:pPr>
      <w:pBdr>
        <w:top w:val="nil"/>
        <w:left w:val="nil"/>
        <w:bottom w:val="nil"/>
        <w:right w:val="nil"/>
        <w:between w:val="nil"/>
      </w:pBdr>
      <w:tabs>
        <w:tab w:val="center" w:pos="4535"/>
        <w:tab w:val="right" w:pos="9071"/>
      </w:tabs>
      <w:rPr>
        <w:color w:val="000000"/>
      </w:rP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0E81A" w14:textId="77777777" w:rsidR="003F46B9" w:rsidRDefault="003F46B9">
    <w:pPr>
      <w:pStyle w:val="Heade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BEF2" w14:textId="77777777" w:rsidR="003F46B9" w:rsidRDefault="003F46B9">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EF11" w14:textId="77777777" w:rsidR="003F46B9" w:rsidRDefault="003F46B9">
    <w:pPr>
      <w:pBdr>
        <w:top w:val="nil"/>
        <w:left w:val="nil"/>
        <w:bottom w:val="nil"/>
        <w:right w:val="nil"/>
        <w:between w:val="nil"/>
      </w:pBdr>
      <w:tabs>
        <w:tab w:val="center" w:pos="4535"/>
        <w:tab w:val="right" w:pos="9071"/>
      </w:tabs>
      <w:rPr>
        <w:color w:val="000000"/>
      </w:rP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C20D" w14:textId="77777777" w:rsidR="003F46B9" w:rsidRDefault="003F46B9">
    <w:pPr>
      <w:pStyle w:val="Heade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F063" w14:textId="77777777" w:rsidR="003F46B9" w:rsidRDefault="003F46B9">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B693" w14:textId="77777777" w:rsidR="003F46B9" w:rsidRDefault="003F46B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DDBF7" w14:textId="77777777" w:rsidR="003F46B9" w:rsidRDefault="003F46B9">
    <w:pPr>
      <w:pStyle w:val="HeaderLandscape"/>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2B06" w14:textId="77777777" w:rsidR="003F46B9" w:rsidRDefault="003F46B9">
    <w:pPr>
      <w:pStyle w:val="Heade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5BE1" w14:textId="77777777" w:rsidR="003F46B9" w:rsidRDefault="003F46B9">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EA54" w14:textId="77777777" w:rsidR="003F46B9" w:rsidRDefault="003F46B9">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9184" w14:textId="77777777" w:rsidR="003F46B9" w:rsidRDefault="003F46B9">
    <w:pPr>
      <w:pStyle w:val="Heade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CF484" w14:textId="77777777" w:rsidR="003F46B9" w:rsidRDefault="003F46B9">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05B6C" w14:textId="77777777" w:rsidR="003F46B9" w:rsidRDefault="003F46B9">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DF44" w14:textId="77777777" w:rsidR="003F46B9" w:rsidRDefault="003F46B9">
    <w:pPr>
      <w:pStyle w:val="Heade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1527" w14:textId="77777777" w:rsidR="003F46B9" w:rsidRDefault="003F46B9">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2AA8" w14:textId="77777777" w:rsidR="003F46B9" w:rsidRDefault="003F46B9">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FFC6" w14:textId="77777777" w:rsidR="003F46B9" w:rsidRDefault="003F46B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72C5" w14:textId="77777777" w:rsidR="003F46B9" w:rsidRDefault="003F46B9">
    <w:pPr>
      <w:pStyle w:val="HeaderLandscape"/>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F77F" w14:textId="77777777" w:rsidR="003F46B9" w:rsidRDefault="003F46B9">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00FB" w14:textId="77777777" w:rsidR="003F46B9" w:rsidRDefault="003F46B9">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4BE6" w14:textId="77777777" w:rsidR="003F46B9" w:rsidRDefault="003F46B9">
    <w:pPr>
      <w:pStyle w:val="Heade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7E04" w14:textId="77777777" w:rsidR="003F46B9" w:rsidRDefault="003F46B9">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A86C" w14:textId="77777777" w:rsidR="003F46B9" w:rsidRDefault="003F46B9">
    <w:pPr>
      <w:pBdr>
        <w:top w:val="nil"/>
        <w:left w:val="nil"/>
        <w:bottom w:val="nil"/>
        <w:right w:val="nil"/>
        <w:between w:val="nil"/>
      </w:pBdr>
      <w:tabs>
        <w:tab w:val="center" w:pos="4535"/>
        <w:tab w:val="right" w:pos="9071"/>
      </w:tabs>
      <w:rPr>
        <w:color w:val="000000"/>
      </w:rP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15229" w14:textId="77777777" w:rsidR="003F46B9" w:rsidRDefault="003F46B9">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769E0" w14:textId="77777777" w:rsidR="003F46B9" w:rsidRDefault="003F46B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BD41" w14:textId="77777777" w:rsidR="003F46B9" w:rsidRDefault="003F4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42336" w14:textId="77777777" w:rsidR="0065662E" w:rsidRPr="0065662E" w:rsidRDefault="0065662E" w:rsidP="0065662E">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C69C" w14:textId="77777777" w:rsidR="003F46B9" w:rsidRDefault="003F46B9">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EB5B7" w14:textId="77777777" w:rsidR="003F46B9" w:rsidRDefault="003F46B9">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802CC" w14:textId="77777777" w:rsidR="003F46B9" w:rsidRDefault="003F46B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0EA3" w14:textId="77777777" w:rsidR="003F46B9" w:rsidRDefault="003F46B9">
    <w:pPr>
      <w:pStyle w:val="HeaderLandscap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0983" w14:textId="77777777" w:rsidR="003F46B9" w:rsidRDefault="003F46B9">
    <w:pPr>
      <w:pStyle w:val="HeaderLandscape"/>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B962C" w14:textId="77777777" w:rsidR="003F46B9" w:rsidRDefault="003F46B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81DB" w14:textId="77777777" w:rsidR="003F46B9" w:rsidRDefault="003F46B9">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C83B" w14:textId="77777777" w:rsidR="003F46B9" w:rsidRDefault="003F46B9">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C4BCF" w14:textId="77777777" w:rsidR="003F46B9" w:rsidRDefault="003F46B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57255" w14:textId="77777777" w:rsidR="003F46B9" w:rsidRDefault="003F46B9">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1BA7" w14:textId="77777777" w:rsidR="0065662E" w:rsidRPr="0065662E" w:rsidRDefault="0065662E" w:rsidP="0065662E">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D80" w14:textId="77777777" w:rsidR="003F46B9" w:rsidRDefault="003F46B9">
    <w:pPr>
      <w:pStyle w:val="HeaderLandscape"/>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81227" w14:textId="77777777" w:rsidR="003F46B9" w:rsidRDefault="003F46B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3B37" w14:textId="77777777" w:rsidR="003F46B9" w:rsidRDefault="003F46B9">
    <w:pPr>
      <w:pStyle w:val="HeaderLandscape"/>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5176" w14:textId="77777777" w:rsidR="003F46B9" w:rsidRDefault="003F46B9">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B151" w14:textId="77777777" w:rsidR="003F46B9" w:rsidRDefault="003F46B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CAC64" w14:textId="77777777" w:rsidR="003F46B9" w:rsidRDefault="003F46B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5FC1" w14:textId="77777777" w:rsidR="003F46B9" w:rsidRDefault="003F46B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C2982" w14:textId="77777777" w:rsidR="003F46B9" w:rsidRDefault="003F46B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A9E6" w14:textId="77777777" w:rsidR="003F46B9" w:rsidRDefault="003F46B9">
    <w:pPr>
      <w:pStyle w:val="HeaderLandscape"/>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A27C" w14:textId="77777777" w:rsidR="003F46B9" w:rsidRDefault="003F46B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8BD" w14:textId="77777777" w:rsidR="003F46B9" w:rsidRDefault="003F46B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1E4C" w14:textId="77777777" w:rsidR="003F46B9" w:rsidRDefault="003F46B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01B8" w14:textId="77777777" w:rsidR="003F46B9" w:rsidRDefault="003F46B9">
    <w:pPr>
      <w:pStyle w:val="HeaderLandscap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1F29" w14:textId="77777777" w:rsidR="003F46B9" w:rsidRDefault="003F46B9">
    <w:pPr>
      <w:pStyle w:val="HeaderLandscape"/>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7FC0" w14:textId="77777777" w:rsidR="003F46B9" w:rsidRDefault="003F46B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46C3" w14:textId="77777777" w:rsidR="003F46B9" w:rsidRDefault="003F46B9">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CD1B6" w14:textId="77777777" w:rsidR="003F46B9" w:rsidRDefault="003F46B9">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1A74" w14:textId="77777777" w:rsidR="003F46B9" w:rsidRDefault="003F46B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F3731" w14:textId="77777777" w:rsidR="003F46B9" w:rsidRDefault="003F46B9">
    <w:pPr>
      <w:pStyle w:val="HeaderLandscape"/>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AE24" w14:textId="77777777" w:rsidR="003F46B9" w:rsidRDefault="003F46B9">
    <w:pPr>
      <w:pStyle w:val="HeaderLandscape"/>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2795" w14:textId="77777777" w:rsidR="003F46B9" w:rsidRDefault="003F46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4655" w14:textId="77777777" w:rsidR="003F46B9" w:rsidRDefault="003F46B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087FF" w14:textId="77777777" w:rsidR="003F46B9" w:rsidRDefault="003F46B9">
    <w:pPr>
      <w:pStyle w:val="HeaderLandscape"/>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79C0" w14:textId="77777777" w:rsidR="003F46B9" w:rsidRDefault="003F46B9">
    <w:pPr>
      <w:pStyle w:val="HeaderLandscape"/>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51043" w14:textId="77777777" w:rsidR="003F46B9" w:rsidRDefault="003F46B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64FC" w14:textId="77777777" w:rsidR="003F46B9" w:rsidRDefault="003F46B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B34D1" w14:textId="77777777" w:rsidR="003F46B9" w:rsidRDefault="003F46B9">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5B0FE" w14:textId="77777777" w:rsidR="003F46B9" w:rsidRDefault="003F46B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70E7" w14:textId="77777777" w:rsidR="003F46B9" w:rsidRDefault="003F46B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5AFA" w14:textId="77777777" w:rsidR="003F46B9" w:rsidRDefault="003F46B9">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9DEE" w14:textId="77777777" w:rsidR="003F46B9" w:rsidRDefault="003F46B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A324C" w14:textId="77777777" w:rsidR="003F46B9" w:rsidRDefault="003F46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5FCB" w14:textId="77777777" w:rsidR="003F46B9" w:rsidRDefault="003F46B9">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BC04" w14:textId="77777777" w:rsidR="003F46B9" w:rsidRDefault="003F46B9">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925D5" w14:textId="77777777" w:rsidR="003F46B9" w:rsidRDefault="003F46B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BD438" w14:textId="77777777" w:rsidR="003F46B9" w:rsidRDefault="003F46B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A925" w14:textId="77777777" w:rsidR="003F46B9" w:rsidRDefault="003F46B9">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421E" w14:textId="77777777" w:rsidR="003F46B9" w:rsidRDefault="003F46B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789CF" w14:textId="77777777" w:rsidR="003F46B9" w:rsidRDefault="003F46B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EE38" w14:textId="77777777" w:rsidR="003F46B9" w:rsidRDefault="003F46B9">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2DFA" w14:textId="77777777" w:rsidR="003F46B9" w:rsidRDefault="003F46B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C862" w14:textId="77777777" w:rsidR="003F46B9" w:rsidRDefault="003F46B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5611" w14:textId="77777777" w:rsidR="003F46B9" w:rsidRDefault="003F46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1F7C" w14:textId="77777777" w:rsidR="003F46B9" w:rsidRDefault="003F46B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8036" w14:textId="77777777" w:rsidR="003F46B9" w:rsidRDefault="003F46B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CEDC" w14:textId="77777777" w:rsidR="003F46B9" w:rsidRDefault="003F46B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41A5B" w14:textId="77777777" w:rsidR="003F46B9" w:rsidRDefault="003F46B9">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652C0" w14:textId="77777777" w:rsidR="003F46B9" w:rsidRDefault="003F46B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CC5A" w14:textId="77777777" w:rsidR="003F46B9" w:rsidRDefault="003F46B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916D" w14:textId="77777777" w:rsidR="003F46B9" w:rsidRDefault="003F46B9">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DD5F" w14:textId="77777777" w:rsidR="003F46B9" w:rsidRDefault="003F46B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5005" w14:textId="77777777" w:rsidR="003F46B9" w:rsidRDefault="003F46B9">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F346" w14:textId="77777777" w:rsidR="003F46B9" w:rsidRDefault="003F46B9">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CD9F" w14:textId="77777777" w:rsidR="003F46B9" w:rsidRDefault="003F46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A759" w14:textId="77777777" w:rsidR="003F46B9" w:rsidRDefault="003F46B9">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D7E3" w14:textId="77777777" w:rsidR="003F46B9" w:rsidRDefault="003F46B9">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99394" w14:textId="77777777" w:rsidR="003F46B9" w:rsidRDefault="003F46B9">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7A23" w14:textId="77777777" w:rsidR="003F46B9" w:rsidRDefault="003F46B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2930" w14:textId="77777777" w:rsidR="003F46B9" w:rsidRDefault="003F46B9">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B69C" w14:textId="77777777" w:rsidR="003F46B9" w:rsidRDefault="003F46B9">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CC9C" w14:textId="77777777" w:rsidR="003F46B9" w:rsidRDefault="003F46B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9976" w14:textId="77777777" w:rsidR="003F46B9" w:rsidRDefault="003F46B9">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B43F" w14:textId="77777777" w:rsidR="003F46B9" w:rsidRDefault="003F46B9">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C79D" w14:textId="77777777" w:rsidR="003F46B9" w:rsidRDefault="003F46B9">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5512" w14:textId="77777777" w:rsidR="003F46B9" w:rsidRDefault="003F46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75B1" w14:textId="77777777" w:rsidR="003F46B9" w:rsidRDefault="003F46B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32E0" w14:textId="77777777" w:rsidR="003F46B9" w:rsidRDefault="003F46B9">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F40E7" w14:textId="77777777" w:rsidR="003F46B9" w:rsidRDefault="003F46B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3BEA" w14:textId="77777777" w:rsidR="003F46B9" w:rsidRDefault="003F46B9">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E158" w14:textId="77777777" w:rsidR="003F46B9" w:rsidRDefault="003F46B9">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4A747" w14:textId="77777777" w:rsidR="003F46B9" w:rsidRDefault="003F46B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A3AE" w14:textId="77777777" w:rsidR="003F46B9" w:rsidRDefault="003F46B9">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D7D2D" w14:textId="77777777" w:rsidR="003F46B9" w:rsidRDefault="003F46B9">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0802" w14:textId="77777777" w:rsidR="003F46B9" w:rsidRDefault="003F46B9">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7E36" w14:textId="77777777" w:rsidR="003F46B9" w:rsidRDefault="003F46B9">
    <w:pPr>
      <w:pStyle w:val="Header"/>
      <w:spacing w:after="0"/>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43D4" w14:textId="77777777" w:rsidR="003F46B9" w:rsidRDefault="003F4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5888"/>
        </w:tabs>
        <w:ind w:left="5888"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1250970"/>
    <w:multiLevelType w:val="hybridMultilevel"/>
    <w:tmpl w:val="5C2EBCB0"/>
    <w:lvl w:ilvl="0" w:tplc="1FC8B5AA">
      <w:start w:val="1"/>
      <w:numFmt w:val="decimal"/>
      <w:lvlText w:val="%1)"/>
      <w:lvlJc w:val="left"/>
      <w:pPr>
        <w:ind w:left="360" w:hanging="360"/>
      </w:pPr>
      <w:rPr>
        <w:rFonts w:ascii="Times New Roman" w:eastAsiaTheme="minorEastAsia" w:hAnsi="Times New Roman" w:cstheme="minorBidi"/>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204C3"/>
    <w:multiLevelType w:val="hybridMultilevel"/>
    <w:tmpl w:val="C63091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FD64FB"/>
    <w:multiLevelType w:val="hybridMultilevel"/>
    <w:tmpl w:val="66B6D452"/>
    <w:lvl w:ilvl="0" w:tplc="A33EFFAE">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2024477"/>
    <w:multiLevelType w:val="hybridMultilevel"/>
    <w:tmpl w:val="B9FA22FC"/>
    <w:lvl w:ilvl="0" w:tplc="8F3A109C">
      <w:start w:val="13"/>
      <w:numFmt w:val="bullet"/>
      <w:lvlText w:val="-"/>
      <w:lvlJc w:val="left"/>
      <w:pPr>
        <w:ind w:left="1004" w:hanging="360"/>
      </w:pPr>
      <w:rPr>
        <w:rFonts w:ascii="Calibri" w:eastAsiaTheme="minorHAnsi" w:hAnsi="Calibri" w:cs="Calibri"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2BD341C"/>
    <w:multiLevelType w:val="hybridMultilevel"/>
    <w:tmpl w:val="5C2EBCB0"/>
    <w:lvl w:ilvl="0" w:tplc="FFFFFFFF">
      <w:start w:val="1"/>
      <w:numFmt w:val="decimal"/>
      <w:lvlText w:val="%1)"/>
      <w:lvlJc w:val="left"/>
      <w:pPr>
        <w:ind w:left="360" w:hanging="360"/>
      </w:pPr>
      <w:rPr>
        <w:rFonts w:ascii="Times New Roman" w:eastAsiaTheme="minorEastAsia" w:hAnsi="Times New Roman" w:cstheme="minorBidi"/>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3493E9D"/>
    <w:multiLevelType w:val="hybridMultilevel"/>
    <w:tmpl w:val="90D0FD7A"/>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E75A42"/>
    <w:multiLevelType w:val="hybridMultilevel"/>
    <w:tmpl w:val="E0EECF66"/>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15:restartNumberingAfterBreak="0">
    <w:nsid w:val="04A43B0F"/>
    <w:multiLevelType w:val="hybridMultilevel"/>
    <w:tmpl w:val="C9B25B6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3D0862"/>
    <w:multiLevelType w:val="hybridMultilevel"/>
    <w:tmpl w:val="A368419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63E221C"/>
    <w:multiLevelType w:val="hybridMultilevel"/>
    <w:tmpl w:val="A282F81E"/>
    <w:lvl w:ilvl="0" w:tplc="737CDC40">
      <w:numFmt w:val="bullet"/>
      <w:lvlText w:val="-"/>
      <w:lvlJc w:val="left"/>
      <w:pPr>
        <w:ind w:left="360" w:hanging="720"/>
      </w:pPr>
      <w:rPr>
        <w:rFonts w:ascii="Times New Roman" w:eastAsia="Times New Roman" w:hAnsi="Times New Roman" w:cs="Times New Roman" w:hint="default"/>
        <w:i/>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06C14162"/>
    <w:multiLevelType w:val="multilevel"/>
    <w:tmpl w:val="03564E8C"/>
    <w:lvl w:ilvl="0">
      <w:start w:val="1"/>
      <w:numFmt w:val="lowerLetter"/>
      <w:lvlText w:val="%1)"/>
      <w:lvlJc w:val="left"/>
      <w:pPr>
        <w:tabs>
          <w:tab w:val="num" w:pos="414"/>
        </w:tabs>
        <w:ind w:left="414" w:hanging="850"/>
      </w:pPr>
    </w:lvl>
    <w:lvl w:ilvl="1">
      <w:start w:val="1"/>
      <w:numFmt w:val="decimal"/>
      <w:lvlText w:val="%1.%2."/>
      <w:lvlJc w:val="left"/>
      <w:pPr>
        <w:tabs>
          <w:tab w:val="num" w:pos="414"/>
        </w:tabs>
        <w:ind w:left="414" w:hanging="850"/>
      </w:pPr>
    </w:lvl>
    <w:lvl w:ilvl="2">
      <w:start w:val="1"/>
      <w:numFmt w:val="lowerLetter"/>
      <w:lvlText w:val="%3."/>
      <w:lvlJc w:val="left"/>
      <w:pPr>
        <w:tabs>
          <w:tab w:val="num" w:pos="414"/>
        </w:tabs>
        <w:ind w:left="414" w:hanging="850"/>
      </w:pPr>
    </w:lvl>
    <w:lvl w:ilvl="3">
      <w:start w:val="1"/>
      <w:numFmt w:val="decimal"/>
      <w:lvlText w:val="%1.%2.%3.%4."/>
      <w:lvlJc w:val="left"/>
      <w:pPr>
        <w:tabs>
          <w:tab w:val="num" w:pos="414"/>
        </w:tabs>
        <w:ind w:left="414" w:hanging="850"/>
      </w:pPr>
    </w:lvl>
    <w:lvl w:ilvl="4">
      <w:start w:val="1"/>
      <w:numFmt w:val="lowerLetter"/>
      <w:lvlText w:val="(%5)"/>
      <w:lvlJc w:val="left"/>
      <w:pPr>
        <w:ind w:left="1364" w:hanging="360"/>
      </w:pPr>
    </w:lvl>
    <w:lvl w:ilvl="5">
      <w:start w:val="1"/>
      <w:numFmt w:val="lowerRoman"/>
      <w:lvlText w:val="(%6)"/>
      <w:lvlJc w:val="left"/>
      <w:pPr>
        <w:ind w:left="1724" w:hanging="36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804" w:hanging="360"/>
      </w:pPr>
    </w:lvl>
  </w:abstractNum>
  <w:abstractNum w:abstractNumId="19" w15:restartNumberingAfterBreak="0">
    <w:nsid w:val="07993452"/>
    <w:multiLevelType w:val="multilevel"/>
    <w:tmpl w:val="91F615AE"/>
    <w:name w:val="0.31858032"/>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79B05E8"/>
    <w:multiLevelType w:val="hybridMultilevel"/>
    <w:tmpl w:val="65FC08B6"/>
    <w:lvl w:ilvl="0" w:tplc="0809001B">
      <w:start w:val="1"/>
      <w:numFmt w:val="lowerRoman"/>
      <w:lvlText w:val="%1."/>
      <w:lvlJc w:val="right"/>
      <w:pPr>
        <w:ind w:left="5351" w:hanging="360"/>
      </w:pPr>
    </w:lvl>
    <w:lvl w:ilvl="1" w:tplc="08090019">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 w15:restartNumberingAfterBreak="0">
    <w:nsid w:val="091C192A"/>
    <w:multiLevelType w:val="hybridMultilevel"/>
    <w:tmpl w:val="14685A9A"/>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26150A"/>
    <w:multiLevelType w:val="hybridMultilevel"/>
    <w:tmpl w:val="681ED89E"/>
    <w:lvl w:ilvl="0" w:tplc="58ECCFE6">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09386486"/>
    <w:multiLevelType w:val="hybridMultilevel"/>
    <w:tmpl w:val="480A14FE"/>
    <w:lvl w:ilvl="0" w:tplc="A93A98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9FF2F16"/>
    <w:multiLevelType w:val="hybridMultilevel"/>
    <w:tmpl w:val="9C78123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0A61656D"/>
    <w:multiLevelType w:val="hybridMultilevel"/>
    <w:tmpl w:val="CA88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A67376A"/>
    <w:multiLevelType w:val="hybridMultilevel"/>
    <w:tmpl w:val="31E6BC2E"/>
    <w:lvl w:ilvl="0" w:tplc="D882AC22">
      <w:start w:val="300"/>
      <w:numFmt w:val="bullet"/>
      <w:lvlText w:val="-"/>
      <w:lvlJc w:val="left"/>
      <w:pPr>
        <w:ind w:left="820" w:hanging="360"/>
      </w:pPr>
      <w:rPr>
        <w:rFonts w:ascii="Times New Roman" w:eastAsiaTheme="minorHAnsi"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0B1F5BDD"/>
    <w:multiLevelType w:val="hybridMultilevel"/>
    <w:tmpl w:val="07360A50"/>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0BBA0D59"/>
    <w:multiLevelType w:val="hybridMultilevel"/>
    <w:tmpl w:val="A202A788"/>
    <w:lvl w:ilvl="0" w:tplc="B6DA57C8">
      <w:start w:val="1"/>
      <w:numFmt w:val="bullet"/>
      <w:lvlText w:val=""/>
      <w:lvlJc w:val="left"/>
      <w:pPr>
        <w:ind w:left="720" w:hanging="360"/>
      </w:pPr>
      <w:rPr>
        <w:rFonts w:ascii="Symbol" w:hAnsi="Symbol" w:hint="default"/>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9" w15:restartNumberingAfterBreak="0">
    <w:nsid w:val="0CF5481A"/>
    <w:multiLevelType w:val="multilevel"/>
    <w:tmpl w:val="7CD67F2A"/>
    <w:lvl w:ilvl="0">
      <w:start w:val="30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0DB16011"/>
    <w:multiLevelType w:val="multilevel"/>
    <w:tmpl w:val="50D0C71C"/>
    <w:lvl w:ilvl="0">
      <w:start w:val="30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DD9778D"/>
    <w:multiLevelType w:val="hybridMultilevel"/>
    <w:tmpl w:val="60620038"/>
    <w:lvl w:ilvl="0" w:tplc="AC629FEA">
      <w:start w:val="9"/>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E6861BC"/>
    <w:multiLevelType w:val="hybridMultilevel"/>
    <w:tmpl w:val="59DA64E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0F9569DD"/>
    <w:multiLevelType w:val="hybridMultilevel"/>
    <w:tmpl w:val="231C5AC6"/>
    <w:lvl w:ilvl="0" w:tplc="2ACC1B2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FBB24DD"/>
    <w:multiLevelType w:val="hybridMultilevel"/>
    <w:tmpl w:val="AC78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05B28B7"/>
    <w:multiLevelType w:val="hybridMultilevel"/>
    <w:tmpl w:val="514AD520"/>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827621"/>
    <w:multiLevelType w:val="hybridMultilevel"/>
    <w:tmpl w:val="32CE9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0C80D77"/>
    <w:multiLevelType w:val="hybridMultilevel"/>
    <w:tmpl w:val="5F1C204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49635B"/>
    <w:multiLevelType w:val="hybridMultilevel"/>
    <w:tmpl w:val="C814544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163368C"/>
    <w:multiLevelType w:val="hybridMultilevel"/>
    <w:tmpl w:val="81C26C0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12270A49"/>
    <w:multiLevelType w:val="hybridMultilevel"/>
    <w:tmpl w:val="5BEE154A"/>
    <w:lvl w:ilvl="0" w:tplc="1F5A2FA6">
      <w:start w:val="1"/>
      <w:numFmt w:val="bullet"/>
      <w:lvlText w:val="-"/>
      <w:lvlJc w:val="left"/>
      <w:pPr>
        <w:ind w:left="720" w:hanging="360"/>
      </w:pPr>
      <w:rPr>
        <w:rFonts w:ascii="&quot;Calibri&quot;,sans-serif" w:hAnsi="&quot;Calibri&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12C370D3"/>
    <w:multiLevelType w:val="hybridMultilevel"/>
    <w:tmpl w:val="2C4E0604"/>
    <w:lvl w:ilvl="0" w:tplc="B9C68348">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2" w15:restartNumberingAfterBreak="0">
    <w:nsid w:val="13780D5D"/>
    <w:multiLevelType w:val="multilevel"/>
    <w:tmpl w:val="E3A2706A"/>
    <w:name w:val="0.31858033"/>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40B1147"/>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42879E1"/>
    <w:multiLevelType w:val="hybridMultilevel"/>
    <w:tmpl w:val="A87665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14AE1592"/>
    <w:multiLevelType w:val="hybridMultilevel"/>
    <w:tmpl w:val="47E6AB18"/>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5B327D5"/>
    <w:multiLevelType w:val="hybridMultilevel"/>
    <w:tmpl w:val="2908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0E1716"/>
    <w:multiLevelType w:val="hybridMultilevel"/>
    <w:tmpl w:val="AA5296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8DDA584"/>
    <w:multiLevelType w:val="hybridMultilevel"/>
    <w:tmpl w:val="5110424E"/>
    <w:lvl w:ilvl="0" w:tplc="10F4B258">
      <w:start w:val="1"/>
      <w:numFmt w:val="bullet"/>
      <w:lvlText w:val="-"/>
      <w:lvlJc w:val="left"/>
      <w:pPr>
        <w:ind w:left="720" w:hanging="360"/>
      </w:pPr>
      <w:rPr>
        <w:rFonts w:ascii="&quot;Calibri&quot;,sans-serif" w:hAnsi="&quot;Calibri&quot;,sans-serif" w:hint="default"/>
      </w:rPr>
    </w:lvl>
    <w:lvl w:ilvl="1" w:tplc="6B0C4AEE">
      <w:start w:val="1"/>
      <w:numFmt w:val="bullet"/>
      <w:lvlText w:val="o"/>
      <w:lvlJc w:val="left"/>
      <w:pPr>
        <w:ind w:left="1440" w:hanging="360"/>
      </w:pPr>
      <w:rPr>
        <w:rFonts w:ascii="Courier New" w:hAnsi="Courier New" w:hint="default"/>
      </w:rPr>
    </w:lvl>
    <w:lvl w:ilvl="2" w:tplc="E13A1630">
      <w:start w:val="1"/>
      <w:numFmt w:val="bullet"/>
      <w:lvlText w:val=""/>
      <w:lvlJc w:val="left"/>
      <w:pPr>
        <w:ind w:left="2160" w:hanging="360"/>
      </w:pPr>
      <w:rPr>
        <w:rFonts w:ascii="Wingdings" w:hAnsi="Wingdings" w:hint="default"/>
      </w:rPr>
    </w:lvl>
    <w:lvl w:ilvl="3" w:tplc="96BC59AA">
      <w:start w:val="1"/>
      <w:numFmt w:val="bullet"/>
      <w:lvlText w:val=""/>
      <w:lvlJc w:val="left"/>
      <w:pPr>
        <w:ind w:left="2880" w:hanging="360"/>
      </w:pPr>
      <w:rPr>
        <w:rFonts w:ascii="Symbol" w:hAnsi="Symbol" w:hint="default"/>
      </w:rPr>
    </w:lvl>
    <w:lvl w:ilvl="4" w:tplc="54D29554">
      <w:start w:val="1"/>
      <w:numFmt w:val="bullet"/>
      <w:lvlText w:val="o"/>
      <w:lvlJc w:val="left"/>
      <w:pPr>
        <w:ind w:left="3600" w:hanging="360"/>
      </w:pPr>
      <w:rPr>
        <w:rFonts w:ascii="Courier New" w:hAnsi="Courier New" w:hint="default"/>
      </w:rPr>
    </w:lvl>
    <w:lvl w:ilvl="5" w:tplc="5346FCC4">
      <w:start w:val="1"/>
      <w:numFmt w:val="bullet"/>
      <w:lvlText w:val=""/>
      <w:lvlJc w:val="left"/>
      <w:pPr>
        <w:ind w:left="4320" w:hanging="360"/>
      </w:pPr>
      <w:rPr>
        <w:rFonts w:ascii="Wingdings" w:hAnsi="Wingdings" w:hint="default"/>
      </w:rPr>
    </w:lvl>
    <w:lvl w:ilvl="6" w:tplc="8FE6D578">
      <w:start w:val="1"/>
      <w:numFmt w:val="bullet"/>
      <w:lvlText w:val=""/>
      <w:lvlJc w:val="left"/>
      <w:pPr>
        <w:ind w:left="5040" w:hanging="360"/>
      </w:pPr>
      <w:rPr>
        <w:rFonts w:ascii="Symbol" w:hAnsi="Symbol" w:hint="default"/>
      </w:rPr>
    </w:lvl>
    <w:lvl w:ilvl="7" w:tplc="F176D210">
      <w:start w:val="1"/>
      <w:numFmt w:val="bullet"/>
      <w:lvlText w:val="o"/>
      <w:lvlJc w:val="left"/>
      <w:pPr>
        <w:ind w:left="5760" w:hanging="360"/>
      </w:pPr>
      <w:rPr>
        <w:rFonts w:ascii="Courier New" w:hAnsi="Courier New" w:hint="default"/>
      </w:rPr>
    </w:lvl>
    <w:lvl w:ilvl="8" w:tplc="4608208A">
      <w:start w:val="1"/>
      <w:numFmt w:val="bullet"/>
      <w:lvlText w:val=""/>
      <w:lvlJc w:val="left"/>
      <w:pPr>
        <w:ind w:left="6480" w:hanging="360"/>
      </w:pPr>
      <w:rPr>
        <w:rFonts w:ascii="Wingdings" w:hAnsi="Wingdings" w:hint="default"/>
      </w:rPr>
    </w:lvl>
  </w:abstractNum>
  <w:abstractNum w:abstractNumId="49" w15:restartNumberingAfterBreak="0">
    <w:nsid w:val="19904F77"/>
    <w:multiLevelType w:val="hybridMultilevel"/>
    <w:tmpl w:val="7916A53A"/>
    <w:lvl w:ilvl="0" w:tplc="312A5F28">
      <w:start w:val="1"/>
      <w:numFmt w:val="bullet"/>
      <w:lvlText w:val="-"/>
      <w:lvlJc w:val="left"/>
      <w:pPr>
        <w:ind w:left="1996" w:hanging="360"/>
      </w:pPr>
      <w:rPr>
        <w:rFonts w:ascii="Calibri" w:eastAsiaTheme="minorHAnsi" w:hAnsi="Calibri" w:cs="Calibri" w:hint="default"/>
        <w:color w:val="7030A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0" w15:restartNumberingAfterBreak="0">
    <w:nsid w:val="1A14343B"/>
    <w:multiLevelType w:val="hybridMultilevel"/>
    <w:tmpl w:val="F8D8377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A87DFB4"/>
    <w:multiLevelType w:val="hybridMultilevel"/>
    <w:tmpl w:val="C350890C"/>
    <w:lvl w:ilvl="0" w:tplc="1096B05C">
      <w:start w:val="1"/>
      <w:numFmt w:val="bullet"/>
      <w:lvlText w:val="-"/>
      <w:lvlJc w:val="left"/>
      <w:pPr>
        <w:ind w:left="720" w:hanging="360"/>
      </w:pPr>
      <w:rPr>
        <w:rFonts w:ascii="&quot;Calibri&quot;,sans-serif" w:hAnsi="&quot;Calibri&quot;,sans-serif" w:hint="default"/>
      </w:rPr>
    </w:lvl>
    <w:lvl w:ilvl="1" w:tplc="4D48176E">
      <w:start w:val="1"/>
      <w:numFmt w:val="bullet"/>
      <w:lvlText w:val="o"/>
      <w:lvlJc w:val="left"/>
      <w:pPr>
        <w:ind w:left="1440" w:hanging="360"/>
      </w:pPr>
      <w:rPr>
        <w:rFonts w:ascii="Courier New" w:hAnsi="Courier New" w:hint="default"/>
      </w:rPr>
    </w:lvl>
    <w:lvl w:ilvl="2" w:tplc="5AE09B7E">
      <w:start w:val="1"/>
      <w:numFmt w:val="bullet"/>
      <w:lvlText w:val=""/>
      <w:lvlJc w:val="left"/>
      <w:pPr>
        <w:ind w:left="2160" w:hanging="360"/>
      </w:pPr>
      <w:rPr>
        <w:rFonts w:ascii="Wingdings" w:hAnsi="Wingdings" w:hint="default"/>
      </w:rPr>
    </w:lvl>
    <w:lvl w:ilvl="3" w:tplc="D4E613CA">
      <w:start w:val="1"/>
      <w:numFmt w:val="bullet"/>
      <w:lvlText w:val=""/>
      <w:lvlJc w:val="left"/>
      <w:pPr>
        <w:ind w:left="2880" w:hanging="360"/>
      </w:pPr>
      <w:rPr>
        <w:rFonts w:ascii="Symbol" w:hAnsi="Symbol" w:hint="default"/>
      </w:rPr>
    </w:lvl>
    <w:lvl w:ilvl="4" w:tplc="8604EDA8">
      <w:start w:val="1"/>
      <w:numFmt w:val="bullet"/>
      <w:lvlText w:val="o"/>
      <w:lvlJc w:val="left"/>
      <w:pPr>
        <w:ind w:left="3600" w:hanging="360"/>
      </w:pPr>
      <w:rPr>
        <w:rFonts w:ascii="Courier New" w:hAnsi="Courier New" w:hint="default"/>
      </w:rPr>
    </w:lvl>
    <w:lvl w:ilvl="5" w:tplc="DD1E8432">
      <w:start w:val="1"/>
      <w:numFmt w:val="bullet"/>
      <w:lvlText w:val=""/>
      <w:lvlJc w:val="left"/>
      <w:pPr>
        <w:ind w:left="4320" w:hanging="360"/>
      </w:pPr>
      <w:rPr>
        <w:rFonts w:ascii="Wingdings" w:hAnsi="Wingdings" w:hint="default"/>
      </w:rPr>
    </w:lvl>
    <w:lvl w:ilvl="6" w:tplc="E89644E6">
      <w:start w:val="1"/>
      <w:numFmt w:val="bullet"/>
      <w:lvlText w:val=""/>
      <w:lvlJc w:val="left"/>
      <w:pPr>
        <w:ind w:left="5040" w:hanging="360"/>
      </w:pPr>
      <w:rPr>
        <w:rFonts w:ascii="Symbol" w:hAnsi="Symbol" w:hint="default"/>
      </w:rPr>
    </w:lvl>
    <w:lvl w:ilvl="7" w:tplc="8A126D04">
      <w:start w:val="1"/>
      <w:numFmt w:val="bullet"/>
      <w:lvlText w:val="o"/>
      <w:lvlJc w:val="left"/>
      <w:pPr>
        <w:ind w:left="5760" w:hanging="360"/>
      </w:pPr>
      <w:rPr>
        <w:rFonts w:ascii="Courier New" w:hAnsi="Courier New" w:hint="default"/>
      </w:rPr>
    </w:lvl>
    <w:lvl w:ilvl="8" w:tplc="CE460D38">
      <w:start w:val="1"/>
      <w:numFmt w:val="bullet"/>
      <w:lvlText w:val=""/>
      <w:lvlJc w:val="left"/>
      <w:pPr>
        <w:ind w:left="6480" w:hanging="360"/>
      </w:pPr>
      <w:rPr>
        <w:rFonts w:ascii="Wingdings" w:hAnsi="Wingdings" w:hint="default"/>
      </w:rPr>
    </w:lvl>
  </w:abstractNum>
  <w:abstractNum w:abstractNumId="52" w15:restartNumberingAfterBreak="0">
    <w:nsid w:val="1AEA27A3"/>
    <w:multiLevelType w:val="hybridMultilevel"/>
    <w:tmpl w:val="CBC043DE"/>
    <w:lvl w:ilvl="0" w:tplc="C8ACF064">
      <w:start w:val="5"/>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4" w15:restartNumberingAfterBreak="0">
    <w:nsid w:val="1B703E52"/>
    <w:multiLevelType w:val="hybridMultilevel"/>
    <w:tmpl w:val="39F6E79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BC22B26"/>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F94B42"/>
    <w:multiLevelType w:val="hybridMultilevel"/>
    <w:tmpl w:val="BDF26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1C0B1009"/>
    <w:multiLevelType w:val="hybridMultilevel"/>
    <w:tmpl w:val="B2A28AEC"/>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8" w15:restartNumberingAfterBreak="0">
    <w:nsid w:val="1C232CBD"/>
    <w:multiLevelType w:val="hybridMultilevel"/>
    <w:tmpl w:val="FDBA9296"/>
    <w:lvl w:ilvl="0" w:tplc="0A62CE8E">
      <w:start w:val="1"/>
      <w:numFmt w:val="bullet"/>
      <w:lvlText w:val=""/>
      <w:lvlJc w:val="left"/>
      <w:pPr>
        <w:ind w:left="720" w:hanging="360"/>
      </w:pPr>
      <w:rPr>
        <w:rFonts w:ascii="Symbol" w:hAnsi="Symbol" w:hint="default"/>
      </w:rPr>
    </w:lvl>
    <w:lvl w:ilvl="1" w:tplc="9AF07268">
      <w:start w:val="1"/>
      <w:numFmt w:val="bullet"/>
      <w:lvlText w:val="o"/>
      <w:lvlJc w:val="left"/>
      <w:pPr>
        <w:ind w:left="1440" w:hanging="360"/>
      </w:pPr>
      <w:rPr>
        <w:rFonts w:ascii="Courier New" w:hAnsi="Courier New" w:hint="default"/>
      </w:rPr>
    </w:lvl>
    <w:lvl w:ilvl="2" w:tplc="7C22AA7C">
      <w:start w:val="1"/>
      <w:numFmt w:val="bullet"/>
      <w:lvlText w:val=""/>
      <w:lvlJc w:val="left"/>
      <w:pPr>
        <w:ind w:left="2160" w:hanging="360"/>
      </w:pPr>
      <w:rPr>
        <w:rFonts w:ascii="Wingdings" w:hAnsi="Wingdings" w:hint="default"/>
      </w:rPr>
    </w:lvl>
    <w:lvl w:ilvl="3" w:tplc="0CB253AC">
      <w:start w:val="1"/>
      <w:numFmt w:val="bullet"/>
      <w:lvlText w:val=""/>
      <w:lvlJc w:val="left"/>
      <w:pPr>
        <w:ind w:left="2880" w:hanging="360"/>
      </w:pPr>
      <w:rPr>
        <w:rFonts w:ascii="Symbol" w:hAnsi="Symbol" w:hint="default"/>
      </w:rPr>
    </w:lvl>
    <w:lvl w:ilvl="4" w:tplc="86C6DC36">
      <w:start w:val="1"/>
      <w:numFmt w:val="bullet"/>
      <w:lvlText w:val="o"/>
      <w:lvlJc w:val="left"/>
      <w:pPr>
        <w:ind w:left="3600" w:hanging="360"/>
      </w:pPr>
      <w:rPr>
        <w:rFonts w:ascii="Courier New" w:hAnsi="Courier New" w:hint="default"/>
      </w:rPr>
    </w:lvl>
    <w:lvl w:ilvl="5" w:tplc="92E62EAA">
      <w:start w:val="1"/>
      <w:numFmt w:val="bullet"/>
      <w:lvlText w:val=""/>
      <w:lvlJc w:val="left"/>
      <w:pPr>
        <w:ind w:left="4320" w:hanging="360"/>
      </w:pPr>
      <w:rPr>
        <w:rFonts w:ascii="Wingdings" w:hAnsi="Wingdings" w:hint="default"/>
      </w:rPr>
    </w:lvl>
    <w:lvl w:ilvl="6" w:tplc="AEB049B0">
      <w:start w:val="1"/>
      <w:numFmt w:val="bullet"/>
      <w:lvlText w:val=""/>
      <w:lvlJc w:val="left"/>
      <w:pPr>
        <w:ind w:left="5040" w:hanging="360"/>
      </w:pPr>
      <w:rPr>
        <w:rFonts w:ascii="Symbol" w:hAnsi="Symbol" w:hint="default"/>
      </w:rPr>
    </w:lvl>
    <w:lvl w:ilvl="7" w:tplc="3C40F41A">
      <w:start w:val="1"/>
      <w:numFmt w:val="bullet"/>
      <w:lvlText w:val="o"/>
      <w:lvlJc w:val="left"/>
      <w:pPr>
        <w:ind w:left="5760" w:hanging="360"/>
      </w:pPr>
      <w:rPr>
        <w:rFonts w:ascii="Courier New" w:hAnsi="Courier New" w:hint="default"/>
      </w:rPr>
    </w:lvl>
    <w:lvl w:ilvl="8" w:tplc="31DE9E66">
      <w:start w:val="1"/>
      <w:numFmt w:val="bullet"/>
      <w:lvlText w:val=""/>
      <w:lvlJc w:val="left"/>
      <w:pPr>
        <w:ind w:left="6480" w:hanging="360"/>
      </w:pPr>
      <w:rPr>
        <w:rFonts w:ascii="Wingdings" w:hAnsi="Wingdings" w:hint="default"/>
      </w:rPr>
    </w:lvl>
  </w:abstractNum>
  <w:abstractNum w:abstractNumId="59" w15:restartNumberingAfterBreak="0">
    <w:nsid w:val="1C8C601E"/>
    <w:multiLevelType w:val="hybridMultilevel"/>
    <w:tmpl w:val="3C24A004"/>
    <w:lvl w:ilvl="0" w:tplc="7410E996">
      <w:start w:val="1"/>
      <w:numFmt w:val="bullet"/>
      <w:lvlText w:val="-"/>
      <w:lvlJc w:val="left"/>
      <w:pPr>
        <w:ind w:left="720" w:hanging="360"/>
      </w:pPr>
      <w:rPr>
        <w:rFonts w:ascii="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1CEF3561"/>
    <w:multiLevelType w:val="hybridMultilevel"/>
    <w:tmpl w:val="0D46B31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1F2348CF"/>
    <w:multiLevelType w:val="hybridMultilevel"/>
    <w:tmpl w:val="CAB86A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385EF2"/>
    <w:multiLevelType w:val="hybridMultilevel"/>
    <w:tmpl w:val="8B5000FE"/>
    <w:lvl w:ilvl="0" w:tplc="D882AC22">
      <w:start w:val="300"/>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1F925F50"/>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1FC21727"/>
    <w:multiLevelType w:val="hybridMultilevel"/>
    <w:tmpl w:val="960242D4"/>
    <w:lvl w:ilvl="0" w:tplc="8F3A109C">
      <w:start w:val="13"/>
      <w:numFmt w:val="bullet"/>
      <w:lvlText w:val="-"/>
      <w:lvlJc w:val="left"/>
      <w:pPr>
        <w:ind w:left="720" w:hanging="360"/>
      </w:pPr>
      <w:rPr>
        <w:rFonts w:ascii="Calibri" w:eastAsiaTheme="minorHAnsi" w:hAnsi="Calibri" w:cs="Calibri" w:hint="default"/>
        <w:sz w:val="16"/>
      </w:rPr>
    </w:lvl>
    <w:lvl w:ilvl="1" w:tplc="27CE8E9E">
      <w:start w:val="10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FD8305E"/>
    <w:multiLevelType w:val="hybridMultilevel"/>
    <w:tmpl w:val="E158A0C6"/>
    <w:lvl w:ilvl="0" w:tplc="35D6BD3E">
      <w:start w:val="3"/>
      <w:numFmt w:val="decimal"/>
      <w:lvlText w:val="%1."/>
      <w:lvlJc w:val="left"/>
      <w:pPr>
        <w:ind w:left="720" w:hanging="360"/>
      </w:pPr>
    </w:lvl>
    <w:lvl w:ilvl="1" w:tplc="91E43F28">
      <w:start w:val="1"/>
      <w:numFmt w:val="lowerLetter"/>
      <w:lvlText w:val="%2."/>
      <w:lvlJc w:val="left"/>
      <w:pPr>
        <w:ind w:left="1440" w:hanging="360"/>
      </w:pPr>
    </w:lvl>
    <w:lvl w:ilvl="2" w:tplc="6DB4F312">
      <w:start w:val="1"/>
      <w:numFmt w:val="lowerRoman"/>
      <w:lvlText w:val="%3."/>
      <w:lvlJc w:val="right"/>
      <w:pPr>
        <w:ind w:left="2160" w:hanging="180"/>
      </w:pPr>
    </w:lvl>
    <w:lvl w:ilvl="3" w:tplc="BEAE902E">
      <w:start w:val="1"/>
      <w:numFmt w:val="decimal"/>
      <w:lvlText w:val="%4."/>
      <w:lvlJc w:val="left"/>
      <w:pPr>
        <w:ind w:left="2880" w:hanging="360"/>
      </w:pPr>
    </w:lvl>
    <w:lvl w:ilvl="4" w:tplc="C37629A2">
      <w:start w:val="1"/>
      <w:numFmt w:val="lowerLetter"/>
      <w:lvlText w:val="%5."/>
      <w:lvlJc w:val="left"/>
      <w:pPr>
        <w:ind w:left="3600" w:hanging="360"/>
      </w:pPr>
    </w:lvl>
    <w:lvl w:ilvl="5" w:tplc="93F82298">
      <w:start w:val="1"/>
      <w:numFmt w:val="lowerRoman"/>
      <w:lvlText w:val="%6."/>
      <w:lvlJc w:val="right"/>
      <w:pPr>
        <w:ind w:left="4320" w:hanging="180"/>
      </w:pPr>
    </w:lvl>
    <w:lvl w:ilvl="6" w:tplc="9946922C">
      <w:start w:val="1"/>
      <w:numFmt w:val="decimal"/>
      <w:lvlText w:val="%7."/>
      <w:lvlJc w:val="left"/>
      <w:pPr>
        <w:ind w:left="5040" w:hanging="360"/>
      </w:pPr>
    </w:lvl>
    <w:lvl w:ilvl="7" w:tplc="232CBA28">
      <w:start w:val="1"/>
      <w:numFmt w:val="lowerLetter"/>
      <w:lvlText w:val="%8."/>
      <w:lvlJc w:val="left"/>
      <w:pPr>
        <w:ind w:left="5760" w:hanging="360"/>
      </w:pPr>
    </w:lvl>
    <w:lvl w:ilvl="8" w:tplc="39EEE8A2">
      <w:start w:val="1"/>
      <w:numFmt w:val="lowerRoman"/>
      <w:lvlText w:val="%9."/>
      <w:lvlJc w:val="right"/>
      <w:pPr>
        <w:ind w:left="6480" w:hanging="180"/>
      </w:pPr>
    </w:lvl>
  </w:abstractNum>
  <w:abstractNum w:abstractNumId="66" w15:restartNumberingAfterBreak="0">
    <w:nsid w:val="1FDA28C5"/>
    <w:multiLevelType w:val="hybridMultilevel"/>
    <w:tmpl w:val="BE6E2C2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3BC32"/>
    <w:multiLevelType w:val="hybridMultilevel"/>
    <w:tmpl w:val="1846A186"/>
    <w:lvl w:ilvl="0" w:tplc="3C527CCC">
      <w:start w:val="1"/>
      <w:numFmt w:val="bullet"/>
      <w:lvlText w:val="-"/>
      <w:lvlJc w:val="left"/>
      <w:pPr>
        <w:ind w:left="720" w:hanging="360"/>
      </w:pPr>
      <w:rPr>
        <w:rFonts w:ascii="&quot;Calibri&quot;,sans-serif" w:hAnsi="&quot;Calibri&quot;,sans-serif" w:hint="default"/>
      </w:rPr>
    </w:lvl>
    <w:lvl w:ilvl="1" w:tplc="44A28594">
      <w:start w:val="1"/>
      <w:numFmt w:val="bullet"/>
      <w:lvlText w:val="o"/>
      <w:lvlJc w:val="left"/>
      <w:pPr>
        <w:ind w:left="1440" w:hanging="360"/>
      </w:pPr>
      <w:rPr>
        <w:rFonts w:ascii="Courier New" w:hAnsi="Courier New" w:hint="default"/>
      </w:rPr>
    </w:lvl>
    <w:lvl w:ilvl="2" w:tplc="0278094C">
      <w:start w:val="1"/>
      <w:numFmt w:val="bullet"/>
      <w:lvlText w:val=""/>
      <w:lvlJc w:val="left"/>
      <w:pPr>
        <w:ind w:left="2160" w:hanging="360"/>
      </w:pPr>
      <w:rPr>
        <w:rFonts w:ascii="Wingdings" w:hAnsi="Wingdings" w:hint="default"/>
      </w:rPr>
    </w:lvl>
    <w:lvl w:ilvl="3" w:tplc="190C5152">
      <w:start w:val="1"/>
      <w:numFmt w:val="bullet"/>
      <w:lvlText w:val=""/>
      <w:lvlJc w:val="left"/>
      <w:pPr>
        <w:ind w:left="2880" w:hanging="360"/>
      </w:pPr>
      <w:rPr>
        <w:rFonts w:ascii="Symbol" w:hAnsi="Symbol" w:hint="default"/>
      </w:rPr>
    </w:lvl>
    <w:lvl w:ilvl="4" w:tplc="4ACCF028">
      <w:start w:val="1"/>
      <w:numFmt w:val="bullet"/>
      <w:lvlText w:val="o"/>
      <w:lvlJc w:val="left"/>
      <w:pPr>
        <w:ind w:left="3600" w:hanging="360"/>
      </w:pPr>
      <w:rPr>
        <w:rFonts w:ascii="Courier New" w:hAnsi="Courier New" w:hint="default"/>
      </w:rPr>
    </w:lvl>
    <w:lvl w:ilvl="5" w:tplc="E97E3C74">
      <w:start w:val="1"/>
      <w:numFmt w:val="bullet"/>
      <w:lvlText w:val=""/>
      <w:lvlJc w:val="left"/>
      <w:pPr>
        <w:ind w:left="4320" w:hanging="360"/>
      </w:pPr>
      <w:rPr>
        <w:rFonts w:ascii="Wingdings" w:hAnsi="Wingdings" w:hint="default"/>
      </w:rPr>
    </w:lvl>
    <w:lvl w:ilvl="6" w:tplc="880EF4DC">
      <w:start w:val="1"/>
      <w:numFmt w:val="bullet"/>
      <w:lvlText w:val=""/>
      <w:lvlJc w:val="left"/>
      <w:pPr>
        <w:ind w:left="5040" w:hanging="360"/>
      </w:pPr>
      <w:rPr>
        <w:rFonts w:ascii="Symbol" w:hAnsi="Symbol" w:hint="default"/>
      </w:rPr>
    </w:lvl>
    <w:lvl w:ilvl="7" w:tplc="32E8750A">
      <w:start w:val="1"/>
      <w:numFmt w:val="bullet"/>
      <w:lvlText w:val="o"/>
      <w:lvlJc w:val="left"/>
      <w:pPr>
        <w:ind w:left="5760" w:hanging="360"/>
      </w:pPr>
      <w:rPr>
        <w:rFonts w:ascii="Courier New" w:hAnsi="Courier New" w:hint="default"/>
      </w:rPr>
    </w:lvl>
    <w:lvl w:ilvl="8" w:tplc="5B9E3448">
      <w:start w:val="1"/>
      <w:numFmt w:val="bullet"/>
      <w:lvlText w:val=""/>
      <w:lvlJc w:val="left"/>
      <w:pPr>
        <w:ind w:left="6480" w:hanging="360"/>
      </w:pPr>
      <w:rPr>
        <w:rFonts w:ascii="Wingdings" w:hAnsi="Wingdings" w:hint="default"/>
      </w:rPr>
    </w:lvl>
  </w:abstractNum>
  <w:abstractNum w:abstractNumId="68" w15:restartNumberingAfterBreak="0">
    <w:nsid w:val="20230C32"/>
    <w:multiLevelType w:val="hybridMultilevel"/>
    <w:tmpl w:val="3D86ACA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69" w15:restartNumberingAfterBreak="0">
    <w:nsid w:val="20C97082"/>
    <w:multiLevelType w:val="hybridMultilevel"/>
    <w:tmpl w:val="151E8018"/>
    <w:lvl w:ilvl="0" w:tplc="B14AF810">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0" w15:restartNumberingAfterBreak="0">
    <w:nsid w:val="21875E0F"/>
    <w:multiLevelType w:val="hybridMultilevel"/>
    <w:tmpl w:val="FCF87CCE"/>
    <w:lvl w:ilvl="0" w:tplc="58029FD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1C7B723"/>
    <w:multiLevelType w:val="hybridMultilevel"/>
    <w:tmpl w:val="6AB620FC"/>
    <w:lvl w:ilvl="0" w:tplc="B80C43EE">
      <w:start w:val="1"/>
      <w:numFmt w:val="decimal"/>
      <w:lvlText w:val="%1."/>
      <w:lvlJc w:val="left"/>
      <w:pPr>
        <w:ind w:left="720" w:hanging="360"/>
      </w:pPr>
    </w:lvl>
    <w:lvl w:ilvl="1" w:tplc="68DACB38">
      <w:start w:val="1"/>
      <w:numFmt w:val="upperLetter"/>
      <w:lvlText w:val="%2."/>
      <w:lvlJc w:val="left"/>
      <w:pPr>
        <w:ind w:left="1440" w:hanging="360"/>
      </w:pPr>
    </w:lvl>
    <w:lvl w:ilvl="2" w:tplc="CFFC9058">
      <w:start w:val="1"/>
      <w:numFmt w:val="lowerRoman"/>
      <w:lvlText w:val="%3."/>
      <w:lvlJc w:val="right"/>
      <w:pPr>
        <w:ind w:left="2160" w:hanging="180"/>
      </w:pPr>
    </w:lvl>
    <w:lvl w:ilvl="3" w:tplc="E3920422">
      <w:start w:val="1"/>
      <w:numFmt w:val="decimal"/>
      <w:lvlText w:val="%4."/>
      <w:lvlJc w:val="left"/>
      <w:pPr>
        <w:ind w:left="2880" w:hanging="360"/>
      </w:pPr>
    </w:lvl>
    <w:lvl w:ilvl="4" w:tplc="D688CEAC">
      <w:start w:val="1"/>
      <w:numFmt w:val="lowerLetter"/>
      <w:lvlText w:val="%5."/>
      <w:lvlJc w:val="left"/>
      <w:pPr>
        <w:ind w:left="3600" w:hanging="360"/>
      </w:pPr>
    </w:lvl>
    <w:lvl w:ilvl="5" w:tplc="25605704">
      <w:start w:val="1"/>
      <w:numFmt w:val="lowerRoman"/>
      <w:lvlText w:val="%6."/>
      <w:lvlJc w:val="right"/>
      <w:pPr>
        <w:ind w:left="4320" w:hanging="180"/>
      </w:pPr>
    </w:lvl>
    <w:lvl w:ilvl="6" w:tplc="A4A84EAA">
      <w:start w:val="1"/>
      <w:numFmt w:val="decimal"/>
      <w:lvlText w:val="%7."/>
      <w:lvlJc w:val="left"/>
      <w:pPr>
        <w:ind w:left="5040" w:hanging="360"/>
      </w:pPr>
    </w:lvl>
    <w:lvl w:ilvl="7" w:tplc="25D2433E">
      <w:start w:val="1"/>
      <w:numFmt w:val="lowerLetter"/>
      <w:lvlText w:val="%8."/>
      <w:lvlJc w:val="left"/>
      <w:pPr>
        <w:ind w:left="5760" w:hanging="360"/>
      </w:pPr>
    </w:lvl>
    <w:lvl w:ilvl="8" w:tplc="FEB4E9CE">
      <w:start w:val="1"/>
      <w:numFmt w:val="lowerRoman"/>
      <w:lvlText w:val="%9."/>
      <w:lvlJc w:val="right"/>
      <w:pPr>
        <w:ind w:left="6480" w:hanging="180"/>
      </w:pPr>
    </w:lvl>
  </w:abstractNum>
  <w:abstractNum w:abstractNumId="72" w15:restartNumberingAfterBreak="0">
    <w:nsid w:val="21E91803"/>
    <w:multiLevelType w:val="hybridMultilevel"/>
    <w:tmpl w:val="18607A70"/>
    <w:lvl w:ilvl="0" w:tplc="D882AC22">
      <w:start w:val="300"/>
      <w:numFmt w:val="bullet"/>
      <w:lvlText w:val="-"/>
      <w:lvlJc w:val="left"/>
      <w:pPr>
        <w:ind w:left="720" w:hanging="360"/>
      </w:pPr>
      <w:rPr>
        <w:rFonts w:ascii="Times New Roman" w:eastAsiaTheme="minorHAnsi" w:hAnsi="Times New Roman" w:cs="Times New Roman" w:hint="default"/>
      </w:rPr>
    </w:lvl>
    <w:lvl w:ilvl="1" w:tplc="AAC255E4">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0B3BFF"/>
    <w:multiLevelType w:val="hybridMultilevel"/>
    <w:tmpl w:val="BD863FA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4" w15:restartNumberingAfterBreak="0">
    <w:nsid w:val="22A3029F"/>
    <w:multiLevelType w:val="hybridMultilevel"/>
    <w:tmpl w:val="5586809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5" w15:restartNumberingAfterBreak="0">
    <w:nsid w:val="22DC7F94"/>
    <w:multiLevelType w:val="hybridMultilevel"/>
    <w:tmpl w:val="3DDC6BEE"/>
    <w:lvl w:ilvl="0" w:tplc="7410E996">
      <w:start w:val="1"/>
      <w:numFmt w:val="bullet"/>
      <w:lvlText w:val="-"/>
      <w:lvlJc w:val="left"/>
      <w:pPr>
        <w:ind w:left="360" w:hanging="360"/>
      </w:pPr>
      <w:rPr>
        <w:rFonts w:ascii="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6" w15:restartNumberingAfterBreak="0">
    <w:nsid w:val="22E44180"/>
    <w:multiLevelType w:val="multilevel"/>
    <w:tmpl w:val="954AD3B4"/>
    <w:name w:val="0.3185803"/>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22F2597F"/>
    <w:multiLevelType w:val="hybridMultilevel"/>
    <w:tmpl w:val="295870D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041218"/>
    <w:multiLevelType w:val="hybridMultilevel"/>
    <w:tmpl w:val="0A7ED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233E2FCD"/>
    <w:multiLevelType w:val="multilevel"/>
    <w:tmpl w:val="1E3E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2340BE43"/>
    <w:multiLevelType w:val="hybridMultilevel"/>
    <w:tmpl w:val="F58A5D00"/>
    <w:lvl w:ilvl="0" w:tplc="1F5A2FA6">
      <w:start w:val="1"/>
      <w:numFmt w:val="bullet"/>
      <w:lvlText w:val="-"/>
      <w:lvlJc w:val="left"/>
      <w:pPr>
        <w:ind w:left="720" w:hanging="360"/>
      </w:pPr>
      <w:rPr>
        <w:rFonts w:ascii="&quot;Calibri&quot;,sans-serif" w:hAnsi="&quot;Calibri&quot;,sans-serif" w:hint="default"/>
      </w:rPr>
    </w:lvl>
    <w:lvl w:ilvl="1" w:tplc="6EA8B402">
      <w:start w:val="1"/>
      <w:numFmt w:val="bullet"/>
      <w:lvlText w:val="o"/>
      <w:lvlJc w:val="left"/>
      <w:pPr>
        <w:ind w:left="1440" w:hanging="360"/>
      </w:pPr>
      <w:rPr>
        <w:rFonts w:ascii="Courier New" w:hAnsi="Courier New" w:hint="default"/>
      </w:rPr>
    </w:lvl>
    <w:lvl w:ilvl="2" w:tplc="6144ED24">
      <w:start w:val="1"/>
      <w:numFmt w:val="bullet"/>
      <w:lvlText w:val=""/>
      <w:lvlJc w:val="left"/>
      <w:pPr>
        <w:ind w:left="2160" w:hanging="360"/>
      </w:pPr>
      <w:rPr>
        <w:rFonts w:ascii="Wingdings" w:hAnsi="Wingdings" w:hint="default"/>
      </w:rPr>
    </w:lvl>
    <w:lvl w:ilvl="3" w:tplc="0D84CED8">
      <w:start w:val="1"/>
      <w:numFmt w:val="bullet"/>
      <w:lvlText w:val=""/>
      <w:lvlJc w:val="left"/>
      <w:pPr>
        <w:ind w:left="2880" w:hanging="360"/>
      </w:pPr>
      <w:rPr>
        <w:rFonts w:ascii="Symbol" w:hAnsi="Symbol" w:hint="default"/>
      </w:rPr>
    </w:lvl>
    <w:lvl w:ilvl="4" w:tplc="BCC4497C">
      <w:start w:val="1"/>
      <w:numFmt w:val="bullet"/>
      <w:lvlText w:val="o"/>
      <w:lvlJc w:val="left"/>
      <w:pPr>
        <w:ind w:left="3600" w:hanging="360"/>
      </w:pPr>
      <w:rPr>
        <w:rFonts w:ascii="Courier New" w:hAnsi="Courier New" w:hint="default"/>
      </w:rPr>
    </w:lvl>
    <w:lvl w:ilvl="5" w:tplc="98D6BF86">
      <w:start w:val="1"/>
      <w:numFmt w:val="bullet"/>
      <w:lvlText w:val=""/>
      <w:lvlJc w:val="left"/>
      <w:pPr>
        <w:ind w:left="4320" w:hanging="360"/>
      </w:pPr>
      <w:rPr>
        <w:rFonts w:ascii="Wingdings" w:hAnsi="Wingdings" w:hint="default"/>
      </w:rPr>
    </w:lvl>
    <w:lvl w:ilvl="6" w:tplc="059CA516">
      <w:start w:val="1"/>
      <w:numFmt w:val="bullet"/>
      <w:lvlText w:val=""/>
      <w:lvlJc w:val="left"/>
      <w:pPr>
        <w:ind w:left="5040" w:hanging="360"/>
      </w:pPr>
      <w:rPr>
        <w:rFonts w:ascii="Symbol" w:hAnsi="Symbol" w:hint="default"/>
      </w:rPr>
    </w:lvl>
    <w:lvl w:ilvl="7" w:tplc="BD72341C">
      <w:start w:val="1"/>
      <w:numFmt w:val="bullet"/>
      <w:lvlText w:val="o"/>
      <w:lvlJc w:val="left"/>
      <w:pPr>
        <w:ind w:left="5760" w:hanging="360"/>
      </w:pPr>
      <w:rPr>
        <w:rFonts w:ascii="Courier New" w:hAnsi="Courier New" w:hint="default"/>
      </w:rPr>
    </w:lvl>
    <w:lvl w:ilvl="8" w:tplc="A0A2E8C2">
      <w:start w:val="1"/>
      <w:numFmt w:val="bullet"/>
      <w:lvlText w:val=""/>
      <w:lvlJc w:val="left"/>
      <w:pPr>
        <w:ind w:left="6480" w:hanging="360"/>
      </w:pPr>
      <w:rPr>
        <w:rFonts w:ascii="Wingdings" w:hAnsi="Wingdings" w:hint="default"/>
      </w:rPr>
    </w:lvl>
  </w:abstractNum>
  <w:abstractNum w:abstractNumId="81" w15:restartNumberingAfterBreak="0">
    <w:nsid w:val="23762B2C"/>
    <w:multiLevelType w:val="hybridMultilevel"/>
    <w:tmpl w:val="F63E688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3B51748"/>
    <w:multiLevelType w:val="hybridMultilevel"/>
    <w:tmpl w:val="97226C02"/>
    <w:lvl w:ilvl="0" w:tplc="D882AC22">
      <w:start w:val="300"/>
      <w:numFmt w:val="bullet"/>
      <w:lvlText w:val="-"/>
      <w:lvlJc w:val="left"/>
      <w:pPr>
        <w:ind w:left="720" w:hanging="360"/>
      </w:pPr>
      <w:rPr>
        <w:rFonts w:ascii="Times New Roman" w:eastAsiaTheme="minorHAns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244A7498"/>
    <w:multiLevelType w:val="hybridMultilevel"/>
    <w:tmpl w:val="6632E55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4BC7BCE"/>
    <w:multiLevelType w:val="hybridMultilevel"/>
    <w:tmpl w:val="ABD456DE"/>
    <w:lvl w:ilvl="0" w:tplc="D882AC22">
      <w:start w:val="30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735DF5"/>
    <w:multiLevelType w:val="hybridMultilevel"/>
    <w:tmpl w:val="A2342166"/>
    <w:lvl w:ilvl="0" w:tplc="D882AC22">
      <w:start w:val="300"/>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6" w15:restartNumberingAfterBreak="0">
    <w:nsid w:val="26112413"/>
    <w:multiLevelType w:val="hybridMultilevel"/>
    <w:tmpl w:val="574ECFAC"/>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176814"/>
    <w:multiLevelType w:val="hybridMultilevel"/>
    <w:tmpl w:val="627A61D2"/>
    <w:lvl w:ilvl="0" w:tplc="39AAAC74">
      <w:start w:val="2"/>
      <w:numFmt w:val="bullet"/>
      <w:lvlText w:val="-"/>
      <w:lvlJc w:val="left"/>
      <w:pPr>
        <w:ind w:left="1210" w:hanging="360"/>
      </w:pPr>
      <w:rPr>
        <w:rFonts w:ascii="Times New Roman" w:eastAsiaTheme="minorHAnsi"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88" w15:restartNumberingAfterBreak="0">
    <w:nsid w:val="265B31F5"/>
    <w:multiLevelType w:val="hybridMultilevel"/>
    <w:tmpl w:val="77241C16"/>
    <w:lvl w:ilvl="0" w:tplc="CFDA5974">
      <w:start w:val="11"/>
      <w:numFmt w:val="bullet"/>
      <w:lvlText w:val="-"/>
      <w:lvlJc w:val="left"/>
      <w:pPr>
        <w:ind w:left="677" w:hanging="360"/>
      </w:pPr>
      <w:rPr>
        <w:rFonts w:ascii="Times New Roman" w:eastAsiaTheme="minorHAnsi"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89" w15:restartNumberingAfterBreak="0">
    <w:nsid w:val="28626987"/>
    <w:multiLevelType w:val="hybridMultilevel"/>
    <w:tmpl w:val="9CDAF734"/>
    <w:lvl w:ilvl="0" w:tplc="FFFFFFFF">
      <w:start w:val="1"/>
      <w:numFmt w:val="bullet"/>
      <w:lvlText w:val="-"/>
      <w:lvlJc w:val="left"/>
      <w:pPr>
        <w:ind w:left="774" w:hanging="360"/>
      </w:pPr>
      <w:rPr>
        <w:rFonts w:ascii="Calibri" w:hAnsi="Calibri"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90" w15:restartNumberingAfterBreak="0">
    <w:nsid w:val="2936272F"/>
    <w:multiLevelType w:val="hybridMultilevel"/>
    <w:tmpl w:val="FBA4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2986C296"/>
    <w:multiLevelType w:val="hybridMultilevel"/>
    <w:tmpl w:val="24820362"/>
    <w:lvl w:ilvl="0" w:tplc="1C962E48">
      <w:start w:val="2"/>
      <w:numFmt w:val="lowerLetter"/>
      <w:lvlText w:val="%1."/>
      <w:lvlJc w:val="left"/>
      <w:pPr>
        <w:ind w:left="720" w:hanging="360"/>
      </w:pPr>
    </w:lvl>
    <w:lvl w:ilvl="1" w:tplc="D220C412">
      <w:start w:val="1"/>
      <w:numFmt w:val="lowerLetter"/>
      <w:lvlText w:val="%2."/>
      <w:lvlJc w:val="left"/>
      <w:pPr>
        <w:ind w:left="1440" w:hanging="360"/>
      </w:pPr>
    </w:lvl>
    <w:lvl w:ilvl="2" w:tplc="6BAE7356">
      <w:start w:val="1"/>
      <w:numFmt w:val="lowerRoman"/>
      <w:lvlText w:val="%3."/>
      <w:lvlJc w:val="right"/>
      <w:pPr>
        <w:ind w:left="2160" w:hanging="180"/>
      </w:pPr>
    </w:lvl>
    <w:lvl w:ilvl="3" w:tplc="090C4E4C">
      <w:start w:val="1"/>
      <w:numFmt w:val="decimal"/>
      <w:lvlText w:val="%4."/>
      <w:lvlJc w:val="left"/>
      <w:pPr>
        <w:ind w:left="2880" w:hanging="360"/>
      </w:pPr>
    </w:lvl>
    <w:lvl w:ilvl="4" w:tplc="51663C46">
      <w:start w:val="1"/>
      <w:numFmt w:val="lowerLetter"/>
      <w:lvlText w:val="%5."/>
      <w:lvlJc w:val="left"/>
      <w:pPr>
        <w:ind w:left="3600" w:hanging="360"/>
      </w:pPr>
    </w:lvl>
    <w:lvl w:ilvl="5" w:tplc="C99041C2">
      <w:start w:val="1"/>
      <w:numFmt w:val="lowerRoman"/>
      <w:lvlText w:val="%6."/>
      <w:lvlJc w:val="right"/>
      <w:pPr>
        <w:ind w:left="4320" w:hanging="180"/>
      </w:pPr>
    </w:lvl>
    <w:lvl w:ilvl="6" w:tplc="F9700386">
      <w:start w:val="1"/>
      <w:numFmt w:val="decimal"/>
      <w:lvlText w:val="%7."/>
      <w:lvlJc w:val="left"/>
      <w:pPr>
        <w:ind w:left="5040" w:hanging="360"/>
      </w:pPr>
    </w:lvl>
    <w:lvl w:ilvl="7" w:tplc="806AF3B2">
      <w:start w:val="1"/>
      <w:numFmt w:val="lowerLetter"/>
      <w:lvlText w:val="%8."/>
      <w:lvlJc w:val="left"/>
      <w:pPr>
        <w:ind w:left="5760" w:hanging="360"/>
      </w:pPr>
    </w:lvl>
    <w:lvl w:ilvl="8" w:tplc="BE4ACE46">
      <w:start w:val="1"/>
      <w:numFmt w:val="lowerRoman"/>
      <w:lvlText w:val="%9."/>
      <w:lvlJc w:val="right"/>
      <w:pPr>
        <w:ind w:left="6480" w:hanging="180"/>
      </w:pPr>
    </w:lvl>
  </w:abstractNum>
  <w:abstractNum w:abstractNumId="92" w15:restartNumberingAfterBreak="0">
    <w:nsid w:val="29C3638F"/>
    <w:multiLevelType w:val="hybridMultilevel"/>
    <w:tmpl w:val="43685F7E"/>
    <w:lvl w:ilvl="0" w:tplc="CF54624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9EC7483"/>
    <w:multiLevelType w:val="hybridMultilevel"/>
    <w:tmpl w:val="3AFE6E2C"/>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B296EF8"/>
    <w:multiLevelType w:val="hybridMultilevel"/>
    <w:tmpl w:val="F86848C0"/>
    <w:lvl w:ilvl="0" w:tplc="6EAAD43E">
      <w:start w:val="1"/>
      <w:numFmt w:val="upperLetter"/>
      <w:lvlText w:val="%1)"/>
      <w:lvlJc w:val="left"/>
      <w:pPr>
        <w:ind w:left="720" w:hanging="360"/>
      </w:pPr>
      <w:rPr>
        <w:rFonts w:ascii="Times New Roman" w:hAnsi="Times New Roman" w:cs="Times New Roman"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2CAC7F68"/>
    <w:multiLevelType w:val="hybridMultilevel"/>
    <w:tmpl w:val="6B809DF2"/>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8" w15:restartNumberingAfterBreak="0">
    <w:nsid w:val="2DD50A89"/>
    <w:multiLevelType w:val="hybridMultilevel"/>
    <w:tmpl w:val="C466044C"/>
    <w:lvl w:ilvl="0" w:tplc="D882AC22">
      <w:start w:val="300"/>
      <w:numFmt w:val="bullet"/>
      <w:lvlText w:val="-"/>
      <w:lvlJc w:val="left"/>
      <w:pPr>
        <w:ind w:left="405" w:hanging="360"/>
      </w:pPr>
      <w:rPr>
        <w:rFonts w:ascii="Times New Roman" w:eastAsiaTheme="minorHAns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9" w15:restartNumberingAfterBreak="0">
    <w:nsid w:val="2E01084A"/>
    <w:multiLevelType w:val="hybridMultilevel"/>
    <w:tmpl w:val="53B835AE"/>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2675AC"/>
    <w:multiLevelType w:val="hybridMultilevel"/>
    <w:tmpl w:val="21841F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1" w15:restartNumberingAfterBreak="0">
    <w:nsid w:val="2F7B30D3"/>
    <w:multiLevelType w:val="hybridMultilevel"/>
    <w:tmpl w:val="764CD0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2FA8721B"/>
    <w:multiLevelType w:val="hybridMultilevel"/>
    <w:tmpl w:val="005638E0"/>
    <w:lvl w:ilvl="0" w:tplc="18090019">
      <w:start w:val="1"/>
      <w:numFmt w:val="lowerLetter"/>
      <w:lvlText w:val="%1."/>
      <w:lvlJc w:val="left"/>
      <w:pPr>
        <w:ind w:left="360" w:hanging="360"/>
      </w:pPr>
    </w:lvl>
    <w:lvl w:ilvl="1" w:tplc="18090019" w:tentative="1">
      <w:start w:val="1"/>
      <w:numFmt w:val="lowerLetter"/>
      <w:lvlText w:val="%2."/>
      <w:lvlJc w:val="left"/>
      <w:pPr>
        <w:ind w:left="88" w:hanging="360"/>
      </w:pPr>
    </w:lvl>
    <w:lvl w:ilvl="2" w:tplc="1809001B" w:tentative="1">
      <w:start w:val="1"/>
      <w:numFmt w:val="lowerRoman"/>
      <w:lvlText w:val="%3."/>
      <w:lvlJc w:val="right"/>
      <w:pPr>
        <w:ind w:left="808" w:hanging="180"/>
      </w:pPr>
    </w:lvl>
    <w:lvl w:ilvl="3" w:tplc="1809000F" w:tentative="1">
      <w:start w:val="1"/>
      <w:numFmt w:val="decimal"/>
      <w:lvlText w:val="%4."/>
      <w:lvlJc w:val="left"/>
      <w:pPr>
        <w:ind w:left="1528" w:hanging="360"/>
      </w:pPr>
    </w:lvl>
    <w:lvl w:ilvl="4" w:tplc="18090019" w:tentative="1">
      <w:start w:val="1"/>
      <w:numFmt w:val="lowerLetter"/>
      <w:lvlText w:val="%5."/>
      <w:lvlJc w:val="left"/>
      <w:pPr>
        <w:ind w:left="2248" w:hanging="360"/>
      </w:pPr>
    </w:lvl>
    <w:lvl w:ilvl="5" w:tplc="1809001B" w:tentative="1">
      <w:start w:val="1"/>
      <w:numFmt w:val="lowerRoman"/>
      <w:lvlText w:val="%6."/>
      <w:lvlJc w:val="right"/>
      <w:pPr>
        <w:ind w:left="2968" w:hanging="180"/>
      </w:pPr>
    </w:lvl>
    <w:lvl w:ilvl="6" w:tplc="1809000F" w:tentative="1">
      <w:start w:val="1"/>
      <w:numFmt w:val="decimal"/>
      <w:lvlText w:val="%7."/>
      <w:lvlJc w:val="left"/>
      <w:pPr>
        <w:ind w:left="3688" w:hanging="360"/>
      </w:pPr>
    </w:lvl>
    <w:lvl w:ilvl="7" w:tplc="18090019" w:tentative="1">
      <w:start w:val="1"/>
      <w:numFmt w:val="lowerLetter"/>
      <w:lvlText w:val="%8."/>
      <w:lvlJc w:val="left"/>
      <w:pPr>
        <w:ind w:left="4408" w:hanging="360"/>
      </w:pPr>
    </w:lvl>
    <w:lvl w:ilvl="8" w:tplc="1809001B" w:tentative="1">
      <w:start w:val="1"/>
      <w:numFmt w:val="lowerRoman"/>
      <w:lvlText w:val="%9."/>
      <w:lvlJc w:val="right"/>
      <w:pPr>
        <w:ind w:left="5128" w:hanging="180"/>
      </w:pPr>
    </w:lvl>
  </w:abstractNum>
  <w:abstractNum w:abstractNumId="103" w15:restartNumberingAfterBreak="0">
    <w:nsid w:val="2FF6382F"/>
    <w:multiLevelType w:val="hybridMultilevel"/>
    <w:tmpl w:val="4FEA1C96"/>
    <w:lvl w:ilvl="0" w:tplc="18090001">
      <w:start w:val="1"/>
      <w:numFmt w:val="bullet"/>
      <w:lvlText w:val=""/>
      <w:lvlJc w:val="left"/>
      <w:pPr>
        <w:ind w:left="720" w:hanging="360"/>
      </w:pPr>
      <w:rPr>
        <w:rFonts w:ascii="Symbol" w:hAnsi="Symbol"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00F25C4"/>
    <w:multiLevelType w:val="hybridMultilevel"/>
    <w:tmpl w:val="11A08124"/>
    <w:lvl w:ilvl="0" w:tplc="B6E4CF9A">
      <w:start w:val="1"/>
      <w:numFmt w:val="decimal"/>
      <w:lvlText w:val="%1."/>
      <w:lvlJc w:val="left"/>
      <w:pPr>
        <w:ind w:left="720" w:hanging="360"/>
      </w:pPr>
    </w:lvl>
    <w:lvl w:ilvl="1" w:tplc="D2186B0E">
      <w:start w:val="1"/>
      <w:numFmt w:val="lowerLetter"/>
      <w:lvlText w:val="%2."/>
      <w:lvlJc w:val="left"/>
      <w:pPr>
        <w:ind w:left="1440" w:hanging="360"/>
      </w:pPr>
    </w:lvl>
    <w:lvl w:ilvl="2" w:tplc="8A767700">
      <w:start w:val="1"/>
      <w:numFmt w:val="lowerRoman"/>
      <w:lvlText w:val="%3."/>
      <w:lvlJc w:val="right"/>
      <w:pPr>
        <w:ind w:left="2160" w:hanging="180"/>
      </w:pPr>
    </w:lvl>
    <w:lvl w:ilvl="3" w:tplc="A9A233E8">
      <w:start w:val="1"/>
      <w:numFmt w:val="decimal"/>
      <w:lvlText w:val="%4."/>
      <w:lvlJc w:val="left"/>
      <w:pPr>
        <w:ind w:left="2880" w:hanging="360"/>
      </w:pPr>
    </w:lvl>
    <w:lvl w:ilvl="4" w:tplc="AECEA32A">
      <w:start w:val="1"/>
      <w:numFmt w:val="lowerLetter"/>
      <w:lvlText w:val="%5."/>
      <w:lvlJc w:val="left"/>
      <w:pPr>
        <w:ind w:left="3600" w:hanging="360"/>
      </w:pPr>
    </w:lvl>
    <w:lvl w:ilvl="5" w:tplc="3086CD8A">
      <w:start w:val="1"/>
      <w:numFmt w:val="lowerRoman"/>
      <w:lvlText w:val="%6."/>
      <w:lvlJc w:val="right"/>
      <w:pPr>
        <w:ind w:left="4320" w:hanging="180"/>
      </w:pPr>
    </w:lvl>
    <w:lvl w:ilvl="6" w:tplc="BF92C99C">
      <w:start w:val="1"/>
      <w:numFmt w:val="decimal"/>
      <w:lvlText w:val="%7."/>
      <w:lvlJc w:val="left"/>
      <w:pPr>
        <w:ind w:left="5040" w:hanging="360"/>
      </w:pPr>
    </w:lvl>
    <w:lvl w:ilvl="7" w:tplc="EFEE1E9A">
      <w:start w:val="1"/>
      <w:numFmt w:val="lowerLetter"/>
      <w:lvlText w:val="%8."/>
      <w:lvlJc w:val="left"/>
      <w:pPr>
        <w:ind w:left="5760" w:hanging="360"/>
      </w:pPr>
    </w:lvl>
    <w:lvl w:ilvl="8" w:tplc="75BA04AA">
      <w:start w:val="1"/>
      <w:numFmt w:val="lowerRoman"/>
      <w:lvlText w:val="%9."/>
      <w:lvlJc w:val="right"/>
      <w:pPr>
        <w:ind w:left="6480" w:hanging="180"/>
      </w:pPr>
    </w:lvl>
  </w:abstractNum>
  <w:abstractNum w:abstractNumId="105" w15:restartNumberingAfterBreak="0">
    <w:nsid w:val="30403EC1"/>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6" w15:restartNumberingAfterBreak="0">
    <w:nsid w:val="30584B31"/>
    <w:multiLevelType w:val="hybridMultilevel"/>
    <w:tmpl w:val="9B302928"/>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11C2B35"/>
    <w:multiLevelType w:val="hybridMultilevel"/>
    <w:tmpl w:val="ABCAE2E6"/>
    <w:lvl w:ilvl="0" w:tplc="AC629FEA">
      <w:start w:val="9"/>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16124AD"/>
    <w:multiLevelType w:val="hybridMultilevel"/>
    <w:tmpl w:val="F5E61D02"/>
    <w:lvl w:ilvl="0" w:tplc="D882AC22">
      <w:start w:val="300"/>
      <w:numFmt w:val="bullet"/>
      <w:lvlText w:val="-"/>
      <w:lvlJc w:val="left"/>
      <w:pPr>
        <w:ind w:left="720" w:hanging="360"/>
      </w:pPr>
      <w:rPr>
        <w:rFonts w:ascii="Times New Roman" w:eastAsiaTheme="minorHAnsi" w:hAnsi="Times New Roman" w:cs="Times New Roman" w:hint="default"/>
      </w:rPr>
    </w:lvl>
    <w:lvl w:ilvl="1" w:tplc="5FC22512">
      <w:start w:val="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1733CF7"/>
    <w:multiLevelType w:val="multilevel"/>
    <w:tmpl w:val="2A0C95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31E7303D"/>
    <w:multiLevelType w:val="hybridMultilevel"/>
    <w:tmpl w:val="A87665EC"/>
    <w:lvl w:ilvl="0" w:tplc="F3BCFAF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1" w15:restartNumberingAfterBreak="0">
    <w:nsid w:val="321D30A3"/>
    <w:multiLevelType w:val="hybridMultilevel"/>
    <w:tmpl w:val="1A40489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AA6E9E"/>
    <w:multiLevelType w:val="hybridMultilevel"/>
    <w:tmpl w:val="F88E2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3" w15:restartNumberingAfterBreak="0">
    <w:nsid w:val="333A6681"/>
    <w:multiLevelType w:val="hybridMultilevel"/>
    <w:tmpl w:val="412474C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4" w15:restartNumberingAfterBreak="0">
    <w:nsid w:val="337C5C61"/>
    <w:multiLevelType w:val="hybridMultilevel"/>
    <w:tmpl w:val="952E6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34741063"/>
    <w:multiLevelType w:val="multilevel"/>
    <w:tmpl w:val="99C47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35C9236F"/>
    <w:multiLevelType w:val="hybridMultilevel"/>
    <w:tmpl w:val="D4D0B7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E37283"/>
    <w:multiLevelType w:val="hybridMultilevel"/>
    <w:tmpl w:val="A5C61CD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7A15832"/>
    <w:multiLevelType w:val="hybridMultilevel"/>
    <w:tmpl w:val="71567F7E"/>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9" w15:restartNumberingAfterBreak="0">
    <w:nsid w:val="39E11C77"/>
    <w:multiLevelType w:val="hybridMultilevel"/>
    <w:tmpl w:val="6A0240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0" w15:restartNumberingAfterBreak="0">
    <w:nsid w:val="3A59226C"/>
    <w:multiLevelType w:val="hybridMultilevel"/>
    <w:tmpl w:val="BC86D696"/>
    <w:lvl w:ilvl="0" w:tplc="F9689064">
      <w:start w:val="2"/>
      <w:numFmt w:val="decimal"/>
      <w:lvlText w:val="%1."/>
      <w:lvlJc w:val="left"/>
      <w:pPr>
        <w:ind w:left="720" w:hanging="360"/>
      </w:pPr>
    </w:lvl>
    <w:lvl w:ilvl="1" w:tplc="B93CD648">
      <w:start w:val="1"/>
      <w:numFmt w:val="lowerLetter"/>
      <w:lvlText w:val="%2."/>
      <w:lvlJc w:val="left"/>
      <w:pPr>
        <w:ind w:left="1440" w:hanging="360"/>
      </w:pPr>
    </w:lvl>
    <w:lvl w:ilvl="2" w:tplc="219CAE0A">
      <w:start w:val="1"/>
      <w:numFmt w:val="lowerRoman"/>
      <w:lvlText w:val="%3."/>
      <w:lvlJc w:val="right"/>
      <w:pPr>
        <w:ind w:left="2160" w:hanging="180"/>
      </w:pPr>
    </w:lvl>
    <w:lvl w:ilvl="3" w:tplc="4EAEDFCE">
      <w:start w:val="1"/>
      <w:numFmt w:val="decimal"/>
      <w:lvlText w:val="%4."/>
      <w:lvlJc w:val="left"/>
      <w:pPr>
        <w:ind w:left="2880" w:hanging="360"/>
      </w:pPr>
    </w:lvl>
    <w:lvl w:ilvl="4" w:tplc="7C26551E">
      <w:start w:val="1"/>
      <w:numFmt w:val="lowerLetter"/>
      <w:lvlText w:val="%5."/>
      <w:lvlJc w:val="left"/>
      <w:pPr>
        <w:ind w:left="3600" w:hanging="360"/>
      </w:pPr>
    </w:lvl>
    <w:lvl w:ilvl="5" w:tplc="CC7080B4">
      <w:start w:val="1"/>
      <w:numFmt w:val="lowerRoman"/>
      <w:lvlText w:val="%6."/>
      <w:lvlJc w:val="right"/>
      <w:pPr>
        <w:ind w:left="4320" w:hanging="180"/>
      </w:pPr>
    </w:lvl>
    <w:lvl w:ilvl="6" w:tplc="E5F2F9F2">
      <w:start w:val="1"/>
      <w:numFmt w:val="decimal"/>
      <w:lvlText w:val="%7."/>
      <w:lvlJc w:val="left"/>
      <w:pPr>
        <w:ind w:left="5040" w:hanging="360"/>
      </w:pPr>
    </w:lvl>
    <w:lvl w:ilvl="7" w:tplc="63FE9D58">
      <w:start w:val="1"/>
      <w:numFmt w:val="lowerLetter"/>
      <w:lvlText w:val="%8."/>
      <w:lvlJc w:val="left"/>
      <w:pPr>
        <w:ind w:left="5760" w:hanging="360"/>
      </w:pPr>
    </w:lvl>
    <w:lvl w:ilvl="8" w:tplc="9F1EE3D2">
      <w:start w:val="1"/>
      <w:numFmt w:val="lowerRoman"/>
      <w:lvlText w:val="%9."/>
      <w:lvlJc w:val="right"/>
      <w:pPr>
        <w:ind w:left="6480" w:hanging="180"/>
      </w:pPr>
    </w:lvl>
  </w:abstractNum>
  <w:abstractNum w:abstractNumId="121" w15:restartNumberingAfterBreak="0">
    <w:nsid w:val="3ACC5FAD"/>
    <w:multiLevelType w:val="hybridMultilevel"/>
    <w:tmpl w:val="9A703686"/>
    <w:lvl w:ilvl="0" w:tplc="0809000F">
      <w:start w:val="1"/>
      <w:numFmt w:val="decimal"/>
      <w:lvlText w:val="%1."/>
      <w:lvlJc w:val="left"/>
      <w:pPr>
        <w:ind w:left="1996" w:hanging="360"/>
      </w:pPr>
    </w:lvl>
    <w:lvl w:ilvl="1" w:tplc="13CE1B74">
      <w:start w:val="1"/>
      <w:numFmt w:val="upperLetter"/>
      <w:lvlText w:val="%2."/>
      <w:lvlJc w:val="left"/>
      <w:pPr>
        <w:ind w:left="3241" w:hanging="885"/>
      </w:pPr>
      <w:rPr>
        <w:rFonts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2" w15:restartNumberingAfterBreak="0">
    <w:nsid w:val="3B766948"/>
    <w:multiLevelType w:val="hybridMultilevel"/>
    <w:tmpl w:val="77C66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CC40D2"/>
    <w:multiLevelType w:val="multilevel"/>
    <w:tmpl w:val="4AF61FC8"/>
    <w:lvl w:ilvl="0">
      <w:start w:val="16"/>
      <w:numFmt w:val="upperLetter"/>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4" w15:restartNumberingAfterBreak="0">
    <w:nsid w:val="3BED2E0F"/>
    <w:multiLevelType w:val="multilevel"/>
    <w:tmpl w:val="40F0A5F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5" w15:restartNumberingAfterBreak="0">
    <w:nsid w:val="3C2D40A2"/>
    <w:multiLevelType w:val="hybridMultilevel"/>
    <w:tmpl w:val="F392E652"/>
    <w:lvl w:ilvl="0" w:tplc="2818A12E">
      <w:numFmt w:val="bullet"/>
      <w:lvlText w:val="-"/>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6" w15:restartNumberingAfterBreak="0">
    <w:nsid w:val="3C3F6EE3"/>
    <w:multiLevelType w:val="hybridMultilevel"/>
    <w:tmpl w:val="907A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BC1157"/>
    <w:multiLevelType w:val="hybridMultilevel"/>
    <w:tmpl w:val="FFFFFFFF"/>
    <w:lvl w:ilvl="0" w:tplc="C2E8C71C">
      <w:start w:val="1"/>
      <w:numFmt w:val="bullet"/>
      <w:lvlText w:val="-"/>
      <w:lvlJc w:val="left"/>
      <w:pPr>
        <w:ind w:left="360" w:hanging="360"/>
      </w:pPr>
      <w:rPr>
        <w:rFonts w:ascii="Calibri" w:hAnsi="Calibri" w:hint="default"/>
      </w:rPr>
    </w:lvl>
    <w:lvl w:ilvl="1" w:tplc="24BCA60A">
      <w:start w:val="1"/>
      <w:numFmt w:val="bullet"/>
      <w:lvlText w:val="o"/>
      <w:lvlJc w:val="left"/>
      <w:pPr>
        <w:ind w:left="1080" w:hanging="360"/>
      </w:pPr>
      <w:rPr>
        <w:rFonts w:ascii="Courier New" w:hAnsi="Courier New" w:hint="default"/>
      </w:rPr>
    </w:lvl>
    <w:lvl w:ilvl="2" w:tplc="5CD0E9A0">
      <w:start w:val="1"/>
      <w:numFmt w:val="bullet"/>
      <w:lvlText w:val=""/>
      <w:lvlJc w:val="left"/>
      <w:pPr>
        <w:ind w:left="1800" w:hanging="360"/>
      </w:pPr>
      <w:rPr>
        <w:rFonts w:ascii="Wingdings" w:hAnsi="Wingdings" w:hint="default"/>
      </w:rPr>
    </w:lvl>
    <w:lvl w:ilvl="3" w:tplc="30269984">
      <w:start w:val="1"/>
      <w:numFmt w:val="bullet"/>
      <w:lvlText w:val=""/>
      <w:lvlJc w:val="left"/>
      <w:pPr>
        <w:ind w:left="2520" w:hanging="360"/>
      </w:pPr>
      <w:rPr>
        <w:rFonts w:ascii="Symbol" w:hAnsi="Symbol" w:hint="default"/>
      </w:rPr>
    </w:lvl>
    <w:lvl w:ilvl="4" w:tplc="CCDE159C">
      <w:start w:val="1"/>
      <w:numFmt w:val="bullet"/>
      <w:lvlText w:val="o"/>
      <w:lvlJc w:val="left"/>
      <w:pPr>
        <w:ind w:left="3240" w:hanging="360"/>
      </w:pPr>
      <w:rPr>
        <w:rFonts w:ascii="Courier New" w:hAnsi="Courier New" w:hint="default"/>
      </w:rPr>
    </w:lvl>
    <w:lvl w:ilvl="5" w:tplc="4C64EFF4">
      <w:start w:val="1"/>
      <w:numFmt w:val="bullet"/>
      <w:lvlText w:val=""/>
      <w:lvlJc w:val="left"/>
      <w:pPr>
        <w:ind w:left="3960" w:hanging="360"/>
      </w:pPr>
      <w:rPr>
        <w:rFonts w:ascii="Wingdings" w:hAnsi="Wingdings" w:hint="default"/>
      </w:rPr>
    </w:lvl>
    <w:lvl w:ilvl="6" w:tplc="131C6CF0">
      <w:start w:val="1"/>
      <w:numFmt w:val="bullet"/>
      <w:lvlText w:val=""/>
      <w:lvlJc w:val="left"/>
      <w:pPr>
        <w:ind w:left="4680" w:hanging="360"/>
      </w:pPr>
      <w:rPr>
        <w:rFonts w:ascii="Symbol" w:hAnsi="Symbol" w:hint="default"/>
      </w:rPr>
    </w:lvl>
    <w:lvl w:ilvl="7" w:tplc="B4B86B38">
      <w:start w:val="1"/>
      <w:numFmt w:val="bullet"/>
      <w:lvlText w:val="o"/>
      <w:lvlJc w:val="left"/>
      <w:pPr>
        <w:ind w:left="5400" w:hanging="360"/>
      </w:pPr>
      <w:rPr>
        <w:rFonts w:ascii="Courier New" w:hAnsi="Courier New" w:hint="default"/>
      </w:rPr>
    </w:lvl>
    <w:lvl w:ilvl="8" w:tplc="BAD0657C">
      <w:start w:val="1"/>
      <w:numFmt w:val="bullet"/>
      <w:lvlText w:val=""/>
      <w:lvlJc w:val="left"/>
      <w:pPr>
        <w:ind w:left="6120" w:hanging="360"/>
      </w:pPr>
      <w:rPr>
        <w:rFonts w:ascii="Wingdings" w:hAnsi="Wingdings" w:hint="default"/>
      </w:rPr>
    </w:lvl>
  </w:abstractNum>
  <w:abstractNum w:abstractNumId="128" w15:restartNumberingAfterBreak="0">
    <w:nsid w:val="3D7C6DE6"/>
    <w:multiLevelType w:val="hybridMultilevel"/>
    <w:tmpl w:val="ABF421B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AA5114"/>
    <w:multiLevelType w:val="hybridMultilevel"/>
    <w:tmpl w:val="620488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3EC422F4"/>
    <w:multiLevelType w:val="hybridMultilevel"/>
    <w:tmpl w:val="56EAA2AA"/>
    <w:lvl w:ilvl="0" w:tplc="59707350">
      <w:start w:val="100"/>
      <w:numFmt w:val="bullet"/>
      <w:lvlText w:val="-"/>
      <w:lvlJc w:val="left"/>
      <w:pPr>
        <w:ind w:left="720" w:hanging="360"/>
      </w:pPr>
      <w:rPr>
        <w:rFonts w:ascii="Calibri" w:eastAsiaTheme="minorHAnsi" w:hAnsi="Calibri" w:cs="Calibri"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403F73B8"/>
    <w:multiLevelType w:val="hybridMultilevel"/>
    <w:tmpl w:val="7616B04A"/>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404268B8"/>
    <w:multiLevelType w:val="hybridMultilevel"/>
    <w:tmpl w:val="6B18F6C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3" w15:restartNumberingAfterBreak="0">
    <w:nsid w:val="41233036"/>
    <w:multiLevelType w:val="hybridMultilevel"/>
    <w:tmpl w:val="A44C8334"/>
    <w:lvl w:ilvl="0" w:tplc="08806A88">
      <w:start w:val="1"/>
      <w:numFmt w:val="lowerRoman"/>
      <w:lvlText w:val="%1."/>
      <w:lvlJc w:val="left"/>
      <w:pPr>
        <w:ind w:left="720" w:hanging="360"/>
      </w:pPr>
    </w:lvl>
    <w:lvl w:ilvl="1" w:tplc="5D18B8C2">
      <w:start w:val="1"/>
      <w:numFmt w:val="lowerLetter"/>
      <w:lvlText w:val="%2."/>
      <w:lvlJc w:val="left"/>
      <w:pPr>
        <w:ind w:left="1440" w:hanging="360"/>
      </w:pPr>
    </w:lvl>
    <w:lvl w:ilvl="2" w:tplc="70145102">
      <w:start w:val="1"/>
      <w:numFmt w:val="lowerRoman"/>
      <w:lvlText w:val="%3."/>
      <w:lvlJc w:val="right"/>
      <w:pPr>
        <w:ind w:left="2160" w:hanging="180"/>
      </w:pPr>
    </w:lvl>
    <w:lvl w:ilvl="3" w:tplc="39B6492E">
      <w:start w:val="1"/>
      <w:numFmt w:val="decimal"/>
      <w:lvlText w:val="%4."/>
      <w:lvlJc w:val="left"/>
      <w:pPr>
        <w:ind w:left="2880" w:hanging="360"/>
      </w:pPr>
    </w:lvl>
    <w:lvl w:ilvl="4" w:tplc="CCC63F24">
      <w:start w:val="1"/>
      <w:numFmt w:val="lowerLetter"/>
      <w:lvlText w:val="%5."/>
      <w:lvlJc w:val="left"/>
      <w:pPr>
        <w:ind w:left="3600" w:hanging="360"/>
      </w:pPr>
    </w:lvl>
    <w:lvl w:ilvl="5" w:tplc="CE5AD4B0">
      <w:start w:val="1"/>
      <w:numFmt w:val="lowerRoman"/>
      <w:lvlText w:val="%6."/>
      <w:lvlJc w:val="right"/>
      <w:pPr>
        <w:ind w:left="4320" w:hanging="180"/>
      </w:pPr>
    </w:lvl>
    <w:lvl w:ilvl="6" w:tplc="0C7AE1B4">
      <w:start w:val="1"/>
      <w:numFmt w:val="decimal"/>
      <w:lvlText w:val="%7."/>
      <w:lvlJc w:val="left"/>
      <w:pPr>
        <w:ind w:left="5040" w:hanging="360"/>
      </w:pPr>
    </w:lvl>
    <w:lvl w:ilvl="7" w:tplc="64E86D2C">
      <w:start w:val="1"/>
      <w:numFmt w:val="lowerLetter"/>
      <w:lvlText w:val="%8."/>
      <w:lvlJc w:val="left"/>
      <w:pPr>
        <w:ind w:left="5760" w:hanging="360"/>
      </w:pPr>
    </w:lvl>
    <w:lvl w:ilvl="8" w:tplc="D2D61B44">
      <w:start w:val="1"/>
      <w:numFmt w:val="lowerRoman"/>
      <w:lvlText w:val="%9."/>
      <w:lvlJc w:val="right"/>
      <w:pPr>
        <w:ind w:left="6480" w:hanging="180"/>
      </w:pPr>
    </w:lvl>
  </w:abstractNum>
  <w:abstractNum w:abstractNumId="134" w15:restartNumberingAfterBreak="0">
    <w:nsid w:val="41A80D6E"/>
    <w:multiLevelType w:val="hybridMultilevel"/>
    <w:tmpl w:val="D96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1E654E1"/>
    <w:multiLevelType w:val="hybridMultilevel"/>
    <w:tmpl w:val="0CC0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42433CCD"/>
    <w:multiLevelType w:val="hybridMultilevel"/>
    <w:tmpl w:val="E4727DC8"/>
    <w:lvl w:ilvl="0" w:tplc="14F2F93A">
      <w:start w:val="25"/>
      <w:numFmt w:val="bullet"/>
      <w:lvlText w:val="-"/>
      <w:lvlJc w:val="left"/>
      <w:pPr>
        <w:ind w:left="720" w:hanging="360"/>
      </w:pPr>
      <w:rPr>
        <w:rFonts w:ascii="Liberation Serif" w:eastAsia="N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8" w15:restartNumberingAfterBreak="0">
    <w:nsid w:val="42A82F2A"/>
    <w:multiLevelType w:val="hybridMultilevel"/>
    <w:tmpl w:val="EA46FF0C"/>
    <w:lvl w:ilvl="0" w:tplc="FC18EE56">
      <w:start w:val="4"/>
      <w:numFmt w:val="lowerLetter"/>
      <w:lvlText w:val="%1."/>
      <w:lvlJc w:val="left"/>
      <w:pPr>
        <w:ind w:left="720" w:hanging="360"/>
      </w:pPr>
    </w:lvl>
    <w:lvl w:ilvl="1" w:tplc="1442A18E">
      <w:start w:val="1"/>
      <w:numFmt w:val="lowerLetter"/>
      <w:lvlText w:val="%2."/>
      <w:lvlJc w:val="left"/>
      <w:pPr>
        <w:ind w:left="1440" w:hanging="360"/>
      </w:pPr>
    </w:lvl>
    <w:lvl w:ilvl="2" w:tplc="333841A2">
      <w:start w:val="1"/>
      <w:numFmt w:val="lowerRoman"/>
      <w:lvlText w:val="%3."/>
      <w:lvlJc w:val="right"/>
      <w:pPr>
        <w:ind w:left="2160" w:hanging="180"/>
      </w:pPr>
    </w:lvl>
    <w:lvl w:ilvl="3" w:tplc="508C69EC">
      <w:start w:val="1"/>
      <w:numFmt w:val="decimal"/>
      <w:lvlText w:val="%4."/>
      <w:lvlJc w:val="left"/>
      <w:pPr>
        <w:ind w:left="2880" w:hanging="360"/>
      </w:pPr>
    </w:lvl>
    <w:lvl w:ilvl="4" w:tplc="1D6AEB02">
      <w:start w:val="1"/>
      <w:numFmt w:val="lowerLetter"/>
      <w:lvlText w:val="%5."/>
      <w:lvlJc w:val="left"/>
      <w:pPr>
        <w:ind w:left="3600" w:hanging="360"/>
      </w:pPr>
    </w:lvl>
    <w:lvl w:ilvl="5" w:tplc="37FADD88">
      <w:start w:val="1"/>
      <w:numFmt w:val="lowerRoman"/>
      <w:lvlText w:val="%6."/>
      <w:lvlJc w:val="right"/>
      <w:pPr>
        <w:ind w:left="4320" w:hanging="180"/>
      </w:pPr>
    </w:lvl>
    <w:lvl w:ilvl="6" w:tplc="3EFA8F94">
      <w:start w:val="1"/>
      <w:numFmt w:val="decimal"/>
      <w:lvlText w:val="%7."/>
      <w:lvlJc w:val="left"/>
      <w:pPr>
        <w:ind w:left="5040" w:hanging="360"/>
      </w:pPr>
    </w:lvl>
    <w:lvl w:ilvl="7" w:tplc="9D58A688">
      <w:start w:val="1"/>
      <w:numFmt w:val="lowerLetter"/>
      <w:lvlText w:val="%8."/>
      <w:lvlJc w:val="left"/>
      <w:pPr>
        <w:ind w:left="5760" w:hanging="360"/>
      </w:pPr>
    </w:lvl>
    <w:lvl w:ilvl="8" w:tplc="21D89E36">
      <w:start w:val="1"/>
      <w:numFmt w:val="lowerRoman"/>
      <w:lvlText w:val="%9."/>
      <w:lvlJc w:val="right"/>
      <w:pPr>
        <w:ind w:left="6480" w:hanging="180"/>
      </w:pPr>
    </w:lvl>
  </w:abstractNum>
  <w:abstractNum w:abstractNumId="13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1" w15:restartNumberingAfterBreak="0">
    <w:nsid w:val="45D54291"/>
    <w:multiLevelType w:val="hybridMultilevel"/>
    <w:tmpl w:val="77800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A44EE3"/>
    <w:multiLevelType w:val="hybridMultilevel"/>
    <w:tmpl w:val="32C4000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89A0684"/>
    <w:multiLevelType w:val="hybridMultilevel"/>
    <w:tmpl w:val="59B4D158"/>
    <w:lvl w:ilvl="0" w:tplc="8F3A109C">
      <w:start w:val="13"/>
      <w:numFmt w:val="bullet"/>
      <w:lvlText w:val="-"/>
      <w:lvlJc w:val="left"/>
      <w:pPr>
        <w:ind w:left="720" w:hanging="360"/>
      </w:pPr>
      <w:rPr>
        <w:rFonts w:ascii="Calibri" w:eastAsiaTheme="minorHAnsi" w:hAnsi="Calibri" w:cs="Calibri"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48E8238F"/>
    <w:multiLevelType w:val="hybridMultilevel"/>
    <w:tmpl w:val="50DC7F48"/>
    <w:lvl w:ilvl="0" w:tplc="0BF4FD26">
      <w:start w:val="1"/>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5" w15:restartNumberingAfterBreak="0">
    <w:nsid w:val="48F80BBA"/>
    <w:multiLevelType w:val="hybridMultilevel"/>
    <w:tmpl w:val="0AD4D7CA"/>
    <w:lvl w:ilvl="0" w:tplc="2ACC1B20">
      <w:start w:val="2"/>
      <w:numFmt w:val="bullet"/>
      <w:lvlText w:val="-"/>
      <w:lvlJc w:val="left"/>
      <w:pPr>
        <w:ind w:left="1031" w:hanging="360"/>
      </w:pPr>
      <w:rPr>
        <w:rFonts w:ascii="Calibri" w:eastAsia="Calibri" w:hAnsi="Calibri" w:cs="Calibri"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46" w15:restartNumberingAfterBreak="0">
    <w:nsid w:val="494F272B"/>
    <w:multiLevelType w:val="hybridMultilevel"/>
    <w:tmpl w:val="8A22D40A"/>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9865EAF"/>
    <w:multiLevelType w:val="hybridMultilevel"/>
    <w:tmpl w:val="74E4A9FA"/>
    <w:lvl w:ilvl="0" w:tplc="D74E5370">
      <w:start w:val="1"/>
      <w:numFmt w:val="bullet"/>
      <w:lvlText w:val="-"/>
      <w:lvlJc w:val="left"/>
      <w:pPr>
        <w:ind w:left="720" w:hanging="360"/>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9F33E4F"/>
    <w:multiLevelType w:val="hybridMultilevel"/>
    <w:tmpl w:val="5DBC4D08"/>
    <w:lvl w:ilvl="0" w:tplc="F156255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4A031E59"/>
    <w:multiLevelType w:val="hybridMultilevel"/>
    <w:tmpl w:val="D9E6E9C0"/>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50" w15:restartNumberingAfterBreak="0">
    <w:nsid w:val="4BC76841"/>
    <w:multiLevelType w:val="hybridMultilevel"/>
    <w:tmpl w:val="48205AA8"/>
    <w:lvl w:ilvl="0" w:tplc="D882AC22">
      <w:start w:val="300"/>
      <w:numFmt w:val="bullet"/>
      <w:lvlText w:val="-"/>
      <w:lvlJc w:val="left"/>
      <w:pPr>
        <w:ind w:left="720" w:hanging="360"/>
      </w:pPr>
      <w:rPr>
        <w:rFonts w:ascii="Times New Roman" w:eastAsiaTheme="minorHAnsi" w:hAnsi="Times New Roman" w:cs="Times New Roman"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C8845D4"/>
    <w:multiLevelType w:val="multilevel"/>
    <w:tmpl w:val="230AC082"/>
    <w:lvl w:ilvl="0">
      <w:start w:val="1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2" w15:restartNumberingAfterBreak="0">
    <w:nsid w:val="4CEF3BB9"/>
    <w:multiLevelType w:val="hybridMultilevel"/>
    <w:tmpl w:val="74D6AAD8"/>
    <w:lvl w:ilvl="0" w:tplc="C9848BEC">
      <w:start w:val="1"/>
      <w:numFmt w:val="upperLetter"/>
      <w:lvlText w:val="%1."/>
      <w:lvlJc w:val="left"/>
      <w:pPr>
        <w:ind w:left="1275" w:hanging="420"/>
      </w:pPr>
      <w:rPr>
        <w:rFonts w:hint="default"/>
      </w:rPr>
    </w:lvl>
    <w:lvl w:ilvl="1" w:tplc="080C0019">
      <w:start w:val="1"/>
      <w:numFmt w:val="lowerLetter"/>
      <w:lvlText w:val="%2."/>
      <w:lvlJc w:val="left"/>
      <w:pPr>
        <w:ind w:left="1935" w:hanging="360"/>
      </w:pPr>
    </w:lvl>
    <w:lvl w:ilvl="2" w:tplc="080C001B" w:tentative="1">
      <w:start w:val="1"/>
      <w:numFmt w:val="lowerRoman"/>
      <w:lvlText w:val="%3."/>
      <w:lvlJc w:val="right"/>
      <w:pPr>
        <w:ind w:left="2655" w:hanging="180"/>
      </w:pPr>
    </w:lvl>
    <w:lvl w:ilvl="3" w:tplc="080C000F" w:tentative="1">
      <w:start w:val="1"/>
      <w:numFmt w:val="decimal"/>
      <w:lvlText w:val="%4."/>
      <w:lvlJc w:val="left"/>
      <w:pPr>
        <w:ind w:left="3375" w:hanging="360"/>
      </w:pPr>
    </w:lvl>
    <w:lvl w:ilvl="4" w:tplc="080C0019" w:tentative="1">
      <w:start w:val="1"/>
      <w:numFmt w:val="lowerLetter"/>
      <w:lvlText w:val="%5."/>
      <w:lvlJc w:val="left"/>
      <w:pPr>
        <w:ind w:left="4095" w:hanging="360"/>
      </w:pPr>
    </w:lvl>
    <w:lvl w:ilvl="5" w:tplc="080C001B" w:tentative="1">
      <w:start w:val="1"/>
      <w:numFmt w:val="lowerRoman"/>
      <w:lvlText w:val="%6."/>
      <w:lvlJc w:val="right"/>
      <w:pPr>
        <w:ind w:left="4815" w:hanging="180"/>
      </w:pPr>
    </w:lvl>
    <w:lvl w:ilvl="6" w:tplc="080C000F" w:tentative="1">
      <w:start w:val="1"/>
      <w:numFmt w:val="decimal"/>
      <w:lvlText w:val="%7."/>
      <w:lvlJc w:val="left"/>
      <w:pPr>
        <w:ind w:left="5535" w:hanging="360"/>
      </w:pPr>
    </w:lvl>
    <w:lvl w:ilvl="7" w:tplc="080C0019" w:tentative="1">
      <w:start w:val="1"/>
      <w:numFmt w:val="lowerLetter"/>
      <w:lvlText w:val="%8."/>
      <w:lvlJc w:val="left"/>
      <w:pPr>
        <w:ind w:left="6255" w:hanging="360"/>
      </w:pPr>
    </w:lvl>
    <w:lvl w:ilvl="8" w:tplc="080C001B" w:tentative="1">
      <w:start w:val="1"/>
      <w:numFmt w:val="lowerRoman"/>
      <w:lvlText w:val="%9."/>
      <w:lvlJc w:val="right"/>
      <w:pPr>
        <w:ind w:left="6975" w:hanging="180"/>
      </w:pPr>
    </w:lvl>
  </w:abstractNum>
  <w:abstractNum w:abstractNumId="153" w15:restartNumberingAfterBreak="0">
    <w:nsid w:val="4CF4041D"/>
    <w:multiLevelType w:val="hybridMultilevel"/>
    <w:tmpl w:val="EE8CFA4E"/>
    <w:lvl w:ilvl="0" w:tplc="58ECCFE6">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4D090EBB"/>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D7D01D3"/>
    <w:multiLevelType w:val="hybridMultilevel"/>
    <w:tmpl w:val="613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DC6765E"/>
    <w:multiLevelType w:val="hybridMultilevel"/>
    <w:tmpl w:val="9C3E6618"/>
    <w:lvl w:ilvl="0" w:tplc="5A945500">
      <w:start w:val="16"/>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7" w15:restartNumberingAfterBreak="0">
    <w:nsid w:val="4E5D169D"/>
    <w:multiLevelType w:val="hybridMultilevel"/>
    <w:tmpl w:val="5670699E"/>
    <w:lvl w:ilvl="0" w:tplc="D882AC22">
      <w:start w:val="300"/>
      <w:numFmt w:val="bullet"/>
      <w:lvlText w:val="-"/>
      <w:lvlJc w:val="left"/>
      <w:pPr>
        <w:ind w:left="720" w:hanging="360"/>
      </w:pPr>
      <w:rPr>
        <w:rFonts w:ascii="Times New Roman" w:eastAsiaTheme="minorHAnsi" w:hAnsi="Times New Roman" w:cs="Times New Roman" w:hint="default"/>
      </w:rPr>
    </w:lvl>
    <w:lvl w:ilvl="1" w:tplc="D882AC22">
      <w:start w:val="300"/>
      <w:numFmt w:val="bullet"/>
      <w:lvlText w:val="-"/>
      <w:lvlJc w:val="left"/>
      <w:pPr>
        <w:ind w:left="1665" w:hanging="585"/>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ED913E3"/>
    <w:multiLevelType w:val="hybridMultilevel"/>
    <w:tmpl w:val="29FC1E48"/>
    <w:lvl w:ilvl="0" w:tplc="8F3A109C">
      <w:start w:val="13"/>
      <w:numFmt w:val="bullet"/>
      <w:lvlText w:val="-"/>
      <w:lvlJc w:val="left"/>
      <w:pPr>
        <w:ind w:left="1570" w:hanging="360"/>
      </w:pPr>
      <w:rPr>
        <w:rFonts w:ascii="Calibri" w:eastAsiaTheme="minorHAns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59" w15:restartNumberingAfterBreak="0">
    <w:nsid w:val="4EEB472B"/>
    <w:multiLevelType w:val="hybridMultilevel"/>
    <w:tmpl w:val="E9E81AFE"/>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083C737"/>
    <w:multiLevelType w:val="hybridMultilevel"/>
    <w:tmpl w:val="16DEB1D6"/>
    <w:lvl w:ilvl="0" w:tplc="D640E500">
      <w:start w:val="1"/>
      <w:numFmt w:val="bullet"/>
      <w:lvlText w:val="-"/>
      <w:lvlJc w:val="left"/>
      <w:pPr>
        <w:ind w:left="720" w:hanging="360"/>
      </w:pPr>
      <w:rPr>
        <w:rFonts w:ascii="&quot;Calibri&quot;,sans-serif" w:hAnsi="&quot;Calibri&quot;,sans-serif" w:hint="default"/>
      </w:rPr>
    </w:lvl>
    <w:lvl w:ilvl="1" w:tplc="DF06A51A">
      <w:start w:val="1"/>
      <w:numFmt w:val="bullet"/>
      <w:lvlText w:val="o"/>
      <w:lvlJc w:val="left"/>
      <w:pPr>
        <w:ind w:left="1440" w:hanging="360"/>
      </w:pPr>
      <w:rPr>
        <w:rFonts w:ascii="Courier New" w:hAnsi="Courier New" w:hint="default"/>
      </w:rPr>
    </w:lvl>
    <w:lvl w:ilvl="2" w:tplc="5EFC7A8A">
      <w:start w:val="1"/>
      <w:numFmt w:val="bullet"/>
      <w:lvlText w:val=""/>
      <w:lvlJc w:val="left"/>
      <w:pPr>
        <w:ind w:left="2160" w:hanging="360"/>
      </w:pPr>
      <w:rPr>
        <w:rFonts w:ascii="Wingdings" w:hAnsi="Wingdings" w:hint="default"/>
      </w:rPr>
    </w:lvl>
    <w:lvl w:ilvl="3" w:tplc="9EFE04BA">
      <w:start w:val="1"/>
      <w:numFmt w:val="bullet"/>
      <w:lvlText w:val=""/>
      <w:lvlJc w:val="left"/>
      <w:pPr>
        <w:ind w:left="2880" w:hanging="360"/>
      </w:pPr>
      <w:rPr>
        <w:rFonts w:ascii="Symbol" w:hAnsi="Symbol" w:hint="default"/>
      </w:rPr>
    </w:lvl>
    <w:lvl w:ilvl="4" w:tplc="D6B211DA">
      <w:start w:val="1"/>
      <w:numFmt w:val="bullet"/>
      <w:lvlText w:val="o"/>
      <w:lvlJc w:val="left"/>
      <w:pPr>
        <w:ind w:left="3600" w:hanging="360"/>
      </w:pPr>
      <w:rPr>
        <w:rFonts w:ascii="Courier New" w:hAnsi="Courier New" w:hint="default"/>
      </w:rPr>
    </w:lvl>
    <w:lvl w:ilvl="5" w:tplc="3334BEE2">
      <w:start w:val="1"/>
      <w:numFmt w:val="bullet"/>
      <w:lvlText w:val=""/>
      <w:lvlJc w:val="left"/>
      <w:pPr>
        <w:ind w:left="4320" w:hanging="360"/>
      </w:pPr>
      <w:rPr>
        <w:rFonts w:ascii="Wingdings" w:hAnsi="Wingdings" w:hint="default"/>
      </w:rPr>
    </w:lvl>
    <w:lvl w:ilvl="6" w:tplc="68EC9EE0">
      <w:start w:val="1"/>
      <w:numFmt w:val="bullet"/>
      <w:lvlText w:val=""/>
      <w:lvlJc w:val="left"/>
      <w:pPr>
        <w:ind w:left="5040" w:hanging="360"/>
      </w:pPr>
      <w:rPr>
        <w:rFonts w:ascii="Symbol" w:hAnsi="Symbol" w:hint="default"/>
      </w:rPr>
    </w:lvl>
    <w:lvl w:ilvl="7" w:tplc="78583A82">
      <w:start w:val="1"/>
      <w:numFmt w:val="bullet"/>
      <w:lvlText w:val="o"/>
      <w:lvlJc w:val="left"/>
      <w:pPr>
        <w:ind w:left="5760" w:hanging="360"/>
      </w:pPr>
      <w:rPr>
        <w:rFonts w:ascii="Courier New" w:hAnsi="Courier New" w:hint="default"/>
      </w:rPr>
    </w:lvl>
    <w:lvl w:ilvl="8" w:tplc="FFF035E8">
      <w:start w:val="1"/>
      <w:numFmt w:val="bullet"/>
      <w:lvlText w:val=""/>
      <w:lvlJc w:val="left"/>
      <w:pPr>
        <w:ind w:left="6480" w:hanging="360"/>
      </w:pPr>
      <w:rPr>
        <w:rFonts w:ascii="Wingdings" w:hAnsi="Wingdings" w:hint="default"/>
      </w:rPr>
    </w:lvl>
  </w:abstractNum>
  <w:abstractNum w:abstractNumId="161" w15:restartNumberingAfterBreak="0">
    <w:nsid w:val="50A099F3"/>
    <w:multiLevelType w:val="hybridMultilevel"/>
    <w:tmpl w:val="7F94BDB2"/>
    <w:lvl w:ilvl="0" w:tplc="E5E89F96">
      <w:start w:val="1"/>
      <w:numFmt w:val="bullet"/>
      <w:lvlText w:val="-"/>
      <w:lvlJc w:val="left"/>
      <w:pPr>
        <w:ind w:left="720" w:hanging="360"/>
      </w:pPr>
      <w:rPr>
        <w:rFonts w:ascii="&quot;Calibri&quot;,sans-serif" w:hAnsi="&quot;Calibri&quot;,sans-serif" w:hint="default"/>
      </w:rPr>
    </w:lvl>
    <w:lvl w:ilvl="1" w:tplc="C7324E22">
      <w:start w:val="1"/>
      <w:numFmt w:val="bullet"/>
      <w:lvlText w:val="o"/>
      <w:lvlJc w:val="left"/>
      <w:pPr>
        <w:ind w:left="1440" w:hanging="360"/>
      </w:pPr>
      <w:rPr>
        <w:rFonts w:ascii="Courier New" w:hAnsi="Courier New" w:hint="default"/>
      </w:rPr>
    </w:lvl>
    <w:lvl w:ilvl="2" w:tplc="017E9918">
      <w:start w:val="1"/>
      <w:numFmt w:val="bullet"/>
      <w:lvlText w:val=""/>
      <w:lvlJc w:val="left"/>
      <w:pPr>
        <w:ind w:left="2160" w:hanging="360"/>
      </w:pPr>
      <w:rPr>
        <w:rFonts w:ascii="Wingdings" w:hAnsi="Wingdings" w:hint="default"/>
      </w:rPr>
    </w:lvl>
    <w:lvl w:ilvl="3" w:tplc="AA62EF84">
      <w:start w:val="1"/>
      <w:numFmt w:val="bullet"/>
      <w:lvlText w:val=""/>
      <w:lvlJc w:val="left"/>
      <w:pPr>
        <w:ind w:left="2880" w:hanging="360"/>
      </w:pPr>
      <w:rPr>
        <w:rFonts w:ascii="Symbol" w:hAnsi="Symbol" w:hint="default"/>
      </w:rPr>
    </w:lvl>
    <w:lvl w:ilvl="4" w:tplc="4BFC7212">
      <w:start w:val="1"/>
      <w:numFmt w:val="bullet"/>
      <w:lvlText w:val="o"/>
      <w:lvlJc w:val="left"/>
      <w:pPr>
        <w:ind w:left="3600" w:hanging="360"/>
      </w:pPr>
      <w:rPr>
        <w:rFonts w:ascii="Courier New" w:hAnsi="Courier New" w:hint="default"/>
      </w:rPr>
    </w:lvl>
    <w:lvl w:ilvl="5" w:tplc="85408A6C">
      <w:start w:val="1"/>
      <w:numFmt w:val="bullet"/>
      <w:lvlText w:val=""/>
      <w:lvlJc w:val="left"/>
      <w:pPr>
        <w:ind w:left="4320" w:hanging="360"/>
      </w:pPr>
      <w:rPr>
        <w:rFonts w:ascii="Wingdings" w:hAnsi="Wingdings" w:hint="default"/>
      </w:rPr>
    </w:lvl>
    <w:lvl w:ilvl="6" w:tplc="C56671DA">
      <w:start w:val="1"/>
      <w:numFmt w:val="bullet"/>
      <w:lvlText w:val=""/>
      <w:lvlJc w:val="left"/>
      <w:pPr>
        <w:ind w:left="5040" w:hanging="360"/>
      </w:pPr>
      <w:rPr>
        <w:rFonts w:ascii="Symbol" w:hAnsi="Symbol" w:hint="default"/>
      </w:rPr>
    </w:lvl>
    <w:lvl w:ilvl="7" w:tplc="1360B63C">
      <w:start w:val="1"/>
      <w:numFmt w:val="bullet"/>
      <w:lvlText w:val="o"/>
      <w:lvlJc w:val="left"/>
      <w:pPr>
        <w:ind w:left="5760" w:hanging="360"/>
      </w:pPr>
      <w:rPr>
        <w:rFonts w:ascii="Courier New" w:hAnsi="Courier New" w:hint="default"/>
      </w:rPr>
    </w:lvl>
    <w:lvl w:ilvl="8" w:tplc="9A460160">
      <w:start w:val="1"/>
      <w:numFmt w:val="bullet"/>
      <w:lvlText w:val=""/>
      <w:lvlJc w:val="left"/>
      <w:pPr>
        <w:ind w:left="6480" w:hanging="360"/>
      </w:pPr>
      <w:rPr>
        <w:rFonts w:ascii="Wingdings" w:hAnsi="Wingdings" w:hint="default"/>
      </w:rPr>
    </w:lvl>
  </w:abstractNum>
  <w:abstractNum w:abstractNumId="162" w15:restartNumberingAfterBreak="0">
    <w:nsid w:val="50DF4857"/>
    <w:multiLevelType w:val="hybridMultilevel"/>
    <w:tmpl w:val="0172AA66"/>
    <w:lvl w:ilvl="0" w:tplc="A386FA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5B64EC"/>
    <w:multiLevelType w:val="hybridMultilevel"/>
    <w:tmpl w:val="5CC8F88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4" w15:restartNumberingAfterBreak="0">
    <w:nsid w:val="52E906F1"/>
    <w:multiLevelType w:val="hybridMultilevel"/>
    <w:tmpl w:val="664AA4C4"/>
    <w:lvl w:ilvl="0" w:tplc="B9C68348">
      <w:numFmt w:val="bullet"/>
      <w:lvlText w:val="-"/>
      <w:lvlJc w:val="left"/>
      <w:pPr>
        <w:ind w:left="1996" w:hanging="360"/>
      </w:pPr>
      <w:rPr>
        <w:rFonts w:ascii="Times New Roman" w:eastAsia="Times New Roman" w:hAnsi="Times New Roman" w:cs="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5" w15:restartNumberingAfterBreak="0">
    <w:nsid w:val="53757E4C"/>
    <w:multiLevelType w:val="hybridMultilevel"/>
    <w:tmpl w:val="0AF2620C"/>
    <w:lvl w:ilvl="0" w:tplc="312A5F28">
      <w:start w:val="1"/>
      <w:numFmt w:val="bullet"/>
      <w:lvlText w:val="-"/>
      <w:lvlJc w:val="left"/>
      <w:pPr>
        <w:ind w:left="1996" w:hanging="360"/>
      </w:pPr>
      <w:rPr>
        <w:rFonts w:ascii="Calibri" w:eastAsiaTheme="minorHAnsi" w:hAnsi="Calibri" w:cs="Calibri" w:hint="default"/>
        <w:color w:val="7030A0"/>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6" w15:restartNumberingAfterBreak="0">
    <w:nsid w:val="54160674"/>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45210F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68" w15:restartNumberingAfterBreak="0">
    <w:nsid w:val="5477135F"/>
    <w:multiLevelType w:val="hybridMultilevel"/>
    <w:tmpl w:val="979A93EE"/>
    <w:lvl w:ilvl="0" w:tplc="C76CFAA8">
      <w:start w:val="1"/>
      <w:numFmt w:val="lowerRoman"/>
      <w:lvlText w:val="%1)"/>
      <w:lvlJc w:val="left"/>
      <w:pPr>
        <w:ind w:left="1571" w:hanging="360"/>
      </w:pPr>
      <w:rPr>
        <w:rFonts w:asciiTheme="minorHAnsi" w:hAnsiTheme="minorHAnsi" w:cstheme="minorHAnsi" w:hint="default"/>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9" w15:restartNumberingAfterBreak="0">
    <w:nsid w:val="552E1701"/>
    <w:multiLevelType w:val="hybridMultilevel"/>
    <w:tmpl w:val="6DD896FE"/>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1" w15:restartNumberingAfterBreak="0">
    <w:nsid w:val="5636121D"/>
    <w:multiLevelType w:val="hybridMultilevel"/>
    <w:tmpl w:val="9AF0931C"/>
    <w:lvl w:ilvl="0" w:tplc="1D82744A">
      <w:start w:val="53"/>
      <w:numFmt w:val="bullet"/>
      <w:lvlText w:val="-"/>
      <w:lvlJc w:val="left"/>
      <w:pPr>
        <w:ind w:left="1636" w:hanging="360"/>
      </w:pPr>
      <w:rPr>
        <w:rFonts w:ascii="Times New Roman" w:eastAsiaTheme="minorHAnsi" w:hAnsi="Times New Roman" w:cs="Times New Roman" w:hint="default"/>
        <w:sz w:val="22"/>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2" w15:restartNumberingAfterBreak="0">
    <w:nsid w:val="56FA6F1C"/>
    <w:multiLevelType w:val="hybridMultilevel"/>
    <w:tmpl w:val="B48E3568"/>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758100B"/>
    <w:multiLevelType w:val="hybridMultilevel"/>
    <w:tmpl w:val="2D74326C"/>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7ED755F"/>
    <w:multiLevelType w:val="hybridMultilevel"/>
    <w:tmpl w:val="8B8E680C"/>
    <w:lvl w:ilvl="0" w:tplc="D882AC22">
      <w:start w:val="300"/>
      <w:numFmt w:val="bullet"/>
      <w:lvlText w:val="-"/>
      <w:lvlJc w:val="left"/>
      <w:pPr>
        <w:ind w:left="720" w:hanging="360"/>
      </w:pPr>
      <w:rPr>
        <w:rFonts w:ascii="Times New Roman" w:eastAsiaTheme="minorHAnsi" w:hAnsi="Times New Roman" w:cs="Times New Roman" w:hint="default"/>
      </w:rPr>
    </w:lvl>
    <w:lvl w:ilvl="1" w:tplc="EDAEBDD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8C3067B"/>
    <w:multiLevelType w:val="hybridMultilevel"/>
    <w:tmpl w:val="63260CA6"/>
    <w:lvl w:ilvl="0" w:tplc="071E744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76" w15:restartNumberingAfterBreak="0">
    <w:nsid w:val="59EF74D5"/>
    <w:multiLevelType w:val="hybridMultilevel"/>
    <w:tmpl w:val="DE62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A9F5B21"/>
    <w:multiLevelType w:val="hybridMultilevel"/>
    <w:tmpl w:val="E860699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9" w15:restartNumberingAfterBreak="0">
    <w:nsid w:val="5B935A66"/>
    <w:multiLevelType w:val="hybridMultilevel"/>
    <w:tmpl w:val="96BC36F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1" w15:restartNumberingAfterBreak="0">
    <w:nsid w:val="5C1020B7"/>
    <w:multiLevelType w:val="hybridMultilevel"/>
    <w:tmpl w:val="6AACAEE8"/>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C277E2B"/>
    <w:multiLevelType w:val="hybridMultilevel"/>
    <w:tmpl w:val="FA8A0D56"/>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C364D20"/>
    <w:multiLevelType w:val="hybridMultilevel"/>
    <w:tmpl w:val="37AAE5DA"/>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684C71"/>
    <w:multiLevelType w:val="hybridMultilevel"/>
    <w:tmpl w:val="94BEE0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6" w15:restartNumberingAfterBreak="0">
    <w:nsid w:val="5FB55EE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87" w15:restartNumberingAfterBreak="0">
    <w:nsid w:val="5FC14919"/>
    <w:multiLevelType w:val="hybridMultilevel"/>
    <w:tmpl w:val="CBC6F868"/>
    <w:lvl w:ilvl="0" w:tplc="F4E0D21A">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0294CC6"/>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9" w15:restartNumberingAfterBreak="0">
    <w:nsid w:val="60A2739D"/>
    <w:multiLevelType w:val="hybridMultilevel"/>
    <w:tmpl w:val="43BE1CC4"/>
    <w:lvl w:ilvl="0" w:tplc="D882AC22">
      <w:start w:val="300"/>
      <w:numFmt w:val="bullet"/>
      <w:lvlText w:val="-"/>
      <w:lvlJc w:val="left"/>
      <w:pPr>
        <w:ind w:left="1210" w:hanging="360"/>
      </w:pPr>
      <w:rPr>
        <w:rFonts w:ascii="Times New Roman" w:eastAsiaTheme="minorHAnsi"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90" w15:restartNumberingAfterBreak="0">
    <w:nsid w:val="61746503"/>
    <w:multiLevelType w:val="hybridMultilevel"/>
    <w:tmpl w:val="CB340E60"/>
    <w:lvl w:ilvl="0" w:tplc="8F3A109C">
      <w:start w:val="13"/>
      <w:numFmt w:val="bullet"/>
      <w:lvlText w:val="-"/>
      <w:lvlJc w:val="left"/>
      <w:pPr>
        <w:ind w:left="1996" w:hanging="360"/>
      </w:pPr>
      <w:rPr>
        <w:rFonts w:ascii="Calibri" w:eastAsiaTheme="minorHAnsi" w:hAnsi="Calibri" w:cs="Calibri" w:hint="default"/>
        <w:sz w:val="16"/>
      </w:rPr>
    </w:lvl>
    <w:lvl w:ilvl="1" w:tplc="18090003">
      <w:start w:val="1"/>
      <w:numFmt w:val="bullet"/>
      <w:lvlText w:val="o"/>
      <w:lvlJc w:val="left"/>
      <w:pPr>
        <w:ind w:left="2716" w:hanging="360"/>
      </w:pPr>
      <w:rPr>
        <w:rFonts w:ascii="Courier New" w:hAnsi="Courier New" w:cs="Courier New" w:hint="default"/>
      </w:rPr>
    </w:lvl>
    <w:lvl w:ilvl="2" w:tplc="18090005">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91" w15:restartNumberingAfterBreak="0">
    <w:nsid w:val="61AE1EA1"/>
    <w:multiLevelType w:val="hybridMultilevel"/>
    <w:tmpl w:val="9EE08A40"/>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3BE4ABD"/>
    <w:multiLevelType w:val="multilevel"/>
    <w:tmpl w:val="0C5C9640"/>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64561187"/>
    <w:multiLevelType w:val="multilevel"/>
    <w:tmpl w:val="3392EF0C"/>
    <w:lvl w:ilvl="0">
      <w:start w:val="1"/>
      <w:numFmt w:val="decimal"/>
      <w:lvlText w:val="%1"/>
      <w:lvlJc w:val="left"/>
      <w:pPr>
        <w:ind w:left="360" w:hanging="360"/>
      </w:pPr>
      <w:rPr>
        <w:rFonts w:hint="default"/>
        <w:i/>
      </w:rPr>
    </w:lvl>
    <w:lvl w:ilvl="1">
      <w:start w:val="1"/>
      <w:numFmt w:val="decimal"/>
      <w:lvlText w:val="%1.%2"/>
      <w:lvlJc w:val="left"/>
      <w:pPr>
        <w:ind w:left="1800" w:hanging="36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3320" w:hanging="1800"/>
      </w:pPr>
      <w:rPr>
        <w:rFonts w:hint="default"/>
        <w:i/>
      </w:rPr>
    </w:lvl>
  </w:abstractNum>
  <w:abstractNum w:abstractNumId="194" w15:restartNumberingAfterBreak="0">
    <w:nsid w:val="64A12FA4"/>
    <w:multiLevelType w:val="multilevel"/>
    <w:tmpl w:val="5D085882"/>
    <w:name w:val="Heading"/>
    <w:lvl w:ilvl="0">
      <w:start w:val="1"/>
      <w:numFmt w:val="decimal"/>
      <w:lvlRestart w:val="0"/>
      <w:pStyle w:val="Heading1"/>
      <w:lvlText w:val="%1."/>
      <w:lvlJc w:val="left"/>
      <w:pPr>
        <w:tabs>
          <w:tab w:val="num" w:pos="850"/>
        </w:tabs>
        <w:ind w:left="850" w:hanging="850"/>
      </w:pPr>
      <w:rPr>
        <w:b/>
        <w:bCs w:val="0"/>
      </w:r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1417"/>
        </w:tabs>
        <w:ind w:left="1417"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64B136AB"/>
    <w:multiLevelType w:val="hybridMultilevel"/>
    <w:tmpl w:val="FF0E4066"/>
    <w:lvl w:ilvl="0" w:tplc="D882AC22">
      <w:start w:val="30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5070D6C"/>
    <w:multiLevelType w:val="hybridMultilevel"/>
    <w:tmpl w:val="FFFFFFFF"/>
    <w:lvl w:ilvl="0" w:tplc="2D9062C0">
      <w:start w:val="1"/>
      <w:numFmt w:val="bullet"/>
      <w:lvlText w:val=""/>
      <w:lvlJc w:val="left"/>
      <w:pPr>
        <w:ind w:left="720" w:hanging="360"/>
      </w:pPr>
      <w:rPr>
        <w:rFonts w:ascii="Symbol" w:hAnsi="Symbol" w:hint="default"/>
      </w:rPr>
    </w:lvl>
    <w:lvl w:ilvl="1" w:tplc="E834C4FA">
      <w:start w:val="1"/>
      <w:numFmt w:val="bullet"/>
      <w:lvlText w:val="o"/>
      <w:lvlJc w:val="left"/>
      <w:pPr>
        <w:ind w:left="1440" w:hanging="360"/>
      </w:pPr>
      <w:rPr>
        <w:rFonts w:ascii="Courier New" w:hAnsi="Courier New" w:hint="default"/>
      </w:rPr>
    </w:lvl>
    <w:lvl w:ilvl="2" w:tplc="3F703D2C">
      <w:start w:val="1"/>
      <w:numFmt w:val="bullet"/>
      <w:lvlText w:val=""/>
      <w:lvlJc w:val="left"/>
      <w:pPr>
        <w:ind w:left="2160" w:hanging="360"/>
      </w:pPr>
      <w:rPr>
        <w:rFonts w:ascii="Wingdings" w:hAnsi="Wingdings" w:hint="default"/>
      </w:rPr>
    </w:lvl>
    <w:lvl w:ilvl="3" w:tplc="545A7D92">
      <w:start w:val="1"/>
      <w:numFmt w:val="bullet"/>
      <w:lvlText w:val=""/>
      <w:lvlJc w:val="left"/>
      <w:pPr>
        <w:ind w:left="2880" w:hanging="360"/>
      </w:pPr>
      <w:rPr>
        <w:rFonts w:ascii="Symbol" w:hAnsi="Symbol" w:hint="default"/>
      </w:rPr>
    </w:lvl>
    <w:lvl w:ilvl="4" w:tplc="AD4CBA16">
      <w:start w:val="1"/>
      <w:numFmt w:val="bullet"/>
      <w:lvlText w:val="o"/>
      <w:lvlJc w:val="left"/>
      <w:pPr>
        <w:ind w:left="3600" w:hanging="360"/>
      </w:pPr>
      <w:rPr>
        <w:rFonts w:ascii="Courier New" w:hAnsi="Courier New" w:hint="default"/>
      </w:rPr>
    </w:lvl>
    <w:lvl w:ilvl="5" w:tplc="6122DCE2">
      <w:start w:val="1"/>
      <w:numFmt w:val="bullet"/>
      <w:lvlText w:val=""/>
      <w:lvlJc w:val="left"/>
      <w:pPr>
        <w:ind w:left="4320" w:hanging="360"/>
      </w:pPr>
      <w:rPr>
        <w:rFonts w:ascii="Wingdings" w:hAnsi="Wingdings" w:hint="default"/>
      </w:rPr>
    </w:lvl>
    <w:lvl w:ilvl="6" w:tplc="85C68DDA">
      <w:start w:val="1"/>
      <w:numFmt w:val="bullet"/>
      <w:lvlText w:val=""/>
      <w:lvlJc w:val="left"/>
      <w:pPr>
        <w:ind w:left="5040" w:hanging="360"/>
      </w:pPr>
      <w:rPr>
        <w:rFonts w:ascii="Symbol" w:hAnsi="Symbol" w:hint="default"/>
      </w:rPr>
    </w:lvl>
    <w:lvl w:ilvl="7" w:tplc="6556EF1A">
      <w:start w:val="1"/>
      <w:numFmt w:val="bullet"/>
      <w:lvlText w:val="o"/>
      <w:lvlJc w:val="left"/>
      <w:pPr>
        <w:ind w:left="5760" w:hanging="360"/>
      </w:pPr>
      <w:rPr>
        <w:rFonts w:ascii="Courier New" w:hAnsi="Courier New" w:hint="default"/>
      </w:rPr>
    </w:lvl>
    <w:lvl w:ilvl="8" w:tplc="5FC478CE">
      <w:start w:val="1"/>
      <w:numFmt w:val="bullet"/>
      <w:lvlText w:val=""/>
      <w:lvlJc w:val="left"/>
      <w:pPr>
        <w:ind w:left="6480" w:hanging="360"/>
      </w:pPr>
      <w:rPr>
        <w:rFonts w:ascii="Wingdings" w:hAnsi="Wingdings" w:hint="default"/>
      </w:rPr>
    </w:lvl>
  </w:abstractNum>
  <w:abstractNum w:abstractNumId="197" w15:restartNumberingAfterBreak="0">
    <w:nsid w:val="656642AA"/>
    <w:multiLevelType w:val="hybridMultilevel"/>
    <w:tmpl w:val="519C1E6A"/>
    <w:lvl w:ilvl="0" w:tplc="5D3A17C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6226580"/>
    <w:multiLevelType w:val="hybridMultilevel"/>
    <w:tmpl w:val="5488752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6681258E"/>
    <w:multiLevelType w:val="hybridMultilevel"/>
    <w:tmpl w:val="78F838EE"/>
    <w:lvl w:ilvl="0" w:tplc="A33EFFAE">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0" w15:restartNumberingAfterBreak="0">
    <w:nsid w:val="677252DE"/>
    <w:multiLevelType w:val="hybridMultilevel"/>
    <w:tmpl w:val="A5CE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2" w15:restartNumberingAfterBreak="0">
    <w:nsid w:val="67BD7B2A"/>
    <w:multiLevelType w:val="hybridMultilevel"/>
    <w:tmpl w:val="78B2E34A"/>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8072C4E"/>
    <w:multiLevelType w:val="hybridMultilevel"/>
    <w:tmpl w:val="AF887D7C"/>
    <w:lvl w:ilvl="0" w:tplc="9F62E47A">
      <w:start w:val="1"/>
      <w:numFmt w:val="bullet"/>
      <w:lvlText w:val=""/>
      <w:lvlJc w:val="left"/>
      <w:pPr>
        <w:ind w:left="720" w:hanging="360"/>
      </w:pPr>
      <w:rPr>
        <w:rFonts w:ascii="Symbol" w:hAnsi="Symbol"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04" w15:restartNumberingAfterBreak="0">
    <w:nsid w:val="69024FF5"/>
    <w:multiLevelType w:val="hybridMultilevel"/>
    <w:tmpl w:val="48042B8C"/>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A3E1952"/>
    <w:multiLevelType w:val="hybridMultilevel"/>
    <w:tmpl w:val="492C974E"/>
    <w:lvl w:ilvl="0" w:tplc="BA807564">
      <w:start w:val="289"/>
      <w:numFmt w:val="bullet"/>
      <w:lvlText w:val="-"/>
      <w:lvlJc w:val="left"/>
      <w:pPr>
        <w:ind w:left="720" w:hanging="360"/>
      </w:pPr>
      <w:rPr>
        <w:rFonts w:ascii="Calibri" w:eastAsiaTheme="minorHAns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6AF63E32"/>
    <w:multiLevelType w:val="hybridMultilevel"/>
    <w:tmpl w:val="79D2FC32"/>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6B684603"/>
    <w:multiLevelType w:val="hybridMultilevel"/>
    <w:tmpl w:val="2B6E8380"/>
    <w:lvl w:ilvl="0" w:tplc="FA1EEB40">
      <w:start w:val="6"/>
      <w:numFmt w:val="decimal"/>
      <w:lvlText w:val="%1)"/>
      <w:lvlJc w:val="left"/>
      <w:pPr>
        <w:ind w:left="360" w:hanging="360"/>
      </w:pPr>
      <w:rPr>
        <w:rFonts w:ascii="Times New Roman" w:eastAsiaTheme="minorEastAsia" w:hAnsi="Times New Roman" w:cstheme="minorBidi" w:hint="default"/>
        <w:sz w:val="16"/>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8" w15:restartNumberingAfterBreak="0">
    <w:nsid w:val="6CA120C7"/>
    <w:multiLevelType w:val="hybridMultilevel"/>
    <w:tmpl w:val="4E66F154"/>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E9C36C9"/>
    <w:multiLevelType w:val="hybridMultilevel"/>
    <w:tmpl w:val="EEEED190"/>
    <w:lvl w:ilvl="0" w:tplc="D882AC22">
      <w:start w:val="3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F06A276"/>
    <w:multiLevelType w:val="hybridMultilevel"/>
    <w:tmpl w:val="FA94C94E"/>
    <w:lvl w:ilvl="0" w:tplc="450EA26E">
      <w:start w:val="3"/>
      <w:numFmt w:val="lowerLetter"/>
      <w:lvlText w:val="%1."/>
      <w:lvlJc w:val="left"/>
      <w:pPr>
        <w:ind w:left="720" w:hanging="360"/>
      </w:pPr>
    </w:lvl>
    <w:lvl w:ilvl="1" w:tplc="D744FB24">
      <w:start w:val="1"/>
      <w:numFmt w:val="lowerLetter"/>
      <w:lvlText w:val="%2."/>
      <w:lvlJc w:val="left"/>
      <w:pPr>
        <w:ind w:left="1440" w:hanging="360"/>
      </w:pPr>
    </w:lvl>
    <w:lvl w:ilvl="2" w:tplc="5FF4918A">
      <w:start w:val="1"/>
      <w:numFmt w:val="lowerRoman"/>
      <w:lvlText w:val="%3."/>
      <w:lvlJc w:val="right"/>
      <w:pPr>
        <w:ind w:left="2160" w:hanging="180"/>
      </w:pPr>
    </w:lvl>
    <w:lvl w:ilvl="3" w:tplc="D97ACD72">
      <w:start w:val="1"/>
      <w:numFmt w:val="decimal"/>
      <w:lvlText w:val="%4."/>
      <w:lvlJc w:val="left"/>
      <w:pPr>
        <w:ind w:left="2880" w:hanging="360"/>
      </w:pPr>
    </w:lvl>
    <w:lvl w:ilvl="4" w:tplc="4804245E">
      <w:start w:val="1"/>
      <w:numFmt w:val="lowerLetter"/>
      <w:lvlText w:val="%5."/>
      <w:lvlJc w:val="left"/>
      <w:pPr>
        <w:ind w:left="3600" w:hanging="360"/>
      </w:pPr>
    </w:lvl>
    <w:lvl w:ilvl="5" w:tplc="7F0EBDCE">
      <w:start w:val="1"/>
      <w:numFmt w:val="lowerRoman"/>
      <w:lvlText w:val="%6."/>
      <w:lvlJc w:val="right"/>
      <w:pPr>
        <w:ind w:left="4320" w:hanging="180"/>
      </w:pPr>
    </w:lvl>
    <w:lvl w:ilvl="6" w:tplc="FC3E7A24">
      <w:start w:val="1"/>
      <w:numFmt w:val="decimal"/>
      <w:lvlText w:val="%7."/>
      <w:lvlJc w:val="left"/>
      <w:pPr>
        <w:ind w:left="5040" w:hanging="360"/>
      </w:pPr>
    </w:lvl>
    <w:lvl w:ilvl="7" w:tplc="1A2EB11C">
      <w:start w:val="1"/>
      <w:numFmt w:val="lowerLetter"/>
      <w:lvlText w:val="%8."/>
      <w:lvlJc w:val="left"/>
      <w:pPr>
        <w:ind w:left="5760" w:hanging="360"/>
      </w:pPr>
    </w:lvl>
    <w:lvl w:ilvl="8" w:tplc="06D8E372">
      <w:start w:val="1"/>
      <w:numFmt w:val="lowerRoman"/>
      <w:lvlText w:val="%9."/>
      <w:lvlJc w:val="right"/>
      <w:pPr>
        <w:ind w:left="6480" w:hanging="180"/>
      </w:pPr>
    </w:lvl>
  </w:abstractNum>
  <w:abstractNum w:abstractNumId="211" w15:restartNumberingAfterBreak="0">
    <w:nsid w:val="7219F2C3"/>
    <w:multiLevelType w:val="hybridMultilevel"/>
    <w:tmpl w:val="FFFFFFFF"/>
    <w:lvl w:ilvl="0" w:tplc="3550BC1E">
      <w:start w:val="1"/>
      <w:numFmt w:val="bullet"/>
      <w:lvlText w:val=""/>
      <w:lvlJc w:val="left"/>
      <w:pPr>
        <w:ind w:left="720" w:hanging="360"/>
      </w:pPr>
      <w:rPr>
        <w:rFonts w:ascii="Symbol" w:hAnsi="Symbol" w:hint="default"/>
      </w:rPr>
    </w:lvl>
    <w:lvl w:ilvl="1" w:tplc="56EC2924">
      <w:start w:val="1"/>
      <w:numFmt w:val="bullet"/>
      <w:lvlText w:val="o"/>
      <w:lvlJc w:val="left"/>
      <w:pPr>
        <w:ind w:left="1440" w:hanging="360"/>
      </w:pPr>
      <w:rPr>
        <w:rFonts w:ascii="Courier New" w:hAnsi="Courier New" w:hint="default"/>
      </w:rPr>
    </w:lvl>
    <w:lvl w:ilvl="2" w:tplc="D8943BE2">
      <w:start w:val="1"/>
      <w:numFmt w:val="bullet"/>
      <w:lvlText w:val=""/>
      <w:lvlJc w:val="left"/>
      <w:pPr>
        <w:ind w:left="2160" w:hanging="360"/>
      </w:pPr>
      <w:rPr>
        <w:rFonts w:ascii="Wingdings" w:hAnsi="Wingdings" w:hint="default"/>
      </w:rPr>
    </w:lvl>
    <w:lvl w:ilvl="3" w:tplc="AE9C4210">
      <w:start w:val="1"/>
      <w:numFmt w:val="bullet"/>
      <w:lvlText w:val=""/>
      <w:lvlJc w:val="left"/>
      <w:pPr>
        <w:ind w:left="2880" w:hanging="360"/>
      </w:pPr>
      <w:rPr>
        <w:rFonts w:ascii="Symbol" w:hAnsi="Symbol" w:hint="default"/>
      </w:rPr>
    </w:lvl>
    <w:lvl w:ilvl="4" w:tplc="D6B09A14">
      <w:start w:val="1"/>
      <w:numFmt w:val="bullet"/>
      <w:lvlText w:val="o"/>
      <w:lvlJc w:val="left"/>
      <w:pPr>
        <w:ind w:left="3600" w:hanging="360"/>
      </w:pPr>
      <w:rPr>
        <w:rFonts w:ascii="Courier New" w:hAnsi="Courier New" w:hint="default"/>
      </w:rPr>
    </w:lvl>
    <w:lvl w:ilvl="5" w:tplc="78B0833A">
      <w:start w:val="1"/>
      <w:numFmt w:val="bullet"/>
      <w:lvlText w:val=""/>
      <w:lvlJc w:val="left"/>
      <w:pPr>
        <w:ind w:left="4320" w:hanging="360"/>
      </w:pPr>
      <w:rPr>
        <w:rFonts w:ascii="Wingdings" w:hAnsi="Wingdings" w:hint="default"/>
      </w:rPr>
    </w:lvl>
    <w:lvl w:ilvl="6" w:tplc="BC6644C0">
      <w:start w:val="1"/>
      <w:numFmt w:val="bullet"/>
      <w:lvlText w:val=""/>
      <w:lvlJc w:val="left"/>
      <w:pPr>
        <w:ind w:left="5040" w:hanging="360"/>
      </w:pPr>
      <w:rPr>
        <w:rFonts w:ascii="Symbol" w:hAnsi="Symbol" w:hint="default"/>
      </w:rPr>
    </w:lvl>
    <w:lvl w:ilvl="7" w:tplc="024ED958">
      <w:start w:val="1"/>
      <w:numFmt w:val="bullet"/>
      <w:lvlText w:val="o"/>
      <w:lvlJc w:val="left"/>
      <w:pPr>
        <w:ind w:left="5760" w:hanging="360"/>
      </w:pPr>
      <w:rPr>
        <w:rFonts w:ascii="Courier New" w:hAnsi="Courier New" w:hint="default"/>
      </w:rPr>
    </w:lvl>
    <w:lvl w:ilvl="8" w:tplc="BBCC3906">
      <w:start w:val="1"/>
      <w:numFmt w:val="bullet"/>
      <w:lvlText w:val=""/>
      <w:lvlJc w:val="left"/>
      <w:pPr>
        <w:ind w:left="6480" w:hanging="360"/>
      </w:pPr>
      <w:rPr>
        <w:rFonts w:ascii="Wingdings" w:hAnsi="Wingdings" w:hint="default"/>
      </w:rPr>
    </w:lvl>
  </w:abstractNum>
  <w:abstractNum w:abstractNumId="212" w15:restartNumberingAfterBreak="0">
    <w:nsid w:val="72AA2C94"/>
    <w:multiLevelType w:val="multilevel"/>
    <w:tmpl w:val="E9363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3" w15:restartNumberingAfterBreak="0">
    <w:nsid w:val="72B1525F"/>
    <w:multiLevelType w:val="hybridMultilevel"/>
    <w:tmpl w:val="D3D8C5EA"/>
    <w:lvl w:ilvl="0" w:tplc="5D3A17C2">
      <w:start w:val="3"/>
      <w:numFmt w:val="bullet"/>
      <w:lvlText w:val="-"/>
      <w:lvlJc w:val="left"/>
      <w:pPr>
        <w:ind w:left="360" w:hanging="360"/>
      </w:pPr>
      <w:rPr>
        <w:rFonts w:ascii="Calibri" w:eastAsiaTheme="minorHAnsi" w:hAnsi="Calibri" w:cs="Calibri"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72FF6569"/>
    <w:multiLevelType w:val="hybridMultilevel"/>
    <w:tmpl w:val="7E68EAA2"/>
    <w:lvl w:ilvl="0" w:tplc="8F3A109C">
      <w:start w:val="13"/>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4023C4F"/>
    <w:multiLevelType w:val="hybridMultilevel"/>
    <w:tmpl w:val="CA3E65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4C62FFB"/>
    <w:multiLevelType w:val="hybridMultilevel"/>
    <w:tmpl w:val="91086C7A"/>
    <w:lvl w:ilvl="0" w:tplc="0A6875FA">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7" w15:restartNumberingAfterBreak="0">
    <w:nsid w:val="756C025F"/>
    <w:multiLevelType w:val="hybridMultilevel"/>
    <w:tmpl w:val="65FC08B6"/>
    <w:lvl w:ilvl="0" w:tplc="0809001B">
      <w:start w:val="1"/>
      <w:numFmt w:val="lowerRoman"/>
      <w:lvlText w:val="%1."/>
      <w:lvlJc w:val="right"/>
      <w:pPr>
        <w:ind w:left="5351" w:hanging="360"/>
      </w:pPr>
    </w:lvl>
    <w:lvl w:ilvl="1" w:tplc="08090019" w:tentative="1">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218" w15:restartNumberingAfterBreak="0">
    <w:nsid w:val="75784D81"/>
    <w:multiLevelType w:val="hybridMultilevel"/>
    <w:tmpl w:val="3E9C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9" w15:restartNumberingAfterBreak="0">
    <w:nsid w:val="761A19DD"/>
    <w:multiLevelType w:val="hybridMultilevel"/>
    <w:tmpl w:val="B4E8BF7C"/>
    <w:lvl w:ilvl="0" w:tplc="8F3A109C">
      <w:start w:val="13"/>
      <w:numFmt w:val="bullet"/>
      <w:lvlText w:val="-"/>
      <w:lvlJc w:val="left"/>
      <w:pPr>
        <w:ind w:left="1570" w:hanging="360"/>
      </w:pPr>
      <w:rPr>
        <w:rFonts w:ascii="Calibri" w:eastAsiaTheme="minorHAnsi" w:hAnsi="Calibri" w:cs="Calibri" w:hint="default"/>
        <w:sz w:val="16"/>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20" w15:restartNumberingAfterBreak="0">
    <w:nsid w:val="778F7E2A"/>
    <w:multiLevelType w:val="hybridMultilevel"/>
    <w:tmpl w:val="D062C9FC"/>
    <w:lvl w:ilvl="0" w:tplc="312A5F28">
      <w:start w:val="1"/>
      <w:numFmt w:val="bullet"/>
      <w:lvlText w:val="-"/>
      <w:lvlJc w:val="left"/>
      <w:pPr>
        <w:ind w:left="2160" w:hanging="360"/>
      </w:pPr>
      <w:rPr>
        <w:rFonts w:ascii="Calibri" w:eastAsiaTheme="minorHAnsi" w:hAnsi="Calibri" w:cs="Calibri" w:hint="default"/>
        <w:color w:val="7030A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1" w15:restartNumberingAfterBreak="0">
    <w:nsid w:val="784E0AC6"/>
    <w:multiLevelType w:val="multilevel"/>
    <w:tmpl w:val="DF648038"/>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7A170AF9"/>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ACA593F"/>
    <w:multiLevelType w:val="hybridMultilevel"/>
    <w:tmpl w:val="54AE0644"/>
    <w:lvl w:ilvl="0" w:tplc="7612FEA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4" w15:restartNumberingAfterBreak="0">
    <w:nsid w:val="7B44282A"/>
    <w:multiLevelType w:val="hybridMultilevel"/>
    <w:tmpl w:val="783AD546"/>
    <w:lvl w:ilvl="0" w:tplc="F15625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B467FDB"/>
    <w:multiLevelType w:val="hybridMultilevel"/>
    <w:tmpl w:val="B3B4A660"/>
    <w:lvl w:ilvl="0" w:tplc="BA807564">
      <w:start w:val="289"/>
      <w:numFmt w:val="bullet"/>
      <w:lvlText w:val="-"/>
      <w:lvlJc w:val="left"/>
      <w:pPr>
        <w:ind w:left="720" w:hanging="360"/>
      </w:pPr>
      <w:rPr>
        <w:rFonts w:ascii="Calibri" w:eastAsiaTheme="minorHAnsi" w:hAnsi="Calibri" w:cs="Calibri"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B497586"/>
    <w:multiLevelType w:val="hybridMultilevel"/>
    <w:tmpl w:val="B1A0F714"/>
    <w:lvl w:ilvl="0" w:tplc="8F3A109C">
      <w:start w:val="13"/>
      <w:numFmt w:val="bullet"/>
      <w:lvlText w:val="-"/>
      <w:lvlJc w:val="left"/>
      <w:pPr>
        <w:ind w:left="720" w:hanging="360"/>
      </w:pPr>
      <w:rPr>
        <w:rFonts w:ascii="Calibri" w:eastAsiaTheme="minorHAnsi" w:hAnsi="Calibri" w:cs="Calibri" w:hint="default"/>
        <w:sz w:val="16"/>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27" w15:restartNumberingAfterBreak="0">
    <w:nsid w:val="7B6F2FAD"/>
    <w:multiLevelType w:val="hybridMultilevel"/>
    <w:tmpl w:val="5F42B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7B76B7BF"/>
    <w:multiLevelType w:val="hybridMultilevel"/>
    <w:tmpl w:val="C6DEE678"/>
    <w:lvl w:ilvl="0" w:tplc="229074BE">
      <w:start w:val="1"/>
      <w:numFmt w:val="bullet"/>
      <w:lvlText w:val="-"/>
      <w:lvlJc w:val="left"/>
      <w:pPr>
        <w:ind w:left="720" w:hanging="360"/>
      </w:pPr>
      <w:rPr>
        <w:rFonts w:ascii="&quot;Calibri&quot;,sans-serif" w:hAnsi="&quot;Calibri&quot;,sans-serif" w:hint="default"/>
      </w:rPr>
    </w:lvl>
    <w:lvl w:ilvl="1" w:tplc="13365A1A">
      <w:start w:val="1"/>
      <w:numFmt w:val="bullet"/>
      <w:lvlText w:val="o"/>
      <w:lvlJc w:val="left"/>
      <w:pPr>
        <w:ind w:left="1440" w:hanging="360"/>
      </w:pPr>
      <w:rPr>
        <w:rFonts w:ascii="Courier New" w:hAnsi="Courier New" w:hint="default"/>
      </w:rPr>
    </w:lvl>
    <w:lvl w:ilvl="2" w:tplc="1EA87B0C">
      <w:start w:val="1"/>
      <w:numFmt w:val="bullet"/>
      <w:lvlText w:val=""/>
      <w:lvlJc w:val="left"/>
      <w:pPr>
        <w:ind w:left="2160" w:hanging="360"/>
      </w:pPr>
      <w:rPr>
        <w:rFonts w:ascii="Wingdings" w:hAnsi="Wingdings" w:hint="default"/>
      </w:rPr>
    </w:lvl>
    <w:lvl w:ilvl="3" w:tplc="DE1212FE">
      <w:start w:val="1"/>
      <w:numFmt w:val="bullet"/>
      <w:lvlText w:val=""/>
      <w:lvlJc w:val="left"/>
      <w:pPr>
        <w:ind w:left="2880" w:hanging="360"/>
      </w:pPr>
      <w:rPr>
        <w:rFonts w:ascii="Symbol" w:hAnsi="Symbol" w:hint="default"/>
      </w:rPr>
    </w:lvl>
    <w:lvl w:ilvl="4" w:tplc="E97A8062">
      <w:start w:val="1"/>
      <w:numFmt w:val="bullet"/>
      <w:lvlText w:val="o"/>
      <w:lvlJc w:val="left"/>
      <w:pPr>
        <w:ind w:left="3600" w:hanging="360"/>
      </w:pPr>
      <w:rPr>
        <w:rFonts w:ascii="Courier New" w:hAnsi="Courier New" w:hint="default"/>
      </w:rPr>
    </w:lvl>
    <w:lvl w:ilvl="5" w:tplc="97761FE0">
      <w:start w:val="1"/>
      <w:numFmt w:val="bullet"/>
      <w:lvlText w:val=""/>
      <w:lvlJc w:val="left"/>
      <w:pPr>
        <w:ind w:left="4320" w:hanging="360"/>
      </w:pPr>
      <w:rPr>
        <w:rFonts w:ascii="Wingdings" w:hAnsi="Wingdings" w:hint="default"/>
      </w:rPr>
    </w:lvl>
    <w:lvl w:ilvl="6" w:tplc="5E30B6AC">
      <w:start w:val="1"/>
      <w:numFmt w:val="bullet"/>
      <w:lvlText w:val=""/>
      <w:lvlJc w:val="left"/>
      <w:pPr>
        <w:ind w:left="5040" w:hanging="360"/>
      </w:pPr>
      <w:rPr>
        <w:rFonts w:ascii="Symbol" w:hAnsi="Symbol" w:hint="default"/>
      </w:rPr>
    </w:lvl>
    <w:lvl w:ilvl="7" w:tplc="5F744738">
      <w:start w:val="1"/>
      <w:numFmt w:val="bullet"/>
      <w:lvlText w:val="o"/>
      <w:lvlJc w:val="left"/>
      <w:pPr>
        <w:ind w:left="5760" w:hanging="360"/>
      </w:pPr>
      <w:rPr>
        <w:rFonts w:ascii="Courier New" w:hAnsi="Courier New" w:hint="default"/>
      </w:rPr>
    </w:lvl>
    <w:lvl w:ilvl="8" w:tplc="B03A1E5C">
      <w:start w:val="1"/>
      <w:numFmt w:val="bullet"/>
      <w:lvlText w:val=""/>
      <w:lvlJc w:val="left"/>
      <w:pPr>
        <w:ind w:left="6480" w:hanging="360"/>
      </w:pPr>
      <w:rPr>
        <w:rFonts w:ascii="Wingdings" w:hAnsi="Wingdings" w:hint="default"/>
      </w:rPr>
    </w:lvl>
  </w:abstractNum>
  <w:abstractNum w:abstractNumId="229" w15:restartNumberingAfterBreak="0">
    <w:nsid w:val="7C2435D5"/>
    <w:multiLevelType w:val="hybridMultilevel"/>
    <w:tmpl w:val="F3408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CBD3E72"/>
    <w:multiLevelType w:val="hybridMultilevel"/>
    <w:tmpl w:val="3D2AD55E"/>
    <w:lvl w:ilvl="0" w:tplc="39AC0976">
      <w:start w:val="4"/>
      <w:numFmt w:val="bullet"/>
      <w:lvlText w:val="-"/>
      <w:lvlJc w:val="left"/>
      <w:pPr>
        <w:ind w:left="1200" w:hanging="360"/>
      </w:pPr>
      <w:rPr>
        <w:rFonts w:ascii="Times New Roman" w:eastAsia="Times New Roman" w:hAnsi="Times New Roman" w:cs="Times New Roman"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2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32" w15:restartNumberingAfterBreak="0">
    <w:nsid w:val="7D847C70"/>
    <w:multiLevelType w:val="hybridMultilevel"/>
    <w:tmpl w:val="32C4DBF6"/>
    <w:lvl w:ilvl="0" w:tplc="D882AC22">
      <w:start w:val="300"/>
      <w:numFmt w:val="bullet"/>
      <w:lvlText w:val="-"/>
      <w:lvlJc w:val="left"/>
      <w:pPr>
        <w:ind w:left="720" w:hanging="360"/>
      </w:pPr>
      <w:rPr>
        <w:rFonts w:ascii="Times New Roman" w:eastAsiaTheme="minorHAnsi" w:hAnsi="Times New Roman" w:cs="Times New Roman"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233" w15:restartNumberingAfterBreak="0">
    <w:nsid w:val="7DF4564F"/>
    <w:multiLevelType w:val="hybridMultilevel"/>
    <w:tmpl w:val="DF682C34"/>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7E770119"/>
    <w:multiLevelType w:val="hybridMultilevel"/>
    <w:tmpl w:val="9E64CBA2"/>
    <w:lvl w:ilvl="0" w:tplc="080C0001">
      <w:start w:val="1"/>
      <w:numFmt w:val="bullet"/>
      <w:lvlText w:val=""/>
      <w:lvlJc w:val="left"/>
      <w:pPr>
        <w:ind w:left="1690" w:hanging="360"/>
      </w:pPr>
      <w:rPr>
        <w:rFonts w:ascii="Symbol" w:hAnsi="Symbol" w:hint="default"/>
      </w:rPr>
    </w:lvl>
    <w:lvl w:ilvl="1" w:tplc="080C0003" w:tentative="1">
      <w:start w:val="1"/>
      <w:numFmt w:val="bullet"/>
      <w:lvlText w:val="o"/>
      <w:lvlJc w:val="left"/>
      <w:pPr>
        <w:ind w:left="2410" w:hanging="360"/>
      </w:pPr>
      <w:rPr>
        <w:rFonts w:ascii="Courier New" w:hAnsi="Courier New" w:cs="Courier New" w:hint="default"/>
      </w:rPr>
    </w:lvl>
    <w:lvl w:ilvl="2" w:tplc="080C0005" w:tentative="1">
      <w:start w:val="1"/>
      <w:numFmt w:val="bullet"/>
      <w:lvlText w:val=""/>
      <w:lvlJc w:val="left"/>
      <w:pPr>
        <w:ind w:left="3130" w:hanging="360"/>
      </w:pPr>
      <w:rPr>
        <w:rFonts w:ascii="Wingdings" w:hAnsi="Wingdings" w:hint="default"/>
      </w:rPr>
    </w:lvl>
    <w:lvl w:ilvl="3" w:tplc="080C0001" w:tentative="1">
      <w:start w:val="1"/>
      <w:numFmt w:val="bullet"/>
      <w:lvlText w:val=""/>
      <w:lvlJc w:val="left"/>
      <w:pPr>
        <w:ind w:left="3850" w:hanging="360"/>
      </w:pPr>
      <w:rPr>
        <w:rFonts w:ascii="Symbol" w:hAnsi="Symbol" w:hint="default"/>
      </w:rPr>
    </w:lvl>
    <w:lvl w:ilvl="4" w:tplc="080C0003" w:tentative="1">
      <w:start w:val="1"/>
      <w:numFmt w:val="bullet"/>
      <w:lvlText w:val="o"/>
      <w:lvlJc w:val="left"/>
      <w:pPr>
        <w:ind w:left="4570" w:hanging="360"/>
      </w:pPr>
      <w:rPr>
        <w:rFonts w:ascii="Courier New" w:hAnsi="Courier New" w:cs="Courier New" w:hint="default"/>
      </w:rPr>
    </w:lvl>
    <w:lvl w:ilvl="5" w:tplc="080C0005" w:tentative="1">
      <w:start w:val="1"/>
      <w:numFmt w:val="bullet"/>
      <w:lvlText w:val=""/>
      <w:lvlJc w:val="left"/>
      <w:pPr>
        <w:ind w:left="5290" w:hanging="360"/>
      </w:pPr>
      <w:rPr>
        <w:rFonts w:ascii="Wingdings" w:hAnsi="Wingdings" w:hint="default"/>
      </w:rPr>
    </w:lvl>
    <w:lvl w:ilvl="6" w:tplc="080C0001" w:tentative="1">
      <w:start w:val="1"/>
      <w:numFmt w:val="bullet"/>
      <w:lvlText w:val=""/>
      <w:lvlJc w:val="left"/>
      <w:pPr>
        <w:ind w:left="6010" w:hanging="360"/>
      </w:pPr>
      <w:rPr>
        <w:rFonts w:ascii="Symbol" w:hAnsi="Symbol" w:hint="default"/>
      </w:rPr>
    </w:lvl>
    <w:lvl w:ilvl="7" w:tplc="080C0003" w:tentative="1">
      <w:start w:val="1"/>
      <w:numFmt w:val="bullet"/>
      <w:lvlText w:val="o"/>
      <w:lvlJc w:val="left"/>
      <w:pPr>
        <w:ind w:left="6730" w:hanging="360"/>
      </w:pPr>
      <w:rPr>
        <w:rFonts w:ascii="Courier New" w:hAnsi="Courier New" w:cs="Courier New" w:hint="default"/>
      </w:rPr>
    </w:lvl>
    <w:lvl w:ilvl="8" w:tplc="080C0005" w:tentative="1">
      <w:start w:val="1"/>
      <w:numFmt w:val="bullet"/>
      <w:lvlText w:val=""/>
      <w:lvlJc w:val="left"/>
      <w:pPr>
        <w:ind w:left="7450" w:hanging="360"/>
      </w:pPr>
      <w:rPr>
        <w:rFonts w:ascii="Wingdings" w:hAnsi="Wingdings" w:hint="default"/>
      </w:rPr>
    </w:lvl>
  </w:abstractNum>
  <w:abstractNum w:abstractNumId="235" w15:restartNumberingAfterBreak="0">
    <w:nsid w:val="7E8B3E8D"/>
    <w:multiLevelType w:val="hybridMultilevel"/>
    <w:tmpl w:val="EE249512"/>
    <w:lvl w:ilvl="0" w:tplc="81E8099C">
      <w:start w:val="1"/>
      <w:numFmt w:val="bullet"/>
      <w:lvlText w:val=""/>
      <w:lvlJc w:val="left"/>
      <w:pPr>
        <w:ind w:left="720" w:hanging="360"/>
      </w:pPr>
      <w:rPr>
        <w:rFonts w:ascii="Symbol" w:hAnsi="Symbol" w:hint="default"/>
      </w:rPr>
    </w:lvl>
    <w:lvl w:ilvl="1" w:tplc="29562A02">
      <w:start w:val="1"/>
      <w:numFmt w:val="bullet"/>
      <w:lvlText w:val="o"/>
      <w:lvlJc w:val="left"/>
      <w:pPr>
        <w:ind w:left="1440" w:hanging="360"/>
      </w:pPr>
      <w:rPr>
        <w:rFonts w:ascii="Courier New" w:hAnsi="Courier New" w:hint="default"/>
      </w:rPr>
    </w:lvl>
    <w:lvl w:ilvl="2" w:tplc="D4184A3C">
      <w:start w:val="1"/>
      <w:numFmt w:val="bullet"/>
      <w:lvlText w:val=""/>
      <w:lvlJc w:val="left"/>
      <w:pPr>
        <w:ind w:left="2160" w:hanging="360"/>
      </w:pPr>
      <w:rPr>
        <w:rFonts w:ascii="Wingdings" w:hAnsi="Wingdings" w:hint="default"/>
      </w:rPr>
    </w:lvl>
    <w:lvl w:ilvl="3" w:tplc="2F58B882">
      <w:start w:val="1"/>
      <w:numFmt w:val="bullet"/>
      <w:lvlText w:val=""/>
      <w:lvlJc w:val="left"/>
      <w:pPr>
        <w:ind w:left="2880" w:hanging="360"/>
      </w:pPr>
      <w:rPr>
        <w:rFonts w:ascii="Symbol" w:hAnsi="Symbol" w:hint="default"/>
      </w:rPr>
    </w:lvl>
    <w:lvl w:ilvl="4" w:tplc="F258C678">
      <w:start w:val="1"/>
      <w:numFmt w:val="bullet"/>
      <w:lvlText w:val="o"/>
      <w:lvlJc w:val="left"/>
      <w:pPr>
        <w:ind w:left="3600" w:hanging="360"/>
      </w:pPr>
      <w:rPr>
        <w:rFonts w:ascii="Courier New" w:hAnsi="Courier New" w:hint="default"/>
      </w:rPr>
    </w:lvl>
    <w:lvl w:ilvl="5" w:tplc="9BFE072A">
      <w:start w:val="1"/>
      <w:numFmt w:val="bullet"/>
      <w:lvlText w:val=""/>
      <w:lvlJc w:val="left"/>
      <w:pPr>
        <w:ind w:left="4320" w:hanging="360"/>
      </w:pPr>
      <w:rPr>
        <w:rFonts w:ascii="Wingdings" w:hAnsi="Wingdings" w:hint="default"/>
      </w:rPr>
    </w:lvl>
    <w:lvl w:ilvl="6" w:tplc="303CBB9A">
      <w:start w:val="1"/>
      <w:numFmt w:val="bullet"/>
      <w:lvlText w:val=""/>
      <w:lvlJc w:val="left"/>
      <w:pPr>
        <w:ind w:left="5040" w:hanging="360"/>
      </w:pPr>
      <w:rPr>
        <w:rFonts w:ascii="Symbol" w:hAnsi="Symbol" w:hint="default"/>
      </w:rPr>
    </w:lvl>
    <w:lvl w:ilvl="7" w:tplc="8A4AE152">
      <w:start w:val="1"/>
      <w:numFmt w:val="bullet"/>
      <w:lvlText w:val="o"/>
      <w:lvlJc w:val="left"/>
      <w:pPr>
        <w:ind w:left="5760" w:hanging="360"/>
      </w:pPr>
      <w:rPr>
        <w:rFonts w:ascii="Courier New" w:hAnsi="Courier New" w:hint="default"/>
      </w:rPr>
    </w:lvl>
    <w:lvl w:ilvl="8" w:tplc="831EA954">
      <w:start w:val="1"/>
      <w:numFmt w:val="bullet"/>
      <w:lvlText w:val=""/>
      <w:lvlJc w:val="left"/>
      <w:pPr>
        <w:ind w:left="6480" w:hanging="360"/>
      </w:pPr>
      <w:rPr>
        <w:rFonts w:ascii="Wingdings" w:hAnsi="Wingdings" w:hint="default"/>
      </w:rPr>
    </w:lvl>
  </w:abstractNum>
  <w:abstractNum w:abstractNumId="236" w15:restartNumberingAfterBreak="0">
    <w:nsid w:val="7E8C1A0B"/>
    <w:multiLevelType w:val="multilevel"/>
    <w:tmpl w:val="77A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F606C80"/>
    <w:multiLevelType w:val="hybridMultilevel"/>
    <w:tmpl w:val="33EAE95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8" w15:restartNumberingAfterBreak="0">
    <w:nsid w:val="7F9A1E0A"/>
    <w:multiLevelType w:val="hybridMultilevel"/>
    <w:tmpl w:val="880E2464"/>
    <w:lvl w:ilvl="0" w:tplc="CFDA5974">
      <w:start w:val="11"/>
      <w:numFmt w:val="bullet"/>
      <w:lvlText w:val="-"/>
      <w:lvlJc w:val="left"/>
      <w:pPr>
        <w:ind w:left="3076" w:hanging="360"/>
      </w:pPr>
      <w:rPr>
        <w:rFonts w:ascii="Times New Roman" w:eastAsiaTheme="minorHAnsi" w:hAnsi="Times New Roman" w:cs="Times New Roman" w:hint="default"/>
      </w:rPr>
    </w:lvl>
    <w:lvl w:ilvl="1" w:tplc="08090003" w:tentative="1">
      <w:start w:val="1"/>
      <w:numFmt w:val="bullet"/>
      <w:lvlText w:val="o"/>
      <w:lvlJc w:val="left"/>
      <w:pPr>
        <w:ind w:left="3796" w:hanging="360"/>
      </w:pPr>
      <w:rPr>
        <w:rFonts w:ascii="Courier New" w:hAnsi="Courier New" w:cs="Courier New" w:hint="default"/>
      </w:rPr>
    </w:lvl>
    <w:lvl w:ilvl="2" w:tplc="08090005" w:tentative="1">
      <w:start w:val="1"/>
      <w:numFmt w:val="bullet"/>
      <w:lvlText w:val=""/>
      <w:lvlJc w:val="left"/>
      <w:pPr>
        <w:ind w:left="4516" w:hanging="360"/>
      </w:pPr>
      <w:rPr>
        <w:rFonts w:ascii="Wingdings" w:hAnsi="Wingdings" w:hint="default"/>
      </w:rPr>
    </w:lvl>
    <w:lvl w:ilvl="3" w:tplc="08090001" w:tentative="1">
      <w:start w:val="1"/>
      <w:numFmt w:val="bullet"/>
      <w:lvlText w:val=""/>
      <w:lvlJc w:val="left"/>
      <w:pPr>
        <w:ind w:left="5236" w:hanging="360"/>
      </w:pPr>
      <w:rPr>
        <w:rFonts w:ascii="Symbol" w:hAnsi="Symbol" w:hint="default"/>
      </w:rPr>
    </w:lvl>
    <w:lvl w:ilvl="4" w:tplc="08090003" w:tentative="1">
      <w:start w:val="1"/>
      <w:numFmt w:val="bullet"/>
      <w:lvlText w:val="o"/>
      <w:lvlJc w:val="left"/>
      <w:pPr>
        <w:ind w:left="5956" w:hanging="360"/>
      </w:pPr>
      <w:rPr>
        <w:rFonts w:ascii="Courier New" w:hAnsi="Courier New" w:cs="Courier New" w:hint="default"/>
      </w:rPr>
    </w:lvl>
    <w:lvl w:ilvl="5" w:tplc="08090005" w:tentative="1">
      <w:start w:val="1"/>
      <w:numFmt w:val="bullet"/>
      <w:lvlText w:val=""/>
      <w:lvlJc w:val="left"/>
      <w:pPr>
        <w:ind w:left="6676" w:hanging="360"/>
      </w:pPr>
      <w:rPr>
        <w:rFonts w:ascii="Wingdings" w:hAnsi="Wingdings" w:hint="default"/>
      </w:rPr>
    </w:lvl>
    <w:lvl w:ilvl="6" w:tplc="08090001" w:tentative="1">
      <w:start w:val="1"/>
      <w:numFmt w:val="bullet"/>
      <w:lvlText w:val=""/>
      <w:lvlJc w:val="left"/>
      <w:pPr>
        <w:ind w:left="7396" w:hanging="360"/>
      </w:pPr>
      <w:rPr>
        <w:rFonts w:ascii="Symbol" w:hAnsi="Symbol" w:hint="default"/>
      </w:rPr>
    </w:lvl>
    <w:lvl w:ilvl="7" w:tplc="08090003" w:tentative="1">
      <w:start w:val="1"/>
      <w:numFmt w:val="bullet"/>
      <w:lvlText w:val="o"/>
      <w:lvlJc w:val="left"/>
      <w:pPr>
        <w:ind w:left="8116" w:hanging="360"/>
      </w:pPr>
      <w:rPr>
        <w:rFonts w:ascii="Courier New" w:hAnsi="Courier New" w:cs="Courier New" w:hint="default"/>
      </w:rPr>
    </w:lvl>
    <w:lvl w:ilvl="8" w:tplc="08090005" w:tentative="1">
      <w:start w:val="1"/>
      <w:numFmt w:val="bullet"/>
      <w:lvlText w:val=""/>
      <w:lvlJc w:val="left"/>
      <w:pPr>
        <w:ind w:left="8836" w:hanging="360"/>
      </w:pPr>
      <w:rPr>
        <w:rFonts w:ascii="Wingdings" w:hAnsi="Wingdings" w:hint="default"/>
      </w:rPr>
    </w:lvl>
  </w:abstractNum>
  <w:abstractNum w:abstractNumId="239" w15:restartNumberingAfterBreak="0">
    <w:nsid w:val="7FC958C4"/>
    <w:multiLevelType w:val="hybridMultilevel"/>
    <w:tmpl w:val="A148B836"/>
    <w:lvl w:ilvl="0" w:tplc="98FECDB2">
      <w:start w:val="1"/>
      <w:numFmt w:val="lowerLetter"/>
      <w:lvlText w:val="%1."/>
      <w:lvlJc w:val="left"/>
      <w:pPr>
        <w:ind w:left="720" w:hanging="360"/>
      </w:pPr>
    </w:lvl>
    <w:lvl w:ilvl="1" w:tplc="BD0053B6">
      <w:start w:val="1"/>
      <w:numFmt w:val="lowerLetter"/>
      <w:lvlText w:val="%2."/>
      <w:lvlJc w:val="left"/>
      <w:pPr>
        <w:ind w:left="1440" w:hanging="360"/>
      </w:pPr>
    </w:lvl>
    <w:lvl w:ilvl="2" w:tplc="C9B83A8C">
      <w:start w:val="1"/>
      <w:numFmt w:val="lowerRoman"/>
      <w:lvlText w:val="%3."/>
      <w:lvlJc w:val="right"/>
      <w:pPr>
        <w:ind w:left="2160" w:hanging="180"/>
      </w:pPr>
    </w:lvl>
    <w:lvl w:ilvl="3" w:tplc="669E5AF8">
      <w:start w:val="1"/>
      <w:numFmt w:val="decimal"/>
      <w:lvlText w:val="%4."/>
      <w:lvlJc w:val="left"/>
      <w:pPr>
        <w:ind w:left="2880" w:hanging="360"/>
      </w:pPr>
    </w:lvl>
    <w:lvl w:ilvl="4" w:tplc="3C3421D8">
      <w:start w:val="1"/>
      <w:numFmt w:val="lowerLetter"/>
      <w:lvlText w:val="%5."/>
      <w:lvlJc w:val="left"/>
      <w:pPr>
        <w:ind w:left="3600" w:hanging="360"/>
      </w:pPr>
    </w:lvl>
    <w:lvl w:ilvl="5" w:tplc="BA049E60">
      <w:start w:val="1"/>
      <w:numFmt w:val="lowerRoman"/>
      <w:lvlText w:val="%6."/>
      <w:lvlJc w:val="right"/>
      <w:pPr>
        <w:ind w:left="4320" w:hanging="180"/>
      </w:pPr>
    </w:lvl>
    <w:lvl w:ilvl="6" w:tplc="4CFCD794">
      <w:start w:val="1"/>
      <w:numFmt w:val="decimal"/>
      <w:lvlText w:val="%7."/>
      <w:lvlJc w:val="left"/>
      <w:pPr>
        <w:ind w:left="5040" w:hanging="360"/>
      </w:pPr>
    </w:lvl>
    <w:lvl w:ilvl="7" w:tplc="D0AC10C6">
      <w:start w:val="1"/>
      <w:numFmt w:val="lowerLetter"/>
      <w:lvlText w:val="%8."/>
      <w:lvlJc w:val="left"/>
      <w:pPr>
        <w:ind w:left="5760" w:hanging="360"/>
      </w:pPr>
    </w:lvl>
    <w:lvl w:ilvl="8" w:tplc="D7D0D694">
      <w:start w:val="1"/>
      <w:numFmt w:val="lowerRoman"/>
      <w:lvlText w:val="%9."/>
      <w:lvlJc w:val="right"/>
      <w:pPr>
        <w:ind w:left="6480" w:hanging="180"/>
      </w:pPr>
    </w:lvl>
  </w:abstractNum>
  <w:num w:numId="1">
    <w:abstractNumId w:val="152"/>
  </w:num>
  <w:num w:numId="2">
    <w:abstractNumId w:val="189"/>
  </w:num>
  <w:num w:numId="3">
    <w:abstractNumId w:val="147"/>
  </w:num>
  <w:num w:numId="4">
    <w:abstractNumId w:val="194"/>
  </w:num>
  <w:num w:numId="5">
    <w:abstractNumId w:val="32"/>
  </w:num>
  <w:num w:numId="6">
    <w:abstractNumId w:val="198"/>
  </w:num>
  <w:num w:numId="7">
    <w:abstractNumId w:val="159"/>
  </w:num>
  <w:num w:numId="8">
    <w:abstractNumId w:val="77"/>
  </w:num>
  <w:num w:numId="9">
    <w:abstractNumId w:val="99"/>
  </w:num>
  <w:num w:numId="10">
    <w:abstractNumId w:val="50"/>
  </w:num>
  <w:num w:numId="11">
    <w:abstractNumId w:val="7"/>
  </w:num>
  <w:num w:numId="12">
    <w:abstractNumId w:val="5"/>
  </w:num>
  <w:num w:numId="13">
    <w:abstractNumId w:val="4"/>
  </w:num>
  <w:num w:numId="14">
    <w:abstractNumId w:val="3"/>
  </w:num>
  <w:num w:numId="15">
    <w:abstractNumId w:val="6"/>
  </w:num>
  <w:num w:numId="16">
    <w:abstractNumId w:val="2"/>
  </w:num>
  <w:num w:numId="17">
    <w:abstractNumId w:val="1"/>
  </w:num>
  <w:num w:numId="18">
    <w:abstractNumId w:val="0"/>
  </w:num>
  <w:num w:numId="19">
    <w:abstractNumId w:val="185"/>
  </w:num>
  <w:num w:numId="20">
    <w:abstractNumId w:val="137"/>
  </w:num>
  <w:num w:numId="21">
    <w:abstractNumId w:val="201"/>
  </w:num>
  <w:num w:numId="22">
    <w:abstractNumId w:val="97"/>
  </w:num>
  <w:num w:numId="23">
    <w:abstractNumId w:val="139"/>
  </w:num>
  <w:num w:numId="24">
    <w:abstractNumId w:val="53"/>
  </w:num>
  <w:num w:numId="25">
    <w:abstractNumId w:val="140"/>
  </w:num>
  <w:num w:numId="26">
    <w:abstractNumId w:val="178"/>
  </w:num>
  <w:num w:numId="27">
    <w:abstractNumId w:val="180"/>
  </w:num>
  <w:num w:numId="28">
    <w:abstractNumId w:val="96"/>
  </w:num>
  <w:num w:numId="29">
    <w:abstractNumId w:val="170"/>
  </w:num>
  <w:num w:numId="30">
    <w:abstractNumId w:val="231"/>
  </w:num>
  <w:num w:numId="31">
    <w:abstractNumId w:val="36"/>
  </w:num>
  <w:num w:numId="32">
    <w:abstractNumId w:val="206"/>
  </w:num>
  <w:num w:numId="33">
    <w:abstractNumId w:val="150"/>
  </w:num>
  <w:num w:numId="34">
    <w:abstractNumId w:val="66"/>
  </w:num>
  <w:num w:numId="35">
    <w:abstractNumId w:val="126"/>
  </w:num>
  <w:num w:numId="36">
    <w:abstractNumId w:val="108"/>
  </w:num>
  <w:num w:numId="37">
    <w:abstractNumId w:val="202"/>
  </w:num>
  <w:num w:numId="38">
    <w:abstractNumId w:val="9"/>
  </w:num>
  <w:num w:numId="39">
    <w:abstractNumId w:val="84"/>
  </w:num>
  <w:num w:numId="40">
    <w:abstractNumId w:val="209"/>
  </w:num>
  <w:num w:numId="41">
    <w:abstractNumId w:val="134"/>
  </w:num>
  <w:num w:numId="42">
    <w:abstractNumId w:val="103"/>
  </w:num>
  <w:num w:numId="43">
    <w:abstractNumId w:val="158"/>
  </w:num>
  <w:num w:numId="44">
    <w:abstractNumId w:val="214"/>
  </w:num>
  <w:num w:numId="45">
    <w:abstractNumId w:val="35"/>
  </w:num>
  <w:num w:numId="46">
    <w:abstractNumId w:val="111"/>
  </w:num>
  <w:num w:numId="47">
    <w:abstractNumId w:val="128"/>
  </w:num>
  <w:num w:numId="48">
    <w:abstractNumId w:val="86"/>
  </w:num>
  <w:num w:numId="49">
    <w:abstractNumId w:val="95"/>
  </w:num>
  <w:num w:numId="50">
    <w:abstractNumId w:val="22"/>
  </w:num>
  <w:num w:numId="51">
    <w:abstractNumId w:val="153"/>
  </w:num>
  <w:num w:numId="52">
    <w:abstractNumId w:val="174"/>
  </w:num>
  <w:num w:numId="53">
    <w:abstractNumId w:val="45"/>
  </w:num>
  <w:num w:numId="54">
    <w:abstractNumId w:val="21"/>
  </w:num>
  <w:num w:numId="55">
    <w:abstractNumId w:val="14"/>
  </w:num>
  <w:num w:numId="56">
    <w:abstractNumId w:val="98"/>
  </w:num>
  <w:num w:numId="57">
    <w:abstractNumId w:val="172"/>
  </w:num>
  <w:num w:numId="58">
    <w:abstractNumId w:val="85"/>
  </w:num>
  <w:num w:numId="59">
    <w:abstractNumId w:val="89"/>
  </w:num>
  <w:num w:numId="60">
    <w:abstractNumId w:val="52"/>
  </w:num>
  <w:num w:numId="61">
    <w:abstractNumId w:val="122"/>
  </w:num>
  <w:num w:numId="62">
    <w:abstractNumId w:val="162"/>
  </w:num>
  <w:num w:numId="63">
    <w:abstractNumId w:val="8"/>
  </w:num>
  <w:num w:numId="64">
    <w:abstractNumId w:val="183"/>
  </w:num>
  <w:num w:numId="65">
    <w:abstractNumId w:val="62"/>
  </w:num>
  <w:num w:numId="66">
    <w:abstractNumId w:val="78"/>
  </w:num>
  <w:num w:numId="67">
    <w:abstractNumId w:val="146"/>
  </w:num>
  <w:num w:numId="68">
    <w:abstractNumId w:val="117"/>
  </w:num>
  <w:num w:numId="69">
    <w:abstractNumId w:val="186"/>
  </w:num>
  <w:num w:numId="70">
    <w:abstractNumId w:val="223"/>
  </w:num>
  <w:num w:numId="71">
    <w:abstractNumId w:val="107"/>
  </w:num>
  <w:num w:numId="7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7"/>
  </w:num>
  <w:num w:numId="74">
    <w:abstractNumId w:val="31"/>
  </w:num>
  <w:num w:numId="75">
    <w:abstractNumId w:val="37"/>
  </w:num>
  <w:num w:numId="76">
    <w:abstractNumId w:val="232"/>
  </w:num>
  <w:num w:numId="77">
    <w:abstractNumId w:val="18"/>
  </w:num>
  <w:num w:numId="78">
    <w:abstractNumId w:val="215"/>
  </w:num>
  <w:num w:numId="79">
    <w:abstractNumId w:val="114"/>
  </w:num>
  <w:num w:numId="80">
    <w:abstractNumId w:val="101"/>
  </w:num>
  <w:num w:numId="81">
    <w:abstractNumId w:val="151"/>
  </w:num>
  <w:num w:numId="82">
    <w:abstractNumId w:val="94"/>
  </w:num>
  <w:num w:numId="83">
    <w:abstractNumId w:val="30"/>
  </w:num>
  <w:num w:numId="84">
    <w:abstractNumId w:val="58"/>
  </w:num>
  <w:num w:numId="85">
    <w:abstractNumId w:val="191"/>
  </w:num>
  <w:num w:numId="86">
    <w:abstractNumId w:val="83"/>
  </w:num>
  <w:num w:numId="87">
    <w:abstractNumId w:val="225"/>
  </w:num>
  <w:num w:numId="88">
    <w:abstractNumId w:val="34"/>
  </w:num>
  <w:num w:numId="89">
    <w:abstractNumId w:val="205"/>
  </w:num>
  <w:num w:numId="90">
    <w:abstractNumId w:val="64"/>
  </w:num>
  <w:num w:numId="91">
    <w:abstractNumId w:val="175"/>
  </w:num>
  <w:num w:numId="92">
    <w:abstractNumId w:val="143"/>
  </w:num>
  <w:num w:numId="93">
    <w:abstractNumId w:val="124"/>
  </w:num>
  <w:num w:numId="94">
    <w:abstractNumId w:val="72"/>
  </w:num>
  <w:num w:numId="95">
    <w:abstractNumId w:val="130"/>
  </w:num>
  <w:num w:numId="96">
    <w:abstractNumId w:val="226"/>
  </w:num>
  <w:num w:numId="97">
    <w:abstractNumId w:val="26"/>
  </w:num>
  <w:num w:numId="98">
    <w:abstractNumId w:val="82"/>
  </w:num>
  <w:num w:numId="99">
    <w:abstractNumId w:val="28"/>
  </w:num>
  <w:num w:numId="100">
    <w:abstractNumId w:val="148"/>
  </w:num>
  <w:num w:numId="101">
    <w:abstractNumId w:val="113"/>
  </w:num>
  <w:num w:numId="102">
    <w:abstractNumId w:val="179"/>
  </w:num>
  <w:num w:numId="103">
    <w:abstractNumId w:val="29"/>
  </w:num>
  <w:num w:numId="104">
    <w:abstractNumId w:val="168"/>
  </w:num>
  <w:num w:numId="105">
    <w:abstractNumId w:val="20"/>
  </w:num>
  <w:num w:numId="106">
    <w:abstractNumId w:val="74"/>
  </w:num>
  <w:num w:numId="107">
    <w:abstractNumId w:val="121"/>
  </w:num>
  <w:num w:numId="108">
    <w:abstractNumId w:val="69"/>
  </w:num>
  <w:num w:numId="109">
    <w:abstractNumId w:val="149"/>
  </w:num>
  <w:num w:numId="110">
    <w:abstractNumId w:val="238"/>
  </w:num>
  <w:num w:numId="111">
    <w:abstractNumId w:val="165"/>
  </w:num>
  <w:num w:numId="112">
    <w:abstractNumId w:val="49"/>
  </w:num>
  <w:num w:numId="113">
    <w:abstractNumId w:val="220"/>
  </w:num>
  <w:num w:numId="114">
    <w:abstractNumId w:val="13"/>
  </w:num>
  <w:num w:numId="115">
    <w:abstractNumId w:val="184"/>
  </w:num>
  <w:num w:numId="116">
    <w:abstractNumId w:val="106"/>
  </w:num>
  <w:num w:numId="117">
    <w:abstractNumId w:val="41"/>
  </w:num>
  <w:num w:numId="118">
    <w:abstractNumId w:val="224"/>
  </w:num>
  <w:num w:numId="119">
    <w:abstractNumId w:val="47"/>
  </w:num>
  <w:num w:numId="120">
    <w:abstractNumId w:val="93"/>
  </w:num>
  <w:num w:numId="121">
    <w:abstractNumId w:val="233"/>
  </w:num>
  <w:num w:numId="122">
    <w:abstractNumId w:val="88"/>
  </w:num>
  <w:num w:numId="123">
    <w:abstractNumId w:val="145"/>
  </w:num>
  <w:num w:numId="124">
    <w:abstractNumId w:val="33"/>
  </w:num>
  <w:num w:numId="125">
    <w:abstractNumId w:val="40"/>
  </w:num>
  <w:num w:numId="126">
    <w:abstractNumId w:val="39"/>
  </w:num>
  <w:num w:numId="127">
    <w:abstractNumId w:val="60"/>
  </w:num>
  <w:num w:numId="128">
    <w:abstractNumId w:val="127"/>
  </w:num>
  <w:num w:numId="129">
    <w:abstractNumId w:val="10"/>
  </w:num>
  <w:num w:numId="130">
    <w:abstractNumId w:val="123"/>
  </w:num>
  <w:num w:numId="131">
    <w:abstractNumId w:val="132"/>
  </w:num>
  <w:num w:numId="132">
    <w:abstractNumId w:val="46"/>
  </w:num>
  <w:num w:numId="133">
    <w:abstractNumId w:val="207"/>
  </w:num>
  <w:num w:numId="134">
    <w:abstractNumId w:val="217"/>
  </w:num>
  <w:num w:numId="135">
    <w:abstractNumId w:val="196"/>
  </w:num>
  <w:num w:numId="136">
    <w:abstractNumId w:val="235"/>
  </w:num>
  <w:num w:numId="137">
    <w:abstractNumId w:val="138"/>
  </w:num>
  <w:num w:numId="138">
    <w:abstractNumId w:val="210"/>
  </w:num>
  <w:num w:numId="139">
    <w:abstractNumId w:val="91"/>
  </w:num>
  <w:num w:numId="140">
    <w:abstractNumId w:val="239"/>
  </w:num>
  <w:num w:numId="141">
    <w:abstractNumId w:val="51"/>
  </w:num>
  <w:num w:numId="142">
    <w:abstractNumId w:val="80"/>
  </w:num>
  <w:num w:numId="143">
    <w:abstractNumId w:val="67"/>
  </w:num>
  <w:num w:numId="144">
    <w:abstractNumId w:val="65"/>
  </w:num>
  <w:num w:numId="145">
    <w:abstractNumId w:val="120"/>
  </w:num>
  <w:num w:numId="146">
    <w:abstractNumId w:val="104"/>
  </w:num>
  <w:num w:numId="147">
    <w:abstractNumId w:val="48"/>
  </w:num>
  <w:num w:numId="148">
    <w:abstractNumId w:val="160"/>
  </w:num>
  <w:num w:numId="149">
    <w:abstractNumId w:val="228"/>
  </w:num>
  <w:num w:numId="150">
    <w:abstractNumId w:val="161"/>
  </w:num>
  <w:num w:numId="151">
    <w:abstractNumId w:val="71"/>
  </w:num>
  <w:num w:numId="152">
    <w:abstractNumId w:val="199"/>
  </w:num>
  <w:num w:numId="153">
    <w:abstractNumId w:val="110"/>
  </w:num>
  <w:num w:numId="154">
    <w:abstractNumId w:val="44"/>
  </w:num>
  <w:num w:numId="155">
    <w:abstractNumId w:val="211"/>
  </w:num>
  <w:num w:numId="156">
    <w:abstractNumId w:val="102"/>
  </w:num>
  <w:num w:numId="157">
    <w:abstractNumId w:val="237"/>
  </w:num>
  <w:num w:numId="158">
    <w:abstractNumId w:val="163"/>
  </w:num>
  <w:num w:numId="159">
    <w:abstractNumId w:val="24"/>
  </w:num>
  <w:num w:numId="160">
    <w:abstractNumId w:val="73"/>
  </w:num>
  <w:num w:numId="161">
    <w:abstractNumId w:val="56"/>
  </w:num>
  <w:num w:numId="162">
    <w:abstractNumId w:val="156"/>
  </w:num>
  <w:num w:numId="163">
    <w:abstractNumId w:val="105"/>
  </w:num>
  <w:num w:numId="164">
    <w:abstractNumId w:val="118"/>
  </w:num>
  <w:num w:numId="1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76"/>
  </w:num>
  <w:num w:numId="168">
    <w:abstractNumId w:val="68"/>
  </w:num>
  <w:num w:numId="169">
    <w:abstractNumId w:val="55"/>
  </w:num>
  <w:num w:numId="170">
    <w:abstractNumId w:val="154"/>
  </w:num>
  <w:num w:numId="171">
    <w:abstractNumId w:val="92"/>
  </w:num>
  <w:num w:numId="172">
    <w:abstractNumId w:val="229"/>
  </w:num>
  <w:num w:numId="173">
    <w:abstractNumId w:val="219"/>
  </w:num>
  <w:num w:numId="174">
    <w:abstractNumId w:val="176"/>
  </w:num>
  <w:num w:numId="175">
    <w:abstractNumId w:val="100"/>
  </w:num>
  <w:num w:numId="176">
    <w:abstractNumId w:val="230"/>
  </w:num>
  <w:num w:numId="177">
    <w:abstractNumId w:val="16"/>
  </w:num>
  <w:num w:numId="178">
    <w:abstractNumId w:val="131"/>
  </w:num>
  <w:num w:numId="179">
    <w:abstractNumId w:val="109"/>
  </w:num>
  <w:num w:numId="180">
    <w:abstractNumId w:val="192"/>
  </w:num>
  <w:num w:numId="181">
    <w:abstractNumId w:val="221"/>
  </w:num>
  <w:num w:numId="182">
    <w:abstractNumId w:val="17"/>
  </w:num>
  <w:num w:numId="183">
    <w:abstractNumId w:val="234"/>
  </w:num>
  <w:num w:numId="184">
    <w:abstractNumId w:val="164"/>
  </w:num>
  <w:num w:numId="185">
    <w:abstractNumId w:val="171"/>
  </w:num>
  <w:num w:numId="186">
    <w:abstractNumId w:val="190"/>
  </w:num>
  <w:num w:numId="187">
    <w:abstractNumId w:val="136"/>
  </w:num>
  <w:num w:numId="188">
    <w:abstractNumId w:val="79"/>
  </w:num>
  <w:num w:numId="189">
    <w:abstractNumId w:val="115"/>
  </w:num>
  <w:num w:numId="190">
    <w:abstractNumId w:val="119"/>
  </w:num>
  <w:num w:numId="191">
    <w:abstractNumId w:val="203"/>
  </w:num>
  <w:num w:numId="192">
    <w:abstractNumId w:val="144"/>
  </w:num>
  <w:num w:numId="193">
    <w:abstractNumId w:val="90"/>
  </w:num>
  <w:num w:numId="194">
    <w:abstractNumId w:val="135"/>
  </w:num>
  <w:num w:numId="195">
    <w:abstractNumId w:val="218"/>
  </w:num>
  <w:num w:numId="196">
    <w:abstractNumId w:val="43"/>
  </w:num>
  <w:num w:numId="197">
    <w:abstractNumId w:val="19"/>
  </w:num>
  <w:num w:numId="198">
    <w:abstractNumId w:val="188"/>
  </w:num>
  <w:num w:numId="199">
    <w:abstractNumId w:val="63"/>
  </w:num>
  <w:num w:numId="200">
    <w:abstractNumId w:val="42"/>
  </w:num>
  <w:num w:numId="201">
    <w:abstractNumId w:val="125"/>
  </w:num>
  <w:num w:numId="202">
    <w:abstractNumId w:val="212"/>
  </w:num>
  <w:num w:numId="203">
    <w:abstractNumId w:val="57"/>
  </w:num>
  <w:num w:numId="204">
    <w:abstractNumId w:val="87"/>
  </w:num>
  <w:num w:numId="205">
    <w:abstractNumId w:val="193"/>
  </w:num>
  <w:num w:numId="206">
    <w:abstractNumId w:val="155"/>
  </w:num>
  <w:num w:numId="207">
    <w:abstractNumId w:val="25"/>
  </w:num>
  <w:num w:numId="208">
    <w:abstractNumId w:val="116"/>
  </w:num>
  <w:num w:numId="209">
    <w:abstractNumId w:val="142"/>
  </w:num>
  <w:num w:numId="210">
    <w:abstractNumId w:val="11"/>
  </w:num>
  <w:num w:numId="211">
    <w:abstractNumId w:val="216"/>
  </w:num>
  <w:num w:numId="212">
    <w:abstractNumId w:val="173"/>
  </w:num>
  <w:num w:numId="213">
    <w:abstractNumId w:val="169"/>
  </w:num>
  <w:num w:numId="214">
    <w:abstractNumId w:val="27"/>
  </w:num>
  <w:num w:numId="215">
    <w:abstractNumId w:val="38"/>
  </w:num>
  <w:num w:numId="216">
    <w:abstractNumId w:val="200"/>
  </w:num>
  <w:num w:numId="217">
    <w:abstractNumId w:val="195"/>
  </w:num>
  <w:num w:numId="218">
    <w:abstractNumId w:val="166"/>
  </w:num>
  <w:num w:numId="219">
    <w:abstractNumId w:val="187"/>
  </w:num>
  <w:num w:numId="220">
    <w:abstractNumId w:val="222"/>
  </w:num>
  <w:num w:numId="221">
    <w:abstractNumId w:val="167"/>
  </w:num>
  <w:num w:numId="222">
    <w:abstractNumId w:val="141"/>
  </w:num>
  <w:num w:numId="223">
    <w:abstractNumId w:val="70"/>
  </w:num>
  <w:num w:numId="224">
    <w:abstractNumId w:val="204"/>
  </w:num>
  <w:num w:numId="225">
    <w:abstractNumId w:val="61"/>
  </w:num>
  <w:num w:numId="226">
    <w:abstractNumId w:val="182"/>
  </w:num>
  <w:num w:numId="227">
    <w:abstractNumId w:val="157"/>
  </w:num>
  <w:num w:numId="228">
    <w:abstractNumId w:val="15"/>
  </w:num>
  <w:num w:numId="229">
    <w:abstractNumId w:val="81"/>
  </w:num>
  <w:num w:numId="230">
    <w:abstractNumId w:val="208"/>
  </w:num>
  <w:num w:numId="231">
    <w:abstractNumId w:val="54"/>
  </w:num>
  <w:num w:numId="2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2"/>
  </w:num>
  <w:num w:numId="235">
    <w:abstractNumId w:val="177"/>
  </w:num>
  <w:num w:numId="236">
    <w:abstractNumId w:val="236"/>
  </w:num>
  <w:num w:numId="237">
    <w:abstractNumId w:val="23"/>
  </w:num>
  <w:num w:numId="238">
    <w:abstractNumId w:val="181"/>
  </w:num>
  <w:num w:numId="239">
    <w:abstractNumId w:val="197"/>
  </w:num>
  <w:num w:numId="240">
    <w:abstractNumId w:val="12"/>
  </w:num>
  <w:num w:numId="241">
    <w:abstractNumId w:val="213"/>
  </w:num>
  <w:num w:numId="242">
    <w:abstractNumId w:val="59"/>
  </w:num>
  <w:num w:numId="243">
    <w:abstractNumId w:val="75"/>
  </w:num>
  <w:num w:numId="244">
    <w:abstractNumId w:val="194"/>
  </w:num>
  <w:num w:numId="245">
    <w:abstractNumId w:val="19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t;UNUSED&gt;"/>
    <w:docVar w:name="LW_ANNEX_NBR_FIRST" w:val="1"/>
    <w:docVar w:name="LW_ANNEX_NBR_LAST" w:val="1"/>
    <w:docVar w:name="LW_ANNEX_UNIQUE" w:val="1"/>
    <w:docVar w:name="LW_CORRIGENDUM" w:val="&lt;UNUSED&gt;"/>
    <w:docVar w:name="LW_COVERPAGE_EXISTS" w:val="True"/>
    <w:docVar w:name="LW_COVERPAGE_GUID" w:val="3B96244B-D5C3-42C1-B86B-5F41E0789E20"/>
    <w:docVar w:name="LW_COVERPAGE_TYPE" w:val="1"/>
    <w:docVar w:name="LW_CROSSREFERENCE" w:val="{SWD(2023) 382 final}"/>
    <w:docVar w:name="LW_DocType" w:val="NORMAL"/>
    <w:docVar w:name="LW_EMISSION" w:val="21.11.2023."/>
    <w:docVar w:name="LW_EMISSION_ISODATE" w:val="2023-11-21"/>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lt;FMT:Bold&gt;o izmjeni Provedbene odluke (EU) (ST 12319/2021, ST 12319/2021 ADD 1) od 29. listopada 2021. o odobrenju ocjene plana za oporavak i otpornost Rumunjske&lt;/FMT&gt;"/>
    <w:docVar w:name="LW_PART_NBR" w:val="1"/>
    <w:docVar w:name="LW_PART_NBR_TOTAL" w:val="1"/>
    <w:docVar w:name="LW_REF.INST.NEW" w:val="COM"/>
    <w:docVar w:name="LW_REF.INST.NEW_ADOPTED" w:val="final"/>
    <w:docVar w:name="LW_REF.INST.NEW_TEXT" w:val="(2023) 7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PROVEDBENE ODLUKE VIJEĆA"/>
    <w:docVar w:name="LwApiVersions" w:val="LW4CoDe 1.23.2.0; LW 8.0, Build 20211117"/>
  </w:docVars>
  <w:rsids>
    <w:rsidRoot w:val="007B1C1A"/>
    <w:rsid w:val="000001BD"/>
    <w:rsid w:val="00000948"/>
    <w:rsid w:val="00003BE1"/>
    <w:rsid w:val="00003D5F"/>
    <w:rsid w:val="00005722"/>
    <w:rsid w:val="00007AD3"/>
    <w:rsid w:val="00007D2F"/>
    <w:rsid w:val="00010697"/>
    <w:rsid w:val="000144B9"/>
    <w:rsid w:val="000151C7"/>
    <w:rsid w:val="000158C0"/>
    <w:rsid w:val="00015A6B"/>
    <w:rsid w:val="0001690D"/>
    <w:rsid w:val="00016D88"/>
    <w:rsid w:val="00017966"/>
    <w:rsid w:val="00020085"/>
    <w:rsid w:val="00020AE8"/>
    <w:rsid w:val="000252B4"/>
    <w:rsid w:val="0002593D"/>
    <w:rsid w:val="000267B8"/>
    <w:rsid w:val="00030132"/>
    <w:rsid w:val="00030D18"/>
    <w:rsid w:val="00031234"/>
    <w:rsid w:val="000327FA"/>
    <w:rsid w:val="00032BD7"/>
    <w:rsid w:val="00033499"/>
    <w:rsid w:val="00033DE4"/>
    <w:rsid w:val="00034674"/>
    <w:rsid w:val="00035625"/>
    <w:rsid w:val="00037780"/>
    <w:rsid w:val="00037B95"/>
    <w:rsid w:val="00040E70"/>
    <w:rsid w:val="00041300"/>
    <w:rsid w:val="00042ADA"/>
    <w:rsid w:val="00042FE3"/>
    <w:rsid w:val="00043383"/>
    <w:rsid w:val="000440D3"/>
    <w:rsid w:val="000440E8"/>
    <w:rsid w:val="00044DA5"/>
    <w:rsid w:val="00046763"/>
    <w:rsid w:val="00046C20"/>
    <w:rsid w:val="00047D56"/>
    <w:rsid w:val="00050212"/>
    <w:rsid w:val="000504FB"/>
    <w:rsid w:val="00050D33"/>
    <w:rsid w:val="00051D7D"/>
    <w:rsid w:val="000526CF"/>
    <w:rsid w:val="00052A83"/>
    <w:rsid w:val="0005402B"/>
    <w:rsid w:val="00054D80"/>
    <w:rsid w:val="00054E19"/>
    <w:rsid w:val="0005508F"/>
    <w:rsid w:val="0005566B"/>
    <w:rsid w:val="00056579"/>
    <w:rsid w:val="0006008C"/>
    <w:rsid w:val="000605E8"/>
    <w:rsid w:val="00060B2D"/>
    <w:rsid w:val="00061060"/>
    <w:rsid w:val="00061CC7"/>
    <w:rsid w:val="00061E3F"/>
    <w:rsid w:val="000621F9"/>
    <w:rsid w:val="00062622"/>
    <w:rsid w:val="0006268E"/>
    <w:rsid w:val="00062EFB"/>
    <w:rsid w:val="000643F4"/>
    <w:rsid w:val="000652B8"/>
    <w:rsid w:val="00065E0D"/>
    <w:rsid w:val="00067D3B"/>
    <w:rsid w:val="000706B3"/>
    <w:rsid w:val="00070A3F"/>
    <w:rsid w:val="0007200A"/>
    <w:rsid w:val="00074995"/>
    <w:rsid w:val="0007594E"/>
    <w:rsid w:val="00075DC5"/>
    <w:rsid w:val="00076880"/>
    <w:rsid w:val="000772BF"/>
    <w:rsid w:val="00080267"/>
    <w:rsid w:val="00080502"/>
    <w:rsid w:val="0008097B"/>
    <w:rsid w:val="00080D54"/>
    <w:rsid w:val="00082EFD"/>
    <w:rsid w:val="00082FA2"/>
    <w:rsid w:val="0008329B"/>
    <w:rsid w:val="00083B13"/>
    <w:rsid w:val="00083EC6"/>
    <w:rsid w:val="000846B6"/>
    <w:rsid w:val="00085202"/>
    <w:rsid w:val="0008521A"/>
    <w:rsid w:val="00086685"/>
    <w:rsid w:val="00087264"/>
    <w:rsid w:val="00090036"/>
    <w:rsid w:val="00090810"/>
    <w:rsid w:val="0009095E"/>
    <w:rsid w:val="00092501"/>
    <w:rsid w:val="00093B2E"/>
    <w:rsid w:val="000944FD"/>
    <w:rsid w:val="00094DC0"/>
    <w:rsid w:val="00094EBB"/>
    <w:rsid w:val="00096061"/>
    <w:rsid w:val="000963F6"/>
    <w:rsid w:val="00097D33"/>
    <w:rsid w:val="00097DC1"/>
    <w:rsid w:val="00097E09"/>
    <w:rsid w:val="000A0989"/>
    <w:rsid w:val="000A20C7"/>
    <w:rsid w:val="000A27B3"/>
    <w:rsid w:val="000A3ABC"/>
    <w:rsid w:val="000A5351"/>
    <w:rsid w:val="000A564F"/>
    <w:rsid w:val="000A5F95"/>
    <w:rsid w:val="000A6F5E"/>
    <w:rsid w:val="000A7218"/>
    <w:rsid w:val="000A7481"/>
    <w:rsid w:val="000A7967"/>
    <w:rsid w:val="000A7980"/>
    <w:rsid w:val="000A7E2A"/>
    <w:rsid w:val="000B07B7"/>
    <w:rsid w:val="000B1655"/>
    <w:rsid w:val="000B43A8"/>
    <w:rsid w:val="000B6C23"/>
    <w:rsid w:val="000B7784"/>
    <w:rsid w:val="000B7E1A"/>
    <w:rsid w:val="000C081D"/>
    <w:rsid w:val="000C0A49"/>
    <w:rsid w:val="000C13A2"/>
    <w:rsid w:val="000C1772"/>
    <w:rsid w:val="000C210E"/>
    <w:rsid w:val="000C2BE7"/>
    <w:rsid w:val="000C32EC"/>
    <w:rsid w:val="000C353F"/>
    <w:rsid w:val="000C3629"/>
    <w:rsid w:val="000C3AC3"/>
    <w:rsid w:val="000C5E18"/>
    <w:rsid w:val="000D0A74"/>
    <w:rsid w:val="000D15BF"/>
    <w:rsid w:val="000D1A77"/>
    <w:rsid w:val="000D1EF5"/>
    <w:rsid w:val="000D4EE2"/>
    <w:rsid w:val="000D581F"/>
    <w:rsid w:val="000D5A37"/>
    <w:rsid w:val="000D60AB"/>
    <w:rsid w:val="000E090A"/>
    <w:rsid w:val="000E1039"/>
    <w:rsid w:val="000E2B73"/>
    <w:rsid w:val="000E35DA"/>
    <w:rsid w:val="000E39C4"/>
    <w:rsid w:val="000E5C19"/>
    <w:rsid w:val="000E5D9A"/>
    <w:rsid w:val="000E5FA2"/>
    <w:rsid w:val="000E6BA7"/>
    <w:rsid w:val="000E6BCF"/>
    <w:rsid w:val="000E75D0"/>
    <w:rsid w:val="000F0CC7"/>
    <w:rsid w:val="000F0E82"/>
    <w:rsid w:val="000F1841"/>
    <w:rsid w:val="000F1E2C"/>
    <w:rsid w:val="000F27AF"/>
    <w:rsid w:val="000F308B"/>
    <w:rsid w:val="000F3686"/>
    <w:rsid w:val="000F4119"/>
    <w:rsid w:val="000F59CD"/>
    <w:rsid w:val="000F7A68"/>
    <w:rsid w:val="00100975"/>
    <w:rsid w:val="00102344"/>
    <w:rsid w:val="00102475"/>
    <w:rsid w:val="00102A45"/>
    <w:rsid w:val="00103556"/>
    <w:rsid w:val="00104CC2"/>
    <w:rsid w:val="00107348"/>
    <w:rsid w:val="00107DAF"/>
    <w:rsid w:val="00107F48"/>
    <w:rsid w:val="00110C26"/>
    <w:rsid w:val="00111197"/>
    <w:rsid w:val="00111762"/>
    <w:rsid w:val="0011187E"/>
    <w:rsid w:val="0011194D"/>
    <w:rsid w:val="001133C1"/>
    <w:rsid w:val="00115000"/>
    <w:rsid w:val="00116C84"/>
    <w:rsid w:val="00117F08"/>
    <w:rsid w:val="0012161A"/>
    <w:rsid w:val="00121A30"/>
    <w:rsid w:val="00121C92"/>
    <w:rsid w:val="00121D46"/>
    <w:rsid w:val="0012215C"/>
    <w:rsid w:val="00122D6D"/>
    <w:rsid w:val="0012380D"/>
    <w:rsid w:val="00124CD2"/>
    <w:rsid w:val="00125040"/>
    <w:rsid w:val="00125721"/>
    <w:rsid w:val="001262B0"/>
    <w:rsid w:val="00126467"/>
    <w:rsid w:val="00130427"/>
    <w:rsid w:val="00131FB1"/>
    <w:rsid w:val="001320E2"/>
    <w:rsid w:val="00132BCB"/>
    <w:rsid w:val="001346C2"/>
    <w:rsid w:val="00135D2A"/>
    <w:rsid w:val="00136684"/>
    <w:rsid w:val="00137017"/>
    <w:rsid w:val="0013757B"/>
    <w:rsid w:val="00140583"/>
    <w:rsid w:val="00140CD4"/>
    <w:rsid w:val="0014178F"/>
    <w:rsid w:val="00141F05"/>
    <w:rsid w:val="00142E94"/>
    <w:rsid w:val="001445D8"/>
    <w:rsid w:val="00144E20"/>
    <w:rsid w:val="001459AD"/>
    <w:rsid w:val="00146685"/>
    <w:rsid w:val="001470F2"/>
    <w:rsid w:val="00147C43"/>
    <w:rsid w:val="00151654"/>
    <w:rsid w:val="0015262C"/>
    <w:rsid w:val="0015393F"/>
    <w:rsid w:val="00153B84"/>
    <w:rsid w:val="00154DF2"/>
    <w:rsid w:val="00155587"/>
    <w:rsid w:val="00156386"/>
    <w:rsid w:val="00156B52"/>
    <w:rsid w:val="00156C4F"/>
    <w:rsid w:val="00160BAC"/>
    <w:rsid w:val="00161D9B"/>
    <w:rsid w:val="00163A17"/>
    <w:rsid w:val="001660C3"/>
    <w:rsid w:val="00166165"/>
    <w:rsid w:val="00166183"/>
    <w:rsid w:val="001665AC"/>
    <w:rsid w:val="00166814"/>
    <w:rsid w:val="00167FF1"/>
    <w:rsid w:val="0017118E"/>
    <w:rsid w:val="00171193"/>
    <w:rsid w:val="0017122D"/>
    <w:rsid w:val="0017309B"/>
    <w:rsid w:val="00174990"/>
    <w:rsid w:val="00175B1B"/>
    <w:rsid w:val="00175F8E"/>
    <w:rsid w:val="0017694D"/>
    <w:rsid w:val="00180DC9"/>
    <w:rsid w:val="00181D63"/>
    <w:rsid w:val="00181E3E"/>
    <w:rsid w:val="00182052"/>
    <w:rsid w:val="00182A3A"/>
    <w:rsid w:val="00182E65"/>
    <w:rsid w:val="00183909"/>
    <w:rsid w:val="0018609A"/>
    <w:rsid w:val="00186F53"/>
    <w:rsid w:val="00192F91"/>
    <w:rsid w:val="00193014"/>
    <w:rsid w:val="00193D90"/>
    <w:rsid w:val="00194763"/>
    <w:rsid w:val="001947FB"/>
    <w:rsid w:val="00194903"/>
    <w:rsid w:val="00194CFE"/>
    <w:rsid w:val="00196A83"/>
    <w:rsid w:val="001970FA"/>
    <w:rsid w:val="001A05B1"/>
    <w:rsid w:val="001A3B87"/>
    <w:rsid w:val="001A3EE7"/>
    <w:rsid w:val="001A42A3"/>
    <w:rsid w:val="001A4411"/>
    <w:rsid w:val="001A489C"/>
    <w:rsid w:val="001A5CBC"/>
    <w:rsid w:val="001A6996"/>
    <w:rsid w:val="001A6FD8"/>
    <w:rsid w:val="001A78E4"/>
    <w:rsid w:val="001A7D88"/>
    <w:rsid w:val="001B0875"/>
    <w:rsid w:val="001B09E7"/>
    <w:rsid w:val="001B0C71"/>
    <w:rsid w:val="001B1512"/>
    <w:rsid w:val="001B1BCE"/>
    <w:rsid w:val="001B2A46"/>
    <w:rsid w:val="001B3739"/>
    <w:rsid w:val="001B3E85"/>
    <w:rsid w:val="001B40BA"/>
    <w:rsid w:val="001B4380"/>
    <w:rsid w:val="001B4D32"/>
    <w:rsid w:val="001B79F3"/>
    <w:rsid w:val="001B7C50"/>
    <w:rsid w:val="001C1122"/>
    <w:rsid w:val="001C1395"/>
    <w:rsid w:val="001C1AC6"/>
    <w:rsid w:val="001C234D"/>
    <w:rsid w:val="001C2803"/>
    <w:rsid w:val="001C30BF"/>
    <w:rsid w:val="001C314F"/>
    <w:rsid w:val="001C3165"/>
    <w:rsid w:val="001C3182"/>
    <w:rsid w:val="001C33F0"/>
    <w:rsid w:val="001C40C4"/>
    <w:rsid w:val="001D1231"/>
    <w:rsid w:val="001D13D0"/>
    <w:rsid w:val="001D158C"/>
    <w:rsid w:val="001D22F3"/>
    <w:rsid w:val="001D247A"/>
    <w:rsid w:val="001D2651"/>
    <w:rsid w:val="001D2C55"/>
    <w:rsid w:val="001D33B3"/>
    <w:rsid w:val="001D3C10"/>
    <w:rsid w:val="001D519B"/>
    <w:rsid w:val="001D5DAF"/>
    <w:rsid w:val="001D6BFD"/>
    <w:rsid w:val="001E08A9"/>
    <w:rsid w:val="001E0FE5"/>
    <w:rsid w:val="001E3010"/>
    <w:rsid w:val="001E3F63"/>
    <w:rsid w:val="001E4775"/>
    <w:rsid w:val="001E56E0"/>
    <w:rsid w:val="001E6442"/>
    <w:rsid w:val="001E7057"/>
    <w:rsid w:val="001F0FC8"/>
    <w:rsid w:val="001F1FA0"/>
    <w:rsid w:val="001F2525"/>
    <w:rsid w:val="001F2A79"/>
    <w:rsid w:val="001F33B4"/>
    <w:rsid w:val="001F3BF9"/>
    <w:rsid w:val="001F3E2C"/>
    <w:rsid w:val="001F458C"/>
    <w:rsid w:val="001F4BBB"/>
    <w:rsid w:val="001F4E70"/>
    <w:rsid w:val="002011A5"/>
    <w:rsid w:val="00201454"/>
    <w:rsid w:val="002018E0"/>
    <w:rsid w:val="002020B5"/>
    <w:rsid w:val="002023A9"/>
    <w:rsid w:val="00203284"/>
    <w:rsid w:val="002041FA"/>
    <w:rsid w:val="00205540"/>
    <w:rsid w:val="00205889"/>
    <w:rsid w:val="00205EFF"/>
    <w:rsid w:val="0020637F"/>
    <w:rsid w:val="002064BE"/>
    <w:rsid w:val="00207080"/>
    <w:rsid w:val="00207F6C"/>
    <w:rsid w:val="0021085E"/>
    <w:rsid w:val="00210983"/>
    <w:rsid w:val="00211E10"/>
    <w:rsid w:val="002122B1"/>
    <w:rsid w:val="002128A2"/>
    <w:rsid w:val="0021438D"/>
    <w:rsid w:val="00214F56"/>
    <w:rsid w:val="00216AFF"/>
    <w:rsid w:val="00216BF8"/>
    <w:rsid w:val="0022020C"/>
    <w:rsid w:val="0022038B"/>
    <w:rsid w:val="002216BF"/>
    <w:rsid w:val="0022187E"/>
    <w:rsid w:val="00222AFC"/>
    <w:rsid w:val="00223497"/>
    <w:rsid w:val="00224C06"/>
    <w:rsid w:val="002260EF"/>
    <w:rsid w:val="00226518"/>
    <w:rsid w:val="00226AA7"/>
    <w:rsid w:val="00227D4B"/>
    <w:rsid w:val="00230DF4"/>
    <w:rsid w:val="002314B6"/>
    <w:rsid w:val="0023176D"/>
    <w:rsid w:val="00231927"/>
    <w:rsid w:val="002325B9"/>
    <w:rsid w:val="00235B11"/>
    <w:rsid w:val="00235C70"/>
    <w:rsid w:val="002361DE"/>
    <w:rsid w:val="002365C0"/>
    <w:rsid w:val="002401D7"/>
    <w:rsid w:val="002416A0"/>
    <w:rsid w:val="00242777"/>
    <w:rsid w:val="00245C82"/>
    <w:rsid w:val="00247934"/>
    <w:rsid w:val="00247C21"/>
    <w:rsid w:val="00250EF4"/>
    <w:rsid w:val="00253214"/>
    <w:rsid w:val="002538CE"/>
    <w:rsid w:val="0025446F"/>
    <w:rsid w:val="00255AD0"/>
    <w:rsid w:val="00255E15"/>
    <w:rsid w:val="002561E1"/>
    <w:rsid w:val="00260B77"/>
    <w:rsid w:val="002614EB"/>
    <w:rsid w:val="002627D3"/>
    <w:rsid w:val="002633BD"/>
    <w:rsid w:val="00263B66"/>
    <w:rsid w:val="002661E4"/>
    <w:rsid w:val="00267A45"/>
    <w:rsid w:val="00270321"/>
    <w:rsid w:val="00270A00"/>
    <w:rsid w:val="00270D76"/>
    <w:rsid w:val="00271C36"/>
    <w:rsid w:val="00271EF8"/>
    <w:rsid w:val="00272171"/>
    <w:rsid w:val="0027259F"/>
    <w:rsid w:val="00273670"/>
    <w:rsid w:val="002822E3"/>
    <w:rsid w:val="0028320A"/>
    <w:rsid w:val="00283A97"/>
    <w:rsid w:val="00284E7D"/>
    <w:rsid w:val="00285044"/>
    <w:rsid w:val="0028580D"/>
    <w:rsid w:val="00285DC9"/>
    <w:rsid w:val="00291753"/>
    <w:rsid w:val="0029179F"/>
    <w:rsid w:val="00293DFE"/>
    <w:rsid w:val="0029565B"/>
    <w:rsid w:val="00295981"/>
    <w:rsid w:val="002970A1"/>
    <w:rsid w:val="002A01CB"/>
    <w:rsid w:val="002A06CA"/>
    <w:rsid w:val="002A0FD8"/>
    <w:rsid w:val="002A2564"/>
    <w:rsid w:val="002A3CAA"/>
    <w:rsid w:val="002A5D76"/>
    <w:rsid w:val="002A5F4C"/>
    <w:rsid w:val="002A6829"/>
    <w:rsid w:val="002A70F2"/>
    <w:rsid w:val="002A71C7"/>
    <w:rsid w:val="002B0B4E"/>
    <w:rsid w:val="002B1133"/>
    <w:rsid w:val="002B1C89"/>
    <w:rsid w:val="002B3853"/>
    <w:rsid w:val="002B6AA6"/>
    <w:rsid w:val="002B6BBE"/>
    <w:rsid w:val="002C0E28"/>
    <w:rsid w:val="002C21CA"/>
    <w:rsid w:val="002C28D6"/>
    <w:rsid w:val="002C40A2"/>
    <w:rsid w:val="002C51F1"/>
    <w:rsid w:val="002C7225"/>
    <w:rsid w:val="002D1EC7"/>
    <w:rsid w:val="002D31C2"/>
    <w:rsid w:val="002D3420"/>
    <w:rsid w:val="002D3F70"/>
    <w:rsid w:val="002D45BD"/>
    <w:rsid w:val="002D480A"/>
    <w:rsid w:val="002D6064"/>
    <w:rsid w:val="002D7CC9"/>
    <w:rsid w:val="002E37AE"/>
    <w:rsid w:val="002E430C"/>
    <w:rsid w:val="002E5FF1"/>
    <w:rsid w:val="002E7267"/>
    <w:rsid w:val="002F1E37"/>
    <w:rsid w:val="002F313A"/>
    <w:rsid w:val="002F33D4"/>
    <w:rsid w:val="002F56A2"/>
    <w:rsid w:val="002F6B4D"/>
    <w:rsid w:val="002F75CB"/>
    <w:rsid w:val="002F7CFA"/>
    <w:rsid w:val="00300412"/>
    <w:rsid w:val="0030095E"/>
    <w:rsid w:val="00301A04"/>
    <w:rsid w:val="00304157"/>
    <w:rsid w:val="00304D5B"/>
    <w:rsid w:val="003060F3"/>
    <w:rsid w:val="003061B6"/>
    <w:rsid w:val="003078F3"/>
    <w:rsid w:val="00307BCD"/>
    <w:rsid w:val="00310DDF"/>
    <w:rsid w:val="0031146F"/>
    <w:rsid w:val="00311E0B"/>
    <w:rsid w:val="003143CB"/>
    <w:rsid w:val="00315D21"/>
    <w:rsid w:val="00315EEE"/>
    <w:rsid w:val="00317824"/>
    <w:rsid w:val="00317B1D"/>
    <w:rsid w:val="00317DCB"/>
    <w:rsid w:val="00317F53"/>
    <w:rsid w:val="0032055A"/>
    <w:rsid w:val="00320D92"/>
    <w:rsid w:val="00321341"/>
    <w:rsid w:val="00322259"/>
    <w:rsid w:val="003239C0"/>
    <w:rsid w:val="00324766"/>
    <w:rsid w:val="00325E14"/>
    <w:rsid w:val="00326321"/>
    <w:rsid w:val="003268F6"/>
    <w:rsid w:val="003300BC"/>
    <w:rsid w:val="00330418"/>
    <w:rsid w:val="003307DD"/>
    <w:rsid w:val="00330FE6"/>
    <w:rsid w:val="003315D3"/>
    <w:rsid w:val="0033252F"/>
    <w:rsid w:val="00332E5B"/>
    <w:rsid w:val="0033495E"/>
    <w:rsid w:val="0033632C"/>
    <w:rsid w:val="00337344"/>
    <w:rsid w:val="00337466"/>
    <w:rsid w:val="003376E1"/>
    <w:rsid w:val="003401E1"/>
    <w:rsid w:val="003403FA"/>
    <w:rsid w:val="00340C47"/>
    <w:rsid w:val="00340F30"/>
    <w:rsid w:val="00341D22"/>
    <w:rsid w:val="00346A91"/>
    <w:rsid w:val="00347A81"/>
    <w:rsid w:val="00350931"/>
    <w:rsid w:val="0035093F"/>
    <w:rsid w:val="00351996"/>
    <w:rsid w:val="00353CCE"/>
    <w:rsid w:val="0035555B"/>
    <w:rsid w:val="00356188"/>
    <w:rsid w:val="003571DB"/>
    <w:rsid w:val="00357C9F"/>
    <w:rsid w:val="00360610"/>
    <w:rsid w:val="00360D96"/>
    <w:rsid w:val="00360D98"/>
    <w:rsid w:val="00361377"/>
    <w:rsid w:val="00361C6F"/>
    <w:rsid w:val="00361DF2"/>
    <w:rsid w:val="00363381"/>
    <w:rsid w:val="00363841"/>
    <w:rsid w:val="00365936"/>
    <w:rsid w:val="00365CA9"/>
    <w:rsid w:val="00366461"/>
    <w:rsid w:val="003668DD"/>
    <w:rsid w:val="00367464"/>
    <w:rsid w:val="00367E4D"/>
    <w:rsid w:val="0037086C"/>
    <w:rsid w:val="00371AE6"/>
    <w:rsid w:val="0037365E"/>
    <w:rsid w:val="00373793"/>
    <w:rsid w:val="00374C7C"/>
    <w:rsid w:val="003750B5"/>
    <w:rsid w:val="00375BA7"/>
    <w:rsid w:val="00375EEC"/>
    <w:rsid w:val="00375FA8"/>
    <w:rsid w:val="0037614B"/>
    <w:rsid w:val="00376CCC"/>
    <w:rsid w:val="00377360"/>
    <w:rsid w:val="0037758A"/>
    <w:rsid w:val="00381CFE"/>
    <w:rsid w:val="00381EAD"/>
    <w:rsid w:val="00383346"/>
    <w:rsid w:val="00385210"/>
    <w:rsid w:val="00386408"/>
    <w:rsid w:val="00387636"/>
    <w:rsid w:val="00387D45"/>
    <w:rsid w:val="00391159"/>
    <w:rsid w:val="003924E2"/>
    <w:rsid w:val="003A1E45"/>
    <w:rsid w:val="003A2455"/>
    <w:rsid w:val="003A2B46"/>
    <w:rsid w:val="003A35DA"/>
    <w:rsid w:val="003A3AE3"/>
    <w:rsid w:val="003A40EC"/>
    <w:rsid w:val="003A5335"/>
    <w:rsid w:val="003A6480"/>
    <w:rsid w:val="003A70F6"/>
    <w:rsid w:val="003B032F"/>
    <w:rsid w:val="003B09DE"/>
    <w:rsid w:val="003B1787"/>
    <w:rsid w:val="003B1EFB"/>
    <w:rsid w:val="003B20C6"/>
    <w:rsid w:val="003B300E"/>
    <w:rsid w:val="003B4AA9"/>
    <w:rsid w:val="003B6C99"/>
    <w:rsid w:val="003B6CF3"/>
    <w:rsid w:val="003C0AA7"/>
    <w:rsid w:val="003C1DBE"/>
    <w:rsid w:val="003C2DF1"/>
    <w:rsid w:val="003C2FD9"/>
    <w:rsid w:val="003C346D"/>
    <w:rsid w:val="003C3BE7"/>
    <w:rsid w:val="003C40B1"/>
    <w:rsid w:val="003C457F"/>
    <w:rsid w:val="003C4896"/>
    <w:rsid w:val="003C4AFA"/>
    <w:rsid w:val="003C5FDB"/>
    <w:rsid w:val="003C6975"/>
    <w:rsid w:val="003D0118"/>
    <w:rsid w:val="003D06C5"/>
    <w:rsid w:val="003D0E1F"/>
    <w:rsid w:val="003D33A6"/>
    <w:rsid w:val="003D4136"/>
    <w:rsid w:val="003D41D4"/>
    <w:rsid w:val="003D4EC4"/>
    <w:rsid w:val="003D5C96"/>
    <w:rsid w:val="003D769A"/>
    <w:rsid w:val="003E0361"/>
    <w:rsid w:val="003E0BCE"/>
    <w:rsid w:val="003E0FC3"/>
    <w:rsid w:val="003E32AE"/>
    <w:rsid w:val="003E3335"/>
    <w:rsid w:val="003E3B42"/>
    <w:rsid w:val="003E5B89"/>
    <w:rsid w:val="003E78C6"/>
    <w:rsid w:val="003E7B90"/>
    <w:rsid w:val="003F13FD"/>
    <w:rsid w:val="003F1A66"/>
    <w:rsid w:val="003F2ED6"/>
    <w:rsid w:val="003F46B9"/>
    <w:rsid w:val="003F47C2"/>
    <w:rsid w:val="003F4BA4"/>
    <w:rsid w:val="003F5B7D"/>
    <w:rsid w:val="003F6A75"/>
    <w:rsid w:val="003F71E4"/>
    <w:rsid w:val="00401237"/>
    <w:rsid w:val="00402661"/>
    <w:rsid w:val="00403253"/>
    <w:rsid w:val="004046F1"/>
    <w:rsid w:val="00404D24"/>
    <w:rsid w:val="0040591D"/>
    <w:rsid w:val="00407424"/>
    <w:rsid w:val="004077FD"/>
    <w:rsid w:val="00410068"/>
    <w:rsid w:val="0041135F"/>
    <w:rsid w:val="00411DE6"/>
    <w:rsid w:val="00413967"/>
    <w:rsid w:val="00413A9D"/>
    <w:rsid w:val="004146E7"/>
    <w:rsid w:val="0041490D"/>
    <w:rsid w:val="004150F8"/>
    <w:rsid w:val="0041702C"/>
    <w:rsid w:val="0041722D"/>
    <w:rsid w:val="004174B4"/>
    <w:rsid w:val="00417F0E"/>
    <w:rsid w:val="00422347"/>
    <w:rsid w:val="00422B17"/>
    <w:rsid w:val="00422B68"/>
    <w:rsid w:val="00422CE5"/>
    <w:rsid w:val="00422EF6"/>
    <w:rsid w:val="00423690"/>
    <w:rsid w:val="00423B09"/>
    <w:rsid w:val="00424A61"/>
    <w:rsid w:val="00425BDD"/>
    <w:rsid w:val="00426721"/>
    <w:rsid w:val="004303DD"/>
    <w:rsid w:val="0043044B"/>
    <w:rsid w:val="004304CD"/>
    <w:rsid w:val="00431609"/>
    <w:rsid w:val="004327B3"/>
    <w:rsid w:val="0043345C"/>
    <w:rsid w:val="00433A35"/>
    <w:rsid w:val="00433BA2"/>
    <w:rsid w:val="00433D5C"/>
    <w:rsid w:val="00434BAD"/>
    <w:rsid w:val="0043638B"/>
    <w:rsid w:val="00436878"/>
    <w:rsid w:val="00437155"/>
    <w:rsid w:val="004375BF"/>
    <w:rsid w:val="0044136C"/>
    <w:rsid w:val="00441E3D"/>
    <w:rsid w:val="00442375"/>
    <w:rsid w:val="004424E9"/>
    <w:rsid w:val="00442E01"/>
    <w:rsid w:val="00442FC2"/>
    <w:rsid w:val="00444432"/>
    <w:rsid w:val="004444F6"/>
    <w:rsid w:val="00445841"/>
    <w:rsid w:val="00446A45"/>
    <w:rsid w:val="00447162"/>
    <w:rsid w:val="004509BA"/>
    <w:rsid w:val="00451082"/>
    <w:rsid w:val="00451C1E"/>
    <w:rsid w:val="00452312"/>
    <w:rsid w:val="004568D4"/>
    <w:rsid w:val="004602B8"/>
    <w:rsid w:val="004602E8"/>
    <w:rsid w:val="00461A45"/>
    <w:rsid w:val="0046279A"/>
    <w:rsid w:val="00463267"/>
    <w:rsid w:val="00463873"/>
    <w:rsid w:val="0046448A"/>
    <w:rsid w:val="00464FD4"/>
    <w:rsid w:val="00464FDA"/>
    <w:rsid w:val="00465603"/>
    <w:rsid w:val="0046690D"/>
    <w:rsid w:val="00467C5F"/>
    <w:rsid w:val="00471415"/>
    <w:rsid w:val="004723CD"/>
    <w:rsid w:val="00472735"/>
    <w:rsid w:val="00472BB3"/>
    <w:rsid w:val="004737FF"/>
    <w:rsid w:val="00473AD5"/>
    <w:rsid w:val="0047503D"/>
    <w:rsid w:val="00475190"/>
    <w:rsid w:val="0047525F"/>
    <w:rsid w:val="00475D09"/>
    <w:rsid w:val="004761C1"/>
    <w:rsid w:val="00476D26"/>
    <w:rsid w:val="00480C55"/>
    <w:rsid w:val="0048157A"/>
    <w:rsid w:val="00481717"/>
    <w:rsid w:val="004818DA"/>
    <w:rsid w:val="00484330"/>
    <w:rsid w:val="0048471E"/>
    <w:rsid w:val="00484ECA"/>
    <w:rsid w:val="004852CC"/>
    <w:rsid w:val="00485C73"/>
    <w:rsid w:val="00486456"/>
    <w:rsid w:val="0048693D"/>
    <w:rsid w:val="00486E5D"/>
    <w:rsid w:val="00487BD3"/>
    <w:rsid w:val="00491EF7"/>
    <w:rsid w:val="00492470"/>
    <w:rsid w:val="00492576"/>
    <w:rsid w:val="00492A9B"/>
    <w:rsid w:val="00493974"/>
    <w:rsid w:val="004942E4"/>
    <w:rsid w:val="00496438"/>
    <w:rsid w:val="00496800"/>
    <w:rsid w:val="00496AC2"/>
    <w:rsid w:val="004973F1"/>
    <w:rsid w:val="004978C8"/>
    <w:rsid w:val="00497BCA"/>
    <w:rsid w:val="004A0DFE"/>
    <w:rsid w:val="004A2671"/>
    <w:rsid w:val="004A4272"/>
    <w:rsid w:val="004A4AFE"/>
    <w:rsid w:val="004A51B0"/>
    <w:rsid w:val="004A6B64"/>
    <w:rsid w:val="004A7967"/>
    <w:rsid w:val="004B0D3F"/>
    <w:rsid w:val="004B1969"/>
    <w:rsid w:val="004B3C82"/>
    <w:rsid w:val="004B4402"/>
    <w:rsid w:val="004B4F7D"/>
    <w:rsid w:val="004B51E9"/>
    <w:rsid w:val="004B6AFE"/>
    <w:rsid w:val="004B785B"/>
    <w:rsid w:val="004B7A46"/>
    <w:rsid w:val="004C1457"/>
    <w:rsid w:val="004C14ED"/>
    <w:rsid w:val="004C1BD9"/>
    <w:rsid w:val="004C1CE1"/>
    <w:rsid w:val="004C1FEC"/>
    <w:rsid w:val="004C2A18"/>
    <w:rsid w:val="004C3B88"/>
    <w:rsid w:val="004C4342"/>
    <w:rsid w:val="004C435A"/>
    <w:rsid w:val="004C65C9"/>
    <w:rsid w:val="004C7212"/>
    <w:rsid w:val="004C73E9"/>
    <w:rsid w:val="004D04C9"/>
    <w:rsid w:val="004D1AF4"/>
    <w:rsid w:val="004D2C82"/>
    <w:rsid w:val="004D356E"/>
    <w:rsid w:val="004D41E6"/>
    <w:rsid w:val="004D6193"/>
    <w:rsid w:val="004D7A9E"/>
    <w:rsid w:val="004E01FC"/>
    <w:rsid w:val="004E0BA7"/>
    <w:rsid w:val="004E2529"/>
    <w:rsid w:val="004E2C46"/>
    <w:rsid w:val="004E3536"/>
    <w:rsid w:val="004E4CCB"/>
    <w:rsid w:val="004F13B0"/>
    <w:rsid w:val="004F295D"/>
    <w:rsid w:val="004F413B"/>
    <w:rsid w:val="004F41E6"/>
    <w:rsid w:val="004F4744"/>
    <w:rsid w:val="004F4CFE"/>
    <w:rsid w:val="004F52A0"/>
    <w:rsid w:val="004F5FDA"/>
    <w:rsid w:val="004F6233"/>
    <w:rsid w:val="004F6CEA"/>
    <w:rsid w:val="0050026D"/>
    <w:rsid w:val="0050097D"/>
    <w:rsid w:val="00500CF9"/>
    <w:rsid w:val="00500FB6"/>
    <w:rsid w:val="00501A9A"/>
    <w:rsid w:val="00501B13"/>
    <w:rsid w:val="0050212C"/>
    <w:rsid w:val="005023EC"/>
    <w:rsid w:val="0050381D"/>
    <w:rsid w:val="00504466"/>
    <w:rsid w:val="00505788"/>
    <w:rsid w:val="00505C71"/>
    <w:rsid w:val="005063F8"/>
    <w:rsid w:val="00506D0A"/>
    <w:rsid w:val="005072A0"/>
    <w:rsid w:val="00507974"/>
    <w:rsid w:val="0051014C"/>
    <w:rsid w:val="00510679"/>
    <w:rsid w:val="00510A2E"/>
    <w:rsid w:val="00512110"/>
    <w:rsid w:val="00513768"/>
    <w:rsid w:val="00514053"/>
    <w:rsid w:val="0051417A"/>
    <w:rsid w:val="005149AF"/>
    <w:rsid w:val="005154E4"/>
    <w:rsid w:val="00517651"/>
    <w:rsid w:val="005209CD"/>
    <w:rsid w:val="0052272E"/>
    <w:rsid w:val="005256F6"/>
    <w:rsid w:val="00525A61"/>
    <w:rsid w:val="00525ACD"/>
    <w:rsid w:val="005265E7"/>
    <w:rsid w:val="00526BC6"/>
    <w:rsid w:val="00526D6E"/>
    <w:rsid w:val="00527079"/>
    <w:rsid w:val="00527C4B"/>
    <w:rsid w:val="00527E86"/>
    <w:rsid w:val="00527F8B"/>
    <w:rsid w:val="005317FA"/>
    <w:rsid w:val="005331BF"/>
    <w:rsid w:val="00533A17"/>
    <w:rsid w:val="005340C3"/>
    <w:rsid w:val="00534E57"/>
    <w:rsid w:val="00535E3C"/>
    <w:rsid w:val="005361A9"/>
    <w:rsid w:val="00536A67"/>
    <w:rsid w:val="00536D7C"/>
    <w:rsid w:val="00536FC1"/>
    <w:rsid w:val="00537659"/>
    <w:rsid w:val="00537E6C"/>
    <w:rsid w:val="00540336"/>
    <w:rsid w:val="00540876"/>
    <w:rsid w:val="00541911"/>
    <w:rsid w:val="005419AA"/>
    <w:rsid w:val="00541E07"/>
    <w:rsid w:val="00542576"/>
    <w:rsid w:val="00543171"/>
    <w:rsid w:val="00543648"/>
    <w:rsid w:val="00545CFE"/>
    <w:rsid w:val="00546663"/>
    <w:rsid w:val="005475B5"/>
    <w:rsid w:val="005475CD"/>
    <w:rsid w:val="00550AA2"/>
    <w:rsid w:val="00550D85"/>
    <w:rsid w:val="00552193"/>
    <w:rsid w:val="00552896"/>
    <w:rsid w:val="00554538"/>
    <w:rsid w:val="00554B47"/>
    <w:rsid w:val="005550BE"/>
    <w:rsid w:val="005565A8"/>
    <w:rsid w:val="00556FB8"/>
    <w:rsid w:val="00557213"/>
    <w:rsid w:val="0055788C"/>
    <w:rsid w:val="00561B0F"/>
    <w:rsid w:val="00562E26"/>
    <w:rsid w:val="00563ECF"/>
    <w:rsid w:val="005640B8"/>
    <w:rsid w:val="0056553D"/>
    <w:rsid w:val="00565F27"/>
    <w:rsid w:val="00566C39"/>
    <w:rsid w:val="00566DE2"/>
    <w:rsid w:val="005673FF"/>
    <w:rsid w:val="00567690"/>
    <w:rsid w:val="00567B56"/>
    <w:rsid w:val="00567FB3"/>
    <w:rsid w:val="00571356"/>
    <w:rsid w:val="00572692"/>
    <w:rsid w:val="00575626"/>
    <w:rsid w:val="005760E1"/>
    <w:rsid w:val="005768F4"/>
    <w:rsid w:val="005769A1"/>
    <w:rsid w:val="00581795"/>
    <w:rsid w:val="00581EF0"/>
    <w:rsid w:val="00585254"/>
    <w:rsid w:val="00585578"/>
    <w:rsid w:val="005859EC"/>
    <w:rsid w:val="00586396"/>
    <w:rsid w:val="0058661D"/>
    <w:rsid w:val="00586FED"/>
    <w:rsid w:val="0058708A"/>
    <w:rsid w:val="00587207"/>
    <w:rsid w:val="00587B3B"/>
    <w:rsid w:val="005909BD"/>
    <w:rsid w:val="00590C79"/>
    <w:rsid w:val="00591D39"/>
    <w:rsid w:val="00591F73"/>
    <w:rsid w:val="00592A96"/>
    <w:rsid w:val="00592E7D"/>
    <w:rsid w:val="00593308"/>
    <w:rsid w:val="0059597E"/>
    <w:rsid w:val="00595D88"/>
    <w:rsid w:val="00595EBE"/>
    <w:rsid w:val="00596300"/>
    <w:rsid w:val="00597149"/>
    <w:rsid w:val="005A1955"/>
    <w:rsid w:val="005A1A05"/>
    <w:rsid w:val="005A277B"/>
    <w:rsid w:val="005A2AA6"/>
    <w:rsid w:val="005A2B44"/>
    <w:rsid w:val="005A441F"/>
    <w:rsid w:val="005A6318"/>
    <w:rsid w:val="005B1269"/>
    <w:rsid w:val="005B13F5"/>
    <w:rsid w:val="005B27F0"/>
    <w:rsid w:val="005B28A9"/>
    <w:rsid w:val="005B5BD9"/>
    <w:rsid w:val="005B60AC"/>
    <w:rsid w:val="005B69C4"/>
    <w:rsid w:val="005B6FA7"/>
    <w:rsid w:val="005B78EA"/>
    <w:rsid w:val="005C073E"/>
    <w:rsid w:val="005C16EE"/>
    <w:rsid w:val="005C1D2E"/>
    <w:rsid w:val="005C3127"/>
    <w:rsid w:val="005C3557"/>
    <w:rsid w:val="005C5D21"/>
    <w:rsid w:val="005C6754"/>
    <w:rsid w:val="005C6A3E"/>
    <w:rsid w:val="005C71A0"/>
    <w:rsid w:val="005C754C"/>
    <w:rsid w:val="005C7EB9"/>
    <w:rsid w:val="005D084C"/>
    <w:rsid w:val="005D0ECD"/>
    <w:rsid w:val="005D1CCA"/>
    <w:rsid w:val="005D20F9"/>
    <w:rsid w:val="005D40FC"/>
    <w:rsid w:val="005D493B"/>
    <w:rsid w:val="005D51D3"/>
    <w:rsid w:val="005D64D4"/>
    <w:rsid w:val="005D7A9D"/>
    <w:rsid w:val="005E0337"/>
    <w:rsid w:val="005E1057"/>
    <w:rsid w:val="005E15E2"/>
    <w:rsid w:val="005E1830"/>
    <w:rsid w:val="005E1A2A"/>
    <w:rsid w:val="005E1A86"/>
    <w:rsid w:val="005E1D5C"/>
    <w:rsid w:val="005E231D"/>
    <w:rsid w:val="005E3145"/>
    <w:rsid w:val="005E3CB2"/>
    <w:rsid w:val="005E4097"/>
    <w:rsid w:val="005E643D"/>
    <w:rsid w:val="005E65CF"/>
    <w:rsid w:val="005E65D3"/>
    <w:rsid w:val="005E6A13"/>
    <w:rsid w:val="005E6C66"/>
    <w:rsid w:val="005E72CA"/>
    <w:rsid w:val="005F02FC"/>
    <w:rsid w:val="005F06B9"/>
    <w:rsid w:val="005F0B97"/>
    <w:rsid w:val="005F0E01"/>
    <w:rsid w:val="005F172B"/>
    <w:rsid w:val="005F182E"/>
    <w:rsid w:val="005F3130"/>
    <w:rsid w:val="005F31DD"/>
    <w:rsid w:val="005F4A9A"/>
    <w:rsid w:val="005F5139"/>
    <w:rsid w:val="005F597C"/>
    <w:rsid w:val="005F5B0F"/>
    <w:rsid w:val="005F5D95"/>
    <w:rsid w:val="005F6313"/>
    <w:rsid w:val="005F6DA2"/>
    <w:rsid w:val="005F751E"/>
    <w:rsid w:val="005F7874"/>
    <w:rsid w:val="0060142C"/>
    <w:rsid w:val="00601491"/>
    <w:rsid w:val="00602BA7"/>
    <w:rsid w:val="00602E74"/>
    <w:rsid w:val="006036CD"/>
    <w:rsid w:val="00603FB1"/>
    <w:rsid w:val="00603FFF"/>
    <w:rsid w:val="006047BA"/>
    <w:rsid w:val="006056B9"/>
    <w:rsid w:val="00607804"/>
    <w:rsid w:val="0061034F"/>
    <w:rsid w:val="00610FAD"/>
    <w:rsid w:val="006113F9"/>
    <w:rsid w:val="00612DE0"/>
    <w:rsid w:val="0061311F"/>
    <w:rsid w:val="006134AF"/>
    <w:rsid w:val="00613C3D"/>
    <w:rsid w:val="0061549B"/>
    <w:rsid w:val="006155BA"/>
    <w:rsid w:val="00615FCE"/>
    <w:rsid w:val="0061606F"/>
    <w:rsid w:val="00616263"/>
    <w:rsid w:val="006171BB"/>
    <w:rsid w:val="00617276"/>
    <w:rsid w:val="00617993"/>
    <w:rsid w:val="0062088D"/>
    <w:rsid w:val="0062124D"/>
    <w:rsid w:val="00621712"/>
    <w:rsid w:val="00621923"/>
    <w:rsid w:val="00625D34"/>
    <w:rsid w:val="00627168"/>
    <w:rsid w:val="006272BD"/>
    <w:rsid w:val="0063066F"/>
    <w:rsid w:val="00631C71"/>
    <w:rsid w:val="006353EA"/>
    <w:rsid w:val="00636F96"/>
    <w:rsid w:val="00637C69"/>
    <w:rsid w:val="0064085B"/>
    <w:rsid w:val="00641A78"/>
    <w:rsid w:val="00641C16"/>
    <w:rsid w:val="00643FE9"/>
    <w:rsid w:val="00645182"/>
    <w:rsid w:val="006466A2"/>
    <w:rsid w:val="00647750"/>
    <w:rsid w:val="00647F09"/>
    <w:rsid w:val="00647F7D"/>
    <w:rsid w:val="00650FD2"/>
    <w:rsid w:val="006526DF"/>
    <w:rsid w:val="00654F2C"/>
    <w:rsid w:val="0065662E"/>
    <w:rsid w:val="0066050C"/>
    <w:rsid w:val="006643F7"/>
    <w:rsid w:val="00665B38"/>
    <w:rsid w:val="006662C7"/>
    <w:rsid w:val="00666372"/>
    <w:rsid w:val="00667209"/>
    <w:rsid w:val="00670C28"/>
    <w:rsid w:val="00671537"/>
    <w:rsid w:val="00671D43"/>
    <w:rsid w:val="006722E7"/>
    <w:rsid w:val="006744F6"/>
    <w:rsid w:val="00675215"/>
    <w:rsid w:val="00677EB6"/>
    <w:rsid w:val="00680028"/>
    <w:rsid w:val="006819C8"/>
    <w:rsid w:val="006831EF"/>
    <w:rsid w:val="00685C09"/>
    <w:rsid w:val="00685D42"/>
    <w:rsid w:val="0068691B"/>
    <w:rsid w:val="00687073"/>
    <w:rsid w:val="006870B0"/>
    <w:rsid w:val="006903EA"/>
    <w:rsid w:val="00690F85"/>
    <w:rsid w:val="00691672"/>
    <w:rsid w:val="00692720"/>
    <w:rsid w:val="00693440"/>
    <w:rsid w:val="00693A78"/>
    <w:rsid w:val="00696809"/>
    <w:rsid w:val="00696D14"/>
    <w:rsid w:val="00696F89"/>
    <w:rsid w:val="00697932"/>
    <w:rsid w:val="006A03AD"/>
    <w:rsid w:val="006A0F38"/>
    <w:rsid w:val="006A1016"/>
    <w:rsid w:val="006A145C"/>
    <w:rsid w:val="006A164F"/>
    <w:rsid w:val="006A1D13"/>
    <w:rsid w:val="006A453C"/>
    <w:rsid w:val="006A523A"/>
    <w:rsid w:val="006A5D5F"/>
    <w:rsid w:val="006A5EBA"/>
    <w:rsid w:val="006A67E9"/>
    <w:rsid w:val="006A758F"/>
    <w:rsid w:val="006B0B1F"/>
    <w:rsid w:val="006B1ED0"/>
    <w:rsid w:val="006B3989"/>
    <w:rsid w:val="006B3B93"/>
    <w:rsid w:val="006B52CF"/>
    <w:rsid w:val="006B5309"/>
    <w:rsid w:val="006B5DE7"/>
    <w:rsid w:val="006B6785"/>
    <w:rsid w:val="006B6D9F"/>
    <w:rsid w:val="006B7188"/>
    <w:rsid w:val="006C0C94"/>
    <w:rsid w:val="006C1481"/>
    <w:rsid w:val="006C1A60"/>
    <w:rsid w:val="006C1E33"/>
    <w:rsid w:val="006C24BC"/>
    <w:rsid w:val="006C290F"/>
    <w:rsid w:val="006C34B1"/>
    <w:rsid w:val="006C452B"/>
    <w:rsid w:val="006C4668"/>
    <w:rsid w:val="006C4F82"/>
    <w:rsid w:val="006C54D0"/>
    <w:rsid w:val="006C693A"/>
    <w:rsid w:val="006D0552"/>
    <w:rsid w:val="006D177F"/>
    <w:rsid w:val="006D1E8A"/>
    <w:rsid w:val="006D2861"/>
    <w:rsid w:val="006D29C6"/>
    <w:rsid w:val="006D42D6"/>
    <w:rsid w:val="006D55B0"/>
    <w:rsid w:val="006D5899"/>
    <w:rsid w:val="006D5F08"/>
    <w:rsid w:val="006D671E"/>
    <w:rsid w:val="006D69F7"/>
    <w:rsid w:val="006D6A68"/>
    <w:rsid w:val="006D6F19"/>
    <w:rsid w:val="006E018C"/>
    <w:rsid w:val="006E029E"/>
    <w:rsid w:val="006E0A6C"/>
    <w:rsid w:val="006E1304"/>
    <w:rsid w:val="006E1A06"/>
    <w:rsid w:val="006E25D4"/>
    <w:rsid w:val="006E5C0E"/>
    <w:rsid w:val="006E611A"/>
    <w:rsid w:val="006E6C1E"/>
    <w:rsid w:val="006E6F33"/>
    <w:rsid w:val="006F0646"/>
    <w:rsid w:val="006F1C8A"/>
    <w:rsid w:val="006F2129"/>
    <w:rsid w:val="006F26C5"/>
    <w:rsid w:val="006F3581"/>
    <w:rsid w:val="006F3660"/>
    <w:rsid w:val="006F3EAC"/>
    <w:rsid w:val="006F41AC"/>
    <w:rsid w:val="006F435A"/>
    <w:rsid w:val="006F457C"/>
    <w:rsid w:val="006F4CBF"/>
    <w:rsid w:val="006F4E3B"/>
    <w:rsid w:val="006F4EBA"/>
    <w:rsid w:val="006F59D2"/>
    <w:rsid w:val="006F6728"/>
    <w:rsid w:val="0070075D"/>
    <w:rsid w:val="00700D03"/>
    <w:rsid w:val="00700FAC"/>
    <w:rsid w:val="007010AB"/>
    <w:rsid w:val="007027BF"/>
    <w:rsid w:val="00702EE9"/>
    <w:rsid w:val="007030F0"/>
    <w:rsid w:val="00703C09"/>
    <w:rsid w:val="00705A2D"/>
    <w:rsid w:val="00705BAB"/>
    <w:rsid w:val="00705D13"/>
    <w:rsid w:val="00705DD1"/>
    <w:rsid w:val="00705FF0"/>
    <w:rsid w:val="0070667E"/>
    <w:rsid w:val="00706AFE"/>
    <w:rsid w:val="007076B3"/>
    <w:rsid w:val="00710151"/>
    <w:rsid w:val="0071016A"/>
    <w:rsid w:val="00710A9B"/>
    <w:rsid w:val="00711D4F"/>
    <w:rsid w:val="00712321"/>
    <w:rsid w:val="00712FBA"/>
    <w:rsid w:val="007132BB"/>
    <w:rsid w:val="00713EBF"/>
    <w:rsid w:val="00714203"/>
    <w:rsid w:val="00714D52"/>
    <w:rsid w:val="00716039"/>
    <w:rsid w:val="00716D2B"/>
    <w:rsid w:val="00717C52"/>
    <w:rsid w:val="00720420"/>
    <w:rsid w:val="00720731"/>
    <w:rsid w:val="007217A4"/>
    <w:rsid w:val="0072258B"/>
    <w:rsid w:val="007228D3"/>
    <w:rsid w:val="00722F39"/>
    <w:rsid w:val="00723909"/>
    <w:rsid w:val="00723C25"/>
    <w:rsid w:val="007248E6"/>
    <w:rsid w:val="00726CA4"/>
    <w:rsid w:val="007308F6"/>
    <w:rsid w:val="00730ACF"/>
    <w:rsid w:val="007316B7"/>
    <w:rsid w:val="00731931"/>
    <w:rsid w:val="00731BD8"/>
    <w:rsid w:val="0073272C"/>
    <w:rsid w:val="0073290F"/>
    <w:rsid w:val="00732972"/>
    <w:rsid w:val="007350F0"/>
    <w:rsid w:val="00735544"/>
    <w:rsid w:val="00736233"/>
    <w:rsid w:val="0073644C"/>
    <w:rsid w:val="0074026D"/>
    <w:rsid w:val="00740C88"/>
    <w:rsid w:val="0074111C"/>
    <w:rsid w:val="00741409"/>
    <w:rsid w:val="00741939"/>
    <w:rsid w:val="00742068"/>
    <w:rsid w:val="0074342B"/>
    <w:rsid w:val="0074440E"/>
    <w:rsid w:val="0074688B"/>
    <w:rsid w:val="00747CB7"/>
    <w:rsid w:val="00750511"/>
    <w:rsid w:val="00750A7A"/>
    <w:rsid w:val="00752212"/>
    <w:rsid w:val="007539DE"/>
    <w:rsid w:val="007541DA"/>
    <w:rsid w:val="00754E13"/>
    <w:rsid w:val="00754F18"/>
    <w:rsid w:val="00755A32"/>
    <w:rsid w:val="007560A6"/>
    <w:rsid w:val="00756D25"/>
    <w:rsid w:val="007573B8"/>
    <w:rsid w:val="007604DC"/>
    <w:rsid w:val="0076052B"/>
    <w:rsid w:val="00760630"/>
    <w:rsid w:val="0076123A"/>
    <w:rsid w:val="007617DA"/>
    <w:rsid w:val="00761A87"/>
    <w:rsid w:val="007635A4"/>
    <w:rsid w:val="007641B5"/>
    <w:rsid w:val="007651E0"/>
    <w:rsid w:val="007656F8"/>
    <w:rsid w:val="007657D7"/>
    <w:rsid w:val="007658C1"/>
    <w:rsid w:val="007661BE"/>
    <w:rsid w:val="00767BC2"/>
    <w:rsid w:val="00767DA2"/>
    <w:rsid w:val="00770A5B"/>
    <w:rsid w:val="00772CFD"/>
    <w:rsid w:val="0077768E"/>
    <w:rsid w:val="00780B3E"/>
    <w:rsid w:val="00783D71"/>
    <w:rsid w:val="007862C6"/>
    <w:rsid w:val="007873BE"/>
    <w:rsid w:val="00790138"/>
    <w:rsid w:val="00790EFF"/>
    <w:rsid w:val="007912E5"/>
    <w:rsid w:val="007936ED"/>
    <w:rsid w:val="007956CB"/>
    <w:rsid w:val="00797917"/>
    <w:rsid w:val="00797E84"/>
    <w:rsid w:val="00797ECE"/>
    <w:rsid w:val="007A01D6"/>
    <w:rsid w:val="007A24FB"/>
    <w:rsid w:val="007A27CF"/>
    <w:rsid w:val="007A3668"/>
    <w:rsid w:val="007A49D1"/>
    <w:rsid w:val="007A4F09"/>
    <w:rsid w:val="007A5E2D"/>
    <w:rsid w:val="007A6E92"/>
    <w:rsid w:val="007A7701"/>
    <w:rsid w:val="007B0EE2"/>
    <w:rsid w:val="007B1C1A"/>
    <w:rsid w:val="007B266D"/>
    <w:rsid w:val="007B43BC"/>
    <w:rsid w:val="007B456A"/>
    <w:rsid w:val="007B51E3"/>
    <w:rsid w:val="007B6A15"/>
    <w:rsid w:val="007B6BF0"/>
    <w:rsid w:val="007B6DB3"/>
    <w:rsid w:val="007C0414"/>
    <w:rsid w:val="007C1FCA"/>
    <w:rsid w:val="007C279E"/>
    <w:rsid w:val="007C2894"/>
    <w:rsid w:val="007C4415"/>
    <w:rsid w:val="007C595E"/>
    <w:rsid w:val="007C5D6E"/>
    <w:rsid w:val="007C7789"/>
    <w:rsid w:val="007D17C3"/>
    <w:rsid w:val="007D22BC"/>
    <w:rsid w:val="007D2392"/>
    <w:rsid w:val="007D4542"/>
    <w:rsid w:val="007D4F8F"/>
    <w:rsid w:val="007D62D4"/>
    <w:rsid w:val="007D69C1"/>
    <w:rsid w:val="007D711E"/>
    <w:rsid w:val="007D7287"/>
    <w:rsid w:val="007E19E8"/>
    <w:rsid w:val="007E1F7A"/>
    <w:rsid w:val="007E25F1"/>
    <w:rsid w:val="007E2649"/>
    <w:rsid w:val="007E2A79"/>
    <w:rsid w:val="007E3336"/>
    <w:rsid w:val="007E3B52"/>
    <w:rsid w:val="007E3CE3"/>
    <w:rsid w:val="007E43BC"/>
    <w:rsid w:val="007E5850"/>
    <w:rsid w:val="007E5DBF"/>
    <w:rsid w:val="007E5E41"/>
    <w:rsid w:val="007E6F11"/>
    <w:rsid w:val="007E7282"/>
    <w:rsid w:val="007E76B0"/>
    <w:rsid w:val="007E776F"/>
    <w:rsid w:val="007E7838"/>
    <w:rsid w:val="007E7FCD"/>
    <w:rsid w:val="007F08ED"/>
    <w:rsid w:val="007F0CC7"/>
    <w:rsid w:val="007F16FB"/>
    <w:rsid w:val="007F2AAE"/>
    <w:rsid w:val="007F3B31"/>
    <w:rsid w:val="007F4AEE"/>
    <w:rsid w:val="007F5270"/>
    <w:rsid w:val="007F5478"/>
    <w:rsid w:val="007F570F"/>
    <w:rsid w:val="007F6773"/>
    <w:rsid w:val="007F71DA"/>
    <w:rsid w:val="007F7580"/>
    <w:rsid w:val="007F78D2"/>
    <w:rsid w:val="00800235"/>
    <w:rsid w:val="0080070A"/>
    <w:rsid w:val="0080167A"/>
    <w:rsid w:val="008029D0"/>
    <w:rsid w:val="00803AB4"/>
    <w:rsid w:val="0080409B"/>
    <w:rsid w:val="00805D16"/>
    <w:rsid w:val="008078FF"/>
    <w:rsid w:val="00810FC9"/>
    <w:rsid w:val="00811F44"/>
    <w:rsid w:val="00812CC0"/>
    <w:rsid w:val="0081329B"/>
    <w:rsid w:val="0081494A"/>
    <w:rsid w:val="00814EC8"/>
    <w:rsid w:val="0081520C"/>
    <w:rsid w:val="00816C26"/>
    <w:rsid w:val="00816DFD"/>
    <w:rsid w:val="008220D2"/>
    <w:rsid w:val="008220E7"/>
    <w:rsid w:val="008229AE"/>
    <w:rsid w:val="00823EED"/>
    <w:rsid w:val="008240A0"/>
    <w:rsid w:val="0082581A"/>
    <w:rsid w:val="0082622D"/>
    <w:rsid w:val="00826B2A"/>
    <w:rsid w:val="00827E08"/>
    <w:rsid w:val="00830586"/>
    <w:rsid w:val="00831558"/>
    <w:rsid w:val="00832127"/>
    <w:rsid w:val="00832500"/>
    <w:rsid w:val="00833A1F"/>
    <w:rsid w:val="0083441D"/>
    <w:rsid w:val="00834832"/>
    <w:rsid w:val="00834D13"/>
    <w:rsid w:val="00834D61"/>
    <w:rsid w:val="008358BB"/>
    <w:rsid w:val="00835EB8"/>
    <w:rsid w:val="00836889"/>
    <w:rsid w:val="008372FE"/>
    <w:rsid w:val="00844CC6"/>
    <w:rsid w:val="00844E3A"/>
    <w:rsid w:val="00847613"/>
    <w:rsid w:val="00850BA1"/>
    <w:rsid w:val="008514BA"/>
    <w:rsid w:val="008517DA"/>
    <w:rsid w:val="008519C5"/>
    <w:rsid w:val="00851A0D"/>
    <w:rsid w:val="00851C39"/>
    <w:rsid w:val="00852F95"/>
    <w:rsid w:val="008531FB"/>
    <w:rsid w:val="00855E1E"/>
    <w:rsid w:val="0085697F"/>
    <w:rsid w:val="00857FDE"/>
    <w:rsid w:val="0086058E"/>
    <w:rsid w:val="00860E4B"/>
    <w:rsid w:val="0086145D"/>
    <w:rsid w:val="00861714"/>
    <w:rsid w:val="00862238"/>
    <w:rsid w:val="008631C2"/>
    <w:rsid w:val="008632A9"/>
    <w:rsid w:val="008647A9"/>
    <w:rsid w:val="008649A3"/>
    <w:rsid w:val="008654AA"/>
    <w:rsid w:val="00865C16"/>
    <w:rsid w:val="0086754A"/>
    <w:rsid w:val="00867E3E"/>
    <w:rsid w:val="00870974"/>
    <w:rsid w:val="008720C5"/>
    <w:rsid w:val="00872259"/>
    <w:rsid w:val="00873020"/>
    <w:rsid w:val="00873670"/>
    <w:rsid w:val="00873DAB"/>
    <w:rsid w:val="00874116"/>
    <w:rsid w:val="00874141"/>
    <w:rsid w:val="0087498B"/>
    <w:rsid w:val="00874BF5"/>
    <w:rsid w:val="00874FAB"/>
    <w:rsid w:val="00875ACB"/>
    <w:rsid w:val="00877DA5"/>
    <w:rsid w:val="0088016B"/>
    <w:rsid w:val="008805AA"/>
    <w:rsid w:val="0088117B"/>
    <w:rsid w:val="00881E0A"/>
    <w:rsid w:val="00882D1D"/>
    <w:rsid w:val="008834C3"/>
    <w:rsid w:val="0088502D"/>
    <w:rsid w:val="00885891"/>
    <w:rsid w:val="00885915"/>
    <w:rsid w:val="0088603C"/>
    <w:rsid w:val="00886611"/>
    <w:rsid w:val="008877E6"/>
    <w:rsid w:val="00887F8D"/>
    <w:rsid w:val="00890EA8"/>
    <w:rsid w:val="00891C4C"/>
    <w:rsid w:val="0089214D"/>
    <w:rsid w:val="008922BE"/>
    <w:rsid w:val="008931E5"/>
    <w:rsid w:val="008938A8"/>
    <w:rsid w:val="008949F7"/>
    <w:rsid w:val="00895683"/>
    <w:rsid w:val="0089663E"/>
    <w:rsid w:val="0089792E"/>
    <w:rsid w:val="008A0602"/>
    <w:rsid w:val="008A0679"/>
    <w:rsid w:val="008A2126"/>
    <w:rsid w:val="008A28A6"/>
    <w:rsid w:val="008A2A5D"/>
    <w:rsid w:val="008A2DD4"/>
    <w:rsid w:val="008A2F8B"/>
    <w:rsid w:val="008A3E7B"/>
    <w:rsid w:val="008A4554"/>
    <w:rsid w:val="008A457F"/>
    <w:rsid w:val="008A4C45"/>
    <w:rsid w:val="008A552B"/>
    <w:rsid w:val="008A56F0"/>
    <w:rsid w:val="008A59D0"/>
    <w:rsid w:val="008A59ED"/>
    <w:rsid w:val="008A5F70"/>
    <w:rsid w:val="008A6CD2"/>
    <w:rsid w:val="008A791D"/>
    <w:rsid w:val="008A7B28"/>
    <w:rsid w:val="008A7B52"/>
    <w:rsid w:val="008B0031"/>
    <w:rsid w:val="008B0132"/>
    <w:rsid w:val="008B1BF7"/>
    <w:rsid w:val="008B2709"/>
    <w:rsid w:val="008B286F"/>
    <w:rsid w:val="008B28D0"/>
    <w:rsid w:val="008B2C88"/>
    <w:rsid w:val="008B2F56"/>
    <w:rsid w:val="008B3326"/>
    <w:rsid w:val="008B3988"/>
    <w:rsid w:val="008B3BD3"/>
    <w:rsid w:val="008B5833"/>
    <w:rsid w:val="008B6373"/>
    <w:rsid w:val="008B737C"/>
    <w:rsid w:val="008B777D"/>
    <w:rsid w:val="008C2417"/>
    <w:rsid w:val="008C4852"/>
    <w:rsid w:val="008C5023"/>
    <w:rsid w:val="008C5091"/>
    <w:rsid w:val="008C5327"/>
    <w:rsid w:val="008C5E88"/>
    <w:rsid w:val="008C6A27"/>
    <w:rsid w:val="008D088D"/>
    <w:rsid w:val="008D0945"/>
    <w:rsid w:val="008D2D0D"/>
    <w:rsid w:val="008D3867"/>
    <w:rsid w:val="008D47B6"/>
    <w:rsid w:val="008D4D31"/>
    <w:rsid w:val="008D59C6"/>
    <w:rsid w:val="008D5A53"/>
    <w:rsid w:val="008D5B96"/>
    <w:rsid w:val="008D7E4B"/>
    <w:rsid w:val="008E0037"/>
    <w:rsid w:val="008E1186"/>
    <w:rsid w:val="008E25A7"/>
    <w:rsid w:val="008E3074"/>
    <w:rsid w:val="008E353E"/>
    <w:rsid w:val="008E36CB"/>
    <w:rsid w:val="008E4581"/>
    <w:rsid w:val="008E4C04"/>
    <w:rsid w:val="008E5733"/>
    <w:rsid w:val="008E5B02"/>
    <w:rsid w:val="008E79E1"/>
    <w:rsid w:val="008F028F"/>
    <w:rsid w:val="008F0348"/>
    <w:rsid w:val="008F1C49"/>
    <w:rsid w:val="008F215C"/>
    <w:rsid w:val="008F236E"/>
    <w:rsid w:val="008F33BB"/>
    <w:rsid w:val="008F34F0"/>
    <w:rsid w:val="008F35CA"/>
    <w:rsid w:val="008F5445"/>
    <w:rsid w:val="008F54C0"/>
    <w:rsid w:val="008F598F"/>
    <w:rsid w:val="008F5F7A"/>
    <w:rsid w:val="008F6EBA"/>
    <w:rsid w:val="008F707E"/>
    <w:rsid w:val="008F7DC9"/>
    <w:rsid w:val="00900091"/>
    <w:rsid w:val="0090175F"/>
    <w:rsid w:val="00901FED"/>
    <w:rsid w:val="00902C7C"/>
    <w:rsid w:val="0090323C"/>
    <w:rsid w:val="00904838"/>
    <w:rsid w:val="00904878"/>
    <w:rsid w:val="00905918"/>
    <w:rsid w:val="0090638D"/>
    <w:rsid w:val="009075F7"/>
    <w:rsid w:val="009079E1"/>
    <w:rsid w:val="009108E1"/>
    <w:rsid w:val="00910DF4"/>
    <w:rsid w:val="009112A4"/>
    <w:rsid w:val="009112E3"/>
    <w:rsid w:val="00911B96"/>
    <w:rsid w:val="00912AE5"/>
    <w:rsid w:val="00914528"/>
    <w:rsid w:val="00914766"/>
    <w:rsid w:val="0091503C"/>
    <w:rsid w:val="0091558B"/>
    <w:rsid w:val="0091582C"/>
    <w:rsid w:val="00916399"/>
    <w:rsid w:val="009166F4"/>
    <w:rsid w:val="009169A5"/>
    <w:rsid w:val="00916DD5"/>
    <w:rsid w:val="009177CF"/>
    <w:rsid w:val="00922078"/>
    <w:rsid w:val="00922F97"/>
    <w:rsid w:val="00924F64"/>
    <w:rsid w:val="009251F7"/>
    <w:rsid w:val="009275C7"/>
    <w:rsid w:val="00927EF7"/>
    <w:rsid w:val="00930444"/>
    <w:rsid w:val="00930643"/>
    <w:rsid w:val="00930D1B"/>
    <w:rsid w:val="00930D8F"/>
    <w:rsid w:val="0093242F"/>
    <w:rsid w:val="00935D3C"/>
    <w:rsid w:val="00937081"/>
    <w:rsid w:val="00937876"/>
    <w:rsid w:val="00940CF4"/>
    <w:rsid w:val="00941AE8"/>
    <w:rsid w:val="00942F17"/>
    <w:rsid w:val="00944402"/>
    <w:rsid w:val="0094484D"/>
    <w:rsid w:val="00945599"/>
    <w:rsid w:val="009466CF"/>
    <w:rsid w:val="009501BF"/>
    <w:rsid w:val="009509C8"/>
    <w:rsid w:val="00951B60"/>
    <w:rsid w:val="009523CA"/>
    <w:rsid w:val="00952C45"/>
    <w:rsid w:val="00952D92"/>
    <w:rsid w:val="00953754"/>
    <w:rsid w:val="009549AE"/>
    <w:rsid w:val="00956D1B"/>
    <w:rsid w:val="00957BF4"/>
    <w:rsid w:val="009601E7"/>
    <w:rsid w:val="00960688"/>
    <w:rsid w:val="00960B25"/>
    <w:rsid w:val="00964EEE"/>
    <w:rsid w:val="00965E22"/>
    <w:rsid w:val="00966AAB"/>
    <w:rsid w:val="00967407"/>
    <w:rsid w:val="009702E8"/>
    <w:rsid w:val="0097145D"/>
    <w:rsid w:val="00971632"/>
    <w:rsid w:val="00972581"/>
    <w:rsid w:val="00974051"/>
    <w:rsid w:val="00974804"/>
    <w:rsid w:val="00975064"/>
    <w:rsid w:val="00975CE8"/>
    <w:rsid w:val="00976BFE"/>
    <w:rsid w:val="009771B3"/>
    <w:rsid w:val="009778DE"/>
    <w:rsid w:val="00977BC2"/>
    <w:rsid w:val="00980560"/>
    <w:rsid w:val="009807CA"/>
    <w:rsid w:val="0098090E"/>
    <w:rsid w:val="00980DC6"/>
    <w:rsid w:val="00981143"/>
    <w:rsid w:val="00981B4A"/>
    <w:rsid w:val="00981F92"/>
    <w:rsid w:val="0098249F"/>
    <w:rsid w:val="009826DC"/>
    <w:rsid w:val="00982C67"/>
    <w:rsid w:val="00982D56"/>
    <w:rsid w:val="00984AF6"/>
    <w:rsid w:val="00984CFB"/>
    <w:rsid w:val="00985176"/>
    <w:rsid w:val="00985655"/>
    <w:rsid w:val="0098636F"/>
    <w:rsid w:val="009867E6"/>
    <w:rsid w:val="00986B52"/>
    <w:rsid w:val="00990A53"/>
    <w:rsid w:val="00991472"/>
    <w:rsid w:val="00991F04"/>
    <w:rsid w:val="009944F4"/>
    <w:rsid w:val="00995B5E"/>
    <w:rsid w:val="009968B7"/>
    <w:rsid w:val="00996946"/>
    <w:rsid w:val="00996A40"/>
    <w:rsid w:val="00996B76"/>
    <w:rsid w:val="00996DEE"/>
    <w:rsid w:val="00996E1D"/>
    <w:rsid w:val="00997F88"/>
    <w:rsid w:val="009A1268"/>
    <w:rsid w:val="009A1301"/>
    <w:rsid w:val="009A160F"/>
    <w:rsid w:val="009A1CCD"/>
    <w:rsid w:val="009A2DA0"/>
    <w:rsid w:val="009A332F"/>
    <w:rsid w:val="009A39F2"/>
    <w:rsid w:val="009A3BAA"/>
    <w:rsid w:val="009B00F7"/>
    <w:rsid w:val="009B0AF2"/>
    <w:rsid w:val="009B30FE"/>
    <w:rsid w:val="009B357D"/>
    <w:rsid w:val="009B3CD2"/>
    <w:rsid w:val="009B4053"/>
    <w:rsid w:val="009B44B5"/>
    <w:rsid w:val="009B5541"/>
    <w:rsid w:val="009B7284"/>
    <w:rsid w:val="009C077B"/>
    <w:rsid w:val="009C1048"/>
    <w:rsid w:val="009C11BA"/>
    <w:rsid w:val="009C12C3"/>
    <w:rsid w:val="009C1C3C"/>
    <w:rsid w:val="009C2B99"/>
    <w:rsid w:val="009C3929"/>
    <w:rsid w:val="009C542C"/>
    <w:rsid w:val="009C57A3"/>
    <w:rsid w:val="009C5D27"/>
    <w:rsid w:val="009C62EF"/>
    <w:rsid w:val="009C7F3B"/>
    <w:rsid w:val="009D10C4"/>
    <w:rsid w:val="009D16DC"/>
    <w:rsid w:val="009D208F"/>
    <w:rsid w:val="009D2EFE"/>
    <w:rsid w:val="009D3F5D"/>
    <w:rsid w:val="009D5796"/>
    <w:rsid w:val="009D594B"/>
    <w:rsid w:val="009D5C5F"/>
    <w:rsid w:val="009D6CF3"/>
    <w:rsid w:val="009D77C8"/>
    <w:rsid w:val="009E06CE"/>
    <w:rsid w:val="009E13C1"/>
    <w:rsid w:val="009E1419"/>
    <w:rsid w:val="009E172E"/>
    <w:rsid w:val="009E5249"/>
    <w:rsid w:val="009E54F5"/>
    <w:rsid w:val="009E54FD"/>
    <w:rsid w:val="009E5FBE"/>
    <w:rsid w:val="009E738A"/>
    <w:rsid w:val="009E79A8"/>
    <w:rsid w:val="009F045D"/>
    <w:rsid w:val="009F14CA"/>
    <w:rsid w:val="009F2134"/>
    <w:rsid w:val="009F21DA"/>
    <w:rsid w:val="009F28B1"/>
    <w:rsid w:val="009F37B9"/>
    <w:rsid w:val="009F3CB2"/>
    <w:rsid w:val="009F47A0"/>
    <w:rsid w:val="009F47E2"/>
    <w:rsid w:val="009F52E0"/>
    <w:rsid w:val="009F5647"/>
    <w:rsid w:val="009F596F"/>
    <w:rsid w:val="009F6F10"/>
    <w:rsid w:val="009F756C"/>
    <w:rsid w:val="009F7681"/>
    <w:rsid w:val="00A00949"/>
    <w:rsid w:val="00A0134A"/>
    <w:rsid w:val="00A01A74"/>
    <w:rsid w:val="00A0479E"/>
    <w:rsid w:val="00A048D8"/>
    <w:rsid w:val="00A05082"/>
    <w:rsid w:val="00A05E8D"/>
    <w:rsid w:val="00A065D3"/>
    <w:rsid w:val="00A07211"/>
    <w:rsid w:val="00A101C3"/>
    <w:rsid w:val="00A1222F"/>
    <w:rsid w:val="00A12A89"/>
    <w:rsid w:val="00A13E23"/>
    <w:rsid w:val="00A16180"/>
    <w:rsid w:val="00A1707E"/>
    <w:rsid w:val="00A21718"/>
    <w:rsid w:val="00A223D2"/>
    <w:rsid w:val="00A24B6E"/>
    <w:rsid w:val="00A25031"/>
    <w:rsid w:val="00A25F40"/>
    <w:rsid w:val="00A263F0"/>
    <w:rsid w:val="00A27CDB"/>
    <w:rsid w:val="00A32C7E"/>
    <w:rsid w:val="00A33269"/>
    <w:rsid w:val="00A338E9"/>
    <w:rsid w:val="00A340DE"/>
    <w:rsid w:val="00A34984"/>
    <w:rsid w:val="00A3547C"/>
    <w:rsid w:val="00A361D5"/>
    <w:rsid w:val="00A40702"/>
    <w:rsid w:val="00A40D35"/>
    <w:rsid w:val="00A41700"/>
    <w:rsid w:val="00A42176"/>
    <w:rsid w:val="00A42B33"/>
    <w:rsid w:val="00A43405"/>
    <w:rsid w:val="00A441F3"/>
    <w:rsid w:val="00A443FF"/>
    <w:rsid w:val="00A44ECA"/>
    <w:rsid w:val="00A51584"/>
    <w:rsid w:val="00A51ACE"/>
    <w:rsid w:val="00A54A1B"/>
    <w:rsid w:val="00A54EB0"/>
    <w:rsid w:val="00A5745F"/>
    <w:rsid w:val="00A60545"/>
    <w:rsid w:val="00A6392C"/>
    <w:rsid w:val="00A63A48"/>
    <w:rsid w:val="00A642C3"/>
    <w:rsid w:val="00A65242"/>
    <w:rsid w:val="00A6528F"/>
    <w:rsid w:val="00A6569B"/>
    <w:rsid w:val="00A665F6"/>
    <w:rsid w:val="00A66824"/>
    <w:rsid w:val="00A670E8"/>
    <w:rsid w:val="00A67268"/>
    <w:rsid w:val="00A674AB"/>
    <w:rsid w:val="00A709A4"/>
    <w:rsid w:val="00A716FE"/>
    <w:rsid w:val="00A726A7"/>
    <w:rsid w:val="00A72AC9"/>
    <w:rsid w:val="00A72F6F"/>
    <w:rsid w:val="00A73221"/>
    <w:rsid w:val="00A7576F"/>
    <w:rsid w:val="00A76CAB"/>
    <w:rsid w:val="00A76F1C"/>
    <w:rsid w:val="00A773B3"/>
    <w:rsid w:val="00A77B89"/>
    <w:rsid w:val="00A82C68"/>
    <w:rsid w:val="00A841AA"/>
    <w:rsid w:val="00A87869"/>
    <w:rsid w:val="00A907BD"/>
    <w:rsid w:val="00A92D5D"/>
    <w:rsid w:val="00A949C2"/>
    <w:rsid w:val="00A95764"/>
    <w:rsid w:val="00A960F0"/>
    <w:rsid w:val="00A96E0D"/>
    <w:rsid w:val="00A96F86"/>
    <w:rsid w:val="00A97763"/>
    <w:rsid w:val="00A97862"/>
    <w:rsid w:val="00AA0925"/>
    <w:rsid w:val="00AA123B"/>
    <w:rsid w:val="00AA1558"/>
    <w:rsid w:val="00AA1AB8"/>
    <w:rsid w:val="00AA287D"/>
    <w:rsid w:val="00AA36FD"/>
    <w:rsid w:val="00AA66D9"/>
    <w:rsid w:val="00AA6C7D"/>
    <w:rsid w:val="00AA6F1D"/>
    <w:rsid w:val="00AA78F5"/>
    <w:rsid w:val="00AA7DE5"/>
    <w:rsid w:val="00AB042E"/>
    <w:rsid w:val="00AB4EFA"/>
    <w:rsid w:val="00AB633B"/>
    <w:rsid w:val="00AB7A80"/>
    <w:rsid w:val="00AC1CB5"/>
    <w:rsid w:val="00AC38E8"/>
    <w:rsid w:val="00AC3AD3"/>
    <w:rsid w:val="00AC3B05"/>
    <w:rsid w:val="00AC5253"/>
    <w:rsid w:val="00AC5930"/>
    <w:rsid w:val="00AC61BB"/>
    <w:rsid w:val="00AC7A7C"/>
    <w:rsid w:val="00AD1167"/>
    <w:rsid w:val="00AD1C4D"/>
    <w:rsid w:val="00AD2894"/>
    <w:rsid w:val="00AD2F03"/>
    <w:rsid w:val="00AD36FB"/>
    <w:rsid w:val="00AD3C40"/>
    <w:rsid w:val="00AD48DB"/>
    <w:rsid w:val="00AD52D1"/>
    <w:rsid w:val="00AD55AD"/>
    <w:rsid w:val="00AD626A"/>
    <w:rsid w:val="00AD63D6"/>
    <w:rsid w:val="00AD728E"/>
    <w:rsid w:val="00AD74D5"/>
    <w:rsid w:val="00AE0846"/>
    <w:rsid w:val="00AE0918"/>
    <w:rsid w:val="00AE0CC2"/>
    <w:rsid w:val="00AE0E36"/>
    <w:rsid w:val="00AE136C"/>
    <w:rsid w:val="00AE2A24"/>
    <w:rsid w:val="00AE324B"/>
    <w:rsid w:val="00AE33CB"/>
    <w:rsid w:val="00AE46C5"/>
    <w:rsid w:val="00AE4CC7"/>
    <w:rsid w:val="00AE5D2D"/>
    <w:rsid w:val="00AE6DFE"/>
    <w:rsid w:val="00AE6F5C"/>
    <w:rsid w:val="00AF1DCF"/>
    <w:rsid w:val="00AF2005"/>
    <w:rsid w:val="00AF259D"/>
    <w:rsid w:val="00AF2735"/>
    <w:rsid w:val="00AF4180"/>
    <w:rsid w:val="00AF45CE"/>
    <w:rsid w:val="00AF47EF"/>
    <w:rsid w:val="00AF4C4A"/>
    <w:rsid w:val="00AF4FCD"/>
    <w:rsid w:val="00AF4FDA"/>
    <w:rsid w:val="00AF5530"/>
    <w:rsid w:val="00AF61BD"/>
    <w:rsid w:val="00AF647B"/>
    <w:rsid w:val="00AF76D2"/>
    <w:rsid w:val="00AF7930"/>
    <w:rsid w:val="00AF7A82"/>
    <w:rsid w:val="00B006B9"/>
    <w:rsid w:val="00B00BA0"/>
    <w:rsid w:val="00B00FBD"/>
    <w:rsid w:val="00B018D3"/>
    <w:rsid w:val="00B01E69"/>
    <w:rsid w:val="00B01FD0"/>
    <w:rsid w:val="00B02C03"/>
    <w:rsid w:val="00B02ECA"/>
    <w:rsid w:val="00B03360"/>
    <w:rsid w:val="00B03DBC"/>
    <w:rsid w:val="00B0485F"/>
    <w:rsid w:val="00B05BAD"/>
    <w:rsid w:val="00B05CC0"/>
    <w:rsid w:val="00B062EF"/>
    <w:rsid w:val="00B10C6A"/>
    <w:rsid w:val="00B11349"/>
    <w:rsid w:val="00B11C21"/>
    <w:rsid w:val="00B11D48"/>
    <w:rsid w:val="00B12461"/>
    <w:rsid w:val="00B12FB8"/>
    <w:rsid w:val="00B136E3"/>
    <w:rsid w:val="00B16C54"/>
    <w:rsid w:val="00B1799B"/>
    <w:rsid w:val="00B179E9"/>
    <w:rsid w:val="00B20CC9"/>
    <w:rsid w:val="00B22EDB"/>
    <w:rsid w:val="00B2356B"/>
    <w:rsid w:val="00B25265"/>
    <w:rsid w:val="00B252F3"/>
    <w:rsid w:val="00B25C02"/>
    <w:rsid w:val="00B27A4D"/>
    <w:rsid w:val="00B27F38"/>
    <w:rsid w:val="00B310E8"/>
    <w:rsid w:val="00B3133D"/>
    <w:rsid w:val="00B31D7D"/>
    <w:rsid w:val="00B323D8"/>
    <w:rsid w:val="00B32907"/>
    <w:rsid w:val="00B348C9"/>
    <w:rsid w:val="00B35C02"/>
    <w:rsid w:val="00B3752A"/>
    <w:rsid w:val="00B37D00"/>
    <w:rsid w:val="00B404E0"/>
    <w:rsid w:val="00B4219C"/>
    <w:rsid w:val="00B42447"/>
    <w:rsid w:val="00B43268"/>
    <w:rsid w:val="00B43C41"/>
    <w:rsid w:val="00B44758"/>
    <w:rsid w:val="00B4484D"/>
    <w:rsid w:val="00B46035"/>
    <w:rsid w:val="00B47079"/>
    <w:rsid w:val="00B5130B"/>
    <w:rsid w:val="00B53435"/>
    <w:rsid w:val="00B53542"/>
    <w:rsid w:val="00B53631"/>
    <w:rsid w:val="00B53A29"/>
    <w:rsid w:val="00B54149"/>
    <w:rsid w:val="00B546F3"/>
    <w:rsid w:val="00B55C54"/>
    <w:rsid w:val="00B56960"/>
    <w:rsid w:val="00B571E5"/>
    <w:rsid w:val="00B60944"/>
    <w:rsid w:val="00B60A6B"/>
    <w:rsid w:val="00B61D06"/>
    <w:rsid w:val="00B62B04"/>
    <w:rsid w:val="00B65969"/>
    <w:rsid w:val="00B66579"/>
    <w:rsid w:val="00B673DE"/>
    <w:rsid w:val="00B7018A"/>
    <w:rsid w:val="00B72A0A"/>
    <w:rsid w:val="00B73300"/>
    <w:rsid w:val="00B7547C"/>
    <w:rsid w:val="00B76BBA"/>
    <w:rsid w:val="00B77C5A"/>
    <w:rsid w:val="00B81CE1"/>
    <w:rsid w:val="00B83BF7"/>
    <w:rsid w:val="00B84DFA"/>
    <w:rsid w:val="00B87798"/>
    <w:rsid w:val="00B90DF9"/>
    <w:rsid w:val="00B91697"/>
    <w:rsid w:val="00B9199B"/>
    <w:rsid w:val="00B92138"/>
    <w:rsid w:val="00B953DA"/>
    <w:rsid w:val="00B96937"/>
    <w:rsid w:val="00B96C48"/>
    <w:rsid w:val="00B96D29"/>
    <w:rsid w:val="00B97DD5"/>
    <w:rsid w:val="00BA23AA"/>
    <w:rsid w:val="00BA2575"/>
    <w:rsid w:val="00BA326E"/>
    <w:rsid w:val="00BA4251"/>
    <w:rsid w:val="00BA44F5"/>
    <w:rsid w:val="00BA46DB"/>
    <w:rsid w:val="00BA4BD7"/>
    <w:rsid w:val="00BA6142"/>
    <w:rsid w:val="00BA6463"/>
    <w:rsid w:val="00BA671A"/>
    <w:rsid w:val="00BA6AC7"/>
    <w:rsid w:val="00BA6FFD"/>
    <w:rsid w:val="00BB112A"/>
    <w:rsid w:val="00BB113B"/>
    <w:rsid w:val="00BB1606"/>
    <w:rsid w:val="00BB2044"/>
    <w:rsid w:val="00BB266D"/>
    <w:rsid w:val="00BB37CD"/>
    <w:rsid w:val="00BB41CB"/>
    <w:rsid w:val="00BB42D6"/>
    <w:rsid w:val="00BB5B1B"/>
    <w:rsid w:val="00BB6E8C"/>
    <w:rsid w:val="00BB811B"/>
    <w:rsid w:val="00BC0026"/>
    <w:rsid w:val="00BC1060"/>
    <w:rsid w:val="00BC2715"/>
    <w:rsid w:val="00BC43FE"/>
    <w:rsid w:val="00BC4807"/>
    <w:rsid w:val="00BC6B02"/>
    <w:rsid w:val="00BC75FB"/>
    <w:rsid w:val="00BC7B13"/>
    <w:rsid w:val="00BC7D56"/>
    <w:rsid w:val="00BD26C0"/>
    <w:rsid w:val="00BD2710"/>
    <w:rsid w:val="00BD32F1"/>
    <w:rsid w:val="00BD36FE"/>
    <w:rsid w:val="00BD38FA"/>
    <w:rsid w:val="00BD3B03"/>
    <w:rsid w:val="00BD57FA"/>
    <w:rsid w:val="00BD63AC"/>
    <w:rsid w:val="00BD7BF5"/>
    <w:rsid w:val="00BE18AD"/>
    <w:rsid w:val="00BE23F4"/>
    <w:rsid w:val="00BE2F4D"/>
    <w:rsid w:val="00BE2FA0"/>
    <w:rsid w:val="00BE361B"/>
    <w:rsid w:val="00BE3AEE"/>
    <w:rsid w:val="00BE5037"/>
    <w:rsid w:val="00BE5C2B"/>
    <w:rsid w:val="00BE7B76"/>
    <w:rsid w:val="00BF0C7D"/>
    <w:rsid w:val="00BF1C23"/>
    <w:rsid w:val="00BF33CC"/>
    <w:rsid w:val="00BF3C5A"/>
    <w:rsid w:val="00BF67E8"/>
    <w:rsid w:val="00BF737E"/>
    <w:rsid w:val="00BF7B8E"/>
    <w:rsid w:val="00C00350"/>
    <w:rsid w:val="00C03CE6"/>
    <w:rsid w:val="00C03FA3"/>
    <w:rsid w:val="00C04439"/>
    <w:rsid w:val="00C0460A"/>
    <w:rsid w:val="00C05B75"/>
    <w:rsid w:val="00C065EB"/>
    <w:rsid w:val="00C06696"/>
    <w:rsid w:val="00C06F9C"/>
    <w:rsid w:val="00C07176"/>
    <w:rsid w:val="00C07EA5"/>
    <w:rsid w:val="00C10A4F"/>
    <w:rsid w:val="00C10B6F"/>
    <w:rsid w:val="00C10BDC"/>
    <w:rsid w:val="00C110B5"/>
    <w:rsid w:val="00C12A74"/>
    <w:rsid w:val="00C12E08"/>
    <w:rsid w:val="00C13730"/>
    <w:rsid w:val="00C15538"/>
    <w:rsid w:val="00C15971"/>
    <w:rsid w:val="00C15CDB"/>
    <w:rsid w:val="00C15F4B"/>
    <w:rsid w:val="00C15FC8"/>
    <w:rsid w:val="00C167B6"/>
    <w:rsid w:val="00C1712F"/>
    <w:rsid w:val="00C17D17"/>
    <w:rsid w:val="00C21201"/>
    <w:rsid w:val="00C240B7"/>
    <w:rsid w:val="00C2452F"/>
    <w:rsid w:val="00C2497C"/>
    <w:rsid w:val="00C25016"/>
    <w:rsid w:val="00C269D3"/>
    <w:rsid w:val="00C27167"/>
    <w:rsid w:val="00C27372"/>
    <w:rsid w:val="00C27711"/>
    <w:rsid w:val="00C27B56"/>
    <w:rsid w:val="00C31D37"/>
    <w:rsid w:val="00C32537"/>
    <w:rsid w:val="00C32FEA"/>
    <w:rsid w:val="00C33787"/>
    <w:rsid w:val="00C35237"/>
    <w:rsid w:val="00C35789"/>
    <w:rsid w:val="00C35B90"/>
    <w:rsid w:val="00C3647B"/>
    <w:rsid w:val="00C3764C"/>
    <w:rsid w:val="00C40156"/>
    <w:rsid w:val="00C40674"/>
    <w:rsid w:val="00C40A50"/>
    <w:rsid w:val="00C40E6B"/>
    <w:rsid w:val="00C41FB8"/>
    <w:rsid w:val="00C42345"/>
    <w:rsid w:val="00C42501"/>
    <w:rsid w:val="00C429CB"/>
    <w:rsid w:val="00C43A29"/>
    <w:rsid w:val="00C43EFA"/>
    <w:rsid w:val="00C44D02"/>
    <w:rsid w:val="00C45467"/>
    <w:rsid w:val="00C45657"/>
    <w:rsid w:val="00C45DDF"/>
    <w:rsid w:val="00C46576"/>
    <w:rsid w:val="00C466FE"/>
    <w:rsid w:val="00C46E9B"/>
    <w:rsid w:val="00C4721B"/>
    <w:rsid w:val="00C47294"/>
    <w:rsid w:val="00C4766C"/>
    <w:rsid w:val="00C4768E"/>
    <w:rsid w:val="00C505A0"/>
    <w:rsid w:val="00C51411"/>
    <w:rsid w:val="00C51B71"/>
    <w:rsid w:val="00C531DE"/>
    <w:rsid w:val="00C53695"/>
    <w:rsid w:val="00C53F20"/>
    <w:rsid w:val="00C53FB5"/>
    <w:rsid w:val="00C546CD"/>
    <w:rsid w:val="00C54867"/>
    <w:rsid w:val="00C54AEB"/>
    <w:rsid w:val="00C570AD"/>
    <w:rsid w:val="00C5796C"/>
    <w:rsid w:val="00C57F5A"/>
    <w:rsid w:val="00C61CE3"/>
    <w:rsid w:val="00C620F6"/>
    <w:rsid w:val="00C621ED"/>
    <w:rsid w:val="00C62C4B"/>
    <w:rsid w:val="00C63DB7"/>
    <w:rsid w:val="00C64580"/>
    <w:rsid w:val="00C64BF1"/>
    <w:rsid w:val="00C6613C"/>
    <w:rsid w:val="00C663DE"/>
    <w:rsid w:val="00C67CC4"/>
    <w:rsid w:val="00C67FFC"/>
    <w:rsid w:val="00C7046C"/>
    <w:rsid w:val="00C72652"/>
    <w:rsid w:val="00C74057"/>
    <w:rsid w:val="00C74981"/>
    <w:rsid w:val="00C7505C"/>
    <w:rsid w:val="00C7610C"/>
    <w:rsid w:val="00C76BD0"/>
    <w:rsid w:val="00C77477"/>
    <w:rsid w:val="00C80331"/>
    <w:rsid w:val="00C81749"/>
    <w:rsid w:val="00C81B8A"/>
    <w:rsid w:val="00C82131"/>
    <w:rsid w:val="00C8241F"/>
    <w:rsid w:val="00C8419E"/>
    <w:rsid w:val="00C84D6B"/>
    <w:rsid w:val="00C856AC"/>
    <w:rsid w:val="00C85721"/>
    <w:rsid w:val="00C85BC2"/>
    <w:rsid w:val="00C86254"/>
    <w:rsid w:val="00C87A50"/>
    <w:rsid w:val="00C901C0"/>
    <w:rsid w:val="00C91FEA"/>
    <w:rsid w:val="00C93C65"/>
    <w:rsid w:val="00C94A68"/>
    <w:rsid w:val="00C94AA4"/>
    <w:rsid w:val="00C95054"/>
    <w:rsid w:val="00C95D4A"/>
    <w:rsid w:val="00C9707B"/>
    <w:rsid w:val="00C9713B"/>
    <w:rsid w:val="00CA08FA"/>
    <w:rsid w:val="00CA0AEE"/>
    <w:rsid w:val="00CA15AD"/>
    <w:rsid w:val="00CA1A00"/>
    <w:rsid w:val="00CA23DD"/>
    <w:rsid w:val="00CA3097"/>
    <w:rsid w:val="00CA3927"/>
    <w:rsid w:val="00CA484E"/>
    <w:rsid w:val="00CA5094"/>
    <w:rsid w:val="00CA51E9"/>
    <w:rsid w:val="00CA571A"/>
    <w:rsid w:val="00CA6D97"/>
    <w:rsid w:val="00CA722E"/>
    <w:rsid w:val="00CA752D"/>
    <w:rsid w:val="00CA7536"/>
    <w:rsid w:val="00CA78D5"/>
    <w:rsid w:val="00CA7C1F"/>
    <w:rsid w:val="00CA7F56"/>
    <w:rsid w:val="00CB16C2"/>
    <w:rsid w:val="00CB2C54"/>
    <w:rsid w:val="00CB359F"/>
    <w:rsid w:val="00CB4093"/>
    <w:rsid w:val="00CB45CC"/>
    <w:rsid w:val="00CB5A65"/>
    <w:rsid w:val="00CB6373"/>
    <w:rsid w:val="00CB65EE"/>
    <w:rsid w:val="00CB67DD"/>
    <w:rsid w:val="00CB699F"/>
    <w:rsid w:val="00CB7015"/>
    <w:rsid w:val="00CB7746"/>
    <w:rsid w:val="00CB7A9F"/>
    <w:rsid w:val="00CC0921"/>
    <w:rsid w:val="00CC0C78"/>
    <w:rsid w:val="00CC15FA"/>
    <w:rsid w:val="00CC1675"/>
    <w:rsid w:val="00CC1E2E"/>
    <w:rsid w:val="00CC1F39"/>
    <w:rsid w:val="00CC2722"/>
    <w:rsid w:val="00CC28E4"/>
    <w:rsid w:val="00CC4341"/>
    <w:rsid w:val="00CC4407"/>
    <w:rsid w:val="00CC509F"/>
    <w:rsid w:val="00CC543B"/>
    <w:rsid w:val="00CC5658"/>
    <w:rsid w:val="00CC75B7"/>
    <w:rsid w:val="00CC77A7"/>
    <w:rsid w:val="00CC78A5"/>
    <w:rsid w:val="00CD0217"/>
    <w:rsid w:val="00CD165B"/>
    <w:rsid w:val="00CD2011"/>
    <w:rsid w:val="00CD2BA5"/>
    <w:rsid w:val="00CD2ECB"/>
    <w:rsid w:val="00CD50AE"/>
    <w:rsid w:val="00CD53B4"/>
    <w:rsid w:val="00CD601A"/>
    <w:rsid w:val="00CD613A"/>
    <w:rsid w:val="00CD6690"/>
    <w:rsid w:val="00CD6EF3"/>
    <w:rsid w:val="00CE459F"/>
    <w:rsid w:val="00CE633D"/>
    <w:rsid w:val="00CE6376"/>
    <w:rsid w:val="00CE6A2F"/>
    <w:rsid w:val="00CE6B0B"/>
    <w:rsid w:val="00CE7731"/>
    <w:rsid w:val="00CE782B"/>
    <w:rsid w:val="00CE7E07"/>
    <w:rsid w:val="00CF0B30"/>
    <w:rsid w:val="00CF0FA6"/>
    <w:rsid w:val="00CF2460"/>
    <w:rsid w:val="00CF2D96"/>
    <w:rsid w:val="00CF3BE9"/>
    <w:rsid w:val="00CF45BD"/>
    <w:rsid w:val="00CF475C"/>
    <w:rsid w:val="00CF49E6"/>
    <w:rsid w:val="00CF52FB"/>
    <w:rsid w:val="00CF5868"/>
    <w:rsid w:val="00CF5F91"/>
    <w:rsid w:val="00CF793C"/>
    <w:rsid w:val="00D004B4"/>
    <w:rsid w:val="00D00EC4"/>
    <w:rsid w:val="00D0397A"/>
    <w:rsid w:val="00D05647"/>
    <w:rsid w:val="00D062DE"/>
    <w:rsid w:val="00D06B01"/>
    <w:rsid w:val="00D07522"/>
    <w:rsid w:val="00D07C7A"/>
    <w:rsid w:val="00D10213"/>
    <w:rsid w:val="00D1043E"/>
    <w:rsid w:val="00D10858"/>
    <w:rsid w:val="00D11445"/>
    <w:rsid w:val="00D1165C"/>
    <w:rsid w:val="00D1375D"/>
    <w:rsid w:val="00D14604"/>
    <w:rsid w:val="00D14E93"/>
    <w:rsid w:val="00D14EAA"/>
    <w:rsid w:val="00D159D9"/>
    <w:rsid w:val="00D17196"/>
    <w:rsid w:val="00D176D4"/>
    <w:rsid w:val="00D17DE7"/>
    <w:rsid w:val="00D17E08"/>
    <w:rsid w:val="00D205FA"/>
    <w:rsid w:val="00D2068A"/>
    <w:rsid w:val="00D209ED"/>
    <w:rsid w:val="00D20BF3"/>
    <w:rsid w:val="00D22094"/>
    <w:rsid w:val="00D220DC"/>
    <w:rsid w:val="00D22592"/>
    <w:rsid w:val="00D229C4"/>
    <w:rsid w:val="00D23E08"/>
    <w:rsid w:val="00D23E83"/>
    <w:rsid w:val="00D2474E"/>
    <w:rsid w:val="00D24955"/>
    <w:rsid w:val="00D250A0"/>
    <w:rsid w:val="00D25422"/>
    <w:rsid w:val="00D275FE"/>
    <w:rsid w:val="00D279E7"/>
    <w:rsid w:val="00D3239C"/>
    <w:rsid w:val="00D32BE9"/>
    <w:rsid w:val="00D32C54"/>
    <w:rsid w:val="00D334E0"/>
    <w:rsid w:val="00D33887"/>
    <w:rsid w:val="00D33D0C"/>
    <w:rsid w:val="00D34523"/>
    <w:rsid w:val="00D34CAA"/>
    <w:rsid w:val="00D34EB3"/>
    <w:rsid w:val="00D36F66"/>
    <w:rsid w:val="00D37898"/>
    <w:rsid w:val="00D40535"/>
    <w:rsid w:val="00D40C29"/>
    <w:rsid w:val="00D40F7B"/>
    <w:rsid w:val="00D4274C"/>
    <w:rsid w:val="00D4282D"/>
    <w:rsid w:val="00D42BC4"/>
    <w:rsid w:val="00D44FB6"/>
    <w:rsid w:val="00D45A5F"/>
    <w:rsid w:val="00D45AB9"/>
    <w:rsid w:val="00D507B2"/>
    <w:rsid w:val="00D50C70"/>
    <w:rsid w:val="00D50E93"/>
    <w:rsid w:val="00D51AC2"/>
    <w:rsid w:val="00D52F3B"/>
    <w:rsid w:val="00D5306D"/>
    <w:rsid w:val="00D537A3"/>
    <w:rsid w:val="00D53E9D"/>
    <w:rsid w:val="00D54330"/>
    <w:rsid w:val="00D546A6"/>
    <w:rsid w:val="00D5481C"/>
    <w:rsid w:val="00D54953"/>
    <w:rsid w:val="00D550C6"/>
    <w:rsid w:val="00D55F10"/>
    <w:rsid w:val="00D571BF"/>
    <w:rsid w:val="00D5722A"/>
    <w:rsid w:val="00D57338"/>
    <w:rsid w:val="00D57BF5"/>
    <w:rsid w:val="00D61732"/>
    <w:rsid w:val="00D61DCB"/>
    <w:rsid w:val="00D62569"/>
    <w:rsid w:val="00D62848"/>
    <w:rsid w:val="00D6362D"/>
    <w:rsid w:val="00D640BD"/>
    <w:rsid w:val="00D64535"/>
    <w:rsid w:val="00D64B8A"/>
    <w:rsid w:val="00D650CA"/>
    <w:rsid w:val="00D65997"/>
    <w:rsid w:val="00D65ADA"/>
    <w:rsid w:val="00D664A4"/>
    <w:rsid w:val="00D70605"/>
    <w:rsid w:val="00D7092F"/>
    <w:rsid w:val="00D70CFF"/>
    <w:rsid w:val="00D713C2"/>
    <w:rsid w:val="00D713DA"/>
    <w:rsid w:val="00D7154D"/>
    <w:rsid w:val="00D722A4"/>
    <w:rsid w:val="00D72DEA"/>
    <w:rsid w:val="00D76F6C"/>
    <w:rsid w:val="00D773B7"/>
    <w:rsid w:val="00D81766"/>
    <w:rsid w:val="00D81781"/>
    <w:rsid w:val="00D8198A"/>
    <w:rsid w:val="00D8269B"/>
    <w:rsid w:val="00D8345D"/>
    <w:rsid w:val="00D85062"/>
    <w:rsid w:val="00D850C2"/>
    <w:rsid w:val="00D90403"/>
    <w:rsid w:val="00D90F2A"/>
    <w:rsid w:val="00D91AA2"/>
    <w:rsid w:val="00D933A6"/>
    <w:rsid w:val="00D94011"/>
    <w:rsid w:val="00D94668"/>
    <w:rsid w:val="00D962CA"/>
    <w:rsid w:val="00D96BFB"/>
    <w:rsid w:val="00D972F4"/>
    <w:rsid w:val="00D97637"/>
    <w:rsid w:val="00D97AC4"/>
    <w:rsid w:val="00DA059F"/>
    <w:rsid w:val="00DA0F68"/>
    <w:rsid w:val="00DA135C"/>
    <w:rsid w:val="00DA15B3"/>
    <w:rsid w:val="00DA16ED"/>
    <w:rsid w:val="00DA27DB"/>
    <w:rsid w:val="00DA4169"/>
    <w:rsid w:val="00DA4B86"/>
    <w:rsid w:val="00DA4DC6"/>
    <w:rsid w:val="00DA626D"/>
    <w:rsid w:val="00DA6707"/>
    <w:rsid w:val="00DB0D4C"/>
    <w:rsid w:val="00DB11DC"/>
    <w:rsid w:val="00DB23A4"/>
    <w:rsid w:val="00DB2563"/>
    <w:rsid w:val="00DB2C43"/>
    <w:rsid w:val="00DB3977"/>
    <w:rsid w:val="00DB3F49"/>
    <w:rsid w:val="00DB6539"/>
    <w:rsid w:val="00DC05FC"/>
    <w:rsid w:val="00DC0AC3"/>
    <w:rsid w:val="00DC2602"/>
    <w:rsid w:val="00DC2FA3"/>
    <w:rsid w:val="00DC593B"/>
    <w:rsid w:val="00DC5A78"/>
    <w:rsid w:val="00DC74A2"/>
    <w:rsid w:val="00DC755F"/>
    <w:rsid w:val="00DC7A2F"/>
    <w:rsid w:val="00DD05F9"/>
    <w:rsid w:val="00DD1897"/>
    <w:rsid w:val="00DD1C17"/>
    <w:rsid w:val="00DD1CF0"/>
    <w:rsid w:val="00DD3CC9"/>
    <w:rsid w:val="00DD403A"/>
    <w:rsid w:val="00DD40C7"/>
    <w:rsid w:val="00DD4934"/>
    <w:rsid w:val="00DD729E"/>
    <w:rsid w:val="00DE0626"/>
    <w:rsid w:val="00DE1A24"/>
    <w:rsid w:val="00DE23B4"/>
    <w:rsid w:val="00DE3866"/>
    <w:rsid w:val="00DE6425"/>
    <w:rsid w:val="00DE7B7D"/>
    <w:rsid w:val="00DE7DF0"/>
    <w:rsid w:val="00DF103F"/>
    <w:rsid w:val="00DF3686"/>
    <w:rsid w:val="00DF453E"/>
    <w:rsid w:val="00DF561E"/>
    <w:rsid w:val="00DF5E79"/>
    <w:rsid w:val="00DF66B0"/>
    <w:rsid w:val="00DF66B6"/>
    <w:rsid w:val="00DF6C2E"/>
    <w:rsid w:val="00DF7C79"/>
    <w:rsid w:val="00DF7F85"/>
    <w:rsid w:val="00E005C8"/>
    <w:rsid w:val="00E01ED8"/>
    <w:rsid w:val="00E02D24"/>
    <w:rsid w:val="00E0333C"/>
    <w:rsid w:val="00E03AE7"/>
    <w:rsid w:val="00E05356"/>
    <w:rsid w:val="00E05639"/>
    <w:rsid w:val="00E06E3D"/>
    <w:rsid w:val="00E07120"/>
    <w:rsid w:val="00E10C0A"/>
    <w:rsid w:val="00E1683D"/>
    <w:rsid w:val="00E20723"/>
    <w:rsid w:val="00E20979"/>
    <w:rsid w:val="00E213D7"/>
    <w:rsid w:val="00E21625"/>
    <w:rsid w:val="00E22B8E"/>
    <w:rsid w:val="00E22C13"/>
    <w:rsid w:val="00E22D5A"/>
    <w:rsid w:val="00E23572"/>
    <w:rsid w:val="00E25432"/>
    <w:rsid w:val="00E2664B"/>
    <w:rsid w:val="00E26D9E"/>
    <w:rsid w:val="00E274BF"/>
    <w:rsid w:val="00E30565"/>
    <w:rsid w:val="00E306F5"/>
    <w:rsid w:val="00E31537"/>
    <w:rsid w:val="00E315F6"/>
    <w:rsid w:val="00E33126"/>
    <w:rsid w:val="00E332AC"/>
    <w:rsid w:val="00E34D8B"/>
    <w:rsid w:val="00E357E5"/>
    <w:rsid w:val="00E36E8F"/>
    <w:rsid w:val="00E40017"/>
    <w:rsid w:val="00E41D96"/>
    <w:rsid w:val="00E42273"/>
    <w:rsid w:val="00E4266E"/>
    <w:rsid w:val="00E4298D"/>
    <w:rsid w:val="00E42D65"/>
    <w:rsid w:val="00E43102"/>
    <w:rsid w:val="00E433F5"/>
    <w:rsid w:val="00E43C4D"/>
    <w:rsid w:val="00E4471F"/>
    <w:rsid w:val="00E4788F"/>
    <w:rsid w:val="00E51806"/>
    <w:rsid w:val="00E52A13"/>
    <w:rsid w:val="00E53169"/>
    <w:rsid w:val="00E53A94"/>
    <w:rsid w:val="00E54462"/>
    <w:rsid w:val="00E571C9"/>
    <w:rsid w:val="00E57209"/>
    <w:rsid w:val="00E57B55"/>
    <w:rsid w:val="00E61368"/>
    <w:rsid w:val="00E621AC"/>
    <w:rsid w:val="00E623A6"/>
    <w:rsid w:val="00E62838"/>
    <w:rsid w:val="00E62EE7"/>
    <w:rsid w:val="00E63035"/>
    <w:rsid w:val="00E633CA"/>
    <w:rsid w:val="00E63ACA"/>
    <w:rsid w:val="00E64A6F"/>
    <w:rsid w:val="00E6508B"/>
    <w:rsid w:val="00E65DF2"/>
    <w:rsid w:val="00E65E3B"/>
    <w:rsid w:val="00E664BE"/>
    <w:rsid w:val="00E666E9"/>
    <w:rsid w:val="00E6797F"/>
    <w:rsid w:val="00E727C9"/>
    <w:rsid w:val="00E7342A"/>
    <w:rsid w:val="00E74ABD"/>
    <w:rsid w:val="00E75FF5"/>
    <w:rsid w:val="00E76076"/>
    <w:rsid w:val="00E76148"/>
    <w:rsid w:val="00E761A0"/>
    <w:rsid w:val="00E765C1"/>
    <w:rsid w:val="00E77842"/>
    <w:rsid w:val="00E802E8"/>
    <w:rsid w:val="00E80E8A"/>
    <w:rsid w:val="00E81B94"/>
    <w:rsid w:val="00E832BF"/>
    <w:rsid w:val="00E83DD5"/>
    <w:rsid w:val="00E83E17"/>
    <w:rsid w:val="00E84BCD"/>
    <w:rsid w:val="00E853F3"/>
    <w:rsid w:val="00E865DC"/>
    <w:rsid w:val="00E8771E"/>
    <w:rsid w:val="00E93434"/>
    <w:rsid w:val="00E9487C"/>
    <w:rsid w:val="00E958C6"/>
    <w:rsid w:val="00E96E02"/>
    <w:rsid w:val="00E97382"/>
    <w:rsid w:val="00EA15BD"/>
    <w:rsid w:val="00EA15DF"/>
    <w:rsid w:val="00EA1E07"/>
    <w:rsid w:val="00EA4493"/>
    <w:rsid w:val="00EA591B"/>
    <w:rsid w:val="00EA69F5"/>
    <w:rsid w:val="00EA6D54"/>
    <w:rsid w:val="00EA6F9B"/>
    <w:rsid w:val="00EB0097"/>
    <w:rsid w:val="00EB1E03"/>
    <w:rsid w:val="00EB4ABE"/>
    <w:rsid w:val="00EB5535"/>
    <w:rsid w:val="00EB58EA"/>
    <w:rsid w:val="00EB5908"/>
    <w:rsid w:val="00EB5B33"/>
    <w:rsid w:val="00EB5EE6"/>
    <w:rsid w:val="00EB6405"/>
    <w:rsid w:val="00EB6470"/>
    <w:rsid w:val="00EB6811"/>
    <w:rsid w:val="00EB6B28"/>
    <w:rsid w:val="00EB7C5D"/>
    <w:rsid w:val="00EC06BE"/>
    <w:rsid w:val="00EC19F2"/>
    <w:rsid w:val="00EC2BBE"/>
    <w:rsid w:val="00EC31BC"/>
    <w:rsid w:val="00EC3F42"/>
    <w:rsid w:val="00EC5CC3"/>
    <w:rsid w:val="00EC5EFC"/>
    <w:rsid w:val="00EC6047"/>
    <w:rsid w:val="00EC62BA"/>
    <w:rsid w:val="00EC6B7F"/>
    <w:rsid w:val="00ED020D"/>
    <w:rsid w:val="00ED0C0F"/>
    <w:rsid w:val="00ED1855"/>
    <w:rsid w:val="00ED3945"/>
    <w:rsid w:val="00ED40DC"/>
    <w:rsid w:val="00ED4BB8"/>
    <w:rsid w:val="00ED4FE4"/>
    <w:rsid w:val="00ED6412"/>
    <w:rsid w:val="00ED6602"/>
    <w:rsid w:val="00ED6C69"/>
    <w:rsid w:val="00ED768B"/>
    <w:rsid w:val="00ED7A22"/>
    <w:rsid w:val="00EE0387"/>
    <w:rsid w:val="00EE0B2D"/>
    <w:rsid w:val="00EE0FB7"/>
    <w:rsid w:val="00EE3AAC"/>
    <w:rsid w:val="00EE3F07"/>
    <w:rsid w:val="00EE40F5"/>
    <w:rsid w:val="00EE41AE"/>
    <w:rsid w:val="00EE508B"/>
    <w:rsid w:val="00EE5B24"/>
    <w:rsid w:val="00EE5B4C"/>
    <w:rsid w:val="00EF050A"/>
    <w:rsid w:val="00EF10F4"/>
    <w:rsid w:val="00EF175A"/>
    <w:rsid w:val="00EF17CA"/>
    <w:rsid w:val="00EF2523"/>
    <w:rsid w:val="00EF2F28"/>
    <w:rsid w:val="00EF3619"/>
    <w:rsid w:val="00EF3F7A"/>
    <w:rsid w:val="00EF52CA"/>
    <w:rsid w:val="00EF5879"/>
    <w:rsid w:val="00EF5DCB"/>
    <w:rsid w:val="00EF624A"/>
    <w:rsid w:val="00EF76F2"/>
    <w:rsid w:val="00EF7CA4"/>
    <w:rsid w:val="00F000AC"/>
    <w:rsid w:val="00F002A4"/>
    <w:rsid w:val="00F00B6A"/>
    <w:rsid w:val="00F00E53"/>
    <w:rsid w:val="00F02CE6"/>
    <w:rsid w:val="00F03216"/>
    <w:rsid w:val="00F0466E"/>
    <w:rsid w:val="00F05330"/>
    <w:rsid w:val="00F05858"/>
    <w:rsid w:val="00F05F09"/>
    <w:rsid w:val="00F067C1"/>
    <w:rsid w:val="00F06B0B"/>
    <w:rsid w:val="00F100CB"/>
    <w:rsid w:val="00F11405"/>
    <w:rsid w:val="00F119CA"/>
    <w:rsid w:val="00F127A7"/>
    <w:rsid w:val="00F12949"/>
    <w:rsid w:val="00F15664"/>
    <w:rsid w:val="00F167DC"/>
    <w:rsid w:val="00F16B19"/>
    <w:rsid w:val="00F1783F"/>
    <w:rsid w:val="00F201AA"/>
    <w:rsid w:val="00F205F7"/>
    <w:rsid w:val="00F20B66"/>
    <w:rsid w:val="00F216B9"/>
    <w:rsid w:val="00F21A6D"/>
    <w:rsid w:val="00F22015"/>
    <w:rsid w:val="00F224BC"/>
    <w:rsid w:val="00F2293C"/>
    <w:rsid w:val="00F2500A"/>
    <w:rsid w:val="00F274C0"/>
    <w:rsid w:val="00F27660"/>
    <w:rsid w:val="00F303D2"/>
    <w:rsid w:val="00F338D5"/>
    <w:rsid w:val="00F354B5"/>
    <w:rsid w:val="00F3641E"/>
    <w:rsid w:val="00F40CEF"/>
    <w:rsid w:val="00F43754"/>
    <w:rsid w:val="00F43B7A"/>
    <w:rsid w:val="00F44812"/>
    <w:rsid w:val="00F4596B"/>
    <w:rsid w:val="00F45EF1"/>
    <w:rsid w:val="00F460C6"/>
    <w:rsid w:val="00F46A63"/>
    <w:rsid w:val="00F46CE9"/>
    <w:rsid w:val="00F477B2"/>
    <w:rsid w:val="00F50461"/>
    <w:rsid w:val="00F51EEB"/>
    <w:rsid w:val="00F53CCF"/>
    <w:rsid w:val="00F5478F"/>
    <w:rsid w:val="00F553C8"/>
    <w:rsid w:val="00F56587"/>
    <w:rsid w:val="00F57BA5"/>
    <w:rsid w:val="00F57D19"/>
    <w:rsid w:val="00F60221"/>
    <w:rsid w:val="00F609C4"/>
    <w:rsid w:val="00F60C5F"/>
    <w:rsid w:val="00F60D26"/>
    <w:rsid w:val="00F60E2C"/>
    <w:rsid w:val="00F61229"/>
    <w:rsid w:val="00F6143B"/>
    <w:rsid w:val="00F629D0"/>
    <w:rsid w:val="00F63870"/>
    <w:rsid w:val="00F639F3"/>
    <w:rsid w:val="00F6511D"/>
    <w:rsid w:val="00F66B14"/>
    <w:rsid w:val="00F70046"/>
    <w:rsid w:val="00F7019A"/>
    <w:rsid w:val="00F70BE3"/>
    <w:rsid w:val="00F70D1A"/>
    <w:rsid w:val="00F71418"/>
    <w:rsid w:val="00F71B6F"/>
    <w:rsid w:val="00F726E3"/>
    <w:rsid w:val="00F7490D"/>
    <w:rsid w:val="00F74D54"/>
    <w:rsid w:val="00F75D64"/>
    <w:rsid w:val="00F77C22"/>
    <w:rsid w:val="00F86E94"/>
    <w:rsid w:val="00F87070"/>
    <w:rsid w:val="00F871A3"/>
    <w:rsid w:val="00F90D4A"/>
    <w:rsid w:val="00F90D4D"/>
    <w:rsid w:val="00F91AD8"/>
    <w:rsid w:val="00F91DCA"/>
    <w:rsid w:val="00F94452"/>
    <w:rsid w:val="00F94D56"/>
    <w:rsid w:val="00F95837"/>
    <w:rsid w:val="00F95ACB"/>
    <w:rsid w:val="00F96045"/>
    <w:rsid w:val="00F96FFC"/>
    <w:rsid w:val="00F97DC7"/>
    <w:rsid w:val="00FA2CFC"/>
    <w:rsid w:val="00FA321A"/>
    <w:rsid w:val="00FA340E"/>
    <w:rsid w:val="00FA4045"/>
    <w:rsid w:val="00FA7253"/>
    <w:rsid w:val="00FA7791"/>
    <w:rsid w:val="00FB0047"/>
    <w:rsid w:val="00FB0BBB"/>
    <w:rsid w:val="00FB1F7A"/>
    <w:rsid w:val="00FB2C5F"/>
    <w:rsid w:val="00FB2E7D"/>
    <w:rsid w:val="00FB347F"/>
    <w:rsid w:val="00FB50E7"/>
    <w:rsid w:val="00FB5BF6"/>
    <w:rsid w:val="00FB5E4B"/>
    <w:rsid w:val="00FB6A9E"/>
    <w:rsid w:val="00FC1113"/>
    <w:rsid w:val="00FC1D1C"/>
    <w:rsid w:val="00FC1FCE"/>
    <w:rsid w:val="00FC2686"/>
    <w:rsid w:val="00FC2C59"/>
    <w:rsid w:val="00FC303A"/>
    <w:rsid w:val="00FC4F81"/>
    <w:rsid w:val="00FC508D"/>
    <w:rsid w:val="00FC5F5D"/>
    <w:rsid w:val="00FC6492"/>
    <w:rsid w:val="00FC6693"/>
    <w:rsid w:val="00FC7B79"/>
    <w:rsid w:val="00FD4F8D"/>
    <w:rsid w:val="00FD5ABD"/>
    <w:rsid w:val="00FD677C"/>
    <w:rsid w:val="00FD6793"/>
    <w:rsid w:val="00FD6A9A"/>
    <w:rsid w:val="00FD6E2B"/>
    <w:rsid w:val="00FD7780"/>
    <w:rsid w:val="00FE02F5"/>
    <w:rsid w:val="00FE0DDA"/>
    <w:rsid w:val="00FE1041"/>
    <w:rsid w:val="00FE28D6"/>
    <w:rsid w:val="00FE4081"/>
    <w:rsid w:val="00FF0798"/>
    <w:rsid w:val="00FF0D0A"/>
    <w:rsid w:val="00FF1035"/>
    <w:rsid w:val="00FF19B2"/>
    <w:rsid w:val="00FF19D5"/>
    <w:rsid w:val="00FF1E5C"/>
    <w:rsid w:val="00FF260A"/>
    <w:rsid w:val="00FF42CE"/>
    <w:rsid w:val="00FF4676"/>
    <w:rsid w:val="00FF47C0"/>
    <w:rsid w:val="00FF53BE"/>
    <w:rsid w:val="00FF5741"/>
    <w:rsid w:val="00FF62EA"/>
    <w:rsid w:val="00FF6F7B"/>
    <w:rsid w:val="00FF7387"/>
    <w:rsid w:val="00FF7AB6"/>
    <w:rsid w:val="013A07CF"/>
    <w:rsid w:val="01BE4A49"/>
    <w:rsid w:val="01E2338B"/>
    <w:rsid w:val="01E5BDFD"/>
    <w:rsid w:val="01F9E82E"/>
    <w:rsid w:val="0214BD4C"/>
    <w:rsid w:val="022461BE"/>
    <w:rsid w:val="023C7499"/>
    <w:rsid w:val="05E346A8"/>
    <w:rsid w:val="06709376"/>
    <w:rsid w:val="06F06CF9"/>
    <w:rsid w:val="0773EBD9"/>
    <w:rsid w:val="08CB3610"/>
    <w:rsid w:val="0908C516"/>
    <w:rsid w:val="0ABFAE0D"/>
    <w:rsid w:val="0AF7E805"/>
    <w:rsid w:val="0D34F352"/>
    <w:rsid w:val="0D6A5BB4"/>
    <w:rsid w:val="0E06747E"/>
    <w:rsid w:val="0E274F31"/>
    <w:rsid w:val="0EE9BC69"/>
    <w:rsid w:val="0F95A956"/>
    <w:rsid w:val="102820D9"/>
    <w:rsid w:val="108BD29E"/>
    <w:rsid w:val="10D2D8B4"/>
    <w:rsid w:val="1137218A"/>
    <w:rsid w:val="11E7B177"/>
    <w:rsid w:val="11F3E5D6"/>
    <w:rsid w:val="123ED425"/>
    <w:rsid w:val="127276CD"/>
    <w:rsid w:val="12C21586"/>
    <w:rsid w:val="1328B58C"/>
    <w:rsid w:val="1355A3BA"/>
    <w:rsid w:val="13CC59AD"/>
    <w:rsid w:val="148124CF"/>
    <w:rsid w:val="158C53C9"/>
    <w:rsid w:val="1648BB60"/>
    <w:rsid w:val="165BAB33"/>
    <w:rsid w:val="166158C4"/>
    <w:rsid w:val="1666AC1F"/>
    <w:rsid w:val="167D6BC3"/>
    <w:rsid w:val="167F6CF3"/>
    <w:rsid w:val="16D06697"/>
    <w:rsid w:val="176910A1"/>
    <w:rsid w:val="17D089D8"/>
    <w:rsid w:val="18DB33F1"/>
    <w:rsid w:val="198F4BF0"/>
    <w:rsid w:val="1A034992"/>
    <w:rsid w:val="1A1410FC"/>
    <w:rsid w:val="1A2DC0DE"/>
    <w:rsid w:val="1A98D351"/>
    <w:rsid w:val="1C257E86"/>
    <w:rsid w:val="1C79F71A"/>
    <w:rsid w:val="1CE38E3E"/>
    <w:rsid w:val="1D2357E3"/>
    <w:rsid w:val="1D4B74E3"/>
    <w:rsid w:val="1D700FBF"/>
    <w:rsid w:val="1F02E788"/>
    <w:rsid w:val="220621AE"/>
    <w:rsid w:val="25AE2C37"/>
    <w:rsid w:val="26412652"/>
    <w:rsid w:val="266840E4"/>
    <w:rsid w:val="269A1730"/>
    <w:rsid w:val="26E93BA6"/>
    <w:rsid w:val="27017906"/>
    <w:rsid w:val="2770E6D1"/>
    <w:rsid w:val="277915EB"/>
    <w:rsid w:val="28049FF9"/>
    <w:rsid w:val="28657BB7"/>
    <w:rsid w:val="2898F47E"/>
    <w:rsid w:val="29822758"/>
    <w:rsid w:val="29A0DE10"/>
    <w:rsid w:val="29B11555"/>
    <w:rsid w:val="2CD6EE43"/>
    <w:rsid w:val="2D0649BB"/>
    <w:rsid w:val="2D0775DD"/>
    <w:rsid w:val="2DA66F4D"/>
    <w:rsid w:val="2F60B9E2"/>
    <w:rsid w:val="3008BBEE"/>
    <w:rsid w:val="308FE83D"/>
    <w:rsid w:val="31C208FF"/>
    <w:rsid w:val="32D47164"/>
    <w:rsid w:val="374AEE24"/>
    <w:rsid w:val="375FE6BF"/>
    <w:rsid w:val="3824D722"/>
    <w:rsid w:val="38A02F38"/>
    <w:rsid w:val="390B2695"/>
    <w:rsid w:val="39177EB8"/>
    <w:rsid w:val="394417CF"/>
    <w:rsid w:val="3DA5F127"/>
    <w:rsid w:val="3DC8CF7C"/>
    <w:rsid w:val="3DF974B6"/>
    <w:rsid w:val="3DFC3A3A"/>
    <w:rsid w:val="3E285CC8"/>
    <w:rsid w:val="3E5D43F5"/>
    <w:rsid w:val="3E86DBD1"/>
    <w:rsid w:val="3EDD47AC"/>
    <w:rsid w:val="3F1440F2"/>
    <w:rsid w:val="4017E616"/>
    <w:rsid w:val="4095FDFC"/>
    <w:rsid w:val="42E3A856"/>
    <w:rsid w:val="433B7B0F"/>
    <w:rsid w:val="43F7E565"/>
    <w:rsid w:val="44D646E8"/>
    <w:rsid w:val="451A4DF4"/>
    <w:rsid w:val="4560497B"/>
    <w:rsid w:val="472F8627"/>
    <w:rsid w:val="4731ED64"/>
    <w:rsid w:val="47FAE24C"/>
    <w:rsid w:val="4A49C9C9"/>
    <w:rsid w:val="4AF3D084"/>
    <w:rsid w:val="4BAF69BD"/>
    <w:rsid w:val="4BF9A0F9"/>
    <w:rsid w:val="4C633FCC"/>
    <w:rsid w:val="4DAD8C75"/>
    <w:rsid w:val="4E592C67"/>
    <w:rsid w:val="4E954E88"/>
    <w:rsid w:val="4F00FA48"/>
    <w:rsid w:val="4FA74177"/>
    <w:rsid w:val="500258E8"/>
    <w:rsid w:val="5031AB59"/>
    <w:rsid w:val="521353B5"/>
    <w:rsid w:val="52823D0A"/>
    <w:rsid w:val="54E03B89"/>
    <w:rsid w:val="566BA77F"/>
    <w:rsid w:val="56C4A8DE"/>
    <w:rsid w:val="5870819A"/>
    <w:rsid w:val="58E0D13B"/>
    <w:rsid w:val="5990885C"/>
    <w:rsid w:val="5A4CD1ED"/>
    <w:rsid w:val="5A9EEAA1"/>
    <w:rsid w:val="5AD1C6E4"/>
    <w:rsid w:val="5B33B844"/>
    <w:rsid w:val="5B9345FA"/>
    <w:rsid w:val="5BF05A14"/>
    <w:rsid w:val="5C0CFFE0"/>
    <w:rsid w:val="5C480BD8"/>
    <w:rsid w:val="5EC59CBC"/>
    <w:rsid w:val="5F90CE6E"/>
    <w:rsid w:val="601D96F4"/>
    <w:rsid w:val="605B5DC9"/>
    <w:rsid w:val="61ADFE70"/>
    <w:rsid w:val="620AEECC"/>
    <w:rsid w:val="642897FB"/>
    <w:rsid w:val="644E51E5"/>
    <w:rsid w:val="6481565C"/>
    <w:rsid w:val="66FF4209"/>
    <w:rsid w:val="670F5BED"/>
    <w:rsid w:val="6751E7F7"/>
    <w:rsid w:val="678F0C04"/>
    <w:rsid w:val="67B8F71E"/>
    <w:rsid w:val="67FAD0A5"/>
    <w:rsid w:val="6A77355A"/>
    <w:rsid w:val="6AD0A58E"/>
    <w:rsid w:val="6B674339"/>
    <w:rsid w:val="6CD5540E"/>
    <w:rsid w:val="6D2B6BF1"/>
    <w:rsid w:val="6DAEEED8"/>
    <w:rsid w:val="6E084650"/>
    <w:rsid w:val="6E29F216"/>
    <w:rsid w:val="6EF6614F"/>
    <w:rsid w:val="70CEBEFB"/>
    <w:rsid w:val="71328B4D"/>
    <w:rsid w:val="7191AA90"/>
    <w:rsid w:val="72208FA1"/>
    <w:rsid w:val="726EFF53"/>
    <w:rsid w:val="72B7E52D"/>
    <w:rsid w:val="72BDD6CB"/>
    <w:rsid w:val="7355CABA"/>
    <w:rsid w:val="737E2EED"/>
    <w:rsid w:val="73927C5C"/>
    <w:rsid w:val="74712F0D"/>
    <w:rsid w:val="749F15C0"/>
    <w:rsid w:val="7537F39A"/>
    <w:rsid w:val="7699EB86"/>
    <w:rsid w:val="770D0480"/>
    <w:rsid w:val="773884FD"/>
    <w:rsid w:val="78944F24"/>
    <w:rsid w:val="797BD073"/>
    <w:rsid w:val="7A54F41B"/>
    <w:rsid w:val="7ADE81F7"/>
    <w:rsid w:val="7B34AED0"/>
    <w:rsid w:val="7CA1F738"/>
    <w:rsid w:val="7D423F92"/>
    <w:rsid w:val="7E1369B3"/>
    <w:rsid w:val="7E2670FA"/>
    <w:rsid w:val="7E452A3D"/>
    <w:rsid w:val="7EAA92C8"/>
    <w:rsid w:val="7F86A3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2DF8AC"/>
  <w15:chartTrackingRefBased/>
  <w15:docId w15:val="{B4445A62-2FDA-46FC-A962-8205A29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hr"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w:basedOn w:val="Normal"/>
    <w:next w:val="Normal"/>
    <w:link w:val="Heading1Char"/>
    <w:uiPriority w:val="9"/>
    <w:qFormat/>
    <w:rsid w:val="001C30BF"/>
    <w:pPr>
      <w:keepNext/>
      <w:numPr>
        <w:numId w:val="4"/>
      </w:numPr>
      <w:spacing w:before="360" w:after="120" w:line="240" w:lineRule="auto"/>
      <w:jc w:val="both"/>
      <w:outlineLvl w:val="0"/>
    </w:pPr>
    <w:rPr>
      <w:rFonts w:ascii="Times New Roman" w:eastAsiaTheme="majorEastAsia" w:hAnsi="Times New Roman" w:cs="Times New Roman"/>
      <w:b/>
      <w:smallCaps/>
      <w:sz w:val="24"/>
    </w:rPr>
  </w:style>
  <w:style w:type="paragraph" w:styleId="Heading2">
    <w:name w:val="heading 2"/>
    <w:basedOn w:val="Normal"/>
    <w:next w:val="Normal"/>
    <w:link w:val="Heading2Char"/>
    <w:uiPriority w:val="9"/>
    <w:unhideWhenUsed/>
    <w:qFormat/>
    <w:rsid w:val="001C30BF"/>
    <w:pPr>
      <w:keepNext/>
      <w:numPr>
        <w:ilvl w:val="1"/>
        <w:numId w:val="4"/>
      </w:numPr>
      <w:spacing w:before="120" w:after="120" w:line="240" w:lineRule="auto"/>
      <w:jc w:val="both"/>
      <w:outlineLvl w:val="1"/>
    </w:pPr>
    <w:rPr>
      <w:rFonts w:ascii="Times New Roman" w:eastAsiaTheme="majorEastAsia" w:hAnsi="Times New Roman" w:cs="Times New Roman"/>
      <w:b/>
      <w:sz w:val="24"/>
    </w:rPr>
  </w:style>
  <w:style w:type="paragraph" w:styleId="Heading3">
    <w:name w:val="heading 3"/>
    <w:basedOn w:val="Normal"/>
    <w:next w:val="Normal"/>
    <w:link w:val="Heading3Char"/>
    <w:uiPriority w:val="9"/>
    <w:unhideWhenUsed/>
    <w:qFormat/>
    <w:rsid w:val="001C30BF"/>
    <w:pPr>
      <w:keepNext/>
      <w:numPr>
        <w:ilvl w:val="2"/>
        <w:numId w:val="4"/>
      </w:numPr>
      <w:spacing w:before="120" w:after="120" w:line="240" w:lineRule="auto"/>
      <w:jc w:val="both"/>
      <w:outlineLvl w:val="2"/>
    </w:pPr>
    <w:rPr>
      <w:rFonts w:ascii="Times New Roman" w:eastAsiaTheme="majorEastAsia" w:hAnsi="Times New Roman" w:cs="Times New Roman"/>
      <w:i/>
      <w:sz w:val="24"/>
    </w:rPr>
  </w:style>
  <w:style w:type="paragraph" w:styleId="Heading4">
    <w:name w:val="heading 4"/>
    <w:basedOn w:val="Normal"/>
    <w:next w:val="Normal"/>
    <w:link w:val="Heading4Char"/>
    <w:uiPriority w:val="9"/>
    <w:unhideWhenUsed/>
    <w:qFormat/>
    <w:rsid w:val="001C30BF"/>
    <w:pPr>
      <w:keepNext/>
      <w:numPr>
        <w:ilvl w:val="3"/>
        <w:numId w:val="4"/>
      </w:numPr>
      <w:tabs>
        <w:tab w:val="clear" w:pos="850"/>
        <w:tab w:val="num" w:pos="1209"/>
      </w:tabs>
      <w:spacing w:before="120" w:after="120" w:line="240" w:lineRule="auto"/>
      <w:ind w:left="1209" w:hanging="360"/>
      <w:jc w:val="both"/>
      <w:outlineLvl w:val="3"/>
    </w:pPr>
    <w:rPr>
      <w:rFonts w:ascii="Times New Roman" w:eastAsiaTheme="majorEastAsia" w:hAnsi="Times New Roman" w:cs="Times New Roman"/>
      <w:sz w:val="24"/>
    </w:rPr>
  </w:style>
  <w:style w:type="paragraph" w:styleId="Heading5">
    <w:name w:val="heading 5"/>
    <w:basedOn w:val="Normal"/>
    <w:next w:val="Normal"/>
    <w:link w:val="Heading5Char"/>
    <w:uiPriority w:val="9"/>
    <w:semiHidden/>
    <w:unhideWhenUsed/>
    <w:qFormat/>
    <w:rsid w:val="00271EF8"/>
    <w:pPr>
      <w:keepNext/>
      <w:keepLines/>
      <w:spacing w:before="220" w:after="40" w:line="240" w:lineRule="auto"/>
      <w:jc w:val="both"/>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271EF8"/>
    <w:pPr>
      <w:keepNext/>
      <w:keepLines/>
      <w:spacing w:before="200" w:after="40" w:line="240" w:lineRule="auto"/>
      <w:jc w:val="both"/>
      <w:outlineLvl w:val="5"/>
    </w:pPr>
    <w:rPr>
      <w:rFonts w:ascii="Times New Roman" w:eastAsia="Times New Roman" w:hAnsi="Times New Roman" w:cs="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7B1C1A"/>
    <w:pPr>
      <w:ind w:left="720"/>
      <w:contextualSpacing/>
    </w:pPr>
    <w:rPr>
      <w:rFonts w:eastAsiaTheme="minorHAnsi"/>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7B1C1A"/>
    <w:rPr>
      <w:rFonts w:eastAsiaTheme="minorHAnsi"/>
    </w:rPr>
  </w:style>
  <w:style w:type="paragraph" w:styleId="Header">
    <w:name w:val="header"/>
    <w:basedOn w:val="Normal"/>
    <w:link w:val="HeaderChar"/>
    <w:uiPriority w:val="99"/>
    <w:unhideWhenUsed/>
    <w:rsid w:val="007B1C1A"/>
    <w:pPr>
      <w:tabs>
        <w:tab w:val="center" w:pos="4535"/>
        <w:tab w:val="right" w:pos="9071"/>
      </w:tabs>
      <w:spacing w:after="120" w:line="240" w:lineRule="auto"/>
      <w:jc w:val="both"/>
    </w:pPr>
    <w:rPr>
      <w:rFonts w:ascii="Times New Roman" w:eastAsiaTheme="minorHAnsi" w:hAnsi="Times New Roman" w:cs="Times New Roman"/>
      <w:sz w:val="24"/>
    </w:rPr>
  </w:style>
  <w:style w:type="character" w:customStyle="1" w:styleId="HeaderChar">
    <w:name w:val="Header Char"/>
    <w:basedOn w:val="DefaultParagraphFont"/>
    <w:link w:val="Header"/>
    <w:uiPriority w:val="99"/>
    <w:rsid w:val="007B1C1A"/>
    <w:rPr>
      <w:rFonts w:ascii="Times New Roman" w:eastAsiaTheme="minorHAnsi" w:hAnsi="Times New Roman" w:cs="Times New Roman"/>
      <w:sz w:val="24"/>
    </w:rPr>
  </w:style>
  <w:style w:type="paragraph" w:styleId="Footer">
    <w:name w:val="footer"/>
    <w:basedOn w:val="Normal"/>
    <w:link w:val="FooterChar"/>
    <w:uiPriority w:val="99"/>
    <w:unhideWhenUsed/>
    <w:rsid w:val="007B1C1A"/>
    <w:pPr>
      <w:tabs>
        <w:tab w:val="center" w:pos="4535"/>
        <w:tab w:val="right" w:pos="9071"/>
        <w:tab w:val="right" w:pos="9921"/>
      </w:tabs>
      <w:spacing w:before="360" w:after="0" w:line="240" w:lineRule="auto"/>
      <w:ind w:left="-850" w:right="-850"/>
    </w:pPr>
    <w:rPr>
      <w:rFonts w:ascii="Times New Roman" w:eastAsiaTheme="minorHAnsi" w:hAnsi="Times New Roman" w:cs="Times New Roman"/>
      <w:sz w:val="24"/>
    </w:rPr>
  </w:style>
  <w:style w:type="character" w:customStyle="1" w:styleId="FooterChar">
    <w:name w:val="Footer Char"/>
    <w:basedOn w:val="DefaultParagraphFont"/>
    <w:link w:val="Footer"/>
    <w:uiPriority w:val="99"/>
    <w:rsid w:val="007B1C1A"/>
    <w:rPr>
      <w:rFonts w:ascii="Times New Roman" w:eastAsiaTheme="minorHAnsi" w:hAnsi="Times New Roman" w:cs="Times New Roman"/>
      <w:sz w:val="24"/>
    </w:rPr>
  </w:style>
  <w:style w:type="paragraph" w:customStyle="1" w:styleId="Standard">
    <w:name w:val="Standard"/>
    <w:qFormat/>
    <w:rsid w:val="007B1C1A"/>
    <w:pPr>
      <w:suppressAutoHyphens/>
      <w:autoSpaceDN w:val="0"/>
      <w:spacing w:after="0" w:line="240" w:lineRule="auto"/>
      <w:textAlignment w:val="baseline"/>
    </w:pPr>
    <w:rPr>
      <w:rFonts w:ascii="Liberation Serif" w:eastAsia="NSimSun" w:hAnsi="Liberation Serif" w:cs="Arial"/>
      <w:kern w:val="3"/>
      <w:sz w:val="24"/>
    </w:rPr>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unhideWhenUsed/>
    <w:rPr>
      <w:sz w:val="16"/>
    </w:rPr>
  </w:style>
  <w:style w:type="paragraph" w:styleId="Revision">
    <w:name w:val="Revision"/>
    <w:hidden/>
    <w:uiPriority w:val="99"/>
    <w:semiHidden/>
    <w:rsid w:val="00A41700"/>
    <w:pPr>
      <w:spacing w:after="0" w:line="240" w:lineRule="auto"/>
    </w:pPr>
  </w:style>
  <w:style w:type="character" w:customStyle="1" w:styleId="Heading1Char">
    <w:name w:val="Heading 1 Char"/>
    <w:aliases w:val="Heading Char"/>
    <w:basedOn w:val="DefaultParagraphFont"/>
    <w:link w:val="Heading1"/>
    <w:uiPriority w:val="9"/>
    <w:rsid w:val="001C30BF"/>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1C30BF"/>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rsid w:val="001C30BF"/>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rsid w:val="001C30BF"/>
    <w:rPr>
      <w:rFonts w:ascii="Times New Roman" w:eastAsiaTheme="majorEastAsia" w:hAnsi="Times New Roman" w:cs="Times New Roman"/>
      <w:sz w:val="24"/>
    </w:rPr>
  </w:style>
  <w:style w:type="paragraph" w:customStyle="1" w:styleId="HeaderLandscape">
    <w:name w:val="HeaderLandscape"/>
    <w:basedOn w:val="Normal"/>
    <w:rsid w:val="001C30BF"/>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1C30BF"/>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character" w:customStyle="1" w:styleId="Heading5Char">
    <w:name w:val="Heading 5 Char"/>
    <w:basedOn w:val="DefaultParagraphFont"/>
    <w:link w:val="Heading5"/>
    <w:uiPriority w:val="9"/>
    <w:semiHidden/>
    <w:rsid w:val="00271EF8"/>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71EF8"/>
    <w:rPr>
      <w:rFonts w:ascii="Times New Roman" w:eastAsia="Times New Roman" w:hAnsi="Times New Roman" w:cs="Times New Roman"/>
      <w:b/>
      <w:sz w:val="20"/>
    </w:rPr>
  </w:style>
  <w:style w:type="numbering" w:customStyle="1" w:styleId="NoList1">
    <w:name w:val="No List1"/>
    <w:next w:val="NoList"/>
    <w:uiPriority w:val="99"/>
    <w:semiHidden/>
    <w:unhideWhenUsed/>
    <w:rsid w:val="00271EF8"/>
  </w:style>
  <w:style w:type="character" w:styleId="IntenseEmphasis">
    <w:name w:val="Intense Emphasis"/>
    <w:basedOn w:val="DefaultParagraphFont"/>
    <w:uiPriority w:val="21"/>
    <w:qFormat/>
    <w:rsid w:val="00271EF8"/>
    <w:rPr>
      <w:i/>
      <w:color w:val="4472C4" w:themeColor="accent1"/>
    </w:rPr>
  </w:style>
  <w:style w:type="paragraph" w:styleId="BalloonText">
    <w:name w:val="Balloon Text"/>
    <w:basedOn w:val="Normal"/>
    <w:link w:val="BalloonTextChar"/>
    <w:uiPriority w:val="99"/>
    <w:semiHidden/>
    <w:unhideWhenUsed/>
    <w:rsid w:val="00271EF8"/>
    <w:pPr>
      <w:spacing w:after="0" w:line="240" w:lineRule="auto"/>
      <w:jc w:val="both"/>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271EF8"/>
    <w:rPr>
      <w:rFonts w:ascii="Segoe UI" w:eastAsiaTheme="minorHAnsi" w:hAnsi="Segoe UI" w:cs="Segoe UI"/>
      <w:sz w:val="18"/>
    </w:rPr>
  </w:style>
  <w:style w:type="paragraph" w:styleId="ListBullet">
    <w:name w:val="List Bullet"/>
    <w:basedOn w:val="Normal"/>
    <w:uiPriority w:val="99"/>
    <w:unhideWhenUsed/>
    <w:rsid w:val="00271EF8"/>
    <w:pPr>
      <w:numPr>
        <w:numId w:val="11"/>
      </w:numPr>
      <w:tabs>
        <w:tab w:val="clear" w:pos="360"/>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Bullet2">
    <w:name w:val="List Bullet 2"/>
    <w:basedOn w:val="Normal"/>
    <w:uiPriority w:val="99"/>
    <w:semiHidden/>
    <w:unhideWhenUsed/>
    <w:rsid w:val="00271EF8"/>
    <w:pPr>
      <w:numPr>
        <w:numId w:val="12"/>
      </w:numPr>
      <w:tabs>
        <w:tab w:val="clear" w:pos="643"/>
        <w:tab w:val="num" w:pos="1417"/>
      </w:tabs>
      <w:spacing w:before="120" w:after="120" w:line="240" w:lineRule="auto"/>
      <w:ind w:left="1417" w:hanging="567"/>
      <w:contextualSpacing/>
      <w:jc w:val="both"/>
    </w:pPr>
    <w:rPr>
      <w:rFonts w:ascii="Times New Roman" w:eastAsiaTheme="minorHAnsi" w:hAnsi="Times New Roman" w:cs="Times New Roman"/>
      <w:sz w:val="24"/>
    </w:rPr>
  </w:style>
  <w:style w:type="paragraph" w:styleId="ListBullet3">
    <w:name w:val="List Bullet 3"/>
    <w:basedOn w:val="Normal"/>
    <w:uiPriority w:val="99"/>
    <w:semiHidden/>
    <w:unhideWhenUsed/>
    <w:rsid w:val="00271EF8"/>
    <w:pPr>
      <w:numPr>
        <w:numId w:val="13"/>
      </w:numPr>
      <w:tabs>
        <w:tab w:val="clear" w:pos="926"/>
        <w:tab w:val="num" w:pos="1984"/>
      </w:tabs>
      <w:spacing w:before="120" w:after="120" w:line="240" w:lineRule="auto"/>
      <w:ind w:left="1984" w:hanging="567"/>
      <w:contextualSpacing/>
      <w:jc w:val="both"/>
    </w:pPr>
    <w:rPr>
      <w:rFonts w:ascii="Times New Roman" w:eastAsiaTheme="minorHAnsi" w:hAnsi="Times New Roman" w:cs="Times New Roman"/>
      <w:sz w:val="24"/>
    </w:rPr>
  </w:style>
  <w:style w:type="paragraph" w:styleId="ListBullet4">
    <w:name w:val="List Bullet 4"/>
    <w:basedOn w:val="Normal"/>
    <w:uiPriority w:val="99"/>
    <w:semiHidden/>
    <w:unhideWhenUsed/>
    <w:rsid w:val="00271EF8"/>
    <w:pPr>
      <w:numPr>
        <w:numId w:val="14"/>
      </w:numPr>
      <w:spacing w:before="120" w:after="120" w:line="240" w:lineRule="auto"/>
      <w:contextualSpacing/>
      <w:jc w:val="both"/>
    </w:pPr>
    <w:rPr>
      <w:rFonts w:ascii="Times New Roman" w:eastAsiaTheme="minorHAnsi" w:hAnsi="Times New Roman" w:cs="Times New Roman"/>
      <w:sz w:val="24"/>
    </w:rPr>
  </w:style>
  <w:style w:type="paragraph" w:styleId="CommentSubject">
    <w:name w:val="annotation subject"/>
    <w:basedOn w:val="CommentText"/>
    <w:next w:val="CommentText"/>
    <w:link w:val="CommentSubjectChar"/>
    <w:uiPriority w:val="99"/>
    <w:semiHidden/>
    <w:unhideWhenUsed/>
    <w:rsid w:val="00271EF8"/>
    <w:pPr>
      <w:spacing w:before="120" w:after="120"/>
      <w:jc w:val="both"/>
    </w:pPr>
    <w:rPr>
      <w:rFonts w:ascii="Times New Roman" w:eastAsiaTheme="minorHAnsi" w:hAnsi="Times New Roman" w:cs="Times New Roman"/>
      <w:b/>
    </w:rPr>
  </w:style>
  <w:style w:type="character" w:customStyle="1" w:styleId="CommentSubjectChar">
    <w:name w:val="Comment Subject Char"/>
    <w:basedOn w:val="CommentTextChar"/>
    <w:link w:val="CommentSubject"/>
    <w:uiPriority w:val="99"/>
    <w:semiHidden/>
    <w:rsid w:val="00271EF8"/>
    <w:rPr>
      <w:rFonts w:ascii="Times New Roman" w:eastAsiaTheme="minorHAnsi" w:hAnsi="Times New Roman" w:cs="Times New Roman"/>
      <w:b/>
      <w:sz w:val="20"/>
    </w:rPr>
  </w:style>
  <w:style w:type="paragraph" w:styleId="Caption">
    <w:name w:val="caption"/>
    <w:basedOn w:val="Normal"/>
    <w:next w:val="Normal"/>
    <w:uiPriority w:val="35"/>
    <w:semiHidden/>
    <w:unhideWhenUsed/>
    <w:qFormat/>
    <w:rsid w:val="00271EF8"/>
    <w:pPr>
      <w:spacing w:after="200" w:line="240" w:lineRule="auto"/>
      <w:jc w:val="both"/>
    </w:pPr>
    <w:rPr>
      <w:rFonts w:ascii="Times New Roman" w:eastAsiaTheme="minorHAnsi" w:hAnsi="Times New Roman" w:cs="Times New Roman"/>
      <w:i/>
      <w:color w:val="44546A" w:themeColor="text2"/>
      <w:sz w:val="18"/>
    </w:rPr>
  </w:style>
  <w:style w:type="paragraph" w:styleId="TableofFigures">
    <w:name w:val="table of figures"/>
    <w:basedOn w:val="Normal"/>
    <w:next w:val="Normal"/>
    <w:uiPriority w:val="99"/>
    <w:semiHidden/>
    <w:unhideWhenUsed/>
    <w:rsid w:val="00271EF8"/>
    <w:pPr>
      <w:spacing w:before="120" w:after="0" w:line="240" w:lineRule="auto"/>
      <w:jc w:val="both"/>
    </w:pPr>
    <w:rPr>
      <w:rFonts w:ascii="Times New Roman" w:eastAsiaTheme="minorHAnsi" w:hAnsi="Times New Roman" w:cs="Times New Roman"/>
      <w:sz w:val="24"/>
    </w:rPr>
  </w:style>
  <w:style w:type="paragraph" w:styleId="ListNumber">
    <w:name w:val="List Number"/>
    <w:basedOn w:val="Normal"/>
    <w:uiPriority w:val="99"/>
    <w:semiHidden/>
    <w:unhideWhenUsed/>
    <w:rsid w:val="00271EF8"/>
    <w:pPr>
      <w:numPr>
        <w:numId w:val="15"/>
      </w:numPr>
      <w:tabs>
        <w:tab w:val="clear" w:pos="360"/>
        <w:tab w:val="num" w:pos="3118"/>
      </w:tabs>
      <w:spacing w:before="120" w:after="120" w:line="240" w:lineRule="auto"/>
      <w:ind w:left="3118" w:hanging="567"/>
      <w:contextualSpacing/>
      <w:jc w:val="both"/>
    </w:pPr>
    <w:rPr>
      <w:rFonts w:ascii="Times New Roman" w:eastAsiaTheme="minorHAnsi" w:hAnsi="Times New Roman" w:cs="Times New Roman"/>
      <w:sz w:val="24"/>
    </w:rPr>
  </w:style>
  <w:style w:type="paragraph" w:styleId="ListNumber2">
    <w:name w:val="List Number 2"/>
    <w:basedOn w:val="Normal"/>
    <w:uiPriority w:val="99"/>
    <w:semiHidden/>
    <w:unhideWhenUsed/>
    <w:rsid w:val="00271EF8"/>
    <w:pPr>
      <w:numPr>
        <w:numId w:val="16"/>
      </w:numPr>
      <w:tabs>
        <w:tab w:val="clear" w:pos="643"/>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Number3">
    <w:name w:val="List Number 3"/>
    <w:basedOn w:val="Normal"/>
    <w:uiPriority w:val="99"/>
    <w:semiHidden/>
    <w:unhideWhenUsed/>
    <w:rsid w:val="00271EF8"/>
    <w:pPr>
      <w:numPr>
        <w:numId w:val="17"/>
      </w:numPr>
      <w:tabs>
        <w:tab w:val="clear" w:pos="926"/>
        <w:tab w:val="num" w:pos="850"/>
      </w:tabs>
      <w:spacing w:before="120" w:after="120" w:line="240" w:lineRule="auto"/>
      <w:ind w:left="850" w:hanging="850"/>
      <w:contextualSpacing/>
      <w:jc w:val="both"/>
    </w:pPr>
    <w:rPr>
      <w:rFonts w:ascii="Times New Roman" w:eastAsiaTheme="minorHAnsi" w:hAnsi="Times New Roman" w:cs="Times New Roman"/>
      <w:sz w:val="24"/>
    </w:rPr>
  </w:style>
  <w:style w:type="paragraph" w:styleId="ListNumber4">
    <w:name w:val="List Number 4"/>
    <w:basedOn w:val="Normal"/>
    <w:uiPriority w:val="99"/>
    <w:semiHidden/>
    <w:unhideWhenUsed/>
    <w:rsid w:val="00271EF8"/>
    <w:pPr>
      <w:numPr>
        <w:numId w:val="18"/>
      </w:numPr>
      <w:tabs>
        <w:tab w:val="num" w:pos="850"/>
      </w:tabs>
      <w:spacing w:before="120" w:after="120" w:line="240" w:lineRule="auto"/>
      <w:contextualSpacing/>
      <w:jc w:val="both"/>
    </w:pPr>
    <w:rPr>
      <w:rFonts w:ascii="Times New Roman" w:eastAsiaTheme="minorHAnsi" w:hAnsi="Times New Roman" w:cs="Times New Roman"/>
      <w:sz w:val="24"/>
    </w:rPr>
  </w:style>
  <w:style w:type="character" w:styleId="Hyperlink">
    <w:name w:val="Hyperlink"/>
    <w:basedOn w:val="DefaultParagraphFont"/>
    <w:uiPriority w:val="99"/>
    <w:unhideWhenUsed/>
    <w:rsid w:val="00271EF8"/>
    <w:rPr>
      <w:color w:val="0563C1" w:themeColor="hyperlink"/>
      <w:u w:val="single"/>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Plonk,o,f,Ch,single space,ft,Plo"/>
    <w:basedOn w:val="Normal"/>
    <w:link w:val="FootnoteTextChar"/>
    <w:uiPriority w:val="99"/>
    <w:unhideWhenUsed/>
    <w:qFormat/>
    <w:rsid w:val="00271EF8"/>
    <w:pPr>
      <w:spacing w:after="0" w:line="240" w:lineRule="auto"/>
      <w:ind w:left="720" w:hanging="720"/>
      <w:jc w:val="both"/>
    </w:pPr>
    <w:rPr>
      <w:rFonts w:ascii="Times New Roman" w:eastAsiaTheme="minorHAnsi" w:hAnsi="Times New Roman" w:cs="Times New Roman"/>
      <w:sz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Plonk Char"/>
    <w:basedOn w:val="DefaultParagraphFont"/>
    <w:link w:val="FootnoteText"/>
    <w:uiPriority w:val="99"/>
    <w:rsid w:val="00271EF8"/>
    <w:rPr>
      <w:rFonts w:ascii="Times New Roman" w:eastAsiaTheme="minorHAnsi" w:hAnsi="Times New Roman" w:cs="Times New Roman"/>
      <w:sz w:val="20"/>
    </w:rPr>
  </w:style>
  <w:style w:type="paragraph" w:styleId="TOCHeading">
    <w:name w:val="TOC Heading"/>
    <w:basedOn w:val="Normal"/>
    <w:next w:val="Normal"/>
    <w:uiPriority w:val="39"/>
    <w:semiHidden/>
    <w:unhideWhenUsed/>
    <w:qFormat/>
    <w:rsid w:val="00271EF8"/>
    <w:pPr>
      <w:spacing w:before="120" w:after="240" w:line="240" w:lineRule="auto"/>
      <w:jc w:val="center"/>
    </w:pPr>
    <w:rPr>
      <w:rFonts w:ascii="Times New Roman" w:eastAsiaTheme="minorHAnsi" w:hAnsi="Times New Roman" w:cs="Times New Roman"/>
      <w:b/>
      <w:sz w:val="28"/>
    </w:rPr>
  </w:style>
  <w:style w:type="paragraph" w:styleId="TOC1">
    <w:name w:val="toc 1"/>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2">
    <w:name w:val="toc 2"/>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3">
    <w:name w:val="toc 3"/>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4">
    <w:name w:val="toc 4"/>
    <w:basedOn w:val="Normal"/>
    <w:next w:val="Normal"/>
    <w:uiPriority w:val="39"/>
    <w:semiHidden/>
    <w:unhideWhenUsed/>
    <w:rsid w:val="00271EF8"/>
    <w:pPr>
      <w:tabs>
        <w:tab w:val="right" w:leader="dot" w:pos="9071"/>
      </w:tabs>
      <w:spacing w:before="60" w:after="120" w:line="240" w:lineRule="auto"/>
      <w:ind w:left="850" w:hanging="850"/>
    </w:pPr>
    <w:rPr>
      <w:rFonts w:ascii="Times New Roman" w:eastAsiaTheme="minorHAnsi" w:hAnsi="Times New Roman" w:cs="Times New Roman"/>
      <w:sz w:val="24"/>
    </w:rPr>
  </w:style>
  <w:style w:type="paragraph" w:styleId="TOC5">
    <w:name w:val="toc 5"/>
    <w:basedOn w:val="Normal"/>
    <w:next w:val="Normal"/>
    <w:uiPriority w:val="39"/>
    <w:semiHidden/>
    <w:unhideWhenUsed/>
    <w:rsid w:val="00271EF8"/>
    <w:pPr>
      <w:tabs>
        <w:tab w:val="right" w:leader="dot" w:pos="9071"/>
      </w:tabs>
      <w:spacing w:before="300" w:after="120" w:line="240" w:lineRule="auto"/>
    </w:pPr>
    <w:rPr>
      <w:rFonts w:ascii="Times New Roman" w:eastAsiaTheme="minorHAnsi" w:hAnsi="Times New Roman" w:cs="Times New Roman"/>
      <w:sz w:val="24"/>
    </w:rPr>
  </w:style>
  <w:style w:type="paragraph" w:styleId="TOC6">
    <w:name w:val="toc 6"/>
    <w:basedOn w:val="Normal"/>
    <w:next w:val="Normal"/>
    <w:uiPriority w:val="39"/>
    <w:semiHidden/>
    <w:unhideWhenUsed/>
    <w:rsid w:val="00271EF8"/>
    <w:pPr>
      <w:tabs>
        <w:tab w:val="right" w:leader="dot" w:pos="9071"/>
      </w:tabs>
      <w:spacing w:before="240" w:after="120" w:line="240" w:lineRule="auto"/>
    </w:pPr>
    <w:rPr>
      <w:rFonts w:ascii="Times New Roman" w:eastAsiaTheme="minorHAnsi" w:hAnsi="Times New Roman" w:cs="Times New Roman"/>
      <w:sz w:val="24"/>
    </w:rPr>
  </w:style>
  <w:style w:type="paragraph" w:styleId="TOC7">
    <w:name w:val="toc 7"/>
    <w:basedOn w:val="Normal"/>
    <w:next w:val="Normal"/>
    <w:uiPriority w:val="39"/>
    <w:semiHidden/>
    <w:unhideWhenUsed/>
    <w:rsid w:val="00271EF8"/>
    <w:pPr>
      <w:tabs>
        <w:tab w:val="right" w:leader="dot" w:pos="9071"/>
      </w:tabs>
      <w:spacing w:before="180" w:after="120" w:line="240" w:lineRule="auto"/>
    </w:pPr>
    <w:rPr>
      <w:rFonts w:ascii="Times New Roman" w:eastAsiaTheme="minorHAnsi" w:hAnsi="Times New Roman" w:cs="Times New Roman"/>
      <w:sz w:val="24"/>
    </w:rPr>
  </w:style>
  <w:style w:type="paragraph" w:styleId="TOC8">
    <w:name w:val="toc 8"/>
    <w:basedOn w:val="Normal"/>
    <w:next w:val="Normal"/>
    <w:uiPriority w:val="39"/>
    <w:semiHidden/>
    <w:unhideWhenUsed/>
    <w:rsid w:val="00271EF8"/>
    <w:pPr>
      <w:tabs>
        <w:tab w:val="right" w:leader="dot" w:pos="9071"/>
      </w:tabs>
      <w:spacing w:before="120" w:after="120" w:line="240" w:lineRule="auto"/>
    </w:pPr>
    <w:rPr>
      <w:rFonts w:ascii="Times New Roman" w:eastAsiaTheme="minorHAnsi" w:hAnsi="Times New Roman" w:cs="Times New Roman"/>
      <w:sz w:val="24"/>
    </w:rPr>
  </w:style>
  <w:style w:type="paragraph" w:styleId="TOC9">
    <w:name w:val="toc 9"/>
    <w:basedOn w:val="Normal"/>
    <w:next w:val="Normal"/>
    <w:uiPriority w:val="39"/>
    <w:semiHidden/>
    <w:unhideWhenUsed/>
    <w:rsid w:val="00271EF8"/>
    <w:pPr>
      <w:tabs>
        <w:tab w:val="right" w:leader="dot" w:pos="9071"/>
      </w:tabs>
      <w:spacing w:before="120" w:after="120" w:line="240" w:lineRule="auto"/>
      <w:jc w:val="both"/>
    </w:pPr>
    <w:rPr>
      <w:rFonts w:ascii="Times New Roman" w:eastAsiaTheme="minorHAnsi" w:hAnsi="Times New Roman" w:cs="Times New Roman"/>
      <w:sz w:val="24"/>
    </w:rPr>
  </w:style>
  <w:style w:type="character" w:styleId="FootnoteReference">
    <w:name w:val="footnote reference"/>
    <w:basedOn w:val="DefaultParagraphFont"/>
    <w:uiPriority w:val="99"/>
    <w:semiHidden/>
    <w:unhideWhenUsed/>
    <w:rsid w:val="00271EF8"/>
    <w:rPr>
      <w:shd w:val="clear" w:color="auto" w:fill="auto"/>
      <w:vertAlign w:val="superscript"/>
    </w:rPr>
  </w:style>
  <w:style w:type="paragraph" w:customStyle="1" w:styleId="HeaderSensitivity">
    <w:name w:val="Header Sensitivity"/>
    <w:basedOn w:val="Normal"/>
    <w:rsid w:val="00271EF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271EF8"/>
    <w:pPr>
      <w:spacing w:after="120" w:line="240" w:lineRule="auto"/>
      <w:jc w:val="right"/>
    </w:pPr>
    <w:rPr>
      <w:rFonts w:ascii="Times New Roman" w:hAnsi="Times New Roman" w:cs="Times New Roman"/>
      <w:sz w:val="28"/>
    </w:rPr>
  </w:style>
  <w:style w:type="paragraph" w:customStyle="1" w:styleId="FooterSensitivity">
    <w:name w:val="Footer Sensitivity"/>
    <w:basedOn w:val="Normal"/>
    <w:rsid w:val="00271EF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rsid w:val="00271EF8"/>
    <w:pPr>
      <w:spacing w:before="120" w:after="120" w:line="240" w:lineRule="auto"/>
      <w:ind w:left="850"/>
      <w:jc w:val="both"/>
    </w:pPr>
    <w:rPr>
      <w:rFonts w:ascii="Times New Roman" w:eastAsiaTheme="minorHAnsi" w:hAnsi="Times New Roman" w:cs="Times New Roman"/>
      <w:sz w:val="24"/>
    </w:rPr>
  </w:style>
  <w:style w:type="paragraph" w:customStyle="1" w:styleId="Text2">
    <w:name w:val="Text 2"/>
    <w:basedOn w:val="Normal"/>
    <w:rsid w:val="00271EF8"/>
    <w:pPr>
      <w:spacing w:before="120" w:after="120" w:line="240" w:lineRule="auto"/>
      <w:ind w:left="1417"/>
      <w:jc w:val="both"/>
    </w:pPr>
    <w:rPr>
      <w:rFonts w:ascii="Times New Roman" w:eastAsiaTheme="minorHAnsi" w:hAnsi="Times New Roman" w:cs="Times New Roman"/>
      <w:sz w:val="24"/>
    </w:rPr>
  </w:style>
  <w:style w:type="paragraph" w:customStyle="1" w:styleId="Text3">
    <w:name w:val="Text 3"/>
    <w:basedOn w:val="Normal"/>
    <w:rsid w:val="00271EF8"/>
    <w:pPr>
      <w:spacing w:before="120" w:after="120" w:line="240" w:lineRule="auto"/>
      <w:ind w:left="1984"/>
      <w:jc w:val="both"/>
    </w:pPr>
    <w:rPr>
      <w:rFonts w:ascii="Times New Roman" w:eastAsiaTheme="minorHAnsi" w:hAnsi="Times New Roman" w:cs="Times New Roman"/>
      <w:sz w:val="24"/>
    </w:rPr>
  </w:style>
  <w:style w:type="paragraph" w:customStyle="1" w:styleId="Text4">
    <w:name w:val="Text 4"/>
    <w:basedOn w:val="Normal"/>
    <w:rsid w:val="00271EF8"/>
    <w:pPr>
      <w:spacing w:before="120" w:after="120" w:line="240" w:lineRule="auto"/>
      <w:ind w:left="2551"/>
      <w:jc w:val="both"/>
    </w:pPr>
    <w:rPr>
      <w:rFonts w:ascii="Times New Roman" w:eastAsiaTheme="minorHAnsi" w:hAnsi="Times New Roman" w:cs="Times New Roman"/>
      <w:sz w:val="24"/>
    </w:rPr>
  </w:style>
  <w:style w:type="paragraph" w:customStyle="1" w:styleId="NormalCentered">
    <w:name w:val="Normal Centered"/>
    <w:basedOn w:val="Normal"/>
    <w:rsid w:val="00271EF8"/>
    <w:pPr>
      <w:spacing w:before="120" w:after="120" w:line="240" w:lineRule="auto"/>
      <w:jc w:val="center"/>
    </w:pPr>
    <w:rPr>
      <w:rFonts w:ascii="Times New Roman" w:eastAsiaTheme="minorHAnsi" w:hAnsi="Times New Roman" w:cs="Times New Roman"/>
      <w:sz w:val="24"/>
    </w:rPr>
  </w:style>
  <w:style w:type="paragraph" w:customStyle="1" w:styleId="NormalLeft">
    <w:name w:val="Normal Left"/>
    <w:basedOn w:val="Normal"/>
    <w:rsid w:val="00271EF8"/>
    <w:pPr>
      <w:spacing w:before="120" w:after="120" w:line="240" w:lineRule="auto"/>
    </w:pPr>
    <w:rPr>
      <w:rFonts w:ascii="Times New Roman" w:eastAsiaTheme="minorHAnsi" w:hAnsi="Times New Roman" w:cs="Times New Roman"/>
      <w:sz w:val="24"/>
    </w:rPr>
  </w:style>
  <w:style w:type="paragraph" w:customStyle="1" w:styleId="NormalRight">
    <w:name w:val="Normal Right"/>
    <w:basedOn w:val="Normal"/>
    <w:rsid w:val="00271EF8"/>
    <w:pPr>
      <w:spacing w:before="120" w:after="120" w:line="240" w:lineRule="auto"/>
      <w:jc w:val="right"/>
    </w:pPr>
    <w:rPr>
      <w:rFonts w:ascii="Times New Roman" w:eastAsiaTheme="minorHAnsi" w:hAnsi="Times New Roman" w:cs="Times New Roman"/>
      <w:sz w:val="24"/>
    </w:rPr>
  </w:style>
  <w:style w:type="paragraph" w:customStyle="1" w:styleId="QuotedText">
    <w:name w:val="Quoted Text"/>
    <w:basedOn w:val="Normal"/>
    <w:rsid w:val="00271EF8"/>
    <w:pPr>
      <w:spacing w:before="120" w:after="120" w:line="240" w:lineRule="auto"/>
      <w:ind w:left="1417"/>
      <w:jc w:val="both"/>
    </w:pPr>
    <w:rPr>
      <w:rFonts w:ascii="Times New Roman" w:eastAsiaTheme="minorHAnsi" w:hAnsi="Times New Roman" w:cs="Times New Roman"/>
      <w:sz w:val="24"/>
    </w:rPr>
  </w:style>
  <w:style w:type="paragraph" w:customStyle="1" w:styleId="Point0">
    <w:name w:val="Point 0"/>
    <w:basedOn w:val="Normal"/>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Point1">
    <w:name w:val="Point 1"/>
    <w:basedOn w:val="Normal"/>
    <w:rsid w:val="00271EF8"/>
    <w:pPr>
      <w:spacing w:before="120" w:after="120" w:line="240" w:lineRule="auto"/>
      <w:ind w:left="1417" w:hanging="567"/>
      <w:jc w:val="both"/>
    </w:pPr>
    <w:rPr>
      <w:rFonts w:ascii="Times New Roman" w:eastAsiaTheme="minorHAnsi" w:hAnsi="Times New Roman" w:cs="Times New Roman"/>
      <w:sz w:val="24"/>
    </w:rPr>
  </w:style>
  <w:style w:type="paragraph" w:customStyle="1" w:styleId="Point2">
    <w:name w:val="Point 2"/>
    <w:basedOn w:val="Normal"/>
    <w:rsid w:val="00271EF8"/>
    <w:pPr>
      <w:spacing w:before="120" w:after="120" w:line="240" w:lineRule="auto"/>
      <w:ind w:left="1984" w:hanging="567"/>
      <w:jc w:val="both"/>
    </w:pPr>
    <w:rPr>
      <w:rFonts w:ascii="Times New Roman" w:eastAsiaTheme="minorHAnsi" w:hAnsi="Times New Roman" w:cs="Times New Roman"/>
      <w:sz w:val="24"/>
    </w:rPr>
  </w:style>
  <w:style w:type="paragraph" w:customStyle="1" w:styleId="Point3">
    <w:name w:val="Point 3"/>
    <w:basedOn w:val="Normal"/>
    <w:rsid w:val="00271EF8"/>
    <w:pPr>
      <w:spacing w:before="120" w:after="120" w:line="240" w:lineRule="auto"/>
      <w:ind w:left="2551" w:hanging="567"/>
      <w:jc w:val="both"/>
    </w:pPr>
    <w:rPr>
      <w:rFonts w:ascii="Times New Roman" w:eastAsiaTheme="minorHAnsi" w:hAnsi="Times New Roman" w:cs="Times New Roman"/>
      <w:sz w:val="24"/>
    </w:rPr>
  </w:style>
  <w:style w:type="paragraph" w:customStyle="1" w:styleId="Point4">
    <w:name w:val="Point 4"/>
    <w:basedOn w:val="Normal"/>
    <w:rsid w:val="00271EF8"/>
    <w:pPr>
      <w:spacing w:before="120" w:after="120" w:line="240" w:lineRule="auto"/>
      <w:ind w:left="3118" w:hanging="567"/>
      <w:jc w:val="both"/>
    </w:pPr>
    <w:rPr>
      <w:rFonts w:ascii="Times New Roman" w:eastAsiaTheme="minorHAnsi" w:hAnsi="Times New Roman" w:cs="Times New Roman"/>
      <w:sz w:val="24"/>
    </w:rPr>
  </w:style>
  <w:style w:type="paragraph" w:customStyle="1" w:styleId="Tiret0">
    <w:name w:val="Tiret 0"/>
    <w:basedOn w:val="Point0"/>
    <w:rsid w:val="00271EF8"/>
    <w:pPr>
      <w:numPr>
        <w:numId w:val="19"/>
      </w:numPr>
      <w:tabs>
        <w:tab w:val="clear" w:pos="850"/>
        <w:tab w:val="num" w:pos="1417"/>
      </w:tabs>
      <w:ind w:left="1417" w:hanging="567"/>
    </w:pPr>
  </w:style>
  <w:style w:type="paragraph" w:customStyle="1" w:styleId="Tiret1">
    <w:name w:val="Tiret 1"/>
    <w:basedOn w:val="Point1"/>
    <w:rsid w:val="00271EF8"/>
    <w:pPr>
      <w:numPr>
        <w:numId w:val="20"/>
      </w:numPr>
      <w:tabs>
        <w:tab w:val="clear" w:pos="1417"/>
        <w:tab w:val="num" w:pos="1984"/>
      </w:tabs>
      <w:ind w:left="1984"/>
    </w:pPr>
  </w:style>
  <w:style w:type="paragraph" w:customStyle="1" w:styleId="Tiret2">
    <w:name w:val="Tiret 2"/>
    <w:basedOn w:val="Point2"/>
    <w:rsid w:val="00271EF8"/>
    <w:pPr>
      <w:numPr>
        <w:numId w:val="21"/>
      </w:numPr>
      <w:tabs>
        <w:tab w:val="clear" w:pos="1984"/>
        <w:tab w:val="num" w:pos="2551"/>
      </w:tabs>
      <w:ind w:left="2551"/>
    </w:pPr>
  </w:style>
  <w:style w:type="paragraph" w:customStyle="1" w:styleId="Tiret3">
    <w:name w:val="Tiret 3"/>
    <w:basedOn w:val="Point3"/>
    <w:rsid w:val="00271EF8"/>
    <w:pPr>
      <w:numPr>
        <w:numId w:val="22"/>
      </w:numPr>
      <w:tabs>
        <w:tab w:val="clear" w:pos="2551"/>
        <w:tab w:val="num" w:pos="3118"/>
      </w:tabs>
      <w:ind w:left="3118"/>
    </w:pPr>
  </w:style>
  <w:style w:type="paragraph" w:customStyle="1" w:styleId="Tiret4">
    <w:name w:val="Tiret 4"/>
    <w:basedOn w:val="Point4"/>
    <w:rsid w:val="00271EF8"/>
    <w:pPr>
      <w:numPr>
        <w:numId w:val="23"/>
      </w:numPr>
      <w:tabs>
        <w:tab w:val="clear" w:pos="3118"/>
        <w:tab w:val="num" w:pos="709"/>
      </w:tabs>
      <w:ind w:left="709" w:hanging="709"/>
    </w:pPr>
  </w:style>
  <w:style w:type="paragraph" w:customStyle="1" w:styleId="PointDouble0">
    <w:name w:val="PointDouble 0"/>
    <w:basedOn w:val="Normal"/>
    <w:rsid w:val="00271EF8"/>
    <w:pPr>
      <w:tabs>
        <w:tab w:val="left" w:pos="850"/>
      </w:tabs>
      <w:spacing w:before="120" w:after="120" w:line="240" w:lineRule="auto"/>
      <w:ind w:left="1417" w:hanging="1417"/>
      <w:jc w:val="both"/>
    </w:pPr>
    <w:rPr>
      <w:rFonts w:ascii="Times New Roman" w:eastAsiaTheme="minorHAnsi" w:hAnsi="Times New Roman" w:cs="Times New Roman"/>
      <w:sz w:val="24"/>
    </w:rPr>
  </w:style>
  <w:style w:type="paragraph" w:customStyle="1" w:styleId="PointDouble1">
    <w:name w:val="PointDouble 1"/>
    <w:basedOn w:val="Normal"/>
    <w:rsid w:val="00271EF8"/>
    <w:pPr>
      <w:tabs>
        <w:tab w:val="left" w:pos="1417"/>
      </w:tabs>
      <w:spacing w:before="120" w:after="120" w:line="240" w:lineRule="auto"/>
      <w:ind w:left="1984" w:hanging="1134"/>
      <w:jc w:val="both"/>
    </w:pPr>
    <w:rPr>
      <w:rFonts w:ascii="Times New Roman" w:eastAsiaTheme="minorHAnsi" w:hAnsi="Times New Roman" w:cs="Times New Roman"/>
      <w:sz w:val="24"/>
    </w:rPr>
  </w:style>
  <w:style w:type="paragraph" w:customStyle="1" w:styleId="PointDouble2">
    <w:name w:val="PointDouble 2"/>
    <w:basedOn w:val="Normal"/>
    <w:rsid w:val="00271EF8"/>
    <w:pPr>
      <w:tabs>
        <w:tab w:val="left" w:pos="1984"/>
      </w:tabs>
      <w:spacing w:before="120" w:after="120" w:line="240" w:lineRule="auto"/>
      <w:ind w:left="2551" w:hanging="1134"/>
      <w:jc w:val="both"/>
    </w:pPr>
    <w:rPr>
      <w:rFonts w:ascii="Times New Roman" w:eastAsiaTheme="minorHAnsi" w:hAnsi="Times New Roman" w:cs="Times New Roman"/>
      <w:sz w:val="24"/>
    </w:rPr>
  </w:style>
  <w:style w:type="paragraph" w:customStyle="1" w:styleId="PointDouble3">
    <w:name w:val="PointDouble 3"/>
    <w:basedOn w:val="Normal"/>
    <w:rsid w:val="00271EF8"/>
    <w:pPr>
      <w:tabs>
        <w:tab w:val="left" w:pos="2551"/>
      </w:tabs>
      <w:spacing w:before="120" w:after="120" w:line="240" w:lineRule="auto"/>
      <w:ind w:left="3118" w:hanging="1134"/>
      <w:jc w:val="both"/>
    </w:pPr>
    <w:rPr>
      <w:rFonts w:ascii="Times New Roman" w:eastAsiaTheme="minorHAnsi" w:hAnsi="Times New Roman" w:cs="Times New Roman"/>
      <w:sz w:val="24"/>
    </w:rPr>
  </w:style>
  <w:style w:type="paragraph" w:customStyle="1" w:styleId="PointDouble4">
    <w:name w:val="PointDouble 4"/>
    <w:basedOn w:val="Normal"/>
    <w:rsid w:val="00271EF8"/>
    <w:pPr>
      <w:tabs>
        <w:tab w:val="left" w:pos="3118"/>
      </w:tabs>
      <w:spacing w:before="120" w:after="120" w:line="240" w:lineRule="auto"/>
      <w:ind w:left="3685" w:hanging="1134"/>
      <w:jc w:val="both"/>
    </w:pPr>
    <w:rPr>
      <w:rFonts w:ascii="Times New Roman" w:eastAsiaTheme="minorHAnsi" w:hAnsi="Times New Roman" w:cs="Times New Roman"/>
      <w:sz w:val="24"/>
    </w:rPr>
  </w:style>
  <w:style w:type="paragraph" w:customStyle="1" w:styleId="PointTriple0">
    <w:name w:val="PointTriple 0"/>
    <w:basedOn w:val="Normal"/>
    <w:rsid w:val="00271EF8"/>
    <w:pPr>
      <w:tabs>
        <w:tab w:val="left" w:pos="850"/>
        <w:tab w:val="left" w:pos="1417"/>
      </w:tabs>
      <w:spacing w:before="120" w:after="120" w:line="240" w:lineRule="auto"/>
      <w:ind w:left="1984" w:hanging="1984"/>
      <w:jc w:val="both"/>
    </w:pPr>
    <w:rPr>
      <w:rFonts w:ascii="Times New Roman" w:eastAsiaTheme="minorHAnsi" w:hAnsi="Times New Roman" w:cs="Times New Roman"/>
      <w:sz w:val="24"/>
    </w:rPr>
  </w:style>
  <w:style w:type="paragraph" w:customStyle="1" w:styleId="PointTriple1">
    <w:name w:val="PointTriple 1"/>
    <w:basedOn w:val="Normal"/>
    <w:rsid w:val="00271EF8"/>
    <w:pPr>
      <w:tabs>
        <w:tab w:val="left" w:pos="1417"/>
        <w:tab w:val="left" w:pos="1984"/>
      </w:tabs>
      <w:spacing w:before="120" w:after="120" w:line="240" w:lineRule="auto"/>
      <w:ind w:left="2551" w:hanging="1701"/>
      <w:jc w:val="both"/>
    </w:pPr>
    <w:rPr>
      <w:rFonts w:ascii="Times New Roman" w:eastAsiaTheme="minorHAnsi" w:hAnsi="Times New Roman" w:cs="Times New Roman"/>
      <w:sz w:val="24"/>
    </w:rPr>
  </w:style>
  <w:style w:type="paragraph" w:customStyle="1" w:styleId="PointTriple2">
    <w:name w:val="PointTriple 2"/>
    <w:basedOn w:val="Normal"/>
    <w:rsid w:val="00271EF8"/>
    <w:pPr>
      <w:tabs>
        <w:tab w:val="left" w:pos="1984"/>
        <w:tab w:val="left" w:pos="2551"/>
      </w:tabs>
      <w:spacing w:before="120" w:after="120" w:line="240" w:lineRule="auto"/>
      <w:ind w:left="3118" w:hanging="1701"/>
      <w:jc w:val="both"/>
    </w:pPr>
    <w:rPr>
      <w:rFonts w:ascii="Times New Roman" w:eastAsiaTheme="minorHAnsi" w:hAnsi="Times New Roman" w:cs="Times New Roman"/>
      <w:sz w:val="24"/>
    </w:rPr>
  </w:style>
  <w:style w:type="paragraph" w:customStyle="1" w:styleId="PointTriple3">
    <w:name w:val="PointTriple 3"/>
    <w:basedOn w:val="Normal"/>
    <w:rsid w:val="00271EF8"/>
    <w:pPr>
      <w:tabs>
        <w:tab w:val="left" w:pos="2551"/>
        <w:tab w:val="left" w:pos="3118"/>
      </w:tabs>
      <w:spacing w:before="120" w:after="120" w:line="240" w:lineRule="auto"/>
      <w:ind w:left="3685" w:hanging="1701"/>
      <w:jc w:val="both"/>
    </w:pPr>
    <w:rPr>
      <w:rFonts w:ascii="Times New Roman" w:eastAsiaTheme="minorHAnsi" w:hAnsi="Times New Roman" w:cs="Times New Roman"/>
      <w:sz w:val="24"/>
    </w:rPr>
  </w:style>
  <w:style w:type="paragraph" w:customStyle="1" w:styleId="PointTriple4">
    <w:name w:val="PointTriple 4"/>
    <w:basedOn w:val="Normal"/>
    <w:rsid w:val="00271EF8"/>
    <w:pPr>
      <w:tabs>
        <w:tab w:val="left" w:pos="3118"/>
        <w:tab w:val="left" w:pos="3685"/>
      </w:tabs>
      <w:spacing w:before="120" w:after="120" w:line="240" w:lineRule="auto"/>
      <w:ind w:left="4252" w:hanging="1701"/>
      <w:jc w:val="both"/>
    </w:pPr>
    <w:rPr>
      <w:rFonts w:ascii="Times New Roman" w:eastAsiaTheme="minorHAnsi" w:hAnsi="Times New Roman" w:cs="Times New Roman"/>
      <w:sz w:val="24"/>
    </w:rPr>
  </w:style>
  <w:style w:type="paragraph" w:customStyle="1" w:styleId="NumPar1">
    <w:name w:val="NumPar 1"/>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2">
    <w:name w:val="NumPar 2"/>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3">
    <w:name w:val="NumPar 3"/>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NumPar4">
    <w:name w:val="NumPar 4"/>
    <w:basedOn w:val="Normal"/>
    <w:next w:val="Text1"/>
    <w:rsid w:val="00271EF8"/>
    <w:pPr>
      <w:tabs>
        <w:tab w:val="num" w:pos="850"/>
      </w:tabs>
      <w:spacing w:before="120" w:after="120" w:line="240" w:lineRule="auto"/>
      <w:ind w:left="850" w:hanging="850"/>
      <w:jc w:val="both"/>
    </w:pPr>
    <w:rPr>
      <w:rFonts w:ascii="Times New Roman" w:eastAsiaTheme="minorHAnsi" w:hAnsi="Times New Roman" w:cs="Times New Roman"/>
      <w:sz w:val="24"/>
    </w:rPr>
  </w:style>
  <w:style w:type="paragraph" w:customStyle="1" w:styleId="ManualNumPar1">
    <w:name w:val="Manual NumPar 1"/>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2">
    <w:name w:val="Manual NumPar 2"/>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3">
    <w:name w:val="Manual NumPar 3"/>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ManualNumPar4">
    <w:name w:val="Manual NumPar 4"/>
    <w:basedOn w:val="Normal"/>
    <w:next w:val="Text1"/>
    <w:rsid w:val="00271EF8"/>
    <w:pPr>
      <w:spacing w:before="120" w:after="120" w:line="240" w:lineRule="auto"/>
      <w:ind w:left="850" w:hanging="850"/>
      <w:jc w:val="both"/>
    </w:pPr>
    <w:rPr>
      <w:rFonts w:ascii="Times New Roman" w:eastAsiaTheme="minorHAnsi" w:hAnsi="Times New Roman" w:cs="Times New Roman"/>
      <w:sz w:val="24"/>
    </w:rPr>
  </w:style>
  <w:style w:type="paragraph" w:customStyle="1" w:styleId="QuotedNumPar">
    <w:name w:val="Quoted NumPar"/>
    <w:basedOn w:val="Normal"/>
    <w:rsid w:val="00271EF8"/>
    <w:pPr>
      <w:spacing w:before="120" w:after="120" w:line="240" w:lineRule="auto"/>
      <w:ind w:left="1417" w:hanging="567"/>
      <w:jc w:val="both"/>
    </w:pPr>
    <w:rPr>
      <w:rFonts w:ascii="Times New Roman" w:eastAsiaTheme="minorHAnsi" w:hAnsi="Times New Roman" w:cs="Times New Roman"/>
      <w:sz w:val="24"/>
    </w:rPr>
  </w:style>
  <w:style w:type="paragraph" w:customStyle="1" w:styleId="ManualHeading1">
    <w:name w:val="Manual Heading 1"/>
    <w:basedOn w:val="Normal"/>
    <w:next w:val="Text1"/>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rPr>
  </w:style>
  <w:style w:type="paragraph" w:customStyle="1" w:styleId="ManualHeading2">
    <w:name w:val="Manual Heading 2"/>
    <w:basedOn w:val="Normal"/>
    <w:next w:val="Text1"/>
    <w:rsid w:val="00271EF8"/>
    <w:pPr>
      <w:keepNext/>
      <w:tabs>
        <w:tab w:val="left" w:pos="850"/>
      </w:tabs>
      <w:spacing w:before="120" w:after="120" w:line="240" w:lineRule="auto"/>
      <w:ind w:left="850" w:hanging="850"/>
      <w:jc w:val="both"/>
      <w:outlineLvl w:val="1"/>
    </w:pPr>
    <w:rPr>
      <w:rFonts w:ascii="Times New Roman" w:eastAsiaTheme="minorHAnsi" w:hAnsi="Times New Roman" w:cs="Times New Roman"/>
      <w:b/>
      <w:sz w:val="24"/>
    </w:rPr>
  </w:style>
  <w:style w:type="paragraph" w:customStyle="1" w:styleId="ManualHeading3">
    <w:name w:val="Manual Heading 3"/>
    <w:basedOn w:val="Normal"/>
    <w:next w:val="Text1"/>
    <w:rsid w:val="00271EF8"/>
    <w:pPr>
      <w:keepNext/>
      <w:tabs>
        <w:tab w:val="left" w:pos="850"/>
      </w:tabs>
      <w:spacing w:before="120" w:after="120" w:line="240" w:lineRule="auto"/>
      <w:ind w:left="850" w:hanging="850"/>
      <w:jc w:val="both"/>
      <w:outlineLvl w:val="2"/>
    </w:pPr>
    <w:rPr>
      <w:rFonts w:ascii="Times New Roman" w:eastAsiaTheme="minorHAnsi" w:hAnsi="Times New Roman" w:cs="Times New Roman"/>
      <w:i/>
      <w:sz w:val="24"/>
    </w:rPr>
  </w:style>
  <w:style w:type="paragraph" w:customStyle="1" w:styleId="ManualHeading4">
    <w:name w:val="Manual Heading 4"/>
    <w:basedOn w:val="Normal"/>
    <w:next w:val="Text1"/>
    <w:rsid w:val="00271EF8"/>
    <w:pPr>
      <w:keepNext/>
      <w:tabs>
        <w:tab w:val="left" w:pos="850"/>
      </w:tabs>
      <w:spacing w:before="120" w:after="120" w:line="240" w:lineRule="auto"/>
      <w:ind w:left="850" w:hanging="850"/>
      <w:jc w:val="both"/>
      <w:outlineLvl w:val="3"/>
    </w:pPr>
    <w:rPr>
      <w:rFonts w:ascii="Times New Roman" w:eastAsiaTheme="minorHAnsi" w:hAnsi="Times New Roman" w:cs="Times New Roman"/>
      <w:sz w:val="24"/>
    </w:rPr>
  </w:style>
  <w:style w:type="paragraph" w:customStyle="1" w:styleId="ChapterTitle">
    <w:name w:val="ChapterTitle"/>
    <w:basedOn w:val="Normal"/>
    <w:next w:val="Normal"/>
    <w:rsid w:val="00271EF8"/>
    <w:pPr>
      <w:keepNext/>
      <w:spacing w:before="120" w:after="360" w:line="240" w:lineRule="auto"/>
      <w:jc w:val="center"/>
    </w:pPr>
    <w:rPr>
      <w:rFonts w:ascii="Times New Roman" w:eastAsiaTheme="minorHAnsi" w:hAnsi="Times New Roman" w:cs="Times New Roman"/>
      <w:b/>
      <w:sz w:val="32"/>
    </w:rPr>
  </w:style>
  <w:style w:type="paragraph" w:customStyle="1" w:styleId="PartTitle">
    <w:name w:val="PartTitle"/>
    <w:basedOn w:val="Normal"/>
    <w:next w:val="ChapterTitle"/>
    <w:rsid w:val="00271EF8"/>
    <w:pPr>
      <w:keepNext/>
      <w:pageBreakBefore/>
      <w:spacing w:before="120" w:after="360" w:line="240" w:lineRule="auto"/>
      <w:jc w:val="center"/>
    </w:pPr>
    <w:rPr>
      <w:rFonts w:ascii="Times New Roman" w:eastAsiaTheme="minorHAnsi" w:hAnsi="Times New Roman" w:cs="Times New Roman"/>
      <w:b/>
      <w:sz w:val="36"/>
    </w:rPr>
  </w:style>
  <w:style w:type="paragraph" w:customStyle="1" w:styleId="SectionTitle">
    <w:name w:val="SectionTitle"/>
    <w:basedOn w:val="Normal"/>
    <w:next w:val="Heading1"/>
    <w:rsid w:val="00271EF8"/>
    <w:pPr>
      <w:keepNext/>
      <w:spacing w:before="120" w:after="360" w:line="240" w:lineRule="auto"/>
      <w:jc w:val="center"/>
    </w:pPr>
    <w:rPr>
      <w:rFonts w:ascii="Times New Roman" w:eastAsiaTheme="minorHAnsi" w:hAnsi="Times New Roman" w:cs="Times New Roman"/>
      <w:b/>
      <w:smallCaps/>
      <w:sz w:val="28"/>
    </w:rPr>
  </w:style>
  <w:style w:type="paragraph" w:customStyle="1" w:styleId="TableTitle">
    <w:name w:val="Table Title"/>
    <w:basedOn w:val="Normal"/>
    <w:next w:val="Normal"/>
    <w:rsid w:val="00271EF8"/>
    <w:pPr>
      <w:spacing w:before="120" w:after="120" w:line="240" w:lineRule="auto"/>
      <w:jc w:val="center"/>
    </w:pPr>
    <w:rPr>
      <w:rFonts w:ascii="Times New Roman" w:eastAsiaTheme="minorHAnsi" w:hAnsi="Times New Roman" w:cs="Times New Roman"/>
      <w:b/>
      <w:sz w:val="24"/>
    </w:rPr>
  </w:style>
  <w:style w:type="character" w:customStyle="1" w:styleId="Marker">
    <w:name w:val="Marker"/>
    <w:basedOn w:val="DefaultParagraphFont"/>
    <w:rsid w:val="00271EF8"/>
    <w:rPr>
      <w:color w:val="0000FF"/>
      <w:shd w:val="clear" w:color="auto" w:fill="auto"/>
    </w:rPr>
  </w:style>
  <w:style w:type="character" w:customStyle="1" w:styleId="Marker1">
    <w:name w:val="Marker1"/>
    <w:basedOn w:val="DefaultParagraphFont"/>
    <w:rsid w:val="00271EF8"/>
    <w:rPr>
      <w:color w:val="008000"/>
      <w:shd w:val="clear" w:color="auto" w:fill="auto"/>
    </w:rPr>
  </w:style>
  <w:style w:type="character" w:customStyle="1" w:styleId="Marker2">
    <w:name w:val="Marker2"/>
    <w:basedOn w:val="DefaultParagraphFont"/>
    <w:rsid w:val="00271EF8"/>
    <w:rPr>
      <w:color w:val="FF0000"/>
      <w:shd w:val="clear" w:color="auto" w:fill="auto"/>
    </w:rPr>
  </w:style>
  <w:style w:type="paragraph" w:customStyle="1" w:styleId="Point0number">
    <w:name w:val="Point 0 (number)"/>
    <w:basedOn w:val="Normal"/>
    <w:rsid w:val="00271EF8"/>
    <w:pPr>
      <w:numPr>
        <w:numId w:val="24"/>
      </w:numPr>
      <w:tabs>
        <w:tab w:val="clear" w:pos="850"/>
      </w:tabs>
      <w:spacing w:before="120" w:after="120" w:line="240" w:lineRule="auto"/>
      <w:ind w:left="1275" w:hanging="420"/>
      <w:jc w:val="both"/>
    </w:pPr>
    <w:rPr>
      <w:rFonts w:ascii="Times New Roman" w:eastAsiaTheme="minorHAnsi" w:hAnsi="Times New Roman" w:cs="Times New Roman"/>
      <w:sz w:val="24"/>
    </w:rPr>
  </w:style>
  <w:style w:type="paragraph" w:customStyle="1" w:styleId="Point1number">
    <w:name w:val="Point 1 (number)"/>
    <w:basedOn w:val="Normal"/>
    <w:rsid w:val="00271EF8"/>
    <w:pPr>
      <w:numPr>
        <w:ilvl w:val="2"/>
        <w:numId w:val="24"/>
      </w:numPr>
      <w:tabs>
        <w:tab w:val="clear" w:pos="1417"/>
      </w:tabs>
      <w:spacing w:before="120" w:after="120" w:line="240" w:lineRule="auto"/>
      <w:ind w:left="2655" w:hanging="180"/>
      <w:jc w:val="both"/>
    </w:pPr>
    <w:rPr>
      <w:rFonts w:ascii="Times New Roman" w:eastAsiaTheme="minorHAnsi" w:hAnsi="Times New Roman" w:cs="Times New Roman"/>
      <w:sz w:val="24"/>
    </w:rPr>
  </w:style>
  <w:style w:type="paragraph" w:customStyle="1" w:styleId="Point2number">
    <w:name w:val="Point 2 (number)"/>
    <w:basedOn w:val="Normal"/>
    <w:rsid w:val="00271EF8"/>
    <w:pPr>
      <w:numPr>
        <w:ilvl w:val="4"/>
        <w:numId w:val="24"/>
      </w:numPr>
      <w:tabs>
        <w:tab w:val="clear" w:pos="1984"/>
      </w:tabs>
      <w:spacing w:before="120" w:after="120" w:line="240" w:lineRule="auto"/>
      <w:ind w:left="4095" w:hanging="360"/>
      <w:jc w:val="both"/>
    </w:pPr>
    <w:rPr>
      <w:rFonts w:ascii="Times New Roman" w:eastAsiaTheme="minorHAnsi" w:hAnsi="Times New Roman" w:cs="Times New Roman"/>
      <w:sz w:val="24"/>
    </w:rPr>
  </w:style>
  <w:style w:type="paragraph" w:customStyle="1" w:styleId="Point3number">
    <w:name w:val="Point 3 (number)"/>
    <w:basedOn w:val="Normal"/>
    <w:rsid w:val="00271EF8"/>
    <w:pPr>
      <w:numPr>
        <w:ilvl w:val="6"/>
        <w:numId w:val="24"/>
      </w:numPr>
      <w:tabs>
        <w:tab w:val="clear" w:pos="2551"/>
      </w:tabs>
      <w:spacing w:before="120" w:after="120" w:line="240" w:lineRule="auto"/>
      <w:ind w:left="5535" w:hanging="360"/>
      <w:jc w:val="both"/>
    </w:pPr>
    <w:rPr>
      <w:rFonts w:ascii="Times New Roman" w:eastAsiaTheme="minorHAnsi" w:hAnsi="Times New Roman" w:cs="Times New Roman"/>
      <w:sz w:val="24"/>
    </w:rPr>
  </w:style>
  <w:style w:type="paragraph" w:customStyle="1" w:styleId="Point0letter">
    <w:name w:val="Point 0 (letter)"/>
    <w:basedOn w:val="Normal"/>
    <w:rsid w:val="00271EF8"/>
    <w:pPr>
      <w:numPr>
        <w:ilvl w:val="1"/>
        <w:numId w:val="24"/>
      </w:numPr>
      <w:tabs>
        <w:tab w:val="clear" w:pos="850"/>
      </w:tabs>
      <w:spacing w:before="120" w:after="120" w:line="240" w:lineRule="auto"/>
      <w:ind w:left="1935" w:hanging="360"/>
      <w:jc w:val="both"/>
    </w:pPr>
    <w:rPr>
      <w:rFonts w:ascii="Times New Roman" w:eastAsiaTheme="minorHAnsi" w:hAnsi="Times New Roman" w:cs="Times New Roman"/>
      <w:sz w:val="24"/>
    </w:rPr>
  </w:style>
  <w:style w:type="paragraph" w:customStyle="1" w:styleId="Point1letter">
    <w:name w:val="Point 1 (letter)"/>
    <w:basedOn w:val="Normal"/>
    <w:rsid w:val="00271EF8"/>
    <w:pPr>
      <w:numPr>
        <w:ilvl w:val="3"/>
        <w:numId w:val="24"/>
      </w:numPr>
      <w:tabs>
        <w:tab w:val="clear" w:pos="1417"/>
      </w:tabs>
      <w:spacing w:before="120" w:after="120" w:line="240" w:lineRule="auto"/>
      <w:ind w:left="3375" w:hanging="360"/>
      <w:jc w:val="both"/>
    </w:pPr>
    <w:rPr>
      <w:rFonts w:ascii="Times New Roman" w:eastAsiaTheme="minorHAnsi" w:hAnsi="Times New Roman" w:cs="Times New Roman"/>
      <w:sz w:val="24"/>
    </w:rPr>
  </w:style>
  <w:style w:type="paragraph" w:customStyle="1" w:styleId="Point2letter">
    <w:name w:val="Point 2 (letter)"/>
    <w:basedOn w:val="Normal"/>
    <w:rsid w:val="00271EF8"/>
    <w:pPr>
      <w:numPr>
        <w:ilvl w:val="5"/>
        <w:numId w:val="24"/>
      </w:numPr>
      <w:tabs>
        <w:tab w:val="clear" w:pos="1984"/>
      </w:tabs>
      <w:spacing w:before="120" w:after="120" w:line="240" w:lineRule="auto"/>
      <w:ind w:left="4815" w:hanging="180"/>
      <w:jc w:val="both"/>
    </w:pPr>
    <w:rPr>
      <w:rFonts w:ascii="Times New Roman" w:eastAsiaTheme="minorHAnsi" w:hAnsi="Times New Roman" w:cs="Times New Roman"/>
      <w:sz w:val="24"/>
    </w:rPr>
  </w:style>
  <w:style w:type="paragraph" w:customStyle="1" w:styleId="Point3letter">
    <w:name w:val="Point 3 (letter)"/>
    <w:basedOn w:val="Normal"/>
    <w:rsid w:val="00271EF8"/>
    <w:pPr>
      <w:numPr>
        <w:ilvl w:val="7"/>
        <w:numId w:val="24"/>
      </w:numPr>
      <w:tabs>
        <w:tab w:val="clear" w:pos="2551"/>
      </w:tabs>
      <w:spacing w:before="120" w:after="120" w:line="240" w:lineRule="auto"/>
      <w:ind w:left="6255" w:hanging="360"/>
      <w:jc w:val="both"/>
    </w:pPr>
    <w:rPr>
      <w:rFonts w:ascii="Times New Roman" w:eastAsiaTheme="minorHAnsi" w:hAnsi="Times New Roman" w:cs="Times New Roman"/>
      <w:sz w:val="24"/>
    </w:rPr>
  </w:style>
  <w:style w:type="paragraph" w:customStyle="1" w:styleId="Point4letter">
    <w:name w:val="Point 4 (letter)"/>
    <w:basedOn w:val="Normal"/>
    <w:rsid w:val="00271EF8"/>
    <w:pPr>
      <w:numPr>
        <w:ilvl w:val="8"/>
        <w:numId w:val="24"/>
      </w:numPr>
      <w:tabs>
        <w:tab w:val="clear" w:pos="3118"/>
      </w:tabs>
      <w:spacing w:before="120" w:after="120" w:line="240" w:lineRule="auto"/>
      <w:ind w:left="6975" w:hanging="180"/>
      <w:jc w:val="both"/>
    </w:pPr>
    <w:rPr>
      <w:rFonts w:ascii="Times New Roman" w:eastAsiaTheme="minorHAnsi" w:hAnsi="Times New Roman" w:cs="Times New Roman"/>
      <w:sz w:val="24"/>
    </w:rPr>
  </w:style>
  <w:style w:type="paragraph" w:customStyle="1" w:styleId="Bullet0">
    <w:name w:val="Bullet 0"/>
    <w:basedOn w:val="Normal"/>
    <w:rsid w:val="00271EF8"/>
    <w:pPr>
      <w:numPr>
        <w:numId w:val="25"/>
      </w:numPr>
      <w:tabs>
        <w:tab w:val="clear" w:pos="850"/>
      </w:tabs>
      <w:spacing w:before="120" w:after="120" w:line="240" w:lineRule="auto"/>
      <w:ind w:left="1570" w:hanging="360"/>
      <w:jc w:val="both"/>
    </w:pPr>
    <w:rPr>
      <w:rFonts w:ascii="Times New Roman" w:eastAsiaTheme="minorHAnsi" w:hAnsi="Times New Roman" w:cs="Times New Roman"/>
      <w:sz w:val="24"/>
    </w:rPr>
  </w:style>
  <w:style w:type="paragraph" w:customStyle="1" w:styleId="Bullet1">
    <w:name w:val="Bullet 1"/>
    <w:basedOn w:val="Normal"/>
    <w:rsid w:val="00271EF8"/>
    <w:pPr>
      <w:numPr>
        <w:numId w:val="26"/>
      </w:numPr>
      <w:tabs>
        <w:tab w:val="clear" w:pos="1417"/>
      </w:tabs>
      <w:spacing w:before="120" w:after="120" w:line="240" w:lineRule="auto"/>
      <w:ind w:left="1570" w:hanging="360"/>
      <w:jc w:val="both"/>
    </w:pPr>
    <w:rPr>
      <w:rFonts w:ascii="Times New Roman" w:eastAsiaTheme="minorHAnsi" w:hAnsi="Times New Roman" w:cs="Times New Roman"/>
      <w:sz w:val="24"/>
    </w:rPr>
  </w:style>
  <w:style w:type="paragraph" w:customStyle="1" w:styleId="Bullet2">
    <w:name w:val="Bullet 2"/>
    <w:basedOn w:val="Normal"/>
    <w:rsid w:val="00271EF8"/>
    <w:pPr>
      <w:numPr>
        <w:numId w:val="27"/>
      </w:numPr>
      <w:tabs>
        <w:tab w:val="clear" w:pos="1984"/>
      </w:tabs>
      <w:spacing w:before="120" w:after="120" w:line="240" w:lineRule="auto"/>
      <w:ind w:left="720" w:hanging="360"/>
      <w:jc w:val="both"/>
    </w:pPr>
    <w:rPr>
      <w:rFonts w:ascii="Times New Roman" w:eastAsiaTheme="minorHAnsi" w:hAnsi="Times New Roman" w:cs="Times New Roman"/>
      <w:sz w:val="24"/>
    </w:rPr>
  </w:style>
  <w:style w:type="paragraph" w:customStyle="1" w:styleId="Bullet3">
    <w:name w:val="Bullet 3"/>
    <w:basedOn w:val="Normal"/>
    <w:rsid w:val="00271EF8"/>
    <w:pPr>
      <w:numPr>
        <w:numId w:val="28"/>
      </w:numPr>
      <w:tabs>
        <w:tab w:val="clear" w:pos="2551"/>
      </w:tabs>
      <w:spacing w:before="120" w:after="120" w:line="240" w:lineRule="auto"/>
      <w:ind w:left="720" w:hanging="360"/>
      <w:jc w:val="both"/>
    </w:pPr>
    <w:rPr>
      <w:rFonts w:ascii="Times New Roman" w:eastAsiaTheme="minorHAnsi" w:hAnsi="Times New Roman" w:cs="Times New Roman"/>
      <w:sz w:val="24"/>
    </w:rPr>
  </w:style>
  <w:style w:type="paragraph" w:customStyle="1" w:styleId="Bullet4">
    <w:name w:val="Bullet 4"/>
    <w:basedOn w:val="Normal"/>
    <w:rsid w:val="00271EF8"/>
    <w:pPr>
      <w:numPr>
        <w:numId w:val="29"/>
      </w:numPr>
      <w:tabs>
        <w:tab w:val="clear" w:pos="3118"/>
      </w:tabs>
      <w:spacing w:before="120" w:after="120" w:line="240" w:lineRule="auto"/>
      <w:ind w:left="720" w:hanging="360"/>
      <w:jc w:val="both"/>
    </w:pPr>
    <w:rPr>
      <w:rFonts w:ascii="Times New Roman" w:eastAsiaTheme="minorHAnsi" w:hAnsi="Times New Roman" w:cs="Times New Roman"/>
      <w:sz w:val="24"/>
    </w:rPr>
  </w:style>
  <w:style w:type="paragraph" w:customStyle="1" w:styleId="Langue">
    <w:name w:val="Langue"/>
    <w:basedOn w:val="Normal"/>
    <w:next w:val="Rfrenceinterne"/>
    <w:rsid w:val="00271EF8"/>
    <w:pPr>
      <w:framePr w:wrap="around" w:vAnchor="page" w:hAnchor="text" w:xAlign="center" w:y="14741"/>
      <w:spacing w:after="600" w:line="240" w:lineRule="auto"/>
      <w:jc w:val="center"/>
    </w:pPr>
    <w:rPr>
      <w:rFonts w:ascii="Times New Roman" w:eastAsiaTheme="minorHAnsi" w:hAnsi="Times New Roman" w:cs="Times New Roman"/>
      <w:b/>
      <w:caps/>
      <w:sz w:val="24"/>
    </w:rPr>
  </w:style>
  <w:style w:type="paragraph" w:customStyle="1" w:styleId="Nomdelinstitution">
    <w:name w:val="Nom de l'institution"/>
    <w:basedOn w:val="Normal"/>
    <w:next w:val="Emission"/>
    <w:rsid w:val="00271EF8"/>
    <w:pPr>
      <w:spacing w:after="0" w:line="240" w:lineRule="auto"/>
    </w:pPr>
    <w:rPr>
      <w:rFonts w:ascii="Arial" w:eastAsiaTheme="minorHAnsi" w:hAnsi="Arial" w:cs="Arial"/>
      <w:sz w:val="24"/>
    </w:rPr>
  </w:style>
  <w:style w:type="paragraph" w:customStyle="1" w:styleId="Emission">
    <w:name w:val="Emission"/>
    <w:basedOn w:val="Normal"/>
    <w:next w:val="Rfrenceinstitutionnelle"/>
    <w:rsid w:val="00271EF8"/>
    <w:pPr>
      <w:spacing w:after="0" w:line="240" w:lineRule="auto"/>
      <w:ind w:left="5103"/>
    </w:pPr>
    <w:rPr>
      <w:rFonts w:ascii="Times New Roman" w:eastAsiaTheme="minorHAnsi" w:hAnsi="Times New Roman" w:cs="Times New Roman"/>
      <w:sz w:val="24"/>
    </w:rPr>
  </w:style>
  <w:style w:type="paragraph" w:customStyle="1" w:styleId="Rfrenceinstitutionnelle">
    <w:name w:val="Référence institutionnelle"/>
    <w:basedOn w:val="Normal"/>
    <w:next w:val="Confidentialit"/>
    <w:rsid w:val="00271EF8"/>
    <w:pPr>
      <w:spacing w:after="240" w:line="240" w:lineRule="auto"/>
      <w:ind w:left="5103"/>
    </w:pPr>
    <w:rPr>
      <w:rFonts w:ascii="Times New Roman" w:eastAsiaTheme="minorHAnsi" w:hAnsi="Times New Roman" w:cs="Times New Roman"/>
      <w:sz w:val="24"/>
    </w:rPr>
  </w:style>
  <w:style w:type="paragraph" w:customStyle="1" w:styleId="Pagedecouverture">
    <w:name w:val="Page de couverture"/>
    <w:basedOn w:val="Normal"/>
    <w:next w:val="Normal"/>
    <w:rsid w:val="00271EF8"/>
    <w:pPr>
      <w:spacing w:after="0" w:line="240" w:lineRule="auto"/>
      <w:jc w:val="both"/>
    </w:pPr>
    <w:rPr>
      <w:rFonts w:ascii="Times New Roman" w:eastAsiaTheme="minorHAnsi" w:hAnsi="Times New Roman" w:cs="Times New Roman"/>
      <w:sz w:val="24"/>
    </w:rPr>
  </w:style>
  <w:style w:type="paragraph" w:customStyle="1" w:styleId="Declassification">
    <w:name w:val="Declassification"/>
    <w:basedOn w:val="Normal"/>
    <w:next w:val="Normal"/>
    <w:rsid w:val="00271EF8"/>
    <w:pPr>
      <w:spacing w:after="0" w:line="240" w:lineRule="auto"/>
      <w:jc w:val="both"/>
    </w:pPr>
    <w:rPr>
      <w:rFonts w:ascii="Times New Roman" w:eastAsiaTheme="minorHAnsi" w:hAnsi="Times New Roman" w:cs="Times New Roman"/>
      <w:sz w:val="24"/>
    </w:rPr>
  </w:style>
  <w:style w:type="paragraph" w:customStyle="1" w:styleId="Disclaimer">
    <w:name w:val="Disclaimer"/>
    <w:basedOn w:val="Normal"/>
    <w:rsid w:val="00271EF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eastAsiaTheme="minorHAnsi" w:hAnsi="Times New Roman" w:cs="Times New Roman"/>
      <w:sz w:val="24"/>
    </w:rPr>
  </w:style>
  <w:style w:type="paragraph" w:customStyle="1" w:styleId="SecurityMarking">
    <w:name w:val="SecurityMarking"/>
    <w:basedOn w:val="Normal"/>
    <w:rsid w:val="00271EF8"/>
    <w:pPr>
      <w:spacing w:after="0" w:line="276" w:lineRule="auto"/>
      <w:ind w:left="5103"/>
    </w:pPr>
    <w:rPr>
      <w:rFonts w:ascii="Times New Roman" w:eastAsiaTheme="minorHAnsi" w:hAnsi="Times New Roman" w:cs="Times New Roman"/>
      <w:sz w:val="28"/>
    </w:rPr>
  </w:style>
  <w:style w:type="paragraph" w:customStyle="1" w:styleId="DateMarking">
    <w:name w:val="DateMarking"/>
    <w:basedOn w:val="Normal"/>
    <w:rsid w:val="00271EF8"/>
    <w:pPr>
      <w:spacing w:after="0" w:line="276" w:lineRule="auto"/>
      <w:ind w:left="5103"/>
    </w:pPr>
    <w:rPr>
      <w:rFonts w:ascii="Times New Roman" w:eastAsiaTheme="minorHAnsi" w:hAnsi="Times New Roman" w:cs="Times New Roman"/>
      <w:i/>
      <w:sz w:val="28"/>
    </w:rPr>
  </w:style>
  <w:style w:type="paragraph" w:customStyle="1" w:styleId="ReleasableTo">
    <w:name w:val="ReleasableTo"/>
    <w:basedOn w:val="Normal"/>
    <w:rsid w:val="00271EF8"/>
    <w:pPr>
      <w:spacing w:after="0" w:line="276" w:lineRule="auto"/>
      <w:ind w:left="5103"/>
    </w:pPr>
    <w:rPr>
      <w:rFonts w:ascii="Times New Roman" w:eastAsiaTheme="minorHAnsi" w:hAnsi="Times New Roman" w:cs="Times New Roman"/>
      <w:i/>
      <w:sz w:val="28"/>
    </w:rPr>
  </w:style>
  <w:style w:type="paragraph" w:customStyle="1" w:styleId="Annexetitreexpos">
    <w:name w:val="Annexe titre (exposé)"/>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nnexetitre">
    <w:name w:val="Annexe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nnexetitrefichefinancire">
    <w:name w:val="Annexe titre (fiche financiè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Applicationdirecte">
    <w:name w:val="Application directe"/>
    <w:basedOn w:val="Normal"/>
    <w:next w:val="Fait"/>
    <w:rsid w:val="00271EF8"/>
    <w:pPr>
      <w:spacing w:before="480" w:after="120" w:line="240" w:lineRule="auto"/>
      <w:jc w:val="both"/>
    </w:pPr>
    <w:rPr>
      <w:rFonts w:ascii="Times New Roman" w:eastAsiaTheme="minorHAnsi" w:hAnsi="Times New Roman" w:cs="Times New Roman"/>
      <w:sz w:val="24"/>
    </w:rPr>
  </w:style>
  <w:style w:type="paragraph" w:customStyle="1" w:styleId="Avertissementtitre">
    <w:name w:val="Avertissement titre"/>
    <w:basedOn w:val="Normal"/>
    <w:next w:val="Normal"/>
    <w:rsid w:val="00271EF8"/>
    <w:pPr>
      <w:keepNext/>
      <w:spacing w:before="480" w:after="120" w:line="240" w:lineRule="auto"/>
      <w:jc w:val="both"/>
    </w:pPr>
    <w:rPr>
      <w:rFonts w:ascii="Times New Roman" w:eastAsiaTheme="minorHAnsi" w:hAnsi="Times New Roman" w:cs="Times New Roman"/>
      <w:sz w:val="24"/>
      <w:u w:val="single"/>
    </w:rPr>
  </w:style>
  <w:style w:type="paragraph" w:customStyle="1" w:styleId="Confidence">
    <w:name w:val="Confidence"/>
    <w:basedOn w:val="Normal"/>
    <w:next w:val="Normal"/>
    <w:rsid w:val="00271EF8"/>
    <w:pPr>
      <w:spacing w:before="360" w:after="120" w:line="240" w:lineRule="auto"/>
      <w:jc w:val="center"/>
    </w:pPr>
    <w:rPr>
      <w:rFonts w:ascii="Times New Roman" w:eastAsiaTheme="minorHAnsi" w:hAnsi="Times New Roman" w:cs="Times New Roman"/>
      <w:sz w:val="24"/>
    </w:rPr>
  </w:style>
  <w:style w:type="paragraph" w:customStyle="1" w:styleId="Confidentialit">
    <w:name w:val="Confidentialité"/>
    <w:basedOn w:val="Normal"/>
    <w:next w:val="TypedudocumentPagedecouverture"/>
    <w:rsid w:val="00271EF8"/>
    <w:pPr>
      <w:spacing w:before="240" w:after="240" w:line="240" w:lineRule="auto"/>
      <w:ind w:left="5103"/>
    </w:pPr>
    <w:rPr>
      <w:rFonts w:ascii="Times New Roman" w:eastAsiaTheme="minorHAnsi" w:hAnsi="Times New Roman" w:cs="Times New Roman"/>
      <w:i/>
      <w:sz w:val="32"/>
    </w:rPr>
  </w:style>
  <w:style w:type="paragraph" w:customStyle="1" w:styleId="Considrant">
    <w:name w:val="Considérant"/>
    <w:basedOn w:val="Normal"/>
    <w:rsid w:val="00271EF8"/>
    <w:pPr>
      <w:numPr>
        <w:numId w:val="30"/>
      </w:numPr>
      <w:tabs>
        <w:tab w:val="clear" w:pos="709"/>
      </w:tabs>
      <w:spacing w:before="120" w:after="120" w:line="240" w:lineRule="auto"/>
      <w:ind w:left="720" w:hanging="360"/>
      <w:jc w:val="both"/>
    </w:pPr>
    <w:rPr>
      <w:rFonts w:ascii="Times New Roman" w:eastAsiaTheme="minorHAnsi" w:hAnsi="Times New Roman" w:cs="Times New Roman"/>
      <w:sz w:val="24"/>
    </w:rPr>
  </w:style>
  <w:style w:type="paragraph" w:customStyle="1" w:styleId="Corrigendum">
    <w:name w:val="Corrigendum"/>
    <w:basedOn w:val="Normal"/>
    <w:next w:val="Normal"/>
    <w:rsid w:val="00271EF8"/>
    <w:pPr>
      <w:spacing w:after="240" w:line="240" w:lineRule="auto"/>
    </w:pPr>
    <w:rPr>
      <w:rFonts w:ascii="Times New Roman" w:eastAsiaTheme="minorHAnsi" w:hAnsi="Times New Roman" w:cs="Times New Roman"/>
      <w:sz w:val="24"/>
    </w:rPr>
  </w:style>
  <w:style w:type="paragraph" w:customStyle="1" w:styleId="Datedadoption">
    <w:name w:val="Date d'adoption"/>
    <w:basedOn w:val="Normal"/>
    <w:next w:val="IntrtEEE"/>
    <w:rsid w:val="00271EF8"/>
    <w:pPr>
      <w:spacing w:before="360" w:after="0" w:line="240" w:lineRule="auto"/>
      <w:jc w:val="center"/>
    </w:pPr>
    <w:rPr>
      <w:rFonts w:ascii="Times New Roman" w:eastAsiaTheme="minorHAnsi" w:hAnsi="Times New Roman" w:cs="Times New Roman"/>
      <w:b/>
      <w:sz w:val="24"/>
    </w:rPr>
  </w:style>
  <w:style w:type="paragraph" w:customStyle="1" w:styleId="Exposdesmotifstitre">
    <w:name w:val="Exposé des motifs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Fait">
    <w:name w:val="Fait à"/>
    <w:basedOn w:val="Normal"/>
    <w:next w:val="Institutionquisigne"/>
    <w:rsid w:val="00271EF8"/>
    <w:pPr>
      <w:keepNext/>
      <w:spacing w:before="120" w:after="0" w:line="240" w:lineRule="auto"/>
      <w:jc w:val="both"/>
    </w:pPr>
    <w:rPr>
      <w:rFonts w:ascii="Times New Roman" w:eastAsiaTheme="minorHAnsi" w:hAnsi="Times New Roman" w:cs="Times New Roman"/>
      <w:sz w:val="24"/>
    </w:rPr>
  </w:style>
  <w:style w:type="paragraph" w:customStyle="1" w:styleId="Formuledadoption">
    <w:name w:val="Formule d'adoption"/>
    <w:basedOn w:val="Normal"/>
    <w:next w:val="Titrearticle"/>
    <w:rsid w:val="00271EF8"/>
    <w:pPr>
      <w:keepNext/>
      <w:spacing w:before="120" w:after="120" w:line="240" w:lineRule="auto"/>
      <w:jc w:val="both"/>
    </w:pPr>
    <w:rPr>
      <w:rFonts w:ascii="Times New Roman" w:eastAsiaTheme="minorHAnsi" w:hAnsi="Times New Roman" w:cs="Times New Roman"/>
      <w:sz w:val="24"/>
    </w:rPr>
  </w:style>
  <w:style w:type="paragraph" w:customStyle="1" w:styleId="Institutionquiagit">
    <w:name w:val="Institution qui agit"/>
    <w:basedOn w:val="Normal"/>
    <w:next w:val="Normal"/>
    <w:rsid w:val="00271EF8"/>
    <w:pPr>
      <w:keepNext/>
      <w:spacing w:before="600" w:after="120" w:line="240" w:lineRule="auto"/>
      <w:jc w:val="both"/>
    </w:pPr>
    <w:rPr>
      <w:rFonts w:ascii="Times New Roman" w:eastAsiaTheme="minorHAnsi" w:hAnsi="Times New Roman" w:cs="Times New Roman"/>
      <w:sz w:val="24"/>
    </w:rPr>
  </w:style>
  <w:style w:type="paragraph" w:customStyle="1" w:styleId="Institutionquisigne">
    <w:name w:val="Institution qui signe"/>
    <w:basedOn w:val="Normal"/>
    <w:next w:val="Personnequisigne"/>
    <w:rsid w:val="00271EF8"/>
    <w:pPr>
      <w:keepNext/>
      <w:tabs>
        <w:tab w:val="left" w:pos="4252"/>
      </w:tabs>
      <w:spacing w:before="720" w:after="0" w:line="240" w:lineRule="auto"/>
      <w:jc w:val="both"/>
    </w:pPr>
    <w:rPr>
      <w:rFonts w:ascii="Times New Roman" w:eastAsiaTheme="minorHAnsi" w:hAnsi="Times New Roman" w:cs="Times New Roman"/>
      <w:i/>
      <w:sz w:val="24"/>
    </w:rPr>
  </w:style>
  <w:style w:type="paragraph" w:customStyle="1" w:styleId="ManualConsidrant">
    <w:name w:val="Manual Considérant"/>
    <w:basedOn w:val="Normal"/>
    <w:rsid w:val="00271EF8"/>
    <w:pPr>
      <w:spacing w:before="120" w:after="120" w:line="240" w:lineRule="auto"/>
      <w:ind w:left="709" w:hanging="709"/>
      <w:jc w:val="both"/>
    </w:pPr>
    <w:rPr>
      <w:rFonts w:ascii="Times New Roman" w:eastAsiaTheme="minorHAnsi" w:hAnsi="Times New Roman" w:cs="Times New Roman"/>
      <w:sz w:val="24"/>
    </w:rPr>
  </w:style>
  <w:style w:type="paragraph" w:customStyle="1" w:styleId="Personnequisigne">
    <w:name w:val="Personne qui signe"/>
    <w:basedOn w:val="Normal"/>
    <w:next w:val="Institutionquisigne"/>
    <w:rsid w:val="00271EF8"/>
    <w:pPr>
      <w:tabs>
        <w:tab w:val="left" w:pos="4252"/>
      </w:tabs>
      <w:spacing w:after="0" w:line="240" w:lineRule="auto"/>
    </w:pPr>
    <w:rPr>
      <w:rFonts w:ascii="Times New Roman" w:eastAsiaTheme="minorHAnsi" w:hAnsi="Times New Roman" w:cs="Times New Roman"/>
      <w:i/>
      <w:sz w:val="24"/>
    </w:rPr>
  </w:style>
  <w:style w:type="paragraph" w:customStyle="1" w:styleId="Rfrenceinterinstitutionnelle">
    <w:name w:val="Référence interinstitutionnelle"/>
    <w:basedOn w:val="Normal"/>
    <w:next w:val="Statut"/>
    <w:rsid w:val="00271EF8"/>
    <w:pPr>
      <w:spacing w:after="0" w:line="240" w:lineRule="auto"/>
      <w:ind w:left="5103"/>
    </w:pPr>
    <w:rPr>
      <w:rFonts w:ascii="Times New Roman" w:eastAsiaTheme="minorHAnsi" w:hAnsi="Times New Roman" w:cs="Times New Roman"/>
      <w:sz w:val="24"/>
    </w:rPr>
  </w:style>
  <w:style w:type="paragraph" w:customStyle="1" w:styleId="Rfrenceinterne">
    <w:name w:val="Référence interne"/>
    <w:basedOn w:val="Normal"/>
    <w:next w:val="Rfrenceinterinstitutionnelle"/>
    <w:rsid w:val="00271EF8"/>
    <w:pPr>
      <w:spacing w:after="0" w:line="240" w:lineRule="auto"/>
      <w:ind w:left="5103"/>
    </w:pPr>
    <w:rPr>
      <w:rFonts w:ascii="Times New Roman" w:eastAsiaTheme="minorHAnsi" w:hAnsi="Times New Roman" w:cs="Times New Roman"/>
      <w:sz w:val="24"/>
    </w:rPr>
  </w:style>
  <w:style w:type="paragraph" w:customStyle="1" w:styleId="Statut">
    <w:name w:val="Statut"/>
    <w:basedOn w:val="Normal"/>
    <w:next w:val="Typedudocument"/>
    <w:rsid w:val="00271EF8"/>
    <w:pPr>
      <w:spacing w:after="240" w:line="240" w:lineRule="auto"/>
      <w:jc w:val="center"/>
    </w:pPr>
    <w:rPr>
      <w:rFonts w:ascii="Times New Roman" w:eastAsiaTheme="minorHAnsi" w:hAnsi="Times New Roman" w:cs="Times New Roman"/>
      <w:sz w:val="24"/>
    </w:rPr>
  </w:style>
  <w:style w:type="paragraph" w:customStyle="1" w:styleId="Titrearticle">
    <w:name w:val="Titre article"/>
    <w:basedOn w:val="Normal"/>
    <w:next w:val="Normal"/>
    <w:rsid w:val="00271EF8"/>
    <w:pPr>
      <w:keepNext/>
      <w:spacing w:before="360" w:after="120" w:line="240" w:lineRule="auto"/>
      <w:jc w:val="center"/>
    </w:pPr>
    <w:rPr>
      <w:rFonts w:ascii="Times New Roman" w:eastAsiaTheme="minorHAnsi" w:hAnsi="Times New Roman" w:cs="Times New Roman"/>
      <w:i/>
      <w:sz w:val="24"/>
    </w:rPr>
  </w:style>
  <w:style w:type="paragraph" w:customStyle="1" w:styleId="Typedudocument">
    <w:name w:val="Type du document"/>
    <w:basedOn w:val="Normal"/>
    <w:next w:val="Accompagnant"/>
    <w:rsid w:val="00271EF8"/>
    <w:pPr>
      <w:spacing w:before="360" w:after="180" w:line="240" w:lineRule="auto"/>
      <w:jc w:val="center"/>
    </w:pPr>
    <w:rPr>
      <w:rFonts w:ascii="Times New Roman" w:eastAsiaTheme="minorHAnsi" w:hAnsi="Times New Roman" w:cs="Times New Roman"/>
      <w:b/>
      <w:sz w:val="24"/>
    </w:rPr>
  </w:style>
  <w:style w:type="character" w:customStyle="1" w:styleId="Added">
    <w:name w:val="Added"/>
    <w:basedOn w:val="DefaultParagraphFont"/>
    <w:rsid w:val="00271EF8"/>
    <w:rPr>
      <w:b/>
      <w:u w:val="single"/>
      <w:shd w:val="clear" w:color="auto" w:fill="auto"/>
    </w:rPr>
  </w:style>
  <w:style w:type="character" w:customStyle="1" w:styleId="Deleted">
    <w:name w:val="Deleted"/>
    <w:basedOn w:val="DefaultParagraphFont"/>
    <w:rsid w:val="00271EF8"/>
    <w:rPr>
      <w:strike/>
      <w:dstrike w:val="0"/>
      <w:shd w:val="clear" w:color="auto" w:fill="auto"/>
    </w:rPr>
  </w:style>
  <w:style w:type="paragraph" w:customStyle="1" w:styleId="Address">
    <w:name w:val="Address"/>
    <w:basedOn w:val="Normal"/>
    <w:next w:val="Normal"/>
    <w:rsid w:val="00271EF8"/>
    <w:pPr>
      <w:keepLines/>
      <w:spacing w:before="120" w:after="120" w:line="360" w:lineRule="auto"/>
      <w:ind w:left="3402"/>
    </w:pPr>
    <w:rPr>
      <w:rFonts w:ascii="Times New Roman" w:eastAsiaTheme="minorHAnsi" w:hAnsi="Times New Roman" w:cs="Times New Roman"/>
      <w:sz w:val="24"/>
    </w:rPr>
  </w:style>
  <w:style w:type="paragraph" w:customStyle="1" w:styleId="Objetexterne">
    <w:name w:val="Objet externe"/>
    <w:basedOn w:val="Normal"/>
    <w:next w:val="Normal"/>
    <w:rsid w:val="00271EF8"/>
    <w:pPr>
      <w:spacing w:before="120" w:after="120" w:line="240" w:lineRule="auto"/>
      <w:jc w:val="both"/>
    </w:pPr>
    <w:rPr>
      <w:rFonts w:ascii="Times New Roman" w:eastAsiaTheme="minorHAnsi" w:hAnsi="Times New Roman" w:cs="Times New Roman"/>
      <w:i/>
      <w:caps/>
      <w:sz w:val="24"/>
    </w:rPr>
  </w:style>
  <w:style w:type="paragraph" w:customStyle="1" w:styleId="Supertitre">
    <w:name w:val="Supertitre"/>
    <w:basedOn w:val="Normal"/>
    <w:next w:val="Normal"/>
    <w:rsid w:val="00271EF8"/>
    <w:pPr>
      <w:spacing w:after="600" w:line="240" w:lineRule="auto"/>
      <w:jc w:val="center"/>
    </w:pPr>
    <w:rPr>
      <w:rFonts w:ascii="Times New Roman" w:eastAsiaTheme="minorHAnsi" w:hAnsi="Times New Roman" w:cs="Times New Roman"/>
      <w:b/>
      <w:sz w:val="24"/>
    </w:rPr>
  </w:style>
  <w:style w:type="paragraph" w:customStyle="1" w:styleId="Languesfaisantfoi">
    <w:name w:val="Langues faisant foi"/>
    <w:basedOn w:val="Normal"/>
    <w:next w:val="Normal"/>
    <w:rsid w:val="00271EF8"/>
    <w:pPr>
      <w:spacing w:before="360" w:after="0" w:line="240" w:lineRule="auto"/>
      <w:jc w:val="center"/>
    </w:pPr>
    <w:rPr>
      <w:rFonts w:ascii="Times New Roman" w:eastAsiaTheme="minorHAnsi" w:hAnsi="Times New Roman" w:cs="Times New Roman"/>
      <w:sz w:val="24"/>
    </w:rPr>
  </w:style>
  <w:style w:type="paragraph" w:customStyle="1" w:styleId="Rfrencecroise">
    <w:name w:val="Référence croisée"/>
    <w:basedOn w:val="Normal"/>
    <w:rsid w:val="00271EF8"/>
    <w:pPr>
      <w:spacing w:after="0" w:line="240" w:lineRule="auto"/>
      <w:jc w:val="center"/>
    </w:pPr>
    <w:rPr>
      <w:rFonts w:ascii="Times New Roman" w:eastAsiaTheme="minorHAnsi" w:hAnsi="Times New Roman" w:cs="Times New Roman"/>
      <w:sz w:val="24"/>
    </w:rPr>
  </w:style>
  <w:style w:type="paragraph" w:customStyle="1" w:styleId="Fichefinanciretitre">
    <w:name w:val="Fiche financière titre"/>
    <w:basedOn w:val="Normal"/>
    <w:next w:val="Normal"/>
    <w:rsid w:val="00271EF8"/>
    <w:pPr>
      <w:spacing w:before="120" w:after="120" w:line="240" w:lineRule="auto"/>
      <w:jc w:val="center"/>
    </w:pPr>
    <w:rPr>
      <w:rFonts w:ascii="Times New Roman" w:eastAsiaTheme="minorHAnsi" w:hAnsi="Times New Roman" w:cs="Times New Roman"/>
      <w:b/>
      <w:sz w:val="24"/>
      <w:u w:val="single"/>
    </w:rPr>
  </w:style>
  <w:style w:type="paragraph" w:customStyle="1" w:styleId="DatedadoptionPagedecouverture">
    <w:name w:val="Date d'adoption (Page de couverture)"/>
    <w:basedOn w:val="Datedadoption"/>
    <w:next w:val="IntrtEEEPagedecouverture"/>
    <w:rsid w:val="00271EF8"/>
  </w:style>
  <w:style w:type="paragraph" w:customStyle="1" w:styleId="RfrenceinterinstitutionnellePagedecouverture">
    <w:name w:val="Référence interinstitutionnelle (Page de couverture)"/>
    <w:basedOn w:val="Rfrenceinterinstitutionnelle"/>
    <w:next w:val="Confidentialit"/>
    <w:rsid w:val="00271EF8"/>
  </w:style>
  <w:style w:type="paragraph" w:customStyle="1" w:styleId="StatutPagedecouverture">
    <w:name w:val="Statut (Page de couverture)"/>
    <w:basedOn w:val="Statut"/>
    <w:next w:val="TypedudocumentPagedecouverture"/>
    <w:rsid w:val="00271EF8"/>
  </w:style>
  <w:style w:type="paragraph" w:customStyle="1" w:styleId="TypedudocumentPagedecouverture">
    <w:name w:val="Type du document (Page de couverture)"/>
    <w:basedOn w:val="Typedudocument"/>
    <w:next w:val="AccompagnantPagedecouverture"/>
    <w:rsid w:val="00271EF8"/>
  </w:style>
  <w:style w:type="paragraph" w:customStyle="1" w:styleId="Volume">
    <w:name w:val="Volume"/>
    <w:basedOn w:val="Normal"/>
    <w:next w:val="Confidentialit"/>
    <w:rsid w:val="00271EF8"/>
    <w:pPr>
      <w:spacing w:after="240" w:line="240" w:lineRule="auto"/>
      <w:ind w:left="5103"/>
    </w:pPr>
    <w:rPr>
      <w:rFonts w:ascii="Times New Roman" w:eastAsiaTheme="minorHAnsi" w:hAnsi="Times New Roman" w:cs="Times New Roman"/>
      <w:sz w:val="24"/>
    </w:rPr>
  </w:style>
  <w:style w:type="paragraph" w:customStyle="1" w:styleId="IntrtEEE">
    <w:name w:val="Intérêt EEE"/>
    <w:basedOn w:val="Languesfaisantfoi"/>
    <w:next w:val="Normal"/>
    <w:rsid w:val="00271EF8"/>
    <w:pPr>
      <w:spacing w:after="240"/>
    </w:pPr>
  </w:style>
  <w:style w:type="paragraph" w:customStyle="1" w:styleId="Accompagnant">
    <w:name w:val="Accompagnant"/>
    <w:basedOn w:val="Normal"/>
    <w:next w:val="Typeacteprincipal"/>
    <w:rsid w:val="00271EF8"/>
    <w:pPr>
      <w:spacing w:before="180" w:after="240" w:line="240" w:lineRule="auto"/>
      <w:jc w:val="center"/>
    </w:pPr>
    <w:rPr>
      <w:rFonts w:ascii="Times New Roman" w:eastAsiaTheme="minorHAnsi" w:hAnsi="Times New Roman" w:cs="Times New Roman"/>
      <w:b/>
      <w:sz w:val="24"/>
    </w:rPr>
  </w:style>
  <w:style w:type="paragraph" w:customStyle="1" w:styleId="Typeacteprincipal">
    <w:name w:val="Type acte principal"/>
    <w:basedOn w:val="Normal"/>
    <w:next w:val="Objetacteprincipal"/>
    <w:rsid w:val="00271EF8"/>
    <w:pPr>
      <w:spacing w:after="240" w:line="240" w:lineRule="auto"/>
      <w:jc w:val="center"/>
    </w:pPr>
    <w:rPr>
      <w:rFonts w:ascii="Times New Roman" w:eastAsiaTheme="minorHAnsi" w:hAnsi="Times New Roman" w:cs="Times New Roman"/>
      <w:b/>
      <w:sz w:val="24"/>
    </w:rPr>
  </w:style>
  <w:style w:type="paragraph" w:customStyle="1" w:styleId="Objetacteprincipal">
    <w:name w:val="Objet acte principal"/>
    <w:basedOn w:val="Normal"/>
    <w:next w:val="Titrearticle"/>
    <w:rsid w:val="00271EF8"/>
    <w:pPr>
      <w:spacing w:after="360" w:line="240" w:lineRule="auto"/>
      <w:jc w:val="center"/>
    </w:pPr>
    <w:rPr>
      <w:rFonts w:ascii="Times New Roman" w:eastAsiaTheme="minorHAnsi" w:hAnsi="Times New Roman" w:cs="Times New Roman"/>
      <w:b/>
      <w:sz w:val="24"/>
    </w:rPr>
  </w:style>
  <w:style w:type="paragraph" w:customStyle="1" w:styleId="IntrtEEEPagedecouverture">
    <w:name w:val="Intérêt EEE (Page de couverture)"/>
    <w:basedOn w:val="IntrtEEE"/>
    <w:next w:val="Rfrencecroise"/>
    <w:rsid w:val="00271EF8"/>
  </w:style>
  <w:style w:type="paragraph" w:customStyle="1" w:styleId="AccompagnantPagedecouverture">
    <w:name w:val="Accompagnant (Page de couverture)"/>
    <w:basedOn w:val="Accompagnant"/>
    <w:next w:val="TypeacteprincipalPagedecouverture"/>
    <w:rsid w:val="00271EF8"/>
  </w:style>
  <w:style w:type="paragraph" w:customStyle="1" w:styleId="TypeacteprincipalPagedecouverture">
    <w:name w:val="Type acte principal (Page de couverture)"/>
    <w:basedOn w:val="Typeacteprincipal"/>
    <w:next w:val="ObjetacteprincipalPagedecouverture"/>
    <w:rsid w:val="00271EF8"/>
  </w:style>
  <w:style w:type="paragraph" w:customStyle="1" w:styleId="ObjetacteprincipalPagedecouverture">
    <w:name w:val="Objet acte principal (Page de couverture)"/>
    <w:basedOn w:val="Objetacteprincipal"/>
    <w:next w:val="Rfrencecroise"/>
    <w:rsid w:val="00271EF8"/>
  </w:style>
  <w:style w:type="paragraph" w:customStyle="1" w:styleId="LanguesfaisantfoiPagedecouverture">
    <w:name w:val="Langues faisant foi (Page de couverture)"/>
    <w:basedOn w:val="Normal"/>
    <w:next w:val="Normal"/>
    <w:rsid w:val="00271EF8"/>
    <w:pPr>
      <w:spacing w:before="360" w:after="0" w:line="240" w:lineRule="auto"/>
      <w:jc w:val="center"/>
    </w:pPr>
    <w:rPr>
      <w:rFonts w:ascii="Times New Roman" w:eastAsiaTheme="minorHAnsi" w:hAnsi="Times New Roman" w:cs="Times New Roman"/>
      <w:sz w:val="24"/>
    </w:rPr>
  </w:style>
  <w:style w:type="character" w:styleId="FollowedHyperlink">
    <w:name w:val="FollowedHyperlink"/>
    <w:basedOn w:val="DefaultParagraphFont"/>
    <w:uiPriority w:val="99"/>
    <w:semiHidden/>
    <w:unhideWhenUsed/>
    <w:rsid w:val="00271EF8"/>
    <w:rPr>
      <w:color w:val="954F72"/>
      <w:u w:val="single"/>
    </w:rPr>
  </w:style>
  <w:style w:type="paragraph" w:customStyle="1" w:styleId="msonormal0">
    <w:name w:val="msonormal"/>
    <w:basedOn w:val="Normal"/>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font5">
    <w:name w:val="font5"/>
    <w:basedOn w:val="Normal"/>
    <w:rsid w:val="00271EF8"/>
    <w:pPr>
      <w:spacing w:before="100" w:beforeAutospacing="1" w:after="100" w:afterAutospacing="1" w:line="240" w:lineRule="auto"/>
    </w:pPr>
    <w:rPr>
      <w:rFonts w:ascii="Calibri" w:eastAsia="Times New Roman" w:hAnsi="Calibri" w:cs="Calibri"/>
      <w:color w:val="006100"/>
    </w:rPr>
  </w:style>
  <w:style w:type="paragraph" w:customStyle="1" w:styleId="font6">
    <w:name w:val="font6"/>
    <w:basedOn w:val="Normal"/>
    <w:rsid w:val="00271EF8"/>
    <w:pPr>
      <w:spacing w:before="100" w:beforeAutospacing="1" w:after="100" w:afterAutospacing="1" w:line="240" w:lineRule="auto"/>
    </w:pPr>
    <w:rPr>
      <w:rFonts w:ascii="Calibri" w:eastAsia="Times New Roman" w:hAnsi="Calibri" w:cs="Calibri"/>
      <w:b/>
      <w:color w:val="006100"/>
    </w:rPr>
  </w:style>
  <w:style w:type="paragraph" w:customStyle="1" w:styleId="font7">
    <w:name w:val="font7"/>
    <w:basedOn w:val="Normal"/>
    <w:rsid w:val="00271EF8"/>
    <w:pPr>
      <w:spacing w:before="100" w:beforeAutospacing="1" w:after="100" w:afterAutospacing="1" w:line="240" w:lineRule="auto"/>
    </w:pPr>
    <w:rPr>
      <w:rFonts w:ascii="Tahoma" w:eastAsia="Times New Roman" w:hAnsi="Tahoma" w:cs="Tahoma"/>
      <w:b/>
      <w:color w:val="000000"/>
      <w:sz w:val="18"/>
    </w:rPr>
  </w:style>
  <w:style w:type="paragraph" w:customStyle="1" w:styleId="font8">
    <w:name w:val="font8"/>
    <w:basedOn w:val="Normal"/>
    <w:rsid w:val="00271EF8"/>
    <w:pPr>
      <w:spacing w:before="100" w:beforeAutospacing="1" w:after="100" w:afterAutospacing="1" w:line="240" w:lineRule="auto"/>
    </w:pPr>
    <w:rPr>
      <w:rFonts w:ascii="Tahoma" w:eastAsia="Times New Roman" w:hAnsi="Tahoma" w:cs="Tahoma"/>
      <w:color w:val="000000"/>
      <w:sz w:val="18"/>
    </w:rPr>
  </w:style>
  <w:style w:type="paragraph" w:customStyle="1" w:styleId="xl68">
    <w:name w:val="xl68"/>
    <w:basedOn w:val="Normal"/>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xl69">
    <w:name w:val="xl69"/>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70">
    <w:name w:val="xl70"/>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1">
    <w:name w:val="xl7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2">
    <w:name w:val="xl7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3">
    <w:name w:val="xl7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74">
    <w:name w:val="xl74"/>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sz w:val="24"/>
    </w:rPr>
  </w:style>
  <w:style w:type="paragraph" w:customStyle="1" w:styleId="xl75">
    <w:name w:val="xl75"/>
    <w:basedOn w:val="Normal"/>
    <w:rsid w:val="00271EF8"/>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76">
    <w:name w:val="xl76"/>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7">
    <w:name w:val="xl77"/>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78">
    <w:name w:val="xl78"/>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9">
    <w:name w:val="xl7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0">
    <w:name w:val="xl8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81">
    <w:name w:val="xl8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2">
    <w:name w:val="xl8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3">
    <w:name w:val="xl83"/>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4">
    <w:name w:val="xl84"/>
    <w:basedOn w:val="Normal"/>
    <w:rsid w:val="00271EF8"/>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5">
    <w:name w:val="xl85"/>
    <w:basedOn w:val="Normal"/>
    <w:rsid w:val="00271EF8"/>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6">
    <w:name w:val="xl86"/>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7">
    <w:name w:val="xl87"/>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8">
    <w:name w:val="xl88"/>
    <w:basedOn w:val="Normal"/>
    <w:rsid w:val="00271EF8"/>
    <w:pPr>
      <w:spacing w:before="100" w:beforeAutospacing="1" w:after="100" w:afterAutospacing="1" w:line="240" w:lineRule="auto"/>
      <w:jc w:val="center"/>
    </w:pPr>
    <w:rPr>
      <w:rFonts w:ascii="Times New Roman" w:eastAsia="Times New Roman" w:hAnsi="Times New Roman" w:cs="Times New Roman"/>
      <w:sz w:val="24"/>
    </w:rPr>
  </w:style>
  <w:style w:type="paragraph" w:customStyle="1" w:styleId="xl89">
    <w:name w:val="xl89"/>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0">
    <w:name w:val="xl90"/>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1">
    <w:name w:val="xl91"/>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2">
    <w:name w:val="xl92"/>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3">
    <w:name w:val="xl93"/>
    <w:basedOn w:val="Normal"/>
    <w:rsid w:val="00271EF8"/>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94">
    <w:name w:val="xl94"/>
    <w:basedOn w:val="Normal"/>
    <w:rsid w:val="00271EF8"/>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5">
    <w:name w:val="xl95"/>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96">
    <w:name w:val="xl96"/>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rPr>
  </w:style>
  <w:style w:type="paragraph" w:customStyle="1" w:styleId="xl97">
    <w:name w:val="xl97"/>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8">
    <w:name w:val="xl98"/>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9">
    <w:name w:val="xl99"/>
    <w:basedOn w:val="Normal"/>
    <w:rsid w:val="00271EF8"/>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0">
    <w:name w:val="xl100"/>
    <w:basedOn w:val="Normal"/>
    <w:rsid w:val="00271EF8"/>
    <w:pPr>
      <w:pBdr>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1">
    <w:name w:val="xl101"/>
    <w:basedOn w:val="Normal"/>
    <w:rsid w:val="00271EF8"/>
    <w:pPr>
      <w:pBdr>
        <w:top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2">
    <w:name w:val="xl102"/>
    <w:basedOn w:val="Normal"/>
    <w:rsid w:val="00271EF8"/>
    <w:pPr>
      <w:pBdr>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3">
    <w:name w:val="xl103"/>
    <w:basedOn w:val="Normal"/>
    <w:rsid w:val="00271EF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rPr>
  </w:style>
  <w:style w:type="paragraph" w:customStyle="1" w:styleId="FooterCoverPage">
    <w:name w:val="Footer Cover Page"/>
    <w:basedOn w:val="Normal"/>
    <w:link w:val="FooterCoverPageChar"/>
    <w:rsid w:val="00271EF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71EF8"/>
    <w:rPr>
      <w:rFonts w:ascii="Times New Roman" w:hAnsi="Times New Roman" w:cs="Times New Roman"/>
      <w:sz w:val="24"/>
    </w:rPr>
  </w:style>
  <w:style w:type="paragraph" w:customStyle="1" w:styleId="HeaderCoverPage">
    <w:name w:val="Header Cover Page"/>
    <w:basedOn w:val="Normal"/>
    <w:link w:val="HeaderCoverPageChar"/>
    <w:rsid w:val="00271EF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71EF8"/>
    <w:rPr>
      <w:rFonts w:ascii="Times New Roman" w:hAnsi="Times New Roman" w:cs="Times New Roman"/>
      <w:sz w:val="24"/>
    </w:rPr>
  </w:style>
  <w:style w:type="paragraph" w:customStyle="1" w:styleId="ManualHeading">
    <w:name w:val="Manual Heading é"/>
    <w:basedOn w:val="Normal"/>
    <w:rsid w:val="00271EF8"/>
    <w:pPr>
      <w:keepNext/>
      <w:tabs>
        <w:tab w:val="left" w:pos="850"/>
      </w:tabs>
      <w:spacing w:before="360" w:after="120" w:line="240" w:lineRule="auto"/>
      <w:ind w:left="850" w:hanging="850"/>
      <w:jc w:val="both"/>
      <w:outlineLvl w:val="0"/>
    </w:pPr>
    <w:rPr>
      <w:rFonts w:ascii="Times New Roman" w:eastAsiaTheme="minorHAnsi" w:hAnsi="Times New Roman" w:cs="Times New Roman"/>
      <w:b/>
      <w:smallCaps/>
      <w:sz w:val="24"/>
    </w:rPr>
  </w:style>
  <w:style w:type="character" w:customStyle="1" w:styleId="normaltextrun">
    <w:name w:val="normaltextrun"/>
    <w:basedOn w:val="DefaultParagraphFont"/>
    <w:rsid w:val="00271EF8"/>
  </w:style>
  <w:style w:type="character" w:customStyle="1" w:styleId="findhit">
    <w:name w:val="findhit"/>
    <w:basedOn w:val="DefaultParagraphFont"/>
    <w:rsid w:val="00271EF8"/>
  </w:style>
  <w:style w:type="numbering" w:customStyle="1" w:styleId="NoList2">
    <w:name w:val="No List2"/>
    <w:next w:val="NoList"/>
    <w:uiPriority w:val="99"/>
    <w:semiHidden/>
    <w:unhideWhenUsed/>
    <w:rsid w:val="00271EF8"/>
  </w:style>
  <w:style w:type="paragraph" w:styleId="NormalWeb">
    <w:name w:val="Normal (Web)"/>
    <w:basedOn w:val="Normal"/>
    <w:uiPriority w:val="99"/>
    <w:unhideWhenUsed/>
    <w:rsid w:val="00271EF8"/>
    <w:pPr>
      <w:spacing w:before="100" w:beforeAutospacing="1" w:after="100" w:afterAutospacing="1" w:line="240" w:lineRule="auto"/>
    </w:pPr>
    <w:rPr>
      <w:rFonts w:ascii="Times New Roman" w:eastAsia="Times New Roman" w:hAnsi="Times New Roman" w:cs="Times New Roman"/>
      <w:sz w:val="24"/>
    </w:rPr>
  </w:style>
  <w:style w:type="paragraph" w:customStyle="1" w:styleId="paragraph">
    <w:name w:val="paragraph"/>
    <w:basedOn w:val="Normal"/>
    <w:rsid w:val="00271EF8"/>
    <w:pPr>
      <w:spacing w:before="100" w:beforeAutospacing="1" w:after="100" w:afterAutospacing="1" w:line="240" w:lineRule="auto"/>
    </w:pPr>
    <w:rPr>
      <w:rFonts w:ascii="Times New Roman" w:eastAsia="Calibri" w:hAnsi="Times New Roman" w:cs="Times New Roman"/>
      <w:sz w:val="24"/>
    </w:rPr>
  </w:style>
  <w:style w:type="paragraph" w:customStyle="1" w:styleId="Anonymauthor">
    <w:name w:val="Anonym author"/>
    <w:basedOn w:val="CommentText"/>
    <w:rsid w:val="00271EF8"/>
    <w:pPr>
      <w:spacing w:before="120" w:after="120"/>
      <w:jc w:val="both"/>
    </w:pPr>
    <w:rPr>
      <w:rFonts w:ascii="Times New Roman" w:eastAsiaTheme="minorHAnsi" w:hAnsi="Times New Roman" w:cs="Times New Roman"/>
    </w:rPr>
  </w:style>
  <w:style w:type="paragraph" w:customStyle="1" w:styleId="P68B1DB1-Normal3">
    <w:name w:val="P68B1DB1-Normal3"/>
    <w:basedOn w:val="Normal"/>
    <w:uiPriority w:val="99"/>
    <w:rsid w:val="00271EF8"/>
    <w:pPr>
      <w:spacing w:line="256" w:lineRule="auto"/>
    </w:pPr>
    <w:rPr>
      <w:rFonts w:ascii="Arial" w:eastAsiaTheme="minorHAnsi" w:hAnsi="Arial" w:cs="Arial"/>
      <w:sz w:val="24"/>
    </w:rPr>
  </w:style>
  <w:style w:type="character" w:customStyle="1" w:styleId="viiyi">
    <w:name w:val="viiyi"/>
    <w:basedOn w:val="DefaultParagraphFont"/>
    <w:rsid w:val="00271EF8"/>
  </w:style>
  <w:style w:type="character" w:customStyle="1" w:styleId="jlqj4b">
    <w:name w:val="jlqj4b"/>
    <w:basedOn w:val="DefaultParagraphFont"/>
    <w:rsid w:val="00271EF8"/>
  </w:style>
  <w:style w:type="paragraph" w:customStyle="1" w:styleId="P68B1DB1-Normal10">
    <w:name w:val="P68B1DB1-Normal10"/>
    <w:basedOn w:val="Normal"/>
    <w:rsid w:val="00271EF8"/>
    <w:rPr>
      <w:rFonts w:ascii="Arial" w:eastAsiaTheme="minorHAnsi" w:hAnsi="Arial" w:cs="Arial"/>
      <w:i/>
      <w:sz w:val="24"/>
    </w:rPr>
  </w:style>
  <w:style w:type="paragraph" w:styleId="Subtitle">
    <w:name w:val="Subtitle"/>
    <w:basedOn w:val="Normal"/>
    <w:next w:val="Normal"/>
    <w:link w:val="SubtitleChar"/>
    <w:uiPriority w:val="11"/>
    <w:qFormat/>
    <w:rsid w:val="00271EF8"/>
    <w:pPr>
      <w:keepNext/>
      <w:keepLines/>
      <w:spacing w:before="360" w:after="80" w:line="240" w:lineRule="auto"/>
      <w:jc w:val="both"/>
    </w:pPr>
    <w:rPr>
      <w:rFonts w:ascii="Georgia" w:eastAsia="Georgia" w:hAnsi="Georgia" w:cs="Georgia"/>
      <w:i/>
      <w:color w:val="666666"/>
      <w:sz w:val="48"/>
    </w:rPr>
  </w:style>
  <w:style w:type="character" w:customStyle="1" w:styleId="SubtitleChar">
    <w:name w:val="Subtitle Char"/>
    <w:basedOn w:val="DefaultParagraphFont"/>
    <w:link w:val="Subtitle"/>
    <w:uiPriority w:val="11"/>
    <w:rsid w:val="00271EF8"/>
    <w:rPr>
      <w:rFonts w:ascii="Georgia" w:eastAsia="Georgia" w:hAnsi="Georgia" w:cs="Georgia"/>
      <w:i/>
      <w:color w:val="666666"/>
      <w:sz w:val="48"/>
    </w:rPr>
  </w:style>
  <w:style w:type="paragraph" w:styleId="HTMLPreformatted">
    <w:name w:val="HTML Preformatted"/>
    <w:basedOn w:val="Normal"/>
    <w:link w:val="HTMLPreformattedChar"/>
    <w:uiPriority w:val="99"/>
    <w:unhideWhenUsed/>
    <w:rsid w:val="0027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271EF8"/>
    <w:rPr>
      <w:rFonts w:ascii="Courier New" w:eastAsia="Times New Roman" w:hAnsi="Courier New" w:cs="Courier New"/>
      <w:sz w:val="20"/>
    </w:rPr>
  </w:style>
  <w:style w:type="character" w:customStyle="1" w:styleId="y2iqfc">
    <w:name w:val="y2iqfc"/>
    <w:basedOn w:val="DefaultParagraphFont"/>
    <w:rsid w:val="00271EF8"/>
  </w:style>
  <w:style w:type="character" w:customStyle="1" w:styleId="eop">
    <w:name w:val="eop"/>
    <w:basedOn w:val="DefaultParagraphFont"/>
    <w:rsid w:val="00271EF8"/>
  </w:style>
  <w:style w:type="paragraph" w:customStyle="1" w:styleId="P68B1DB1-Normal15">
    <w:name w:val="P68B1DB1-Normal15"/>
    <w:basedOn w:val="Normal"/>
    <w:rsid w:val="00271EF8"/>
    <w:pPr>
      <w:spacing w:before="120" w:after="120" w:line="240" w:lineRule="auto"/>
      <w:jc w:val="both"/>
    </w:pPr>
    <w:rPr>
      <w:rFonts w:ascii="Times New Roman" w:eastAsiaTheme="minorHAnsi" w:hAnsi="Times New Roman" w:cs="Times New Roman"/>
      <w:sz w:val="18"/>
      <w:highlight w:val="yellow"/>
    </w:rPr>
  </w:style>
  <w:style w:type="character" w:styleId="Emphasis">
    <w:name w:val="Emphasis"/>
    <w:basedOn w:val="DefaultParagraphFont"/>
    <w:uiPriority w:val="20"/>
    <w:qFormat/>
    <w:rsid w:val="00271EF8"/>
    <w:rPr>
      <w:i/>
    </w:rPr>
  </w:style>
  <w:style w:type="character" w:customStyle="1" w:styleId="apple-converted-space">
    <w:name w:val="apple-converted-space"/>
    <w:basedOn w:val="DefaultParagraphFont"/>
    <w:rsid w:val="00271EF8"/>
  </w:style>
  <w:style w:type="paragraph" w:styleId="Title">
    <w:name w:val="Title"/>
    <w:basedOn w:val="Normal"/>
    <w:next w:val="Normal"/>
    <w:link w:val="TitleChar"/>
    <w:uiPriority w:val="10"/>
    <w:qFormat/>
    <w:rsid w:val="00271EF8"/>
    <w:pPr>
      <w:keepNext/>
      <w:keepLines/>
      <w:spacing w:before="480" w:after="120" w:line="240" w:lineRule="auto"/>
      <w:jc w:val="both"/>
    </w:pPr>
    <w:rPr>
      <w:rFonts w:ascii="Times New Roman" w:eastAsia="Times New Roman" w:hAnsi="Times New Roman" w:cs="Times New Roman"/>
      <w:b/>
      <w:sz w:val="72"/>
    </w:rPr>
  </w:style>
  <w:style w:type="character" w:customStyle="1" w:styleId="TitleChar">
    <w:name w:val="Title Char"/>
    <w:basedOn w:val="DefaultParagraphFont"/>
    <w:link w:val="Title"/>
    <w:uiPriority w:val="10"/>
    <w:rsid w:val="00271EF8"/>
    <w:rPr>
      <w:rFonts w:ascii="Times New Roman" w:eastAsia="Times New Roman" w:hAnsi="Times New Roman" w:cs="Times New Roman"/>
      <w:b/>
      <w:sz w:val="72"/>
    </w:rPr>
  </w:style>
  <w:style w:type="character" w:customStyle="1" w:styleId="Bodytext2">
    <w:name w:val="Body text|2"/>
    <w:basedOn w:val="DefaultParagraphFont"/>
    <w:semiHidden/>
    <w:rsid w:val="00271EF8"/>
    <w:rPr>
      <w:rFonts w:ascii="Arial" w:eastAsia="Arial" w:hAnsi="Arial" w:cs="Arial" w:hint="default"/>
      <w:b w:val="0"/>
      <w:i w:val="0"/>
      <w:smallCaps w:val="0"/>
      <w:strike w:val="0"/>
      <w:dstrike w:val="0"/>
      <w:color w:val="000000"/>
      <w:position w:val="0"/>
      <w:sz w:val="16"/>
      <w:u w:val="none"/>
      <w:effect w:val="none"/>
    </w:rPr>
  </w:style>
  <w:style w:type="character" w:customStyle="1" w:styleId="spellingerror">
    <w:name w:val="spellingerror"/>
    <w:basedOn w:val="DefaultParagraphFont"/>
    <w:rsid w:val="00271EF8"/>
  </w:style>
  <w:style w:type="character" w:customStyle="1" w:styleId="UnresolvedMention1">
    <w:name w:val="Unresolved Mention1"/>
    <w:basedOn w:val="DefaultParagraphFont"/>
    <w:uiPriority w:val="99"/>
    <w:semiHidden/>
    <w:unhideWhenUsed/>
    <w:rsid w:val="00271EF8"/>
    <w:rPr>
      <w:color w:val="605E5C"/>
      <w:shd w:val="clear" w:color="auto" w:fill="E1DFDD"/>
    </w:rPr>
  </w:style>
  <w:style w:type="paragraph" w:customStyle="1" w:styleId="P68B1DB1-Normal6">
    <w:name w:val="P68B1DB1-Normal6"/>
    <w:basedOn w:val="Normal"/>
    <w:uiPriority w:val="1"/>
    <w:rsid w:val="00271EF8"/>
    <w:rPr>
      <w:rFonts w:ascii="Times New Roman" w:eastAsia="Times New Roman" w:hAnsi="Times New Roman" w:cs="Times New Roman"/>
      <w:sz w:val="24"/>
    </w:rPr>
  </w:style>
  <w:style w:type="paragraph" w:customStyle="1" w:styleId="P68B1DB1-ListParagraph12">
    <w:name w:val="P68B1DB1-ListParagraph12"/>
    <w:basedOn w:val="ListParagraph"/>
    <w:rsid w:val="00271EF8"/>
    <w:rPr>
      <w:rFonts w:ascii="Times New Roman" w:eastAsia="Times New Roman" w:hAnsi="Times New Roman" w:cs="Times New Roman"/>
      <w:sz w:val="24"/>
    </w:rPr>
  </w:style>
  <w:style w:type="paragraph" w:customStyle="1" w:styleId="P68B1DB1-Normal2">
    <w:name w:val="P68B1DB1-Normal2"/>
    <w:basedOn w:val="Normal"/>
    <w:rsid w:val="00271EF8"/>
    <w:rPr>
      <w:rFonts w:ascii="Times New Roman" w:eastAsia="Calibri" w:hAnsi="Times New Roman" w:cs="Times New Roman"/>
    </w:rPr>
  </w:style>
  <w:style w:type="character" w:customStyle="1" w:styleId="ListLabel1791text">
    <w:name w:val="ListLabel 1791_text"/>
    <w:qFormat/>
    <w:rsid w:val="00271EF8"/>
    <w:rPr>
      <w:rFonts w:ascii="Times New Roman" w:hAnsi="Times New Roman"/>
      <w:sz w:val="24"/>
    </w:rPr>
  </w:style>
  <w:style w:type="table" w:styleId="TableGrid">
    <w:name w:val="Table Grid"/>
    <w:basedOn w:val="TableNormal"/>
    <w:uiPriority w:val="59"/>
    <w:rsid w:val="00271EF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ationalResources">
    <w:name w:val="Educational Resources"/>
    <w:basedOn w:val="Normal"/>
    <w:rsid w:val="00271EF8"/>
    <w:pPr>
      <w:spacing w:after="0" w:line="276" w:lineRule="auto"/>
    </w:pPr>
    <w:rPr>
      <w:rFonts w:eastAsiaTheme="minorHAnsi"/>
      <w:color w:val="000000"/>
    </w:rPr>
  </w:style>
  <w:style w:type="paragraph" w:customStyle="1" w:styleId="TechnicalBlock">
    <w:name w:val="Technical Block"/>
    <w:basedOn w:val="Normal"/>
    <w:link w:val="TechnicalBlockChar"/>
    <w:rsid w:val="00271EF8"/>
    <w:pPr>
      <w:spacing w:after="240" w:line="240" w:lineRule="auto"/>
      <w:jc w:val="center"/>
    </w:pPr>
    <w:rPr>
      <w:rFonts w:eastAsiaTheme="minorHAnsi"/>
    </w:rPr>
  </w:style>
  <w:style w:type="character" w:customStyle="1" w:styleId="TechnicalBlockChar">
    <w:name w:val="Technical Block Char"/>
    <w:basedOn w:val="DefaultParagraphFont"/>
    <w:link w:val="TechnicalBlock"/>
    <w:rsid w:val="00271EF8"/>
    <w:rPr>
      <w:rFonts w:eastAsiaTheme="minorHAnsi"/>
    </w:rPr>
  </w:style>
  <w:style w:type="paragraph" w:customStyle="1" w:styleId="EntText">
    <w:name w:val="EntText"/>
    <w:basedOn w:val="Normal"/>
    <w:rsid w:val="00271EF8"/>
    <w:pPr>
      <w:spacing w:before="120" w:after="120" w:line="360" w:lineRule="auto"/>
    </w:pPr>
    <w:rPr>
      <w:rFonts w:ascii="Times New Roman" w:eastAsiaTheme="minorHAnsi" w:hAnsi="Times New Roman" w:cs="Times New Roman"/>
      <w:sz w:val="24"/>
    </w:rPr>
  </w:style>
  <w:style w:type="paragraph" w:customStyle="1" w:styleId="Lignefinal">
    <w:name w:val="Ligne final"/>
    <w:basedOn w:val="Normal"/>
    <w:next w:val="Normal"/>
    <w:rsid w:val="00271EF8"/>
    <w:pPr>
      <w:pBdr>
        <w:bottom w:val="single" w:sz="4" w:space="0" w:color="000000"/>
      </w:pBdr>
      <w:spacing w:before="360" w:after="120" w:line="360" w:lineRule="auto"/>
      <w:ind w:left="3400" w:right="3400"/>
      <w:jc w:val="center"/>
    </w:pPr>
    <w:rPr>
      <w:rFonts w:ascii="Times New Roman" w:eastAsiaTheme="minorHAnsi" w:hAnsi="Times New Roman" w:cs="Times New Roman"/>
      <w:b/>
      <w:sz w:val="24"/>
    </w:rPr>
  </w:style>
  <w:style w:type="paragraph" w:customStyle="1" w:styleId="pj">
    <w:name w:val="p.j."/>
    <w:basedOn w:val="Normal"/>
    <w:link w:val="pjChar"/>
    <w:rsid w:val="00271EF8"/>
    <w:pPr>
      <w:spacing w:before="1200" w:after="120" w:line="240" w:lineRule="auto"/>
      <w:ind w:left="1440" w:hanging="1440"/>
    </w:pPr>
    <w:rPr>
      <w:rFonts w:ascii="Times New Roman" w:eastAsiaTheme="minorHAnsi" w:hAnsi="Times New Roman" w:cs="Times New Roman"/>
      <w:sz w:val="24"/>
    </w:rPr>
  </w:style>
  <w:style w:type="character" w:customStyle="1" w:styleId="pjChar">
    <w:name w:val="p.j. Char"/>
    <w:basedOn w:val="TechnicalBlockChar"/>
    <w:link w:val="pj"/>
    <w:rsid w:val="00271EF8"/>
    <w:rPr>
      <w:rFonts w:ascii="Times New Roman" w:eastAsiaTheme="minorHAnsi" w:hAnsi="Times New Roman" w:cs="Times New Roman"/>
      <w:sz w:val="24"/>
    </w:rPr>
  </w:style>
  <w:style w:type="paragraph" w:customStyle="1" w:styleId="nbbordered">
    <w:name w:val="nb bordered"/>
    <w:basedOn w:val="Normal"/>
    <w:link w:val="nbborderedChar"/>
    <w:rsid w:val="00271EF8"/>
    <w:pPr>
      <w:pBdr>
        <w:top w:val="single" w:sz="4" w:space="1" w:color="auto"/>
        <w:left w:val="single" w:sz="4" w:space="4" w:color="auto"/>
        <w:bottom w:val="single" w:sz="4" w:space="1" w:color="auto"/>
        <w:right w:val="single" w:sz="4" w:space="4" w:color="auto"/>
        <w:between w:val="single" w:sz="4" w:space="0" w:color="auto"/>
      </w:pBdr>
      <w:spacing w:line="240" w:lineRule="auto"/>
      <w:ind w:left="480" w:hanging="480"/>
    </w:pPr>
    <w:rPr>
      <w:rFonts w:ascii="Times New Roman" w:eastAsiaTheme="minorHAnsi" w:hAnsi="Times New Roman" w:cs="Times New Roman"/>
      <w:b/>
      <w:sz w:val="24"/>
    </w:rPr>
  </w:style>
  <w:style w:type="character" w:customStyle="1" w:styleId="nbborderedChar">
    <w:name w:val="nb bordered Char"/>
    <w:basedOn w:val="TechnicalBlockChar"/>
    <w:link w:val="nbbordered"/>
    <w:rsid w:val="00271EF8"/>
    <w:rPr>
      <w:rFonts w:ascii="Times New Roman" w:eastAsiaTheme="minorHAnsi" w:hAnsi="Times New Roman" w:cs="Times New Roman"/>
      <w:b/>
      <w:sz w:val="24"/>
    </w:rPr>
  </w:style>
  <w:style w:type="paragraph" w:customStyle="1" w:styleId="HeaderCouncil">
    <w:name w:val="Header Council"/>
    <w:basedOn w:val="Normal"/>
    <w:link w:val="HeaderCouncilChar"/>
    <w:rsid w:val="00271EF8"/>
    <w:pPr>
      <w:spacing w:after="0" w:line="276" w:lineRule="auto"/>
    </w:pPr>
    <w:rPr>
      <w:rFonts w:eastAsiaTheme="minorHAnsi"/>
      <w:sz w:val="2"/>
    </w:rPr>
  </w:style>
  <w:style w:type="character" w:customStyle="1" w:styleId="HeaderCouncilChar">
    <w:name w:val="Header Council Char"/>
    <w:basedOn w:val="DefaultParagraphFont"/>
    <w:link w:val="HeaderCouncil"/>
    <w:rsid w:val="00271EF8"/>
    <w:rPr>
      <w:rFonts w:eastAsiaTheme="minorHAnsi"/>
      <w:sz w:val="2"/>
    </w:rPr>
  </w:style>
  <w:style w:type="paragraph" w:customStyle="1" w:styleId="HeaderCouncilLarge">
    <w:name w:val="Header Council Large"/>
    <w:basedOn w:val="Normal"/>
    <w:link w:val="HeaderCouncilLargeChar"/>
    <w:rsid w:val="00271EF8"/>
    <w:pPr>
      <w:spacing w:after="440" w:line="276" w:lineRule="auto"/>
    </w:pPr>
    <w:rPr>
      <w:rFonts w:eastAsiaTheme="minorHAnsi"/>
      <w:sz w:val="2"/>
    </w:rPr>
  </w:style>
  <w:style w:type="character" w:customStyle="1" w:styleId="HeaderCouncilLargeChar">
    <w:name w:val="Header Council Large Char"/>
    <w:basedOn w:val="DefaultParagraphFont"/>
    <w:link w:val="HeaderCouncilLarge"/>
    <w:rsid w:val="00271EF8"/>
    <w:rPr>
      <w:rFonts w:eastAsiaTheme="minorHAnsi"/>
      <w:sz w:val="2"/>
    </w:rPr>
  </w:style>
  <w:style w:type="paragraph" w:customStyle="1" w:styleId="FooterCouncil">
    <w:name w:val="Footer Council"/>
    <w:basedOn w:val="Normal"/>
    <w:link w:val="FooterCouncilChar"/>
    <w:rsid w:val="00271EF8"/>
    <w:pPr>
      <w:spacing w:after="0" w:line="276" w:lineRule="auto"/>
    </w:pPr>
    <w:rPr>
      <w:rFonts w:eastAsiaTheme="minorHAnsi"/>
      <w:sz w:val="2"/>
    </w:rPr>
  </w:style>
  <w:style w:type="character" w:customStyle="1" w:styleId="FooterCouncilChar">
    <w:name w:val="Footer Council Char"/>
    <w:basedOn w:val="DefaultParagraphFont"/>
    <w:link w:val="FooterCouncil"/>
    <w:rsid w:val="00271EF8"/>
    <w:rPr>
      <w:rFonts w:eastAsiaTheme="minorHAnsi"/>
      <w:sz w:val="2"/>
    </w:rPr>
  </w:style>
  <w:style w:type="paragraph" w:customStyle="1" w:styleId="FooterText">
    <w:name w:val="Footer Text"/>
    <w:basedOn w:val="Normal"/>
    <w:rsid w:val="00271EF8"/>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271EF8"/>
    <w:rPr>
      <w:color w:val="808080"/>
    </w:rPr>
  </w:style>
  <w:style w:type="character" w:customStyle="1" w:styleId="UnresolvedMention">
    <w:name w:val="Unresolved Mention"/>
    <w:basedOn w:val="DefaultParagraphFont"/>
    <w:uiPriority w:val="99"/>
    <w:semiHidden/>
    <w:unhideWhenUsed/>
    <w:rsid w:val="00500CF9"/>
    <w:rPr>
      <w:color w:val="605E5C"/>
      <w:shd w:val="clear" w:color="auto" w:fill="E1DFDD"/>
    </w:rPr>
  </w:style>
  <w:style w:type="character" w:customStyle="1" w:styleId="Mention1">
    <w:name w:val="Mention1"/>
    <w:basedOn w:val="DefaultParagraphFont"/>
    <w:uiPriority w:val="99"/>
    <w:unhideWhenUsed/>
    <w:rsid w:val="002B1133"/>
    <w:rPr>
      <w:color w:val="2B579A"/>
      <w:shd w:val="clear" w:color="auto" w:fill="E6E6E6"/>
    </w:rPr>
  </w:style>
  <w:style w:type="paragraph" w:customStyle="1" w:styleId="P68B1DB1-Normal8">
    <w:name w:val="P68B1DB1-Normal8"/>
    <w:basedOn w:val="Normal"/>
    <w:rsid w:val="009F596F"/>
    <w:pPr>
      <w:spacing w:after="0" w:line="240" w:lineRule="auto"/>
    </w:pPr>
    <w:rPr>
      <w:rFonts w:ascii="Trebuchet MS" w:eastAsia="Trebuchet MS" w:hAnsi="Trebuchet MS" w:cs="Trebuchet MS"/>
      <w:kern w:val="2"/>
      <w14:ligatures w14:val="standardContextual"/>
    </w:rPr>
  </w:style>
  <w:style w:type="paragraph" w:customStyle="1" w:styleId="P68B1DB1-Normal9">
    <w:name w:val="P68B1DB1-Normal9"/>
    <w:basedOn w:val="Normal"/>
    <w:rsid w:val="009F596F"/>
    <w:pPr>
      <w:spacing w:after="0" w:line="240" w:lineRule="auto"/>
    </w:pPr>
    <w:rPr>
      <w:rFonts w:ascii="Trebuchet MS" w:eastAsia="Times New Roman" w:hAnsi="Trebuchet MS" w:cs="Times New Roman"/>
      <w:kern w:val="2"/>
      <w14:ligatures w14:val="standardContextual"/>
    </w:rPr>
  </w:style>
  <w:style w:type="paragraph" w:customStyle="1" w:styleId="P68B1DB1-Normal7">
    <w:name w:val="P68B1DB1-Normal7"/>
    <w:basedOn w:val="Normal"/>
    <w:uiPriority w:val="1"/>
    <w:rsid w:val="009F596F"/>
    <w:rPr>
      <w:rFonts w:ascii="Trebuchet MS" w:eastAsia="Times New Roman" w:hAnsi="Trebuchet MS" w:cs="Times New Roman"/>
      <w:b/>
      <w:color w:val="000000" w:themeColor="text1"/>
      <w:sz w:val="24"/>
    </w:rPr>
  </w:style>
  <w:style w:type="paragraph" w:customStyle="1" w:styleId="P68B1DB1-Normal11">
    <w:name w:val="P68B1DB1-Normal11"/>
    <w:basedOn w:val="Normal"/>
    <w:uiPriority w:val="1"/>
    <w:rsid w:val="009F596F"/>
    <w:rPr>
      <w:rFonts w:ascii="Trebuchet MS" w:eastAsia="Calibri" w:hAnsi="Trebuchet MS" w:cs="Times New Roman"/>
      <w:color w:val="000000" w:themeColor="text1"/>
      <w:sz w:val="20"/>
    </w:rPr>
  </w:style>
  <w:style w:type="character" w:customStyle="1" w:styleId="UnresolvedMention10">
    <w:name w:val="Unresolved Mention10"/>
    <w:basedOn w:val="DefaultParagraphFont"/>
    <w:uiPriority w:val="99"/>
    <w:semiHidden/>
    <w:unhideWhenUsed/>
    <w:rsid w:val="001A05B1"/>
    <w:rPr>
      <w:color w:val="605E5C"/>
      <w:shd w:val="clear" w:color="auto" w:fill="E1DFDD"/>
    </w:rPr>
  </w:style>
  <w:style w:type="character" w:customStyle="1" w:styleId="UnresolvedMention100">
    <w:name w:val="Unresolved Mention100"/>
    <w:basedOn w:val="DefaultParagraphFont"/>
    <w:uiPriority w:val="99"/>
    <w:semiHidden/>
    <w:unhideWhenUsed/>
    <w:rsid w:val="001A05B1"/>
    <w:rPr>
      <w:color w:val="605E5C"/>
      <w:shd w:val="clear" w:color="auto" w:fill="E1DFDD"/>
    </w:rPr>
  </w:style>
  <w:style w:type="character" w:customStyle="1" w:styleId="UnresolvedMention1000">
    <w:name w:val="Unresolved Mention1000"/>
    <w:basedOn w:val="DefaultParagraphFont"/>
    <w:uiPriority w:val="99"/>
    <w:semiHidden/>
    <w:unhideWhenUsed/>
    <w:rsid w:val="001A05B1"/>
    <w:rPr>
      <w:color w:val="605E5C"/>
      <w:shd w:val="clear" w:color="auto" w:fill="E1DFDD"/>
    </w:rPr>
  </w:style>
  <w:style w:type="paragraph" w:customStyle="1" w:styleId="P68B1DB1-Normal1">
    <w:name w:val="P68B1DB1-Normal1"/>
    <w:basedOn w:val="Normal"/>
    <w:rPr>
      <w:rFonts w:ascii="Times New Roman" w:hAnsi="Times New Roman"/>
      <w:b/>
      <w:sz w:val="24"/>
    </w:rPr>
  </w:style>
  <w:style w:type="paragraph" w:customStyle="1" w:styleId="P68B1DB1-Heading22">
    <w:name w:val="P68B1DB1-Heading22"/>
    <w:basedOn w:val="Heading2"/>
    <w:rPr>
      <w:smallCaps/>
    </w:rPr>
  </w:style>
  <w:style w:type="paragraph" w:customStyle="1" w:styleId="P68B1DB1-Normal4">
    <w:name w:val="P68B1DB1-Normal4"/>
    <w:basedOn w:val="Normal"/>
    <w:rPr>
      <w:rFonts w:ascii="Times New Roman" w:hAnsi="Times New Roman"/>
      <w:b/>
      <w:smallCaps/>
      <w:sz w:val="24"/>
    </w:rPr>
  </w:style>
  <w:style w:type="paragraph" w:customStyle="1" w:styleId="P68B1DB1-Normal5">
    <w:name w:val="P68B1DB1-Normal5"/>
    <w:basedOn w:val="Normal"/>
    <w:rPr>
      <w:rFonts w:ascii="Times New Roman" w:hAnsi="Times New Roman"/>
      <w:sz w:val="24"/>
    </w:rPr>
  </w:style>
  <w:style w:type="paragraph" w:customStyle="1" w:styleId="P68B1DB1-Standard6">
    <w:name w:val="P68B1DB1-Standard6"/>
    <w:basedOn w:val="Standard"/>
    <w:rPr>
      <w:u w:val="single"/>
    </w:rPr>
  </w:style>
  <w:style w:type="paragraph" w:customStyle="1" w:styleId="P68B1DB1-Normal12">
    <w:name w:val="P68B1DB1-Normal12"/>
    <w:basedOn w:val="Normal"/>
    <w:rPr>
      <w:rFonts w:ascii="Times New Roman" w:hAnsi="Times New Roman"/>
      <w:sz w:val="24"/>
      <w:bdr w:val="none" w:sz="0" w:space="0" w:color="auto" w:frame="1"/>
    </w:rPr>
  </w:style>
  <w:style w:type="paragraph" w:customStyle="1" w:styleId="P68B1DB1-ListParagraph13">
    <w:name w:val="P68B1DB1-ListParagraph13"/>
    <w:basedOn w:val="ListParagraph"/>
    <w:rPr>
      <w:rFonts w:ascii="Times New Roman" w:hAnsi="Times New Roman"/>
      <w:sz w:val="24"/>
    </w:rPr>
  </w:style>
  <w:style w:type="paragraph" w:customStyle="1" w:styleId="P68B1DB1-Standard14">
    <w:name w:val="P68B1DB1-Standard14"/>
    <w:basedOn w:val="Standard"/>
    <w:rPr>
      <w:rFonts w:ascii="Times New Roman" w:hAnsi="Times New Roman"/>
    </w:rPr>
  </w:style>
  <w:style w:type="paragraph" w:customStyle="1" w:styleId="P68B1DB1-Normal16">
    <w:name w:val="P68B1DB1-Normal16"/>
    <w:basedOn w:val="Normal"/>
    <w:rPr>
      <w:rFonts w:ascii="Times New Roman" w:hAnsi="Times New Roman"/>
      <w:sz w:val="24"/>
      <w:u w:val="single"/>
    </w:rPr>
  </w:style>
  <w:style w:type="paragraph" w:customStyle="1" w:styleId="P68B1DB1-Normal17">
    <w:name w:val="P68B1DB1-Normal17"/>
    <w:basedOn w:val="Normal"/>
    <w:rPr>
      <w:sz w:val="24"/>
    </w:rPr>
  </w:style>
  <w:style w:type="paragraph" w:customStyle="1" w:styleId="P68B1DB1-Normal18">
    <w:name w:val="P68B1DB1-Normal18"/>
    <w:basedOn w:val="Normal"/>
    <w:rPr>
      <w:rFonts w:ascii="Times New Roman" w:hAnsi="Times New Roman"/>
      <w:sz w:val="24"/>
      <w:shd w:val="clear" w:color="auto" w:fill="C6EFCE"/>
    </w:rPr>
  </w:style>
  <w:style w:type="paragraph" w:customStyle="1" w:styleId="P68B1DB1-ListParagraph19">
    <w:name w:val="P68B1DB1-ListParagraph19"/>
    <w:basedOn w:val="ListParagraph"/>
    <w:rPr>
      <w:rFonts w:ascii="Times New Roman" w:eastAsiaTheme="minorEastAsia" w:hAnsi="Times New Roman"/>
      <w:sz w:val="24"/>
    </w:rPr>
  </w:style>
  <w:style w:type="paragraph" w:customStyle="1" w:styleId="P68B1DB1-ListParagraph20">
    <w:name w:val="P68B1DB1-ListParagraph20"/>
    <w:basedOn w:val="ListParagraph"/>
    <w:rPr>
      <w:rFonts w:ascii="Times New Roman" w:hAnsi="Times New Roman"/>
    </w:rPr>
  </w:style>
  <w:style w:type="paragraph" w:customStyle="1" w:styleId="P68B1DB1-Normal21">
    <w:name w:val="P68B1DB1-Normal21"/>
    <w:basedOn w:val="Normal"/>
    <w:rPr>
      <w:rFonts w:ascii="Times New Roman" w:hAnsi="Times New Roman" w:cs="Times New Roman"/>
      <w:sz w:val="24"/>
    </w:rPr>
  </w:style>
  <w:style w:type="paragraph" w:customStyle="1" w:styleId="P68B1DB1-Normal22">
    <w:name w:val="P68B1DB1-Normal22"/>
    <w:basedOn w:val="Normal"/>
    <w:rPr>
      <w:rFonts w:ascii="Times New Roman" w:hAnsi="Times New Roman"/>
    </w:rPr>
  </w:style>
  <w:style w:type="paragraph" w:customStyle="1" w:styleId="P68B1DB1-Normal23">
    <w:name w:val="P68B1DB1-Normal23"/>
    <w:basedOn w:val="Normal"/>
    <w:rPr>
      <w:rFonts w:ascii="Liberation Serif" w:hAnsi="Liberation Serif"/>
      <w:sz w:val="24"/>
      <w:u w:val="single"/>
    </w:rPr>
  </w:style>
  <w:style w:type="paragraph" w:customStyle="1" w:styleId="P68B1DB1-Normal24">
    <w:name w:val="P68B1DB1-Normal24"/>
    <w:basedOn w:val="Normal"/>
    <w:rPr>
      <w:rFonts w:ascii="Times New Roman" w:hAnsi="Times New Roman" w:cs="Times New Roman"/>
      <w:sz w:val="24"/>
      <w:bdr w:val="none" w:sz="0" w:space="0" w:color="auto" w:frame="1"/>
    </w:rPr>
  </w:style>
  <w:style w:type="paragraph" w:customStyle="1" w:styleId="P68B1DB1-ListParagraph25">
    <w:name w:val="P68B1DB1-ListParagraph25"/>
    <w:basedOn w:val="ListParagraph"/>
    <w:rPr>
      <w:rFonts w:ascii="Times New Roman" w:hAnsi="Times New Roman" w:cs="Times New Roman"/>
      <w:sz w:val="24"/>
    </w:rPr>
  </w:style>
  <w:style w:type="paragraph" w:customStyle="1" w:styleId="P68B1DB1-Normal26">
    <w:name w:val="P68B1DB1-Normal26"/>
    <w:basedOn w:val="Normal"/>
    <w:rPr>
      <w:rFonts w:ascii="Times New Roman" w:hAnsi="Times New Roman"/>
      <w:i/>
      <w:sz w:val="24"/>
    </w:rPr>
  </w:style>
  <w:style w:type="paragraph" w:customStyle="1" w:styleId="P68B1DB1-Standard27">
    <w:name w:val="P68B1DB1-Standard27"/>
    <w:basedOn w:val="Standard"/>
    <w:rPr>
      <w:rFonts w:ascii="Times New Roman" w:hAnsi="Times New Roman"/>
      <w:u w:val="single"/>
    </w:rPr>
  </w:style>
  <w:style w:type="paragraph" w:customStyle="1" w:styleId="P68B1DB1-Normal28">
    <w:name w:val="P68B1DB1-Normal28"/>
    <w:basedOn w:val="Normal"/>
    <w:rPr>
      <w:rFonts w:ascii="Times New Roman" w:hAnsi="Times New Roman" w:cs="Times New Roman"/>
      <w:sz w:val="24"/>
      <w:u w:val="single"/>
    </w:rPr>
  </w:style>
  <w:style w:type="paragraph" w:customStyle="1" w:styleId="P68B1DB1-ListParagraph29">
    <w:name w:val="P68B1DB1-ListParagraph29"/>
    <w:basedOn w:val="ListParagraph"/>
    <w:rPr>
      <w:sz w:val="24"/>
    </w:rPr>
  </w:style>
  <w:style w:type="paragraph" w:customStyle="1" w:styleId="P68B1DB1-P68B1DB1-Normal830">
    <w:name w:val="P68B1DB1-P68B1DB1-Normal830"/>
    <w:basedOn w:val="P68B1DB1-Normal8"/>
    <w:rPr>
      <w:rFonts w:ascii="Times New Roman" w:hAnsi="Times New Roman"/>
      <w:sz w:val="24"/>
    </w:rPr>
  </w:style>
  <w:style w:type="paragraph" w:customStyle="1" w:styleId="P68B1DB1-Normal31">
    <w:name w:val="P68B1DB1-Normal31"/>
    <w:basedOn w:val="Normal"/>
    <w:rPr>
      <w:rFonts w:ascii="Times New Roman" w:hAnsi="Times New Roman" w:cs="Times New Roman"/>
      <w:b/>
      <w:sz w:val="24"/>
    </w:rPr>
  </w:style>
  <w:style w:type="paragraph" w:customStyle="1" w:styleId="P68B1DB1-Normal32">
    <w:name w:val="P68B1DB1-Normal32"/>
    <w:basedOn w:val="Normal"/>
    <w:rPr>
      <w:rFonts w:ascii="Times New Roman" w:hAnsi="Times New Roman"/>
      <w:b/>
      <w:sz w:val="19"/>
    </w:rPr>
  </w:style>
  <w:style w:type="paragraph" w:customStyle="1" w:styleId="P68B1DB1-Normal33">
    <w:name w:val="P68B1DB1-Normal33"/>
    <w:basedOn w:val="Normal"/>
    <w:rPr>
      <w:rFonts w:ascii="Times New Roman" w:hAnsi="Times New Roman"/>
      <w:sz w:val="19"/>
    </w:rPr>
  </w:style>
  <w:style w:type="paragraph" w:customStyle="1" w:styleId="P68B1DB1-Normal34">
    <w:name w:val="P68B1DB1-Normal34"/>
    <w:basedOn w:val="Normal"/>
    <w:rPr>
      <w:rFonts w:ascii="Times New Roman" w:eastAsia="Times New Roman" w:hAnsi="Times New Roman" w:cs="Times New Roman"/>
      <w:b/>
    </w:rPr>
  </w:style>
  <w:style w:type="paragraph" w:customStyle="1" w:styleId="P68B1DB1-Normal35">
    <w:name w:val="P68B1DB1-Normal35"/>
    <w:basedOn w:val="Normal"/>
    <w:rPr>
      <w:rFonts w:ascii="Times New Roman" w:hAnsi="Times New Roman" w:cs="Times New Roman"/>
    </w:rPr>
  </w:style>
  <w:style w:type="paragraph" w:customStyle="1" w:styleId="P68B1DB1-Normal36">
    <w:name w:val="P68B1DB1-Normal36"/>
    <w:basedOn w:val="Normal"/>
    <w:rPr>
      <w:rFonts w:ascii="Times New Roman" w:eastAsia="Times New Roman" w:hAnsi="Times New Roman" w:cs="Times New Roman"/>
    </w:rPr>
  </w:style>
  <w:style w:type="paragraph" w:customStyle="1" w:styleId="P68B1DB1-ListParagraph37">
    <w:name w:val="P68B1DB1-ListParagraph37"/>
    <w:basedOn w:val="ListParagraph"/>
    <w:rPr>
      <w:rFonts w:ascii="Times New Roman" w:hAnsi="Times New Roman" w:cs="Times New Roman"/>
    </w:rPr>
  </w:style>
  <w:style w:type="paragraph" w:customStyle="1" w:styleId="P68B1DB1-Normal38">
    <w:name w:val="P68B1DB1-Normal38"/>
    <w:basedOn w:val="Normal"/>
    <w:rPr>
      <w:rFonts w:ascii="Times New Roman" w:hAnsi="Times New Roman" w:cs="Times New Roman"/>
      <w:color w:val="000000"/>
    </w:rPr>
  </w:style>
  <w:style w:type="paragraph" w:customStyle="1" w:styleId="P68B1DB1-FooterText39">
    <w:name w:val="P68B1DB1-FooterText39"/>
    <w:basedOn w:val="FooterText"/>
    <w:rPr>
      <w:b/>
      <w:position w:val="-4"/>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238">
      <w:bodyDiv w:val="1"/>
      <w:marLeft w:val="0"/>
      <w:marRight w:val="0"/>
      <w:marTop w:val="0"/>
      <w:marBottom w:val="0"/>
      <w:divBdr>
        <w:top w:val="none" w:sz="0" w:space="0" w:color="auto"/>
        <w:left w:val="none" w:sz="0" w:space="0" w:color="auto"/>
        <w:bottom w:val="none" w:sz="0" w:space="0" w:color="auto"/>
        <w:right w:val="none" w:sz="0" w:space="0" w:color="auto"/>
      </w:divBdr>
      <w:divsChild>
        <w:div w:id="498160007">
          <w:marLeft w:val="0"/>
          <w:marRight w:val="0"/>
          <w:marTop w:val="0"/>
          <w:marBottom w:val="0"/>
          <w:divBdr>
            <w:top w:val="none" w:sz="0" w:space="0" w:color="auto"/>
            <w:left w:val="none" w:sz="0" w:space="0" w:color="auto"/>
            <w:bottom w:val="none" w:sz="0" w:space="0" w:color="auto"/>
            <w:right w:val="none" w:sz="0" w:space="0" w:color="auto"/>
          </w:divBdr>
          <w:divsChild>
            <w:div w:id="172693679">
              <w:marLeft w:val="0"/>
              <w:marRight w:val="0"/>
              <w:marTop w:val="0"/>
              <w:marBottom w:val="0"/>
              <w:divBdr>
                <w:top w:val="none" w:sz="0" w:space="0" w:color="auto"/>
                <w:left w:val="none" w:sz="0" w:space="0" w:color="auto"/>
                <w:bottom w:val="none" w:sz="0" w:space="0" w:color="auto"/>
                <w:right w:val="none" w:sz="0" w:space="0" w:color="auto"/>
              </w:divBdr>
            </w:div>
            <w:div w:id="923533831">
              <w:marLeft w:val="0"/>
              <w:marRight w:val="0"/>
              <w:marTop w:val="0"/>
              <w:marBottom w:val="0"/>
              <w:divBdr>
                <w:top w:val="none" w:sz="0" w:space="0" w:color="auto"/>
                <w:left w:val="none" w:sz="0" w:space="0" w:color="auto"/>
                <w:bottom w:val="none" w:sz="0" w:space="0" w:color="auto"/>
                <w:right w:val="none" w:sz="0" w:space="0" w:color="auto"/>
              </w:divBdr>
            </w:div>
            <w:div w:id="1027216706">
              <w:marLeft w:val="0"/>
              <w:marRight w:val="0"/>
              <w:marTop w:val="0"/>
              <w:marBottom w:val="0"/>
              <w:divBdr>
                <w:top w:val="none" w:sz="0" w:space="0" w:color="auto"/>
                <w:left w:val="none" w:sz="0" w:space="0" w:color="auto"/>
                <w:bottom w:val="none" w:sz="0" w:space="0" w:color="auto"/>
                <w:right w:val="none" w:sz="0" w:space="0" w:color="auto"/>
              </w:divBdr>
            </w:div>
            <w:div w:id="1914386609">
              <w:marLeft w:val="0"/>
              <w:marRight w:val="0"/>
              <w:marTop w:val="0"/>
              <w:marBottom w:val="0"/>
              <w:divBdr>
                <w:top w:val="none" w:sz="0" w:space="0" w:color="auto"/>
                <w:left w:val="none" w:sz="0" w:space="0" w:color="auto"/>
                <w:bottom w:val="none" w:sz="0" w:space="0" w:color="auto"/>
                <w:right w:val="none" w:sz="0" w:space="0" w:color="auto"/>
              </w:divBdr>
            </w:div>
            <w:div w:id="20217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096">
      <w:bodyDiv w:val="1"/>
      <w:marLeft w:val="0"/>
      <w:marRight w:val="0"/>
      <w:marTop w:val="0"/>
      <w:marBottom w:val="0"/>
      <w:divBdr>
        <w:top w:val="none" w:sz="0" w:space="0" w:color="auto"/>
        <w:left w:val="none" w:sz="0" w:space="0" w:color="auto"/>
        <w:bottom w:val="none" w:sz="0" w:space="0" w:color="auto"/>
        <w:right w:val="none" w:sz="0" w:space="0" w:color="auto"/>
      </w:divBdr>
    </w:div>
    <w:div w:id="323051507">
      <w:bodyDiv w:val="1"/>
      <w:marLeft w:val="0"/>
      <w:marRight w:val="0"/>
      <w:marTop w:val="0"/>
      <w:marBottom w:val="0"/>
      <w:divBdr>
        <w:top w:val="none" w:sz="0" w:space="0" w:color="auto"/>
        <w:left w:val="none" w:sz="0" w:space="0" w:color="auto"/>
        <w:bottom w:val="none" w:sz="0" w:space="0" w:color="auto"/>
        <w:right w:val="none" w:sz="0" w:space="0" w:color="auto"/>
      </w:divBdr>
    </w:div>
    <w:div w:id="520513635">
      <w:bodyDiv w:val="1"/>
      <w:marLeft w:val="0"/>
      <w:marRight w:val="0"/>
      <w:marTop w:val="0"/>
      <w:marBottom w:val="0"/>
      <w:divBdr>
        <w:top w:val="none" w:sz="0" w:space="0" w:color="auto"/>
        <w:left w:val="none" w:sz="0" w:space="0" w:color="auto"/>
        <w:bottom w:val="none" w:sz="0" w:space="0" w:color="auto"/>
        <w:right w:val="none" w:sz="0" w:space="0" w:color="auto"/>
      </w:divBdr>
    </w:div>
    <w:div w:id="1225068927">
      <w:bodyDiv w:val="1"/>
      <w:marLeft w:val="0"/>
      <w:marRight w:val="0"/>
      <w:marTop w:val="0"/>
      <w:marBottom w:val="0"/>
      <w:divBdr>
        <w:top w:val="none" w:sz="0" w:space="0" w:color="auto"/>
        <w:left w:val="none" w:sz="0" w:space="0" w:color="auto"/>
        <w:bottom w:val="none" w:sz="0" w:space="0" w:color="auto"/>
        <w:right w:val="none" w:sz="0" w:space="0" w:color="auto"/>
      </w:divBdr>
    </w:div>
    <w:div w:id="20486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99" Type="http://schemas.openxmlformats.org/officeDocument/2006/relationships/header" Target="header144.xml"/><Relationship Id="rId21" Type="http://schemas.openxmlformats.org/officeDocument/2006/relationships/footer" Target="footer5.xml"/><Relationship Id="rId42" Type="http://schemas.openxmlformats.org/officeDocument/2006/relationships/header" Target="header16.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4.xml"/><Relationship Id="rId324" Type="http://schemas.openxmlformats.org/officeDocument/2006/relationships/footer" Target="footer156.xml"/><Relationship Id="rId345" Type="http://schemas.openxmlformats.org/officeDocument/2006/relationships/footer" Target="footer166.xml"/><Relationship Id="rId366" Type="http://schemas.openxmlformats.org/officeDocument/2006/relationships/footer" Target="footer177.xml"/><Relationship Id="rId387" Type="http://schemas.microsoft.com/office/2019/05/relationships/documenttasks" Target="documenttasks/documenttasks1.xml"/><Relationship Id="rId170" Type="http://schemas.openxmlformats.org/officeDocument/2006/relationships/footer" Target="footer79.xml"/><Relationship Id="rId191" Type="http://schemas.openxmlformats.org/officeDocument/2006/relationships/footer" Target="footer90.xml"/><Relationship Id="rId205" Type="http://schemas.openxmlformats.org/officeDocument/2006/relationships/header" Target="header98.xml"/><Relationship Id="rId226" Type="http://schemas.openxmlformats.org/officeDocument/2006/relationships/header" Target="header108.xml"/><Relationship Id="rId247" Type="http://schemas.openxmlformats.org/officeDocument/2006/relationships/header" Target="header118.xml"/><Relationship Id="rId107" Type="http://schemas.openxmlformats.org/officeDocument/2006/relationships/footer" Target="footer48.xml"/><Relationship Id="rId268" Type="http://schemas.openxmlformats.org/officeDocument/2006/relationships/footer" Target="footer128.xml"/><Relationship Id="rId289" Type="http://schemas.openxmlformats.org/officeDocument/2006/relationships/header" Target="header139.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1.xml"/><Relationship Id="rId74" Type="http://schemas.openxmlformats.org/officeDocument/2006/relationships/footer" Target="footer31.xml"/><Relationship Id="rId128" Type="http://schemas.openxmlformats.org/officeDocument/2006/relationships/footer" Target="footer58.xml"/><Relationship Id="rId149" Type="http://schemas.openxmlformats.org/officeDocument/2006/relationships/footer" Target="footer69.xml"/><Relationship Id="rId314" Type="http://schemas.openxmlformats.org/officeDocument/2006/relationships/header" Target="header152.xml"/><Relationship Id="rId335" Type="http://schemas.openxmlformats.org/officeDocument/2006/relationships/header" Target="header162.xml"/><Relationship Id="rId356" Type="http://schemas.openxmlformats.org/officeDocument/2006/relationships/header" Target="header173.xml"/><Relationship Id="rId377" Type="http://schemas.openxmlformats.org/officeDocument/2006/relationships/header" Target="header183.xml"/><Relationship Id="rId5" Type="http://schemas.openxmlformats.org/officeDocument/2006/relationships/numbering" Target="numbering.xml"/><Relationship Id="rId95" Type="http://schemas.openxmlformats.org/officeDocument/2006/relationships/footer" Target="footer42.xml"/><Relationship Id="rId160" Type="http://schemas.openxmlformats.org/officeDocument/2006/relationships/header" Target="header75.xml"/><Relationship Id="rId181" Type="http://schemas.openxmlformats.org/officeDocument/2006/relationships/header" Target="header86.xml"/><Relationship Id="rId216" Type="http://schemas.openxmlformats.org/officeDocument/2006/relationships/header" Target="header103.xml"/><Relationship Id="rId237" Type="http://schemas.openxmlformats.org/officeDocument/2006/relationships/footer" Target="footer112.xml"/><Relationship Id="rId258" Type="http://schemas.openxmlformats.org/officeDocument/2006/relationships/footer" Target="footer123.xml"/><Relationship Id="rId279" Type="http://schemas.openxmlformats.org/officeDocument/2006/relationships/footer" Target="footer133.xml"/><Relationship Id="rId22" Type="http://schemas.openxmlformats.org/officeDocument/2006/relationships/header" Target="header6.xml"/><Relationship Id="rId43" Type="http://schemas.openxmlformats.org/officeDocument/2006/relationships/header" Target="head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header" Target="header65.xml"/><Relationship Id="rId290" Type="http://schemas.openxmlformats.org/officeDocument/2006/relationships/header" Target="header140.xml"/><Relationship Id="rId304" Type="http://schemas.openxmlformats.org/officeDocument/2006/relationships/footer" Target="footer146.xml"/><Relationship Id="rId325" Type="http://schemas.openxmlformats.org/officeDocument/2006/relationships/header" Target="header157.xml"/><Relationship Id="rId346" Type="http://schemas.openxmlformats.org/officeDocument/2006/relationships/footer" Target="footer167.xml"/><Relationship Id="rId367" Type="http://schemas.openxmlformats.org/officeDocument/2006/relationships/header" Target="header178.xml"/><Relationship Id="rId85" Type="http://schemas.openxmlformats.org/officeDocument/2006/relationships/header" Target="header38.xml"/><Relationship Id="rId150" Type="http://schemas.openxmlformats.org/officeDocument/2006/relationships/header" Target="header70.xml"/><Relationship Id="rId171" Type="http://schemas.openxmlformats.org/officeDocument/2006/relationships/footer" Target="footer80.xml"/><Relationship Id="rId192" Type="http://schemas.openxmlformats.org/officeDocument/2006/relationships/header" Target="header91.xml"/><Relationship Id="rId206" Type="http://schemas.openxmlformats.org/officeDocument/2006/relationships/footer" Target="footer97.xml"/><Relationship Id="rId227" Type="http://schemas.openxmlformats.org/officeDocument/2006/relationships/footer" Target="footer108.xml"/><Relationship Id="rId248" Type="http://schemas.openxmlformats.org/officeDocument/2006/relationships/header" Target="header119.xml"/><Relationship Id="rId269" Type="http://schemas.openxmlformats.org/officeDocument/2006/relationships/header" Target="header129.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9.xml"/><Relationship Id="rId129" Type="http://schemas.openxmlformats.org/officeDocument/2006/relationships/footer" Target="footer59.xml"/><Relationship Id="rId280" Type="http://schemas.openxmlformats.org/officeDocument/2006/relationships/footer" Target="footer134.xml"/><Relationship Id="rId315" Type="http://schemas.openxmlformats.org/officeDocument/2006/relationships/footer" Target="footer151.xml"/><Relationship Id="rId336" Type="http://schemas.openxmlformats.org/officeDocument/2006/relationships/footer" Target="footer162.xml"/><Relationship Id="rId357" Type="http://schemas.openxmlformats.org/officeDocument/2006/relationships/footer" Target="footer172.xml"/><Relationship Id="rId54" Type="http://schemas.openxmlformats.org/officeDocument/2006/relationships/header" Target="header22.xml"/><Relationship Id="rId75" Type="http://schemas.openxmlformats.org/officeDocument/2006/relationships/footer" Target="footer32.xml"/><Relationship Id="rId96" Type="http://schemas.openxmlformats.org/officeDocument/2006/relationships/header" Target="header43.xml"/><Relationship Id="rId140" Type="http://schemas.openxmlformats.org/officeDocument/2006/relationships/footer" Target="footer64.xml"/><Relationship Id="rId161" Type="http://schemas.openxmlformats.org/officeDocument/2006/relationships/footer" Target="footer75.xml"/><Relationship Id="rId182" Type="http://schemas.openxmlformats.org/officeDocument/2006/relationships/footer" Target="footer85.xml"/><Relationship Id="rId217" Type="http://schemas.openxmlformats.org/officeDocument/2006/relationships/header" Target="header104.xml"/><Relationship Id="rId378" Type="http://schemas.openxmlformats.org/officeDocument/2006/relationships/footer" Target="footer183.xml"/><Relationship Id="rId6" Type="http://schemas.openxmlformats.org/officeDocument/2006/relationships/styles" Target="styles.xml"/><Relationship Id="rId238" Type="http://schemas.openxmlformats.org/officeDocument/2006/relationships/footer" Target="footer113.xml"/><Relationship Id="rId259" Type="http://schemas.openxmlformats.org/officeDocument/2006/relationships/header" Target="header124.xml"/><Relationship Id="rId23" Type="http://schemas.openxmlformats.org/officeDocument/2006/relationships/footer" Target="footer6.xml"/><Relationship Id="rId119" Type="http://schemas.openxmlformats.org/officeDocument/2006/relationships/footer" Target="footer54.xml"/><Relationship Id="rId270" Type="http://schemas.openxmlformats.org/officeDocument/2006/relationships/footer" Target="footer129.xml"/><Relationship Id="rId291" Type="http://schemas.openxmlformats.org/officeDocument/2006/relationships/footer" Target="footer139.xml"/><Relationship Id="rId305" Type="http://schemas.openxmlformats.org/officeDocument/2006/relationships/header" Target="header147.xml"/><Relationship Id="rId326" Type="http://schemas.openxmlformats.org/officeDocument/2006/relationships/header" Target="header158.xml"/><Relationship Id="rId347" Type="http://schemas.openxmlformats.org/officeDocument/2006/relationships/header" Target="header168.xml"/><Relationship Id="rId44" Type="http://schemas.openxmlformats.org/officeDocument/2006/relationships/footer" Target="footer16.xml"/><Relationship Id="rId65" Type="http://schemas.openxmlformats.org/officeDocument/2006/relationships/footer" Target="footer27.xml"/><Relationship Id="rId86" Type="http://schemas.openxmlformats.org/officeDocument/2006/relationships/footer" Target="footer37.xml"/><Relationship Id="rId130" Type="http://schemas.openxmlformats.org/officeDocument/2006/relationships/header" Target="header60.xml"/><Relationship Id="rId151" Type="http://schemas.openxmlformats.org/officeDocument/2006/relationships/header" Target="header71.xml"/><Relationship Id="rId368" Type="http://schemas.openxmlformats.org/officeDocument/2006/relationships/header" Target="header179.xml"/><Relationship Id="rId172" Type="http://schemas.openxmlformats.org/officeDocument/2006/relationships/header" Target="header81.xml"/><Relationship Id="rId193" Type="http://schemas.openxmlformats.org/officeDocument/2006/relationships/header" Target="header92.xml"/><Relationship Id="rId207" Type="http://schemas.openxmlformats.org/officeDocument/2006/relationships/footer" Target="footer98.xml"/><Relationship Id="rId228" Type="http://schemas.openxmlformats.org/officeDocument/2006/relationships/hyperlink" Target="https://ec.europa.eu/regional_policy/en/information/maps/quality_of_life/" TargetMode="External"/><Relationship Id="rId249" Type="http://schemas.openxmlformats.org/officeDocument/2006/relationships/footer" Target="footer118.xml"/><Relationship Id="rId13" Type="http://schemas.openxmlformats.org/officeDocument/2006/relationships/header" Target="header2.xml"/><Relationship Id="rId109" Type="http://schemas.openxmlformats.org/officeDocument/2006/relationships/header" Target="header50.xml"/><Relationship Id="rId260" Type="http://schemas.openxmlformats.org/officeDocument/2006/relationships/header" Target="header125.xml"/><Relationship Id="rId281" Type="http://schemas.openxmlformats.org/officeDocument/2006/relationships/header" Target="header135.xml"/><Relationship Id="rId316" Type="http://schemas.openxmlformats.org/officeDocument/2006/relationships/footer" Target="footer152.xml"/><Relationship Id="rId337" Type="http://schemas.openxmlformats.org/officeDocument/2006/relationships/header" Target="header163.xml"/><Relationship Id="rId34" Type="http://schemas.openxmlformats.org/officeDocument/2006/relationships/header" Target="header12.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20" Type="http://schemas.openxmlformats.org/officeDocument/2006/relationships/header" Target="header55.xml"/><Relationship Id="rId141" Type="http://schemas.openxmlformats.org/officeDocument/2006/relationships/footer" Target="footer65.xml"/><Relationship Id="rId358" Type="http://schemas.openxmlformats.org/officeDocument/2006/relationships/footer" Target="footer173.xml"/><Relationship Id="rId379" Type="http://schemas.openxmlformats.org/officeDocument/2006/relationships/header" Target="header184.xml"/><Relationship Id="rId7" Type="http://schemas.openxmlformats.org/officeDocument/2006/relationships/settings" Target="settings.xml"/><Relationship Id="rId162" Type="http://schemas.openxmlformats.org/officeDocument/2006/relationships/header" Target="header76.xml"/><Relationship Id="rId183" Type="http://schemas.openxmlformats.org/officeDocument/2006/relationships/footer" Target="footer86.xml"/><Relationship Id="rId218" Type="http://schemas.openxmlformats.org/officeDocument/2006/relationships/footer" Target="footer103.xml"/><Relationship Id="rId239" Type="http://schemas.openxmlformats.org/officeDocument/2006/relationships/header" Target="header114.xml"/><Relationship Id="rId250" Type="http://schemas.openxmlformats.org/officeDocument/2006/relationships/footer" Target="footer119.xml"/><Relationship Id="rId271" Type="http://schemas.openxmlformats.org/officeDocument/2006/relationships/header" Target="header130.xml"/><Relationship Id="rId292" Type="http://schemas.openxmlformats.org/officeDocument/2006/relationships/footer" Target="footer140.xml"/><Relationship Id="rId306" Type="http://schemas.openxmlformats.org/officeDocument/2006/relationships/footer" Target="footer147.xml"/><Relationship Id="rId24" Type="http://schemas.openxmlformats.org/officeDocument/2006/relationships/header" Target="header7.xml"/><Relationship Id="rId45" Type="http://schemas.openxmlformats.org/officeDocument/2006/relationships/footer" Target="footer17.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9.xml"/><Relationship Id="rId131" Type="http://schemas.openxmlformats.org/officeDocument/2006/relationships/footer" Target="footer60.xml"/><Relationship Id="rId327" Type="http://schemas.openxmlformats.org/officeDocument/2006/relationships/footer" Target="footer157.xml"/><Relationship Id="rId348" Type="http://schemas.openxmlformats.org/officeDocument/2006/relationships/footer" Target="footer168.xml"/><Relationship Id="rId369" Type="http://schemas.openxmlformats.org/officeDocument/2006/relationships/footer" Target="footer178.xml"/><Relationship Id="rId152" Type="http://schemas.openxmlformats.org/officeDocument/2006/relationships/footer" Target="footer70.xml"/><Relationship Id="rId173" Type="http://schemas.openxmlformats.org/officeDocument/2006/relationships/footer" Target="footer81.xml"/><Relationship Id="rId194" Type="http://schemas.openxmlformats.org/officeDocument/2006/relationships/footer" Target="footer91.xml"/><Relationship Id="rId208" Type="http://schemas.openxmlformats.org/officeDocument/2006/relationships/header" Target="header99.xml"/><Relationship Id="rId229" Type="http://schemas.openxmlformats.org/officeDocument/2006/relationships/header" Target="header109.xml"/><Relationship Id="rId380" Type="http://schemas.openxmlformats.org/officeDocument/2006/relationships/header" Target="header185.xml"/><Relationship Id="rId240" Type="http://schemas.openxmlformats.org/officeDocument/2006/relationships/footer" Target="footer114.xml"/><Relationship Id="rId261" Type="http://schemas.openxmlformats.org/officeDocument/2006/relationships/footer" Target="footer124.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3.xml"/><Relationship Id="rId100" Type="http://schemas.openxmlformats.org/officeDocument/2006/relationships/header" Target="header45.xml"/><Relationship Id="rId282" Type="http://schemas.openxmlformats.org/officeDocument/2006/relationships/footer" Target="footer135.xml"/><Relationship Id="rId317" Type="http://schemas.openxmlformats.org/officeDocument/2006/relationships/header" Target="header153.xml"/><Relationship Id="rId338" Type="http://schemas.openxmlformats.org/officeDocument/2006/relationships/header" Target="header164.xml"/><Relationship Id="rId359" Type="http://schemas.openxmlformats.org/officeDocument/2006/relationships/header" Target="header174.xml"/><Relationship Id="rId8" Type="http://schemas.openxmlformats.org/officeDocument/2006/relationships/webSettings" Target="webSettings.xml"/><Relationship Id="rId98" Type="http://schemas.openxmlformats.org/officeDocument/2006/relationships/footer" Target="footer43.xml"/><Relationship Id="rId121" Type="http://schemas.openxmlformats.org/officeDocument/2006/relationships/header" Target="header56.xml"/><Relationship Id="rId142" Type="http://schemas.openxmlformats.org/officeDocument/2006/relationships/header" Target="header66.xml"/><Relationship Id="rId163" Type="http://schemas.openxmlformats.org/officeDocument/2006/relationships/header" Target="header77.xml"/><Relationship Id="rId184" Type="http://schemas.openxmlformats.org/officeDocument/2006/relationships/header" Target="header87.xml"/><Relationship Id="rId219" Type="http://schemas.openxmlformats.org/officeDocument/2006/relationships/footer" Target="footer104.xml"/><Relationship Id="rId370" Type="http://schemas.openxmlformats.org/officeDocument/2006/relationships/footer" Target="footer179.xml"/><Relationship Id="rId230" Type="http://schemas.openxmlformats.org/officeDocument/2006/relationships/header" Target="header110.xml"/><Relationship Id="rId251" Type="http://schemas.openxmlformats.org/officeDocument/2006/relationships/header" Target="header120.xml"/><Relationship Id="rId25" Type="http://schemas.openxmlformats.org/officeDocument/2006/relationships/header" Target="header8.xml"/><Relationship Id="rId46" Type="http://schemas.openxmlformats.org/officeDocument/2006/relationships/header" Target="header18.xml"/><Relationship Id="rId67" Type="http://schemas.openxmlformats.org/officeDocument/2006/relationships/header" Target="header29.xml"/><Relationship Id="rId272" Type="http://schemas.openxmlformats.org/officeDocument/2006/relationships/header" Target="header131.xml"/><Relationship Id="rId293" Type="http://schemas.openxmlformats.org/officeDocument/2006/relationships/header" Target="header141.xml"/><Relationship Id="rId307" Type="http://schemas.openxmlformats.org/officeDocument/2006/relationships/header" Target="header148.xml"/><Relationship Id="rId328" Type="http://schemas.openxmlformats.org/officeDocument/2006/relationships/footer" Target="footer158.xml"/><Relationship Id="rId349" Type="http://schemas.openxmlformats.org/officeDocument/2006/relationships/header" Target="header169.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footer" Target="footer71.xml"/><Relationship Id="rId174" Type="http://schemas.openxmlformats.org/officeDocument/2006/relationships/header" Target="header82.xml"/><Relationship Id="rId195" Type="http://schemas.openxmlformats.org/officeDocument/2006/relationships/footer" Target="footer92.xml"/><Relationship Id="rId209" Type="http://schemas.openxmlformats.org/officeDocument/2006/relationships/footer" Target="footer99.xml"/><Relationship Id="rId360" Type="http://schemas.openxmlformats.org/officeDocument/2006/relationships/footer" Target="footer174.xml"/><Relationship Id="rId381" Type="http://schemas.openxmlformats.org/officeDocument/2006/relationships/footer" Target="footer184.xml"/><Relationship Id="rId220" Type="http://schemas.openxmlformats.org/officeDocument/2006/relationships/header" Target="header105.xml"/><Relationship Id="rId241" Type="http://schemas.openxmlformats.org/officeDocument/2006/relationships/header" Target="header115.xml"/><Relationship Id="rId15" Type="http://schemas.openxmlformats.org/officeDocument/2006/relationships/footer" Target="footer2.xml"/><Relationship Id="rId36" Type="http://schemas.openxmlformats.org/officeDocument/2006/relationships/header" Target="header13.xml"/><Relationship Id="rId57" Type="http://schemas.openxmlformats.org/officeDocument/2006/relationships/footer" Target="footer23.xml"/><Relationship Id="rId262" Type="http://schemas.openxmlformats.org/officeDocument/2006/relationships/footer" Target="footer125.xml"/><Relationship Id="rId283" Type="http://schemas.openxmlformats.org/officeDocument/2006/relationships/header" Target="header136.xml"/><Relationship Id="rId318" Type="http://schemas.openxmlformats.org/officeDocument/2006/relationships/footer" Target="footer153.xml"/><Relationship Id="rId339" Type="http://schemas.openxmlformats.org/officeDocument/2006/relationships/footer" Target="footer163.xml"/><Relationship Id="rId78" Type="http://schemas.openxmlformats.org/officeDocument/2006/relationships/header" Target="header34.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footer" Target="footer55.xml"/><Relationship Id="rId143" Type="http://schemas.openxmlformats.org/officeDocument/2006/relationships/footer" Target="footer66.xml"/><Relationship Id="rId164" Type="http://schemas.openxmlformats.org/officeDocument/2006/relationships/footer" Target="footer76.xml"/><Relationship Id="rId185" Type="http://schemas.openxmlformats.org/officeDocument/2006/relationships/footer" Target="footer87.xml"/><Relationship Id="rId350" Type="http://schemas.openxmlformats.org/officeDocument/2006/relationships/header" Target="header170.xml"/><Relationship Id="rId371" Type="http://schemas.openxmlformats.org/officeDocument/2006/relationships/header" Target="header180.xml"/><Relationship Id="rId9" Type="http://schemas.openxmlformats.org/officeDocument/2006/relationships/footnotes" Target="footnotes.xml"/><Relationship Id="rId210" Type="http://schemas.openxmlformats.org/officeDocument/2006/relationships/header" Target="header100.xml"/><Relationship Id="rId26" Type="http://schemas.openxmlformats.org/officeDocument/2006/relationships/footer" Target="footer7.xml"/><Relationship Id="rId231" Type="http://schemas.openxmlformats.org/officeDocument/2006/relationships/footer" Target="footer109.xml"/><Relationship Id="rId252" Type="http://schemas.openxmlformats.org/officeDocument/2006/relationships/footer" Target="footer120.xml"/><Relationship Id="rId273" Type="http://schemas.openxmlformats.org/officeDocument/2006/relationships/footer" Target="footer130.xml"/><Relationship Id="rId294" Type="http://schemas.openxmlformats.org/officeDocument/2006/relationships/footer" Target="footer141.xml"/><Relationship Id="rId308" Type="http://schemas.openxmlformats.org/officeDocument/2006/relationships/header" Target="header149.xml"/><Relationship Id="rId329" Type="http://schemas.openxmlformats.org/officeDocument/2006/relationships/header" Target="header159.xml"/><Relationship Id="rId47" Type="http://schemas.openxmlformats.org/officeDocument/2006/relationships/footer" Target="footer18.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header" Target="header62.xml"/><Relationship Id="rId154" Type="http://schemas.openxmlformats.org/officeDocument/2006/relationships/header" Target="header72.xml"/><Relationship Id="rId175" Type="http://schemas.openxmlformats.org/officeDocument/2006/relationships/header" Target="header83.xml"/><Relationship Id="rId340" Type="http://schemas.openxmlformats.org/officeDocument/2006/relationships/footer" Target="footer164.xml"/><Relationship Id="rId361" Type="http://schemas.openxmlformats.org/officeDocument/2006/relationships/header" Target="header175.xml"/><Relationship Id="rId196" Type="http://schemas.openxmlformats.org/officeDocument/2006/relationships/header" Target="header93.xml"/><Relationship Id="rId200" Type="http://schemas.openxmlformats.org/officeDocument/2006/relationships/footer" Target="footer94.xml"/><Relationship Id="rId382" Type="http://schemas.openxmlformats.org/officeDocument/2006/relationships/footer" Target="footer185.xml"/><Relationship Id="rId16" Type="http://schemas.openxmlformats.org/officeDocument/2006/relationships/header" Target="header3.xml"/><Relationship Id="rId221" Type="http://schemas.openxmlformats.org/officeDocument/2006/relationships/footer" Target="footer105.xml"/><Relationship Id="rId242" Type="http://schemas.openxmlformats.org/officeDocument/2006/relationships/header" Target="header116.xml"/><Relationship Id="rId263" Type="http://schemas.openxmlformats.org/officeDocument/2006/relationships/header" Target="header126.xml"/><Relationship Id="rId284" Type="http://schemas.openxmlformats.org/officeDocument/2006/relationships/header" Target="header137.xml"/><Relationship Id="rId319" Type="http://schemas.openxmlformats.org/officeDocument/2006/relationships/header" Target="header154.xml"/><Relationship Id="rId37" Type="http://schemas.openxmlformats.org/officeDocument/2006/relationships/header" Target="header14.xml"/><Relationship Id="rId58" Type="http://schemas.openxmlformats.org/officeDocument/2006/relationships/header" Target="header24.xml"/><Relationship Id="rId79" Type="http://schemas.openxmlformats.org/officeDocument/2006/relationships/header" Target="header35.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330" Type="http://schemas.openxmlformats.org/officeDocument/2006/relationships/footer" Target="footer159.xml"/><Relationship Id="rId90" Type="http://schemas.openxmlformats.org/officeDocument/2006/relationships/header" Target="header40.xml"/><Relationship Id="rId165" Type="http://schemas.openxmlformats.org/officeDocument/2006/relationships/footer" Target="footer77.xml"/><Relationship Id="rId186" Type="http://schemas.openxmlformats.org/officeDocument/2006/relationships/header" Target="header88.xml"/><Relationship Id="rId351" Type="http://schemas.openxmlformats.org/officeDocument/2006/relationships/footer" Target="footer169.xml"/><Relationship Id="rId372" Type="http://schemas.openxmlformats.org/officeDocument/2006/relationships/footer" Target="footer180.xml"/><Relationship Id="rId211" Type="http://schemas.openxmlformats.org/officeDocument/2006/relationships/header" Target="header101.xml"/><Relationship Id="rId232" Type="http://schemas.openxmlformats.org/officeDocument/2006/relationships/footer" Target="footer110.xml"/><Relationship Id="rId253" Type="http://schemas.openxmlformats.org/officeDocument/2006/relationships/header" Target="header121.xml"/><Relationship Id="rId274" Type="http://schemas.openxmlformats.org/officeDocument/2006/relationships/footer" Target="footer131.xml"/><Relationship Id="rId295" Type="http://schemas.openxmlformats.org/officeDocument/2006/relationships/header" Target="header142.xml"/><Relationship Id="rId309" Type="http://schemas.openxmlformats.org/officeDocument/2006/relationships/footer" Target="footer148.xml"/><Relationship Id="rId27" Type="http://schemas.openxmlformats.org/officeDocument/2006/relationships/footer" Target="footer8.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footer" Target="footer61.xml"/><Relationship Id="rId320" Type="http://schemas.openxmlformats.org/officeDocument/2006/relationships/header" Target="header155.xml"/><Relationship Id="rId80" Type="http://schemas.openxmlformats.org/officeDocument/2006/relationships/footer" Target="footer34.xml"/><Relationship Id="rId155" Type="http://schemas.openxmlformats.org/officeDocument/2006/relationships/footer" Target="footer72.xml"/><Relationship Id="rId176" Type="http://schemas.openxmlformats.org/officeDocument/2006/relationships/footer" Target="footer82.xml"/><Relationship Id="rId197" Type="http://schemas.openxmlformats.org/officeDocument/2006/relationships/footer" Target="footer93.xml"/><Relationship Id="rId341" Type="http://schemas.openxmlformats.org/officeDocument/2006/relationships/header" Target="header165.xml"/><Relationship Id="rId362" Type="http://schemas.openxmlformats.org/officeDocument/2006/relationships/header" Target="header176.xml"/><Relationship Id="rId383" Type="http://schemas.openxmlformats.org/officeDocument/2006/relationships/header" Target="header186.xml"/><Relationship Id="rId201" Type="http://schemas.openxmlformats.org/officeDocument/2006/relationships/footer" Target="footer95.xml"/><Relationship Id="rId222" Type="http://schemas.openxmlformats.org/officeDocument/2006/relationships/header" Target="header106.xml"/><Relationship Id="rId243" Type="http://schemas.openxmlformats.org/officeDocument/2006/relationships/footer" Target="footer115.xml"/><Relationship Id="rId264" Type="http://schemas.openxmlformats.org/officeDocument/2006/relationships/footer" Target="footer126.xml"/><Relationship Id="rId285" Type="http://schemas.openxmlformats.org/officeDocument/2006/relationships/footer" Target="footer136.xml"/><Relationship Id="rId17" Type="http://schemas.openxmlformats.org/officeDocument/2006/relationships/footer" Target="footer3.xml"/><Relationship Id="rId38" Type="http://schemas.openxmlformats.org/officeDocument/2006/relationships/footer" Target="footer13.xml"/><Relationship Id="rId59" Type="http://schemas.openxmlformats.org/officeDocument/2006/relationships/footer" Target="footer24.xml"/><Relationship Id="rId103" Type="http://schemas.openxmlformats.org/officeDocument/2006/relationships/header" Target="header47.xml"/><Relationship Id="rId124" Type="http://schemas.openxmlformats.org/officeDocument/2006/relationships/header" Target="header57.xml"/><Relationship Id="rId310" Type="http://schemas.openxmlformats.org/officeDocument/2006/relationships/footer" Target="footer149.xml"/><Relationship Id="rId70" Type="http://schemas.openxmlformats.org/officeDocument/2006/relationships/header" Target="header30.xml"/><Relationship Id="rId91" Type="http://schemas.openxmlformats.org/officeDocument/2006/relationships/header" Target="header41.xml"/><Relationship Id="rId145" Type="http://schemas.openxmlformats.org/officeDocument/2006/relationships/header" Target="header68.xml"/><Relationship Id="rId166" Type="http://schemas.openxmlformats.org/officeDocument/2006/relationships/header" Target="header78.xml"/><Relationship Id="rId187" Type="http://schemas.openxmlformats.org/officeDocument/2006/relationships/header" Target="header89.xml"/><Relationship Id="rId331" Type="http://schemas.openxmlformats.org/officeDocument/2006/relationships/header" Target="header160.xml"/><Relationship Id="rId352" Type="http://schemas.openxmlformats.org/officeDocument/2006/relationships/footer" Target="footer170.xml"/><Relationship Id="rId373" Type="http://schemas.openxmlformats.org/officeDocument/2006/relationships/header" Target="header181.xml"/><Relationship Id="rId1" Type="http://schemas.openxmlformats.org/officeDocument/2006/relationships/customXml" Target="../customXml/item1.xml"/><Relationship Id="rId212" Type="http://schemas.openxmlformats.org/officeDocument/2006/relationships/footer" Target="footer100.xml"/><Relationship Id="rId233" Type="http://schemas.openxmlformats.org/officeDocument/2006/relationships/header" Target="header111.xml"/><Relationship Id="rId254" Type="http://schemas.openxmlformats.org/officeDocument/2006/relationships/header" Target="header122.xml"/><Relationship Id="rId28" Type="http://schemas.openxmlformats.org/officeDocument/2006/relationships/header" Target="header9.xml"/><Relationship Id="rId49" Type="http://schemas.openxmlformats.org/officeDocument/2006/relationships/header" Target="header20.xml"/><Relationship Id="rId114" Type="http://schemas.openxmlformats.org/officeDocument/2006/relationships/header" Target="header52.xml"/><Relationship Id="rId275" Type="http://schemas.openxmlformats.org/officeDocument/2006/relationships/header" Target="header132.xml"/><Relationship Id="rId296" Type="http://schemas.openxmlformats.org/officeDocument/2006/relationships/header" Target="header143.xml"/><Relationship Id="rId300" Type="http://schemas.openxmlformats.org/officeDocument/2006/relationships/footer" Target="footer144.xml"/><Relationship Id="rId60" Type="http://schemas.openxmlformats.org/officeDocument/2006/relationships/header" Target="header25.xml"/><Relationship Id="rId81" Type="http://schemas.openxmlformats.org/officeDocument/2006/relationships/footer" Target="footer35.xml"/><Relationship Id="rId135" Type="http://schemas.openxmlformats.org/officeDocument/2006/relationships/footer" Target="footer62.xml"/><Relationship Id="rId156" Type="http://schemas.openxmlformats.org/officeDocument/2006/relationships/header" Target="header73.xml"/><Relationship Id="rId177" Type="http://schemas.openxmlformats.org/officeDocument/2006/relationships/footer" Target="footer83.xml"/><Relationship Id="rId198" Type="http://schemas.openxmlformats.org/officeDocument/2006/relationships/header" Target="header94.xml"/><Relationship Id="rId321" Type="http://schemas.openxmlformats.org/officeDocument/2006/relationships/footer" Target="footer154.xml"/><Relationship Id="rId342" Type="http://schemas.openxmlformats.org/officeDocument/2006/relationships/footer" Target="footer165.xml"/><Relationship Id="rId363" Type="http://schemas.openxmlformats.org/officeDocument/2006/relationships/footer" Target="footer175.xml"/><Relationship Id="rId384" Type="http://schemas.openxmlformats.org/officeDocument/2006/relationships/footer" Target="footer186.xml"/><Relationship Id="rId202" Type="http://schemas.openxmlformats.org/officeDocument/2006/relationships/header" Target="header96.xml"/><Relationship Id="rId223" Type="http://schemas.openxmlformats.org/officeDocument/2006/relationships/header" Target="header107.xml"/><Relationship Id="rId244" Type="http://schemas.openxmlformats.org/officeDocument/2006/relationships/footer" Target="footer116.xml"/><Relationship Id="rId18" Type="http://schemas.openxmlformats.org/officeDocument/2006/relationships/header" Target="header4.xml"/><Relationship Id="rId39" Type="http://schemas.openxmlformats.org/officeDocument/2006/relationships/footer" Target="footer14.xml"/><Relationship Id="rId265" Type="http://schemas.openxmlformats.org/officeDocument/2006/relationships/header" Target="header127.xml"/><Relationship Id="rId286" Type="http://schemas.openxmlformats.org/officeDocument/2006/relationships/footer" Target="footer137.xml"/><Relationship Id="rId50" Type="http://schemas.openxmlformats.org/officeDocument/2006/relationships/footer" Target="footer19.xml"/><Relationship Id="rId104" Type="http://schemas.openxmlformats.org/officeDocument/2006/relationships/footer" Target="footer46.xml"/><Relationship Id="rId125" Type="http://schemas.openxmlformats.org/officeDocument/2006/relationships/footer" Target="footer57.xml"/><Relationship Id="rId146" Type="http://schemas.openxmlformats.org/officeDocument/2006/relationships/footer" Target="footer67.xml"/><Relationship Id="rId167" Type="http://schemas.openxmlformats.org/officeDocument/2006/relationships/footer" Target="footer78.xml"/><Relationship Id="rId188" Type="http://schemas.openxmlformats.org/officeDocument/2006/relationships/footer" Target="footer88.xml"/><Relationship Id="rId311" Type="http://schemas.openxmlformats.org/officeDocument/2006/relationships/header" Target="header150.xml"/><Relationship Id="rId332" Type="http://schemas.openxmlformats.org/officeDocument/2006/relationships/header" Target="header161.xml"/><Relationship Id="rId353" Type="http://schemas.openxmlformats.org/officeDocument/2006/relationships/header" Target="header171.xml"/><Relationship Id="rId374" Type="http://schemas.openxmlformats.org/officeDocument/2006/relationships/header" Target="header182.xml"/><Relationship Id="rId71" Type="http://schemas.openxmlformats.org/officeDocument/2006/relationships/footer" Target="footer30.xml"/><Relationship Id="rId92" Type="http://schemas.openxmlformats.org/officeDocument/2006/relationships/footer" Target="footer40.xml"/><Relationship Id="rId213" Type="http://schemas.openxmlformats.org/officeDocument/2006/relationships/footer" Target="footer101.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21.xml"/><Relationship Id="rId276" Type="http://schemas.openxmlformats.org/officeDocument/2006/relationships/footer" Target="footer132.xml"/><Relationship Id="rId297" Type="http://schemas.openxmlformats.org/officeDocument/2006/relationships/footer" Target="footer142.xml"/><Relationship Id="rId40" Type="http://schemas.openxmlformats.org/officeDocument/2006/relationships/header" Target="header15.xml"/><Relationship Id="rId115" Type="http://schemas.openxmlformats.org/officeDocument/2006/relationships/header" Target="header53.xml"/><Relationship Id="rId136" Type="http://schemas.openxmlformats.org/officeDocument/2006/relationships/header" Target="header63.xml"/><Relationship Id="rId157" Type="http://schemas.openxmlformats.org/officeDocument/2006/relationships/header" Target="header74.xml"/><Relationship Id="rId178" Type="http://schemas.openxmlformats.org/officeDocument/2006/relationships/header" Target="header84.xml"/><Relationship Id="rId301" Type="http://schemas.openxmlformats.org/officeDocument/2006/relationships/header" Target="header145.xml"/><Relationship Id="rId322" Type="http://schemas.openxmlformats.org/officeDocument/2006/relationships/footer" Target="footer155.xml"/><Relationship Id="rId343" Type="http://schemas.openxmlformats.org/officeDocument/2006/relationships/header" Target="header166.xml"/><Relationship Id="rId364" Type="http://schemas.openxmlformats.org/officeDocument/2006/relationships/footer" Target="footer176.xml"/><Relationship Id="rId61" Type="http://schemas.openxmlformats.org/officeDocument/2006/relationships/header" Target="header26.xml"/><Relationship Id="rId82" Type="http://schemas.openxmlformats.org/officeDocument/2006/relationships/header" Target="header36.xml"/><Relationship Id="rId199" Type="http://schemas.openxmlformats.org/officeDocument/2006/relationships/header" Target="header95.xml"/><Relationship Id="rId203" Type="http://schemas.openxmlformats.org/officeDocument/2006/relationships/footer" Target="footer96.xml"/><Relationship Id="rId385" Type="http://schemas.openxmlformats.org/officeDocument/2006/relationships/fontTable" Target="fontTable.xml"/><Relationship Id="rId19" Type="http://schemas.openxmlformats.org/officeDocument/2006/relationships/header" Target="header5.xml"/><Relationship Id="rId224" Type="http://schemas.openxmlformats.org/officeDocument/2006/relationships/footer" Target="footer106.xml"/><Relationship Id="rId245" Type="http://schemas.openxmlformats.org/officeDocument/2006/relationships/header" Target="header117.xml"/><Relationship Id="rId266" Type="http://schemas.openxmlformats.org/officeDocument/2006/relationships/header" Target="header128.xml"/><Relationship Id="rId287" Type="http://schemas.openxmlformats.org/officeDocument/2006/relationships/header" Target="header138.xml"/><Relationship Id="rId30" Type="http://schemas.openxmlformats.org/officeDocument/2006/relationships/header" Target="header10.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168" Type="http://schemas.openxmlformats.org/officeDocument/2006/relationships/header" Target="header79.xml"/><Relationship Id="rId312" Type="http://schemas.openxmlformats.org/officeDocument/2006/relationships/footer" Target="footer150.xml"/><Relationship Id="rId333" Type="http://schemas.openxmlformats.org/officeDocument/2006/relationships/footer" Target="footer160.xml"/><Relationship Id="rId354" Type="http://schemas.openxmlformats.org/officeDocument/2006/relationships/footer" Target="footer17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189" Type="http://schemas.openxmlformats.org/officeDocument/2006/relationships/footer" Target="footer89.xml"/><Relationship Id="rId375" Type="http://schemas.openxmlformats.org/officeDocument/2006/relationships/footer" Target="footer181.xml"/><Relationship Id="rId3" Type="http://schemas.openxmlformats.org/officeDocument/2006/relationships/customXml" Target="../customXml/item3.xml"/><Relationship Id="rId214" Type="http://schemas.openxmlformats.org/officeDocument/2006/relationships/header" Target="header102.xml"/><Relationship Id="rId235" Type="http://schemas.openxmlformats.org/officeDocument/2006/relationships/header" Target="header112.xml"/><Relationship Id="rId256" Type="http://schemas.openxmlformats.org/officeDocument/2006/relationships/footer" Target="footer122.xml"/><Relationship Id="rId277" Type="http://schemas.openxmlformats.org/officeDocument/2006/relationships/header" Target="header133.xml"/><Relationship Id="rId298" Type="http://schemas.openxmlformats.org/officeDocument/2006/relationships/footer" Target="footer143.xml"/><Relationship Id="rId116" Type="http://schemas.openxmlformats.org/officeDocument/2006/relationships/footer" Target="footer52.xml"/><Relationship Id="rId137" Type="http://schemas.openxmlformats.org/officeDocument/2006/relationships/footer" Target="footer63.xml"/><Relationship Id="rId158" Type="http://schemas.openxmlformats.org/officeDocument/2006/relationships/footer" Target="footer73.xml"/><Relationship Id="rId302" Type="http://schemas.openxmlformats.org/officeDocument/2006/relationships/header" Target="header146.xml"/><Relationship Id="rId323" Type="http://schemas.openxmlformats.org/officeDocument/2006/relationships/header" Target="header156.xml"/><Relationship Id="rId344" Type="http://schemas.openxmlformats.org/officeDocument/2006/relationships/header" Target="header167.xml"/><Relationship Id="rId20" Type="http://schemas.openxmlformats.org/officeDocument/2006/relationships/footer" Target="footer4.xml"/><Relationship Id="rId41" Type="http://schemas.openxmlformats.org/officeDocument/2006/relationships/footer" Target="footer15.xml"/><Relationship Id="rId62" Type="http://schemas.openxmlformats.org/officeDocument/2006/relationships/footer" Target="footer25.xml"/><Relationship Id="rId83" Type="http://schemas.openxmlformats.org/officeDocument/2006/relationships/footer" Target="footer36.xml"/><Relationship Id="rId179" Type="http://schemas.openxmlformats.org/officeDocument/2006/relationships/footer" Target="footer84.xml"/><Relationship Id="rId365" Type="http://schemas.openxmlformats.org/officeDocument/2006/relationships/header" Target="header177.xml"/><Relationship Id="rId386" Type="http://schemas.openxmlformats.org/officeDocument/2006/relationships/theme" Target="theme/theme1.xml"/><Relationship Id="rId190" Type="http://schemas.openxmlformats.org/officeDocument/2006/relationships/header" Target="header90.xml"/><Relationship Id="rId204" Type="http://schemas.openxmlformats.org/officeDocument/2006/relationships/header" Target="header97.xml"/><Relationship Id="rId225" Type="http://schemas.openxmlformats.org/officeDocument/2006/relationships/footer" Target="footer107.xml"/><Relationship Id="rId246" Type="http://schemas.openxmlformats.org/officeDocument/2006/relationships/footer" Target="footer117.xml"/><Relationship Id="rId267" Type="http://schemas.openxmlformats.org/officeDocument/2006/relationships/footer" Target="footer127.xml"/><Relationship Id="rId288" Type="http://schemas.openxmlformats.org/officeDocument/2006/relationships/footer" Target="footer138.xml"/><Relationship Id="rId106" Type="http://schemas.openxmlformats.org/officeDocument/2006/relationships/header" Target="header48.xml"/><Relationship Id="rId127" Type="http://schemas.openxmlformats.org/officeDocument/2006/relationships/header" Target="header59.xml"/><Relationship Id="rId313" Type="http://schemas.openxmlformats.org/officeDocument/2006/relationships/header" Target="header151.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1.xml"/><Relationship Id="rId73" Type="http://schemas.openxmlformats.org/officeDocument/2006/relationships/header" Target="header32.xml"/><Relationship Id="rId94" Type="http://schemas.openxmlformats.org/officeDocument/2006/relationships/header" Target="header42.xml"/><Relationship Id="rId148" Type="http://schemas.openxmlformats.org/officeDocument/2006/relationships/header" Target="header69.xml"/><Relationship Id="rId169" Type="http://schemas.openxmlformats.org/officeDocument/2006/relationships/header" Target="header80.xml"/><Relationship Id="rId334" Type="http://schemas.openxmlformats.org/officeDocument/2006/relationships/footer" Target="footer161.xml"/><Relationship Id="rId355" Type="http://schemas.openxmlformats.org/officeDocument/2006/relationships/header" Target="header172.xml"/><Relationship Id="rId376" Type="http://schemas.openxmlformats.org/officeDocument/2006/relationships/footer" Target="footer182.xml"/><Relationship Id="rId4" Type="http://schemas.openxmlformats.org/officeDocument/2006/relationships/customXml" Target="../customXml/item4.xml"/><Relationship Id="rId180" Type="http://schemas.openxmlformats.org/officeDocument/2006/relationships/header" Target="header85.xml"/><Relationship Id="rId215" Type="http://schemas.openxmlformats.org/officeDocument/2006/relationships/footer" Target="footer102.xml"/><Relationship Id="rId236" Type="http://schemas.openxmlformats.org/officeDocument/2006/relationships/header" Target="header113.xml"/><Relationship Id="rId257" Type="http://schemas.openxmlformats.org/officeDocument/2006/relationships/header" Target="header123.xml"/><Relationship Id="rId278" Type="http://schemas.openxmlformats.org/officeDocument/2006/relationships/header" Target="header134.xml"/><Relationship Id="rId303" Type="http://schemas.openxmlformats.org/officeDocument/2006/relationships/footer" Target="footer145.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b902cc00-en" TargetMode="External"/></Relationships>
</file>

<file path=word/documenttasks/documenttasks1.xml><?xml version="1.0" encoding="utf-8"?>
<t:Tasks xmlns:t="http://schemas.microsoft.com/office/tasks/2019/documenttasks" xmlns:oel="http://schemas.microsoft.com/office/2019/extlst">
  <t:Task id="{E0278741-EE80-450A-A61E-870676106476}">
    <t:Anchor>
      <t:Comment id="1371236538"/>
    </t:Anchor>
    <t:History>
      <t:Event id="{2116ECA3-972C-49C6-A63E-6D72212C9B90}" time="2023-09-27T14:14:01.867Z">
        <t:Attribution userId="S::valentin.ariton@ec.europa.eu::6d9af2a0-0174-4c06-a454-27e8fc70a857" userProvider="AD" userName="ARITON Valentin (SG-RECOVER)"/>
        <t:Anchor>
          <t:Comment id="1371236538"/>
        </t:Anchor>
        <t:Create/>
      </t:Event>
      <t:Event id="{98DEE484-98D7-4335-BC30-229B42DDAF37}" time="2023-09-27T14:14:01.867Z">
        <t:Attribution userId="S::valentin.ariton@ec.europa.eu::6d9af2a0-0174-4c06-a454-27e8fc70a857" userProvider="AD" userName="ARITON Valentin (SG-RECOVER)"/>
        <t:Anchor>
          <t:Comment id="1371236538"/>
        </t:Anchor>
        <t:Assign userId="S::Maud.DUBERNET-DE-BOSCQ@ec.europa.eu::6f24398c-9cd4-4b9d-a26b-52a9913a01c9" userProvider="AD" userName="DUBERNET DE BOSCQ Maud (SG-RECOVER)"/>
      </t:Event>
      <t:Event id="{EC48FCB0-1835-49F9-8127-8C140037730E}" time="2023-09-27T14:14:01.867Z">
        <t:Attribution userId="S::valentin.ariton@ec.europa.eu::6d9af2a0-0174-4c06-a454-27e8fc70a857" userProvider="AD" userName="ARITON Valentin (SG-RECOVER)"/>
        <t:Anchor>
          <t:Comment id="1371236538"/>
        </t:Anchor>
        <t:SetTitle title="@DUBERNET DE BOSCQ Maud (SG-RECOVER) could you pls insert the track changes?"/>
      </t:Event>
      <t:Event id="{CF40A8F2-4E77-4613-83FF-FF6B169F3CE3}" time="2023-09-27T17:08:23.408Z">
        <t:Attribution userId="S::maud.dubernet-de-boscq@ec.europa.eu::6f24398c-9cd4-4b9d-a26b-52a9913a01c9" userProvider="AD" userName="DUBERNET DE BOSCQ Maud (SG-RECOVER)"/>
        <t:Anchor>
          <t:Comment id="784628160"/>
        </t:Anchor>
        <t:UnassignAll/>
      </t:Event>
      <t:Event id="{0E321151-E173-4A5A-85A7-B3743C79D8D2}" time="2023-09-27T17:08:23.408Z">
        <t:Attribution userId="S::maud.dubernet-de-boscq@ec.europa.eu::6f24398c-9cd4-4b9d-a26b-52a9913a01c9" userProvider="AD" userName="DUBERNET DE BOSCQ Maud (SG-RECOVER)"/>
        <t:Anchor>
          <t:Comment id="784628160"/>
        </t:Anchor>
        <t:Assign userId="S::Valentin.ARITON@ec.europa.eu::6d9af2a0-0174-4c06-a454-27e8fc70a857" userProvider="AD" userName="ARITON Valentin (SG-RECOVER)"/>
      </t:Event>
    </t:History>
  </t:Task>
  <t:Task id="{427D7529-6149-4DA9-9CB0-40AA79B772AF}">
    <t:Anchor>
      <t:Comment id="737171517"/>
    </t:Anchor>
    <t:History>
      <t:Event id="{1FF1DFE3-FDBB-43CB-BCE2-27B66C17E09A}" time="2023-10-16T09:49:54.441Z">
        <t:Attribution userId="S::carmen.antonie@ec.europa.eu::608a27e9-1f5a-4e4a-b4b4-e480b5dbb73a" userProvider="AD" userName="ANTONIE Carmen (SG-RECOVER-BUCHAREST)"/>
        <t:Anchor>
          <t:Comment id="2141173647"/>
        </t:Anchor>
        <t:Create/>
      </t:Event>
      <t:Event id="{4481C223-1490-423E-BE29-7147EBE603FA}" time="2023-10-16T09:49:54.441Z">
        <t:Attribution userId="S::carmen.antonie@ec.europa.eu::608a27e9-1f5a-4e4a-b4b4-e480b5dbb73a" userProvider="AD" userName="ANTONIE Carmen (SG-RECOVER-BUCHAREST)"/>
        <t:Anchor>
          <t:Comment id="2141173647"/>
        </t:Anchor>
        <t:Assign userId="S::Maud.DUBERNET-DE-BOSCQ@ec.europa.eu::6f24398c-9cd4-4b9d-a26b-52a9913a01c9" userProvider="AD" userName="DUBERNET DE BOSCQ Maud (SG-RECOVER)"/>
      </t:Event>
      <t:Event id="{1B407AA4-4C0E-4BBE-89F5-D330C3AFA01A}" time="2023-10-16T09:49:54.441Z">
        <t:Attribution userId="S::carmen.antonie@ec.europa.eu::608a27e9-1f5a-4e4a-b4b4-e480b5dbb73a" userProvider="AD" userName="ANTONIE Carmen (SG-RECOVER-BUCHAREST)"/>
        <t:Anchor>
          <t:Comment id="2141173647"/>
        </t:Anchor>
        <t:SetTitle title="@DUBERNET DE BOSCQ Maud (SG-RECOVER) Dear Maud, could you please address Patrick's comment and flag to me when done. We will send CID annex to horizontals today. T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9540217-dd4d-4552-b080-f316f8754f84">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1198b08-d09d-409c-a169-ca1eb44fa897" xsi:nil="true"/>
    <Comment xmlns="69540217-dd4d-4552-b080-f316f8754f84" xsi:nil="true"/>
    <SharedWithUsers xmlns="41198b08-d09d-409c-a169-ca1eb44fa897">
      <UserInfo>
        <DisplayName>ROSSI Luca (SG-RECOVER)</DisplayName>
        <AccountId>660</AccountId>
        <AccountType/>
      </UserInfo>
      <UserInfo>
        <DisplayName>D'SOUZA Patrick (ECFIN)</DisplayName>
        <AccountId>14</AccountId>
        <AccountType/>
      </UserInfo>
      <UserInfo>
        <DisplayName>LUNGU Marius (SG-RECOVER)</DisplayName>
        <AccountId>84</AccountId>
        <AccountType/>
      </UserInfo>
      <UserInfo>
        <DisplayName>ANTONIE Carmen (SG-RECOVER-BUCHAREST)</DisplayName>
        <AccountId>681</AccountId>
        <AccountType/>
      </UserInfo>
      <UserInfo>
        <DisplayName>KANDIAH Alessandro (ECFIN)</DisplayName>
        <AccountId>408</AccountId>
        <AccountType/>
      </UserInfo>
      <UserInfo>
        <DisplayName>HINRICHS Hendrik (ECFIN)</DisplayName>
        <AccountId>215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4E1EBFBC69D4E9F6EFDF5C754386E" ma:contentTypeVersion="20" ma:contentTypeDescription="Create a new document." ma:contentTypeScope="" ma:versionID="1192d3fdae73a9e6e65b6a94463f9ea0">
  <xsd:schema xmlns:xsd="http://www.w3.org/2001/XMLSchema" xmlns:xs="http://www.w3.org/2001/XMLSchema" xmlns:p="http://schemas.microsoft.com/office/2006/metadata/properties" xmlns:ns1="http://schemas.microsoft.com/sharepoint/v3" xmlns:ns2="69540217-dd4d-4552-b080-f316f8754f84" xmlns:ns3="41198b08-d09d-409c-a169-ca1eb44fa897" targetNamespace="http://schemas.microsoft.com/office/2006/metadata/properties" ma:root="true" ma:fieldsID="c8d98292f5a2b4213ed521986426f1a9" ns1:_="" ns2:_="" ns3:_="">
    <xsd:import namespace="http://schemas.microsoft.com/sharepoint/v3"/>
    <xsd:import namespace="69540217-dd4d-4552-b080-f316f8754f84"/>
    <xsd:import namespace="41198b08-d09d-409c-a169-ca1eb44fa8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540217-dd4d-4552-b080-f316f875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mment" ma:index="19" nillable="true" ma:displayName="Comment" ma:format="Dropdown" ma:internalName="Comment">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98b08-d09d-409c-a169-ca1eb44fa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2effd8-73b0-4c61-aa55-fe88c588bc3c}" ma:internalName="TaxCatchAll" ma:showField="CatchAllData" ma:web="41198b08-d09d-409c-a169-ca1eb44fa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D9160-9720-497F-8206-52B74DB3D49D}">
  <ds:schemaRefs>
    <ds:schemaRef ds:uri="http://schemas.microsoft.com/office/2006/metadata/properties"/>
    <ds:schemaRef ds:uri="http://schemas.microsoft.com/office/infopath/2007/PartnerControls"/>
    <ds:schemaRef ds:uri="http://schemas.microsoft.com/sharepoint/v3"/>
    <ds:schemaRef ds:uri="69540217-dd4d-4552-b080-f316f8754f84"/>
    <ds:schemaRef ds:uri="41198b08-d09d-409c-a169-ca1eb44fa897"/>
  </ds:schemaRefs>
</ds:datastoreItem>
</file>

<file path=customXml/itemProps2.xml><?xml version="1.0" encoding="utf-8"?>
<ds:datastoreItem xmlns:ds="http://schemas.openxmlformats.org/officeDocument/2006/customXml" ds:itemID="{32AA909E-3661-4B74-9607-A943CD7AD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540217-dd4d-4552-b080-f316f8754f84"/>
    <ds:schemaRef ds:uri="41198b08-d09d-409c-a169-ca1eb44fa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008E5-CEC7-4597-BE04-33C239D957A9}">
  <ds:schemaRefs>
    <ds:schemaRef ds:uri="http://schemas.microsoft.com/sharepoint/v3/contenttype/forms"/>
  </ds:schemaRefs>
</ds:datastoreItem>
</file>

<file path=customXml/itemProps4.xml><?xml version="1.0" encoding="utf-8"?>
<ds:datastoreItem xmlns:ds="http://schemas.openxmlformats.org/officeDocument/2006/customXml" ds:itemID="{4C2DA72E-112C-4BC0-8631-A068729A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15</Pages>
  <Words>135350</Words>
  <Characters>771497</Characters>
  <Application>Microsoft Office Word</Application>
  <DocSecurity>0</DocSecurity>
  <Lines>6429</Lines>
  <Paragraphs>1810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905037</CharactersWithSpaces>
  <SharedDoc>false</SharedDoc>
  <HLinks>
    <vt:vector size="12" baseType="variant">
      <vt:variant>
        <vt:i4>4784253</vt:i4>
      </vt:variant>
      <vt:variant>
        <vt:i4>0</vt:i4>
      </vt:variant>
      <vt:variant>
        <vt:i4>0</vt:i4>
      </vt:variant>
      <vt:variant>
        <vt:i4>5</vt:i4>
      </vt:variant>
      <vt:variant>
        <vt:lpwstr>https://ec.europa.eu/regional_policy/en/information/maps/quality_of_life/</vt:lpwstr>
      </vt:variant>
      <vt:variant>
        <vt:lpwstr/>
      </vt:variant>
      <vt:variant>
        <vt:i4>2490486</vt:i4>
      </vt:variant>
      <vt:variant>
        <vt:i4>0</vt:i4>
      </vt:variant>
      <vt:variant>
        <vt:i4>0</vt:i4>
      </vt:variant>
      <vt:variant>
        <vt:i4>5</vt:i4>
      </vt:variant>
      <vt:variant>
        <vt:lpwstr>https://doi.org/10.1787/b902cc00-en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HINRICHS Hendrik (ECFIN)</dc:creator>
  <cp:keywords/>
  <dc:description/>
  <cp:lastModifiedBy>EC CoDe</cp:lastModifiedBy>
  <cp:revision>209</cp:revision>
  <dcterms:created xsi:type="dcterms:W3CDTF">2023-11-16T14:16:00Z</dcterms:created>
  <dcterms:modified xsi:type="dcterms:W3CDTF">2023-11-28T11:11:00Z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0x0101001904E1EBFBC69D4E9F6EFDF5C754386E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2023-08-31T12:15:55Z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d871e515-f07d-43c1-bb91-ff64e4ccc248</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